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14CEF">
      <w:pPr>
        <w:ind w:left="0" w:leftChars="0" w:right="0" w:rightChars="0" w:firstLine="0" w:firstLineChars="0"/>
        <w:jc w:val="center"/>
        <w:rPr>
          <w:rFonts w:hint="default" w:ascii="Times New Roman" w:hAnsi="Times New Roman" w:eastAsia="宋体" w:cs="Times New Roman"/>
          <w:sz w:val="36"/>
          <w:szCs w:val="36"/>
          <w:lang w:val="en-US" w:eastAsia="zh-CN"/>
        </w:rPr>
      </w:pPr>
    </w:p>
    <w:p w14:paraId="3BDBAA91">
      <w:pPr>
        <w:ind w:left="0" w:leftChars="0" w:right="0" w:rightChars="0" w:firstLine="0" w:firstLineChars="0"/>
        <w:jc w:val="center"/>
        <w:rPr>
          <w:rFonts w:hint="default" w:ascii="Times New Roman" w:hAnsi="Times New Roman" w:cs="Times New Roman"/>
          <w:sz w:val="36"/>
          <w:szCs w:val="36"/>
        </w:rPr>
      </w:pPr>
    </w:p>
    <w:p w14:paraId="7B9A2F07">
      <w:pPr>
        <w:ind w:left="0" w:leftChars="0" w:right="0" w:rightChars="0" w:firstLine="0" w:firstLineChars="0"/>
        <w:jc w:val="center"/>
        <w:rPr>
          <w:rFonts w:hint="default" w:ascii="Times New Roman" w:hAnsi="Times New Roman" w:cs="Times New Roman"/>
          <w:sz w:val="36"/>
          <w:szCs w:val="36"/>
        </w:rPr>
      </w:pPr>
    </w:p>
    <w:p w14:paraId="25C35399">
      <w:pPr>
        <w:widowControl/>
        <w:tabs>
          <w:tab w:val="left" w:pos="820"/>
        </w:tabs>
        <w:spacing w:line="480" w:lineRule="auto"/>
        <w:jc w:val="center"/>
        <w:rPr>
          <w:rFonts w:hint="default" w:ascii="Times New Roman" w:hAnsi="Times New Roman" w:cs="Times New Roman"/>
          <w:b/>
          <w:sz w:val="44"/>
          <w:szCs w:val="44"/>
        </w:rPr>
      </w:pPr>
      <w:r>
        <w:rPr>
          <w:rFonts w:hint="default" w:ascii="Times New Roman" w:hAnsi="Times New Roman" w:cs="Times New Roman"/>
          <w:b/>
          <w:sz w:val="44"/>
          <w:szCs w:val="44"/>
        </w:rPr>
        <w:t>新疆兴悦化工有限公司水泥窑协同处置250t/a精蒸馏残渣技改项目</w:t>
      </w:r>
    </w:p>
    <w:p w14:paraId="33D70DEA">
      <w:pPr>
        <w:widowControl/>
        <w:tabs>
          <w:tab w:val="left" w:pos="820"/>
        </w:tabs>
        <w:spacing w:line="480" w:lineRule="auto"/>
        <w:jc w:val="center"/>
        <w:rPr>
          <w:rFonts w:hint="default" w:ascii="Times New Roman" w:hAnsi="Times New Roman" w:cs="Times New Roman"/>
          <w:b/>
          <w:spacing w:val="-10"/>
          <w:sz w:val="72"/>
          <w:szCs w:val="72"/>
        </w:rPr>
      </w:pPr>
      <w:r>
        <w:rPr>
          <w:rFonts w:hint="default" w:ascii="Times New Roman" w:hAnsi="Times New Roman" w:cs="Times New Roman"/>
          <w:b/>
          <w:spacing w:val="-10"/>
          <w:sz w:val="72"/>
          <w:szCs w:val="72"/>
        </w:rPr>
        <w:t>环 境 影 响 报 告 书</w:t>
      </w:r>
    </w:p>
    <w:p w14:paraId="39889B48">
      <w:pPr>
        <w:widowControl/>
        <w:tabs>
          <w:tab w:val="left" w:pos="820"/>
        </w:tabs>
        <w:spacing w:line="480" w:lineRule="auto"/>
        <w:ind w:left="0" w:leftChars="0" w:right="0" w:rightChars="0" w:firstLine="0" w:firstLineChars="0"/>
        <w:jc w:val="center"/>
        <w:rPr>
          <w:rFonts w:hint="default" w:ascii="Times New Roman" w:hAnsi="Times New Roman" w:cs="Times New Roman"/>
          <w:b/>
          <w:spacing w:val="-10"/>
          <w:sz w:val="28"/>
          <w:szCs w:val="28"/>
        </w:rPr>
      </w:pPr>
    </w:p>
    <w:p w14:paraId="2797C5AA">
      <w:pPr>
        <w:spacing w:line="480" w:lineRule="auto"/>
        <w:ind w:left="0" w:leftChars="0" w:right="0" w:rightChars="0" w:firstLine="0" w:firstLineChars="0"/>
        <w:jc w:val="center"/>
        <w:rPr>
          <w:rFonts w:hint="default" w:ascii="Times New Roman" w:hAnsi="Times New Roman" w:cs="Times New Roman"/>
          <w:b/>
          <w:color w:val="000000"/>
          <w:sz w:val="28"/>
          <w:szCs w:val="28"/>
        </w:rPr>
      </w:pPr>
    </w:p>
    <w:p w14:paraId="07261618">
      <w:pPr>
        <w:ind w:left="0" w:leftChars="0" w:right="0" w:rightChars="0" w:firstLine="0" w:firstLineChars="0"/>
        <w:jc w:val="center"/>
        <w:rPr>
          <w:rFonts w:hint="default" w:ascii="Times New Roman" w:hAnsi="Times New Roman" w:cs="Times New Roman"/>
          <w:sz w:val="28"/>
          <w:szCs w:val="28"/>
        </w:rPr>
      </w:pPr>
    </w:p>
    <w:p w14:paraId="52E04357">
      <w:pPr>
        <w:ind w:left="0" w:leftChars="0" w:right="0" w:rightChars="0" w:firstLine="0" w:firstLineChars="0"/>
        <w:jc w:val="center"/>
        <w:rPr>
          <w:rFonts w:hint="default" w:ascii="Times New Roman" w:hAnsi="Times New Roman" w:cs="Times New Roman"/>
          <w:sz w:val="28"/>
          <w:szCs w:val="28"/>
        </w:rPr>
      </w:pPr>
    </w:p>
    <w:p w14:paraId="069150E4">
      <w:pPr>
        <w:ind w:left="0" w:leftChars="0" w:right="0" w:rightChars="0" w:firstLine="0" w:firstLineChars="0"/>
        <w:jc w:val="center"/>
        <w:rPr>
          <w:rFonts w:hint="default" w:ascii="Times New Roman" w:hAnsi="Times New Roman" w:cs="Times New Roman"/>
          <w:sz w:val="28"/>
          <w:szCs w:val="28"/>
        </w:rPr>
      </w:pPr>
    </w:p>
    <w:p w14:paraId="4B9144EE">
      <w:pPr>
        <w:ind w:left="0" w:leftChars="0" w:right="0" w:rightChars="0" w:firstLine="0" w:firstLineChars="0"/>
        <w:jc w:val="center"/>
        <w:rPr>
          <w:rFonts w:hint="default" w:ascii="Times New Roman" w:hAnsi="Times New Roman" w:cs="Times New Roman"/>
          <w:sz w:val="28"/>
          <w:szCs w:val="28"/>
        </w:rPr>
      </w:pPr>
    </w:p>
    <w:p w14:paraId="70BADBBD">
      <w:pPr>
        <w:ind w:left="0" w:leftChars="0" w:right="0" w:rightChars="0" w:firstLine="0" w:firstLineChars="0"/>
        <w:jc w:val="center"/>
        <w:rPr>
          <w:rFonts w:hint="default" w:ascii="Times New Roman" w:hAnsi="Times New Roman" w:cs="Times New Roman"/>
          <w:sz w:val="28"/>
          <w:szCs w:val="28"/>
        </w:rPr>
      </w:pPr>
    </w:p>
    <w:p w14:paraId="3BA97B2B">
      <w:pPr>
        <w:ind w:left="0" w:leftChars="0" w:right="0" w:rightChars="0" w:firstLine="0" w:firstLineChars="0"/>
        <w:jc w:val="center"/>
        <w:rPr>
          <w:rFonts w:hint="default" w:ascii="Times New Roman" w:hAnsi="Times New Roman" w:cs="Times New Roman"/>
          <w:sz w:val="28"/>
          <w:szCs w:val="28"/>
        </w:rPr>
      </w:pPr>
    </w:p>
    <w:p w14:paraId="51FDB9DE">
      <w:pPr>
        <w:ind w:left="0" w:leftChars="0" w:right="0" w:rightChars="0" w:firstLine="0" w:firstLineChars="0"/>
        <w:jc w:val="center"/>
        <w:rPr>
          <w:rFonts w:hint="default" w:ascii="Times New Roman" w:hAnsi="Times New Roman" w:cs="Times New Roman"/>
          <w:sz w:val="28"/>
          <w:szCs w:val="28"/>
        </w:rPr>
      </w:pPr>
    </w:p>
    <w:p w14:paraId="637F8B49">
      <w:pPr>
        <w:ind w:left="0" w:leftChars="0" w:right="0" w:rightChars="0" w:firstLine="0" w:firstLineChars="0"/>
        <w:jc w:val="center"/>
        <w:rPr>
          <w:rFonts w:hint="default" w:ascii="Times New Roman" w:hAnsi="Times New Roman" w:cs="Times New Roman"/>
          <w:sz w:val="28"/>
          <w:szCs w:val="28"/>
        </w:rPr>
      </w:pPr>
      <w:bookmarkStart w:id="1059" w:name="_GoBack"/>
      <w:bookmarkEnd w:id="1059"/>
    </w:p>
    <w:p w14:paraId="429A06FA">
      <w:pPr>
        <w:ind w:firstLine="703" w:firstLineChars="250"/>
        <w:rPr>
          <w:rFonts w:hint="default" w:ascii="Times New Roman" w:hAnsi="Times New Roman" w:cs="Times New Roman"/>
          <w:b/>
          <w:sz w:val="28"/>
          <w:szCs w:val="28"/>
        </w:rPr>
      </w:pPr>
      <w:r>
        <w:rPr>
          <w:rFonts w:hint="default" w:ascii="Times New Roman" w:hAnsi="Times New Roman" w:cs="Times New Roman"/>
          <w:b/>
          <w:sz w:val="28"/>
          <w:szCs w:val="28"/>
        </w:rPr>
        <w:t>建设单位：新疆兴悦化工有限公司</w:t>
      </w:r>
    </w:p>
    <w:p w14:paraId="4C0377BC">
      <w:pPr>
        <w:ind w:firstLine="703" w:firstLineChars="250"/>
        <w:rPr>
          <w:rFonts w:hint="default" w:ascii="Times New Roman" w:hAnsi="Times New Roman" w:eastAsia="宋体" w:cs="Times New Roman"/>
          <w:b/>
          <w:sz w:val="28"/>
          <w:szCs w:val="28"/>
          <w:highlight w:val="none"/>
          <w:lang w:val="en-US" w:eastAsia="zh-CN"/>
        </w:rPr>
      </w:pPr>
      <w:r>
        <w:rPr>
          <w:rFonts w:hint="default" w:ascii="Times New Roman" w:hAnsi="Times New Roman" w:cs="Times New Roman"/>
          <w:b/>
          <w:sz w:val="28"/>
          <w:szCs w:val="28"/>
        </w:rPr>
        <w:t>评价单位：阿克苏净源环境科技有限责任公司</w:t>
      </w:r>
    </w:p>
    <w:p w14:paraId="59297D35">
      <w:pPr>
        <w:ind w:left="0" w:leftChars="0" w:right="0" w:rightChars="0" w:firstLine="0" w:firstLineChars="0"/>
        <w:jc w:val="center"/>
        <w:rPr>
          <w:rFonts w:hint="default" w:ascii="Times New Roman" w:hAnsi="Times New Roman" w:cs="Times New Roman"/>
          <w:b/>
          <w:sz w:val="28"/>
          <w:szCs w:val="28"/>
        </w:rPr>
      </w:pPr>
      <w:r>
        <w:rPr>
          <w:rFonts w:hint="default" w:ascii="Times New Roman" w:hAnsi="Times New Roman" w:cs="Times New Roman"/>
          <w:b/>
          <w:sz w:val="28"/>
          <w:szCs w:val="28"/>
          <w:lang w:val="en-US" w:eastAsia="zh-CN"/>
        </w:rPr>
        <w:t>202</w:t>
      </w:r>
      <w:r>
        <w:rPr>
          <w:rFonts w:hint="eastAsia" w:cs="Times New Roman"/>
          <w:b/>
          <w:sz w:val="28"/>
          <w:szCs w:val="28"/>
          <w:lang w:val="en-US" w:eastAsia="zh-CN"/>
        </w:rPr>
        <w:t>6</w:t>
      </w:r>
      <w:r>
        <w:rPr>
          <w:rFonts w:hint="default" w:ascii="Times New Roman" w:hAnsi="Times New Roman" w:cs="Times New Roman"/>
          <w:b/>
          <w:sz w:val="28"/>
          <w:szCs w:val="28"/>
        </w:rPr>
        <w:t>年</w:t>
      </w:r>
      <w:r>
        <w:rPr>
          <w:rFonts w:hint="eastAsia" w:cs="Times New Roman"/>
          <w:b/>
          <w:sz w:val="28"/>
          <w:szCs w:val="28"/>
          <w:lang w:val="en-US" w:eastAsia="zh-CN"/>
        </w:rPr>
        <w:t>8</w:t>
      </w:r>
      <w:r>
        <w:rPr>
          <w:rFonts w:hint="default" w:ascii="Times New Roman" w:hAnsi="Times New Roman" w:cs="Times New Roman"/>
          <w:b/>
          <w:sz w:val="28"/>
          <w:szCs w:val="28"/>
        </w:rPr>
        <w:t>月</w:t>
      </w:r>
    </w:p>
    <w:p w14:paraId="2356DEE1">
      <w:pPr>
        <w:ind w:left="0" w:leftChars="0" w:right="0" w:rightChars="0" w:firstLine="0" w:firstLineChars="0"/>
        <w:jc w:val="both"/>
        <w:rPr>
          <w:rFonts w:hint="default" w:ascii="Times New Roman" w:hAnsi="Times New Roman" w:cs="Times New Roman"/>
          <w:b/>
          <w:sz w:val="32"/>
          <w:szCs w:val="32"/>
        </w:rPr>
      </w:pPr>
    </w:p>
    <w:p w14:paraId="07E23913">
      <w:pPr>
        <w:spacing w:line="360" w:lineRule="auto"/>
        <w:rPr>
          <w:rFonts w:hint="default" w:ascii="Times New Roman" w:hAnsi="Times New Roman" w:cs="Times New Roman"/>
          <w:b/>
          <w:sz w:val="32"/>
          <w:szCs w:val="32"/>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sdt>
      <w:sdtPr>
        <w:rPr>
          <w:rFonts w:ascii="宋体" w:hAnsi="宋体" w:eastAsia="宋体" w:cs="Times New Roman"/>
          <w:sz w:val="21"/>
          <w:lang w:val="en-US" w:eastAsia="zh-CN" w:bidi="ar-SA"/>
        </w:rPr>
        <w:id w:val="147454369"/>
        <w15:color w:val="DBDBDB"/>
        <w:docPartObj>
          <w:docPartGallery w:val="Table of Contents"/>
          <w:docPartUnique/>
        </w:docPartObj>
      </w:sdtPr>
      <w:sdtEndPr>
        <w:rPr>
          <w:rFonts w:hint="default" w:ascii="Times New Roman" w:hAnsi="Times New Roman" w:eastAsia="宋体" w:cs="Times New Roman"/>
          <w:sz w:val="24"/>
          <w:szCs w:val="24"/>
          <w:highlight w:val="none"/>
          <w:lang w:val="en-US" w:eastAsia="zh-CN" w:bidi="ar-SA"/>
        </w:rPr>
      </w:sdtEndPr>
      <w:sdtContent>
        <w:p w14:paraId="1C690FFF">
          <w:pPr>
            <w:spacing w:before="0" w:beforeLines="0" w:after="0" w:afterLines="0" w:line="240" w:lineRule="auto"/>
            <w:ind w:left="0" w:leftChars="0" w:right="0" w:rightChars="0" w:firstLine="0" w:firstLineChars="0"/>
            <w:jc w:val="center"/>
            <w:rPr>
              <w:b/>
              <w:bCs/>
              <w:sz w:val="40"/>
              <w:szCs w:val="28"/>
            </w:rPr>
          </w:pPr>
          <w:r>
            <w:rPr>
              <w:rFonts w:ascii="宋体" w:hAnsi="宋体" w:eastAsia="宋体"/>
              <w:b/>
              <w:bCs/>
              <w:sz w:val="32"/>
              <w:szCs w:val="28"/>
            </w:rPr>
            <w:t>目</w:t>
          </w:r>
          <w:r>
            <w:rPr>
              <w:rFonts w:hint="eastAsia" w:ascii="宋体" w:hAnsi="宋体" w:eastAsia="宋体"/>
              <w:b/>
              <w:bCs/>
              <w:sz w:val="32"/>
              <w:szCs w:val="28"/>
              <w:lang w:val="en-US" w:eastAsia="zh-CN"/>
            </w:rPr>
            <w:t xml:space="preserve">  </w:t>
          </w:r>
          <w:r>
            <w:rPr>
              <w:rFonts w:ascii="宋体" w:hAnsi="宋体" w:eastAsia="宋体"/>
              <w:b/>
              <w:bCs/>
              <w:sz w:val="32"/>
              <w:szCs w:val="28"/>
            </w:rPr>
            <w:t>录</w:t>
          </w:r>
        </w:p>
        <w:p w14:paraId="1EEB5452">
          <w:pPr>
            <w:pStyle w:val="25"/>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 w:val="24"/>
              <w:szCs w:val="24"/>
              <w:highlight w:val="none"/>
            </w:rPr>
            <w:fldChar w:fldCharType="begin"/>
          </w:r>
          <w:r>
            <w:rPr>
              <w:rFonts w:hint="default" w:ascii="Times New Roman" w:hAnsi="Times New Roman" w:eastAsia="宋体" w:cs="Times New Roman"/>
              <w:sz w:val="24"/>
              <w:szCs w:val="24"/>
              <w:highlight w:val="none"/>
            </w:rPr>
            <w:instrText xml:space="preserve">TOC \o "1-2" \h \u </w:instrText>
          </w:r>
          <w:r>
            <w:rPr>
              <w:rFonts w:hint="default" w:ascii="Times New Roman" w:hAnsi="Times New Roman" w:eastAsia="宋体" w:cs="Times New Roman"/>
              <w:sz w:val="24"/>
              <w:szCs w:val="24"/>
              <w:highlight w:val="none"/>
            </w:rPr>
            <w:fldChar w:fldCharType="separate"/>
          </w: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_Toc27617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rPr>
            <w:t>1概述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_Toc27617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14EFC48F">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_Toc10351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val="0"/>
              <w:szCs w:val="18"/>
              <w:highlight w:val="none"/>
            </w:rPr>
            <w:t>1.1</w:t>
          </w:r>
          <w:r>
            <w:rPr>
              <w:rFonts w:hint="default" w:ascii="Times New Roman" w:hAnsi="Times New Roman" w:eastAsia="宋体" w:cs="Times New Roman"/>
              <w:bCs w:val="0"/>
              <w:kern w:val="2"/>
              <w:szCs w:val="24"/>
              <w:highlight w:val="none"/>
            </w:rPr>
            <w:t>项目</w:t>
          </w:r>
          <w:r>
            <w:rPr>
              <w:rFonts w:hint="default" w:ascii="Times New Roman" w:hAnsi="Times New Roman" w:eastAsia="宋体" w:cs="Times New Roman"/>
              <w:bCs w:val="0"/>
              <w:szCs w:val="18"/>
              <w:highlight w:val="none"/>
            </w:rPr>
            <w:t>建设背景</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_Toc10351 \h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65120D12">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_Toc28595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1.2环境影响评价工作过程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_Toc28595 \h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5740838C">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_Toc5262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1.</w:t>
          </w:r>
          <w:r>
            <w:rPr>
              <w:rFonts w:hint="default" w:ascii="Times New Roman" w:hAnsi="Times New Roman" w:cs="Times New Roman"/>
              <w:szCs w:val="18"/>
              <w:highlight w:val="none"/>
              <w:lang w:val="en-US" w:eastAsia="zh-CN"/>
            </w:rPr>
            <w:t>3</w:t>
          </w:r>
          <w:r>
            <w:rPr>
              <w:rFonts w:hint="default" w:ascii="Times New Roman" w:hAnsi="Times New Roman" w:eastAsia="宋体" w:cs="Times New Roman"/>
              <w:szCs w:val="18"/>
              <w:highlight w:val="none"/>
            </w:rPr>
            <w:t>分析判定相关情况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_Toc5262 \h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703A89F6">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_Toc8633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1.</w:t>
          </w:r>
          <w:r>
            <w:rPr>
              <w:rFonts w:hint="default" w:ascii="Times New Roman" w:hAnsi="Times New Roman" w:cs="Times New Roman"/>
              <w:szCs w:val="18"/>
              <w:highlight w:val="none"/>
              <w:lang w:val="en-US" w:eastAsia="zh-CN"/>
            </w:rPr>
            <w:t>4</w:t>
          </w:r>
          <w:r>
            <w:rPr>
              <w:rFonts w:hint="default" w:ascii="Times New Roman" w:hAnsi="Times New Roman" w:eastAsia="宋体" w:cs="Times New Roman"/>
              <w:szCs w:val="18"/>
              <w:highlight w:val="none"/>
            </w:rPr>
            <w:t>关注的主要环境问题及环境影响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_Toc8633 \h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7289D3CB">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_Toc1015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1.</w:t>
          </w:r>
          <w:r>
            <w:rPr>
              <w:rFonts w:hint="default" w:ascii="Times New Roman" w:hAnsi="Times New Roman" w:cs="Times New Roman"/>
              <w:szCs w:val="18"/>
              <w:highlight w:val="none"/>
              <w:lang w:val="en-US" w:eastAsia="zh-CN"/>
            </w:rPr>
            <w:t>5</w:t>
          </w:r>
          <w:r>
            <w:rPr>
              <w:rFonts w:hint="default" w:ascii="Times New Roman" w:hAnsi="Times New Roman" w:eastAsia="宋体" w:cs="Times New Roman"/>
              <w:szCs w:val="18"/>
              <w:highlight w:val="none"/>
            </w:rPr>
            <w:t>环境影响报告书的主要结论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_Toc1015 \h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71BE8F40">
          <w:pPr>
            <w:pStyle w:val="25"/>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_Toc2347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rPr>
            <w:t>2总则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_Toc2347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5CC1B86C">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_Toc23092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2.1编制依据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_Toc23092 \h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47AB5FA1">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_Toc22492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2.2评价目的与原则</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_Toc22492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39931674">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_Toc5264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2.3</w:t>
          </w:r>
          <w:r>
            <w:rPr>
              <w:rFonts w:hint="default" w:ascii="Times New Roman" w:hAnsi="Times New Roman" w:cs="Times New Roman"/>
              <w:lang w:val="zh-CN"/>
            </w:rPr>
            <w:t>环境影响因素识别及评价因子筛选</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_Toc5264 \h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24E63382">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_Toc26014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lang w:val="en-US" w:eastAsia="zh-CN"/>
            </w:rPr>
            <w:t>2.4</w:t>
          </w:r>
          <w:r>
            <w:rPr>
              <w:rFonts w:hint="default" w:ascii="Times New Roman" w:hAnsi="Times New Roman" w:eastAsia="宋体" w:cs="Times New Roman"/>
              <w:szCs w:val="18"/>
              <w:highlight w:val="none"/>
              <w:lang w:val="zh-CN"/>
            </w:rPr>
            <w:t>评价标准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_Toc26014 \h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3ED152F5">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_Toc9314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val="0"/>
              <w:szCs w:val="18"/>
              <w:highlight w:val="none"/>
            </w:rPr>
            <w:t>2.</w:t>
          </w:r>
          <w:r>
            <w:rPr>
              <w:rFonts w:hint="default" w:ascii="Times New Roman" w:hAnsi="Times New Roman" w:cs="Times New Roman"/>
              <w:bCs w:val="0"/>
              <w:szCs w:val="18"/>
              <w:highlight w:val="none"/>
              <w:lang w:val="en-US" w:eastAsia="zh-CN"/>
            </w:rPr>
            <w:t>5</w:t>
          </w:r>
          <w:r>
            <w:rPr>
              <w:rFonts w:hint="default" w:ascii="Times New Roman" w:hAnsi="Times New Roman" w:eastAsia="宋体" w:cs="Times New Roman"/>
              <w:bCs w:val="0"/>
              <w:szCs w:val="18"/>
              <w:highlight w:val="none"/>
            </w:rPr>
            <w:t>评价等级与重点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_Toc9314 \h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581750D7">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_Toc15356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2.</w:t>
          </w:r>
          <w:r>
            <w:rPr>
              <w:rFonts w:hint="default" w:ascii="Times New Roman" w:hAnsi="Times New Roman" w:cs="Times New Roman"/>
              <w:szCs w:val="18"/>
              <w:highlight w:val="none"/>
              <w:lang w:val="en-US" w:eastAsia="zh-CN"/>
            </w:rPr>
            <w:t>6</w:t>
          </w:r>
          <w:r>
            <w:rPr>
              <w:rFonts w:hint="default" w:ascii="Times New Roman" w:hAnsi="Times New Roman" w:eastAsia="宋体" w:cs="Times New Roman"/>
              <w:szCs w:val="18"/>
              <w:highlight w:val="none"/>
            </w:rPr>
            <w:t>评价时段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_Toc15356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1FCCBFC2">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_Toc31858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2.</w:t>
          </w:r>
          <w:r>
            <w:rPr>
              <w:rFonts w:hint="default" w:ascii="Times New Roman" w:hAnsi="Times New Roman" w:cs="Times New Roman"/>
              <w:szCs w:val="18"/>
              <w:highlight w:val="none"/>
              <w:lang w:val="en-US" w:eastAsia="zh-CN"/>
            </w:rPr>
            <w:t>7</w:t>
          </w:r>
          <w:r>
            <w:rPr>
              <w:rFonts w:hint="default" w:ascii="Times New Roman" w:hAnsi="Times New Roman" w:eastAsia="宋体" w:cs="Times New Roman"/>
              <w:szCs w:val="18"/>
              <w:highlight w:val="none"/>
            </w:rPr>
            <w:t>评价范围与环境</w:t>
          </w:r>
          <w:r>
            <w:rPr>
              <w:rFonts w:hint="default" w:ascii="Times New Roman" w:hAnsi="Times New Roman" w:cs="Times New Roman"/>
              <w:szCs w:val="18"/>
              <w:highlight w:val="none"/>
              <w:lang w:val="en-US" w:eastAsia="zh-CN"/>
            </w:rPr>
            <w:t>保护目标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_Toc31858 \h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2AF05F1D">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_Toc23668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lang w:val="en-US" w:eastAsia="zh-CN"/>
            </w:rPr>
            <w:t>2.8环境功能区划</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_Toc23668 \h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2AE53009">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_Toc29362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2.</w:t>
          </w:r>
          <w:r>
            <w:rPr>
              <w:rFonts w:hint="default" w:ascii="Times New Roman" w:hAnsi="Times New Roman" w:cs="Times New Roman"/>
              <w:szCs w:val="18"/>
              <w:highlight w:val="none"/>
              <w:lang w:val="en-US" w:eastAsia="zh-CN"/>
            </w:rPr>
            <w:t>9</w:t>
          </w:r>
          <w:r>
            <w:rPr>
              <w:rFonts w:hint="default" w:ascii="Times New Roman" w:hAnsi="Times New Roman" w:eastAsia="宋体" w:cs="Times New Roman"/>
              <w:szCs w:val="18"/>
              <w:highlight w:val="none"/>
              <w:lang w:val="en-US" w:eastAsia="zh-CN"/>
            </w:rPr>
            <w:t>产业政策及规划符合性分析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_Toc29362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1F7A40C9">
          <w:pPr>
            <w:pStyle w:val="25"/>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_Toc32218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rPr>
            <w:t>3</w:t>
          </w:r>
          <w:r>
            <w:rPr>
              <w:rFonts w:hint="default" w:ascii="Times New Roman" w:hAnsi="Times New Roman" w:eastAsia="宋体" w:cs="Times New Roman"/>
              <w:szCs w:val="18"/>
              <w:highlight w:val="none"/>
              <w:lang w:val="en-US" w:eastAsia="zh-CN"/>
            </w:rPr>
            <w:t>建设</w:t>
          </w:r>
          <w:r>
            <w:rPr>
              <w:rFonts w:hint="default" w:ascii="Times New Roman" w:hAnsi="Times New Roman" w:eastAsia="宋体" w:cs="Times New Roman"/>
              <w:bCs/>
              <w:szCs w:val="16"/>
              <w:highlight w:val="none"/>
              <w:lang w:val="en-US" w:eastAsia="zh-CN"/>
            </w:rPr>
            <w:t>项目</w:t>
          </w:r>
          <w:r>
            <w:rPr>
              <w:rFonts w:hint="default" w:ascii="Times New Roman" w:hAnsi="Times New Roman" w:eastAsia="宋体" w:cs="Times New Roman"/>
              <w:bCs/>
              <w:szCs w:val="16"/>
              <w:highlight w:val="none"/>
            </w:rPr>
            <w:t>工程分析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_Toc32218 \h </w:instrText>
          </w:r>
          <w:r>
            <w:rPr>
              <w:rFonts w:hint="default" w:ascii="Times New Roman" w:hAnsi="Times New Roman" w:cs="Times New Roman"/>
            </w:rPr>
            <w:fldChar w:fldCharType="separate"/>
          </w:r>
          <w:r>
            <w:rPr>
              <w:rFonts w:hint="default" w:ascii="Times New Roman" w:hAnsi="Times New Roman" w:cs="Times New Roman"/>
            </w:rPr>
            <w:t>64</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75FE34CD">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_Toc24746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3.</w:t>
          </w:r>
          <w:r>
            <w:rPr>
              <w:rFonts w:hint="default" w:ascii="Times New Roman" w:hAnsi="Times New Roman" w:eastAsia="宋体" w:cs="Times New Roman"/>
              <w:szCs w:val="18"/>
              <w:highlight w:val="none"/>
              <w:lang w:val="en-US" w:eastAsia="zh-CN"/>
            </w:rPr>
            <w:t>1</w:t>
          </w:r>
          <w:r>
            <w:rPr>
              <w:rFonts w:hint="default" w:ascii="Times New Roman" w:hAnsi="Times New Roman" w:cs="Times New Roman"/>
              <w:lang w:val="en-US" w:eastAsia="zh-CN"/>
            </w:rPr>
            <w:t>现有</w:t>
          </w:r>
          <w:r>
            <w:rPr>
              <w:rFonts w:hint="default" w:ascii="Times New Roman" w:hAnsi="Times New Roman" w:cs="Times New Roman"/>
            </w:rPr>
            <w:t>工程概况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_Toc24746 \h </w:instrText>
          </w:r>
          <w:r>
            <w:rPr>
              <w:rFonts w:hint="default" w:ascii="Times New Roman" w:hAnsi="Times New Roman" w:cs="Times New Roman"/>
            </w:rPr>
            <w:fldChar w:fldCharType="separate"/>
          </w:r>
          <w:r>
            <w:rPr>
              <w:rFonts w:hint="default" w:ascii="Times New Roman" w:hAnsi="Times New Roman" w:cs="Times New Roman"/>
            </w:rPr>
            <w:t>64</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16CB28D6">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_Toc8595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3.</w:t>
          </w:r>
          <w:r>
            <w:rPr>
              <w:rFonts w:hint="default" w:ascii="Times New Roman" w:hAnsi="Times New Roman" w:cs="Times New Roman"/>
              <w:szCs w:val="18"/>
              <w:highlight w:val="none"/>
              <w:lang w:val="en-US" w:eastAsia="zh-CN"/>
            </w:rPr>
            <w:t>2</w:t>
          </w:r>
          <w:r>
            <w:rPr>
              <w:rFonts w:hint="default" w:ascii="Times New Roman" w:hAnsi="Times New Roman" w:eastAsia="宋体" w:cs="Times New Roman"/>
              <w:szCs w:val="18"/>
              <w:highlight w:val="none"/>
              <w:lang w:val="en-US" w:eastAsia="zh-CN"/>
            </w:rPr>
            <w:t>建设项目</w:t>
          </w:r>
          <w:r>
            <w:rPr>
              <w:rFonts w:hint="default" w:ascii="Times New Roman" w:hAnsi="Times New Roman" w:eastAsia="宋体" w:cs="Times New Roman"/>
              <w:szCs w:val="18"/>
              <w:highlight w:val="none"/>
            </w:rPr>
            <w:t>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_Toc8595 \h </w:instrText>
          </w:r>
          <w:r>
            <w:rPr>
              <w:rFonts w:hint="default" w:ascii="Times New Roman" w:hAnsi="Times New Roman" w:cs="Times New Roman"/>
            </w:rPr>
            <w:fldChar w:fldCharType="separate"/>
          </w:r>
          <w:r>
            <w:rPr>
              <w:rFonts w:hint="default" w:ascii="Times New Roman" w:hAnsi="Times New Roman" w:cs="Times New Roman"/>
            </w:rPr>
            <w:t>83</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3868F58D">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_Toc62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3.</w:t>
          </w:r>
          <w:r>
            <w:rPr>
              <w:rFonts w:hint="default" w:ascii="Times New Roman" w:hAnsi="Times New Roman" w:cs="Times New Roman"/>
              <w:szCs w:val="18"/>
              <w:highlight w:val="none"/>
              <w:lang w:val="en-US" w:eastAsia="zh-CN"/>
            </w:rPr>
            <w:t>3</w:t>
          </w:r>
          <w:r>
            <w:rPr>
              <w:rFonts w:hint="default" w:ascii="Times New Roman" w:hAnsi="Times New Roman" w:eastAsia="宋体" w:cs="Times New Roman"/>
              <w:szCs w:val="18"/>
              <w:highlight w:val="none"/>
            </w:rPr>
            <w:t>原辅材料消耗</w:t>
          </w:r>
          <w:r>
            <w:rPr>
              <w:rFonts w:hint="default" w:ascii="Times New Roman" w:hAnsi="Times New Roman" w:eastAsia="宋体" w:cs="Times New Roman"/>
              <w:szCs w:val="18"/>
              <w:highlight w:val="none"/>
              <w:lang w:val="en-US" w:eastAsia="zh-CN"/>
            </w:rPr>
            <w:t>情况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_Toc62 \h </w:instrText>
          </w:r>
          <w:r>
            <w:rPr>
              <w:rFonts w:hint="default" w:ascii="Times New Roman" w:hAnsi="Times New Roman" w:cs="Times New Roman"/>
            </w:rPr>
            <w:fldChar w:fldCharType="separate"/>
          </w:r>
          <w:r>
            <w:rPr>
              <w:rFonts w:hint="default" w:ascii="Times New Roman" w:hAnsi="Times New Roman" w:cs="Times New Roman"/>
            </w:rPr>
            <w:t>87</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74472CA8">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_Toc10169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3.</w:t>
          </w:r>
          <w:r>
            <w:rPr>
              <w:rFonts w:hint="default" w:ascii="Times New Roman" w:hAnsi="Times New Roman" w:cs="Times New Roman"/>
              <w:szCs w:val="18"/>
              <w:highlight w:val="none"/>
              <w:lang w:val="en-US" w:eastAsia="zh-CN"/>
            </w:rPr>
            <w:t>4</w:t>
          </w:r>
          <w:r>
            <w:rPr>
              <w:rFonts w:hint="default" w:ascii="Times New Roman" w:hAnsi="Times New Roman" w:eastAsia="宋体" w:cs="Times New Roman"/>
              <w:szCs w:val="18"/>
              <w:highlight w:val="none"/>
              <w:lang w:val="en-US" w:eastAsia="zh-CN"/>
            </w:rPr>
            <w:t>产品方案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_Toc10169 \h </w:instrText>
          </w:r>
          <w:r>
            <w:rPr>
              <w:rFonts w:hint="default" w:ascii="Times New Roman" w:hAnsi="Times New Roman" w:cs="Times New Roman"/>
            </w:rPr>
            <w:fldChar w:fldCharType="separate"/>
          </w:r>
          <w:r>
            <w:rPr>
              <w:rFonts w:hint="default" w:ascii="Times New Roman" w:hAnsi="Times New Roman" w:cs="Times New Roman"/>
            </w:rPr>
            <w:t>89</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6D5E3B64">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_Toc12223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18"/>
              <w:highlight w:val="none"/>
              <w:lang w:val="en-US" w:eastAsia="zh-CN"/>
            </w:rPr>
            <w:t>3.5</w:t>
          </w:r>
          <w:r>
            <w:rPr>
              <w:rFonts w:hint="default" w:ascii="Times New Roman" w:hAnsi="Times New Roman" w:eastAsia="宋体" w:cs="Times New Roman"/>
              <w:szCs w:val="18"/>
              <w:highlight w:val="none"/>
            </w:rPr>
            <w:t>主要生产设备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_Toc12223 \h </w:instrText>
          </w:r>
          <w:r>
            <w:rPr>
              <w:rFonts w:hint="default" w:ascii="Times New Roman" w:hAnsi="Times New Roman" w:cs="Times New Roman"/>
            </w:rPr>
            <w:fldChar w:fldCharType="separate"/>
          </w:r>
          <w:r>
            <w:rPr>
              <w:rFonts w:hint="default" w:ascii="Times New Roman" w:hAnsi="Times New Roman" w:cs="Times New Roman"/>
            </w:rPr>
            <w:t>90</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538879BA">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_Toc375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18"/>
              <w:highlight w:val="none"/>
              <w:lang w:val="en-US" w:eastAsia="zh-CN"/>
            </w:rPr>
            <w:t>3.6水泥窑协同处置危险废物可行性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_Toc375 \h </w:instrText>
          </w:r>
          <w:r>
            <w:rPr>
              <w:rFonts w:hint="default" w:ascii="Times New Roman" w:hAnsi="Times New Roman" w:cs="Times New Roman"/>
            </w:rPr>
            <w:fldChar w:fldCharType="separate"/>
          </w:r>
          <w:r>
            <w:rPr>
              <w:rFonts w:hint="default" w:ascii="Times New Roman" w:hAnsi="Times New Roman" w:cs="Times New Roman"/>
            </w:rPr>
            <w:t>90</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47B7DB66">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_Toc24419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3.</w:t>
          </w:r>
          <w:r>
            <w:rPr>
              <w:rFonts w:hint="default" w:ascii="Times New Roman" w:hAnsi="Times New Roman" w:cs="Times New Roman"/>
              <w:szCs w:val="18"/>
              <w:highlight w:val="none"/>
              <w:lang w:val="en-US" w:eastAsia="zh-CN"/>
            </w:rPr>
            <w:t>7公用及辅助工程</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_Toc24419 \h </w:instrText>
          </w:r>
          <w:r>
            <w:rPr>
              <w:rFonts w:hint="default" w:ascii="Times New Roman" w:hAnsi="Times New Roman" w:cs="Times New Roman"/>
            </w:rPr>
            <w:fldChar w:fldCharType="separate"/>
          </w:r>
          <w:r>
            <w:rPr>
              <w:rFonts w:hint="default" w:ascii="Times New Roman" w:hAnsi="Times New Roman" w:cs="Times New Roman"/>
            </w:rPr>
            <w:t>99</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39DF51B7">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_Toc23315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3.</w:t>
          </w:r>
          <w:r>
            <w:rPr>
              <w:rFonts w:hint="default" w:ascii="Times New Roman" w:hAnsi="Times New Roman" w:cs="Times New Roman"/>
              <w:szCs w:val="18"/>
              <w:highlight w:val="none"/>
              <w:lang w:val="en-US" w:eastAsia="zh-CN"/>
            </w:rPr>
            <w:t>8</w:t>
          </w:r>
          <w:r>
            <w:rPr>
              <w:rFonts w:hint="default" w:ascii="Times New Roman" w:hAnsi="Times New Roman" w:eastAsia="宋体" w:cs="Times New Roman"/>
              <w:szCs w:val="18"/>
              <w:highlight w:val="none"/>
            </w:rPr>
            <w:t>污染源分析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_Toc23315 \h </w:instrText>
          </w:r>
          <w:r>
            <w:rPr>
              <w:rFonts w:hint="default" w:ascii="Times New Roman" w:hAnsi="Times New Roman" w:cs="Times New Roman"/>
            </w:rPr>
            <w:fldChar w:fldCharType="separate"/>
          </w:r>
          <w:r>
            <w:rPr>
              <w:rFonts w:hint="default" w:ascii="Times New Roman" w:hAnsi="Times New Roman" w:cs="Times New Roman"/>
            </w:rPr>
            <w:t>100</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22DE738A">
          <w:pPr>
            <w:pStyle w:val="25"/>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_Toc15254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rPr>
            <w:t>4环境现状调查与评价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_Toc15254 \h </w:instrText>
          </w:r>
          <w:r>
            <w:rPr>
              <w:rFonts w:hint="default" w:ascii="Times New Roman" w:hAnsi="Times New Roman" w:cs="Times New Roman"/>
            </w:rPr>
            <w:fldChar w:fldCharType="separate"/>
          </w:r>
          <w:r>
            <w:rPr>
              <w:rFonts w:hint="default" w:ascii="Times New Roman" w:hAnsi="Times New Roman" w:cs="Times New Roman"/>
            </w:rPr>
            <w:t>118</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1A0A2051">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_Toc9093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8"/>
              <w:highlight w:val="none"/>
            </w:rPr>
            <w:t>4.1自然环境概况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_Toc9093 \h </w:instrText>
          </w:r>
          <w:r>
            <w:rPr>
              <w:rFonts w:hint="default" w:ascii="Times New Roman" w:hAnsi="Times New Roman" w:cs="Times New Roman"/>
            </w:rPr>
            <w:fldChar w:fldCharType="separate"/>
          </w:r>
          <w:r>
            <w:rPr>
              <w:rFonts w:hint="default" w:ascii="Times New Roman" w:hAnsi="Times New Roman" w:cs="Times New Roman"/>
            </w:rPr>
            <w:t>118</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5E830071">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_Toc709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8"/>
              <w:highlight w:val="none"/>
            </w:rPr>
            <w:t>4.</w:t>
          </w:r>
          <w:r>
            <w:rPr>
              <w:rFonts w:hint="default" w:ascii="Times New Roman" w:hAnsi="Times New Roman" w:eastAsia="宋体" w:cs="Times New Roman"/>
              <w:bCs/>
              <w:szCs w:val="18"/>
              <w:highlight w:val="none"/>
              <w:lang w:val="en-US" w:eastAsia="zh-CN"/>
            </w:rPr>
            <w:t>2</w:t>
          </w:r>
          <w:r>
            <w:rPr>
              <w:rFonts w:hint="default" w:ascii="Times New Roman" w:hAnsi="Times New Roman" w:eastAsia="宋体" w:cs="Times New Roman"/>
              <w:bCs/>
              <w:szCs w:val="18"/>
              <w:highlight w:val="none"/>
            </w:rPr>
            <w:t>环境质量现状调查与评价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_Toc709 \h </w:instrText>
          </w:r>
          <w:r>
            <w:rPr>
              <w:rFonts w:hint="default" w:ascii="Times New Roman" w:hAnsi="Times New Roman" w:cs="Times New Roman"/>
            </w:rPr>
            <w:fldChar w:fldCharType="separate"/>
          </w:r>
          <w:r>
            <w:rPr>
              <w:rFonts w:hint="default" w:ascii="Times New Roman" w:hAnsi="Times New Roman" w:cs="Times New Roman"/>
            </w:rPr>
            <w:t>121</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2C5EEB3C">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_Toc17804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8"/>
              <w:highlight w:val="none"/>
            </w:rPr>
            <w:t>4.</w:t>
          </w:r>
          <w:r>
            <w:rPr>
              <w:rFonts w:hint="default" w:ascii="Times New Roman" w:hAnsi="Times New Roman" w:cs="Times New Roman"/>
              <w:bCs/>
              <w:szCs w:val="18"/>
              <w:highlight w:val="none"/>
              <w:lang w:val="en-US" w:eastAsia="zh-CN"/>
            </w:rPr>
            <w:t>3</w:t>
          </w:r>
          <w:r>
            <w:rPr>
              <w:rFonts w:hint="default" w:ascii="Times New Roman" w:hAnsi="Times New Roman" w:eastAsia="宋体" w:cs="Times New Roman"/>
              <w:bCs/>
              <w:szCs w:val="18"/>
              <w:highlight w:val="none"/>
            </w:rPr>
            <w:t>区域污染源调查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_Toc17804 \h </w:instrText>
          </w:r>
          <w:r>
            <w:rPr>
              <w:rFonts w:hint="default" w:ascii="Times New Roman" w:hAnsi="Times New Roman" w:cs="Times New Roman"/>
            </w:rPr>
            <w:fldChar w:fldCharType="separate"/>
          </w:r>
          <w:r>
            <w:rPr>
              <w:rFonts w:hint="default" w:ascii="Times New Roman" w:hAnsi="Times New Roman" w:cs="Times New Roman"/>
            </w:rPr>
            <w:t>137</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466110EA">
          <w:pPr>
            <w:pStyle w:val="25"/>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_Toc10899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rPr>
            <w:t>5环境影响预测与评价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_Toc10899 \h </w:instrText>
          </w:r>
          <w:r>
            <w:rPr>
              <w:rFonts w:hint="default" w:ascii="Times New Roman" w:hAnsi="Times New Roman" w:cs="Times New Roman"/>
            </w:rPr>
            <w:fldChar w:fldCharType="separate"/>
          </w:r>
          <w:r>
            <w:rPr>
              <w:rFonts w:hint="default" w:ascii="Times New Roman" w:hAnsi="Times New Roman" w:cs="Times New Roman"/>
            </w:rPr>
            <w:t>141</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220DE323">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_Toc18076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rPr>
            <w:t>5.1施工期环境影响分析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_Toc18076 \h </w:instrText>
          </w:r>
          <w:r>
            <w:rPr>
              <w:rFonts w:hint="default" w:ascii="Times New Roman" w:hAnsi="Times New Roman" w:cs="Times New Roman"/>
            </w:rPr>
            <w:fldChar w:fldCharType="separate"/>
          </w:r>
          <w:r>
            <w:rPr>
              <w:rFonts w:hint="default" w:ascii="Times New Roman" w:hAnsi="Times New Roman" w:cs="Times New Roman"/>
            </w:rPr>
            <w:t>141</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635C5FAA">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_Toc22419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rPr>
            <w:t>5.</w:t>
          </w:r>
          <w:r>
            <w:rPr>
              <w:rFonts w:hint="default" w:ascii="Times New Roman" w:hAnsi="Times New Roman" w:cs="Times New Roman"/>
              <w:bCs/>
              <w:szCs w:val="16"/>
              <w:highlight w:val="none"/>
              <w:lang w:val="en-US" w:eastAsia="zh-CN"/>
            </w:rPr>
            <w:t>2</w:t>
          </w:r>
          <w:r>
            <w:rPr>
              <w:rFonts w:hint="default" w:ascii="Times New Roman" w:hAnsi="Times New Roman" w:eastAsia="宋体" w:cs="Times New Roman"/>
              <w:bCs/>
              <w:szCs w:val="16"/>
              <w:highlight w:val="none"/>
              <w:lang w:val="en-US" w:eastAsia="zh-CN"/>
            </w:rPr>
            <w:t>运营</w:t>
          </w:r>
          <w:r>
            <w:rPr>
              <w:rFonts w:hint="default" w:ascii="Times New Roman" w:hAnsi="Times New Roman" w:eastAsia="宋体" w:cs="Times New Roman"/>
              <w:bCs/>
              <w:szCs w:val="16"/>
              <w:highlight w:val="none"/>
            </w:rPr>
            <w:t>期环境影响预测与</w:t>
          </w:r>
          <w:r>
            <w:rPr>
              <w:rFonts w:hint="default" w:ascii="Times New Roman" w:hAnsi="Times New Roman" w:eastAsia="宋体" w:cs="Times New Roman"/>
              <w:bCs/>
              <w:szCs w:val="16"/>
              <w:highlight w:val="none"/>
              <w:lang w:val="en-US" w:eastAsia="zh-CN"/>
            </w:rPr>
            <w:t>评价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_Toc22419 \h </w:instrText>
          </w:r>
          <w:r>
            <w:rPr>
              <w:rFonts w:hint="default" w:ascii="Times New Roman" w:hAnsi="Times New Roman" w:cs="Times New Roman"/>
            </w:rPr>
            <w:fldChar w:fldCharType="separate"/>
          </w:r>
          <w:r>
            <w:rPr>
              <w:rFonts w:hint="default" w:ascii="Times New Roman" w:hAnsi="Times New Roman" w:cs="Times New Roman"/>
            </w:rPr>
            <w:t>144</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6C42A10B">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_Toc25124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lang w:val="en-US" w:eastAsia="zh-CN"/>
            </w:rPr>
            <w:t>5.</w:t>
          </w:r>
          <w:r>
            <w:rPr>
              <w:rFonts w:hint="default" w:ascii="Times New Roman" w:hAnsi="Times New Roman" w:cs="Times New Roman"/>
              <w:bCs/>
              <w:szCs w:val="16"/>
              <w:highlight w:val="none"/>
              <w:lang w:val="en-US" w:eastAsia="zh-CN"/>
            </w:rPr>
            <w:t>3</w:t>
          </w:r>
          <w:r>
            <w:rPr>
              <w:rFonts w:hint="default" w:ascii="Times New Roman" w:hAnsi="Times New Roman" w:eastAsia="宋体" w:cs="Times New Roman"/>
              <w:bCs/>
              <w:szCs w:val="16"/>
              <w:highlight w:val="none"/>
            </w:rPr>
            <w:t>环境风险</w:t>
          </w:r>
          <w:r>
            <w:rPr>
              <w:rFonts w:hint="default" w:ascii="Times New Roman" w:hAnsi="Times New Roman" w:cs="Times New Roman"/>
              <w:bCs/>
              <w:szCs w:val="16"/>
              <w:highlight w:val="none"/>
              <w:lang w:val="en-US" w:eastAsia="zh-CN"/>
            </w:rPr>
            <w:t>评价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_Toc25124 \h </w:instrText>
          </w:r>
          <w:r>
            <w:rPr>
              <w:rFonts w:hint="default" w:ascii="Times New Roman" w:hAnsi="Times New Roman" w:cs="Times New Roman"/>
            </w:rPr>
            <w:fldChar w:fldCharType="separate"/>
          </w:r>
          <w:r>
            <w:rPr>
              <w:rFonts w:hint="default" w:ascii="Times New Roman" w:hAnsi="Times New Roman" w:cs="Times New Roman"/>
            </w:rPr>
            <w:t>188</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6E09120F">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_Toc1025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lang w:val="en-US" w:eastAsia="zh-CN"/>
            </w:rPr>
            <w:t>5.</w:t>
          </w:r>
          <w:r>
            <w:rPr>
              <w:rFonts w:hint="default" w:ascii="Times New Roman" w:hAnsi="Times New Roman" w:cs="Times New Roman"/>
              <w:bCs/>
              <w:szCs w:val="16"/>
              <w:highlight w:val="none"/>
              <w:lang w:val="en-US" w:eastAsia="zh-CN"/>
            </w:rPr>
            <w:t>4</w:t>
          </w:r>
          <w:r>
            <w:rPr>
              <w:rFonts w:hint="default" w:ascii="Times New Roman" w:hAnsi="Times New Roman" w:eastAsia="宋体" w:cs="Times New Roman"/>
              <w:bCs/>
              <w:szCs w:val="16"/>
              <w:highlight w:val="none"/>
              <w:lang w:val="en-US" w:eastAsia="zh-CN"/>
            </w:rPr>
            <w:t>碳排放评价</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_Toc1025 \h </w:instrText>
          </w:r>
          <w:r>
            <w:rPr>
              <w:rFonts w:hint="default" w:ascii="Times New Roman" w:hAnsi="Times New Roman" w:cs="Times New Roman"/>
            </w:rPr>
            <w:fldChar w:fldCharType="separate"/>
          </w:r>
          <w:r>
            <w:rPr>
              <w:rFonts w:hint="default" w:ascii="Times New Roman" w:hAnsi="Times New Roman" w:cs="Times New Roman"/>
            </w:rPr>
            <w:t>208</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42F79D72">
          <w:pPr>
            <w:pStyle w:val="25"/>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_Toc11246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bCs/>
              <w:szCs w:val="16"/>
              <w:highlight w:val="none"/>
            </w:rPr>
            <w:t>6环境保护措施及其可行性论证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_Toc11246 \h </w:instrText>
          </w:r>
          <w:r>
            <w:rPr>
              <w:rFonts w:hint="default" w:ascii="Times New Roman" w:hAnsi="Times New Roman" w:cs="Times New Roman"/>
            </w:rPr>
            <w:fldChar w:fldCharType="separate"/>
          </w:r>
          <w:r>
            <w:rPr>
              <w:rFonts w:hint="default" w:ascii="Times New Roman" w:hAnsi="Times New Roman" w:cs="Times New Roman"/>
            </w:rPr>
            <w:t>211</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6D81AEFA">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_Toc21773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6.1施工期环境保护措施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_Toc21773 \h </w:instrText>
          </w:r>
          <w:r>
            <w:rPr>
              <w:rFonts w:hint="default" w:ascii="Times New Roman" w:hAnsi="Times New Roman" w:cs="Times New Roman"/>
            </w:rPr>
            <w:fldChar w:fldCharType="separate"/>
          </w:r>
          <w:r>
            <w:rPr>
              <w:rFonts w:hint="default" w:ascii="Times New Roman" w:hAnsi="Times New Roman" w:cs="Times New Roman"/>
            </w:rPr>
            <w:t>211</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2A2DAFA6">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_Toc23216 </w:instrText>
          </w:r>
          <w:r>
            <w:rPr>
              <w:rFonts w:hint="default" w:ascii="Times New Roman" w:hAnsi="Times New Roman" w:eastAsia="宋体" w:cs="Times New Roman"/>
              <w:szCs w:val="24"/>
              <w:highlight w:val="none"/>
            </w:rPr>
            <w:fldChar w:fldCharType="separate"/>
          </w:r>
          <w:r>
            <w:rPr>
              <w:rFonts w:hint="default" w:ascii="Times New Roman" w:hAnsi="Times New Roman" w:eastAsia="宋体" w:cs="Times New Roman"/>
              <w:szCs w:val="18"/>
              <w:highlight w:val="none"/>
            </w:rPr>
            <w:t>6.2营运期环境保护措施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_Toc23216 \h </w:instrText>
          </w:r>
          <w:r>
            <w:rPr>
              <w:rFonts w:hint="default" w:ascii="Times New Roman" w:hAnsi="Times New Roman" w:cs="Times New Roman"/>
            </w:rPr>
            <w:fldChar w:fldCharType="separate"/>
          </w:r>
          <w:r>
            <w:rPr>
              <w:rFonts w:hint="default" w:ascii="Times New Roman" w:hAnsi="Times New Roman" w:cs="Times New Roman"/>
            </w:rPr>
            <w:t>213</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211D4F46">
          <w:pPr>
            <w:pStyle w:val="25"/>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_Toc23476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bCs/>
              <w:szCs w:val="22"/>
              <w:highlight w:val="none"/>
              <w:lang w:val="en-US" w:eastAsia="zh-CN"/>
            </w:rPr>
            <w:t>7</w:t>
          </w:r>
          <w:r>
            <w:rPr>
              <w:rFonts w:hint="default" w:ascii="Times New Roman" w:hAnsi="Times New Roman" w:eastAsia="宋体" w:cs="Times New Roman"/>
              <w:bCs/>
              <w:szCs w:val="22"/>
              <w:highlight w:val="none"/>
            </w:rPr>
            <w:t>环境影响经济损益分析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_Toc23476 \h </w:instrText>
          </w:r>
          <w:r>
            <w:rPr>
              <w:rFonts w:hint="default" w:ascii="Times New Roman" w:hAnsi="Times New Roman" w:cs="Times New Roman"/>
            </w:rPr>
            <w:fldChar w:fldCharType="separate"/>
          </w:r>
          <w:r>
            <w:rPr>
              <w:rFonts w:hint="default" w:ascii="Times New Roman" w:hAnsi="Times New Roman" w:cs="Times New Roman"/>
            </w:rPr>
            <w:t>225</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519D0151">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_Toc9230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24"/>
              <w:highlight w:val="none"/>
              <w:lang w:val="en-US" w:eastAsia="zh-CN"/>
            </w:rPr>
            <w:t>7</w:t>
          </w:r>
          <w:r>
            <w:rPr>
              <w:rFonts w:hint="default" w:ascii="Times New Roman" w:hAnsi="Times New Roman" w:eastAsia="宋体" w:cs="Times New Roman"/>
              <w:szCs w:val="24"/>
              <w:highlight w:val="none"/>
              <w:lang w:eastAsia="zh-CN"/>
            </w:rPr>
            <w:t>.</w:t>
          </w:r>
          <w:r>
            <w:rPr>
              <w:rFonts w:hint="default" w:ascii="Times New Roman" w:hAnsi="Times New Roman" w:cs="Times New Roman"/>
              <w:szCs w:val="24"/>
              <w:highlight w:val="none"/>
              <w:lang w:val="en-US" w:eastAsia="zh-CN"/>
            </w:rPr>
            <w:t>1</w:t>
          </w:r>
          <w:r>
            <w:rPr>
              <w:rFonts w:hint="default" w:ascii="Times New Roman" w:hAnsi="Times New Roman" w:eastAsia="宋体" w:cs="Times New Roman"/>
              <w:szCs w:val="24"/>
              <w:highlight w:val="none"/>
              <w:lang w:eastAsia="zh-CN"/>
            </w:rPr>
            <w:t>社会效益分析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_Toc9230 \h </w:instrText>
          </w:r>
          <w:r>
            <w:rPr>
              <w:rFonts w:hint="default" w:ascii="Times New Roman" w:hAnsi="Times New Roman" w:cs="Times New Roman"/>
            </w:rPr>
            <w:fldChar w:fldCharType="separate"/>
          </w:r>
          <w:r>
            <w:rPr>
              <w:rFonts w:hint="default" w:ascii="Times New Roman" w:hAnsi="Times New Roman" w:cs="Times New Roman"/>
            </w:rPr>
            <w:t>225</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3D0F19EA">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_Toc9539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24"/>
              <w:highlight w:val="none"/>
              <w:lang w:val="en-US" w:eastAsia="zh-CN"/>
            </w:rPr>
            <w:t>7</w:t>
          </w:r>
          <w:r>
            <w:rPr>
              <w:rFonts w:hint="default" w:ascii="Times New Roman" w:hAnsi="Times New Roman" w:eastAsia="宋体" w:cs="Times New Roman"/>
              <w:szCs w:val="24"/>
              <w:highlight w:val="none"/>
              <w:lang w:eastAsia="zh-CN"/>
            </w:rPr>
            <w:t>.</w:t>
          </w:r>
          <w:r>
            <w:rPr>
              <w:rFonts w:hint="default" w:ascii="Times New Roman" w:hAnsi="Times New Roman" w:cs="Times New Roman"/>
              <w:szCs w:val="24"/>
              <w:highlight w:val="none"/>
              <w:lang w:val="en-US" w:eastAsia="zh-CN"/>
            </w:rPr>
            <w:t>2</w:t>
          </w:r>
          <w:r>
            <w:rPr>
              <w:rFonts w:hint="default" w:ascii="Times New Roman" w:hAnsi="Times New Roman" w:eastAsia="宋体" w:cs="Times New Roman"/>
              <w:szCs w:val="24"/>
              <w:highlight w:val="none"/>
              <w:lang w:eastAsia="zh-CN"/>
            </w:rPr>
            <w:t>环境效益分析</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_Toc9539 \h </w:instrText>
          </w:r>
          <w:r>
            <w:rPr>
              <w:rFonts w:hint="default" w:ascii="Times New Roman" w:hAnsi="Times New Roman" w:cs="Times New Roman"/>
            </w:rPr>
            <w:fldChar w:fldCharType="separate"/>
          </w:r>
          <w:r>
            <w:rPr>
              <w:rFonts w:hint="default" w:ascii="Times New Roman" w:hAnsi="Times New Roman" w:cs="Times New Roman"/>
            </w:rPr>
            <w:t>225</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52E88D31">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_Toc7563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22"/>
              <w:highlight w:val="none"/>
              <w:lang w:val="en-US" w:eastAsia="zh-CN"/>
            </w:rPr>
            <w:t>7</w:t>
          </w:r>
          <w:r>
            <w:rPr>
              <w:rFonts w:hint="default" w:ascii="Times New Roman" w:hAnsi="Times New Roman" w:eastAsia="宋体" w:cs="Times New Roman"/>
              <w:szCs w:val="22"/>
              <w:highlight w:val="none"/>
            </w:rPr>
            <w:t>.</w:t>
          </w:r>
          <w:r>
            <w:rPr>
              <w:rFonts w:hint="default" w:ascii="Times New Roman" w:hAnsi="Times New Roman" w:cs="Times New Roman"/>
              <w:szCs w:val="22"/>
              <w:highlight w:val="none"/>
              <w:lang w:val="en-US" w:eastAsia="zh-CN"/>
            </w:rPr>
            <w:t>3</w:t>
          </w:r>
          <w:r>
            <w:rPr>
              <w:rFonts w:hint="default" w:ascii="Times New Roman" w:hAnsi="Times New Roman" w:eastAsia="宋体" w:cs="Times New Roman"/>
              <w:szCs w:val="22"/>
              <w:highlight w:val="none"/>
            </w:rPr>
            <w:t>环保投资估算</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_Toc7563 \h </w:instrText>
          </w:r>
          <w:r>
            <w:rPr>
              <w:rFonts w:hint="default" w:ascii="Times New Roman" w:hAnsi="Times New Roman" w:cs="Times New Roman"/>
            </w:rPr>
            <w:fldChar w:fldCharType="separate"/>
          </w:r>
          <w:r>
            <w:rPr>
              <w:rFonts w:hint="default" w:ascii="Times New Roman" w:hAnsi="Times New Roman" w:cs="Times New Roman"/>
            </w:rPr>
            <w:t>226</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43F0DAB0">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_Toc24812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24"/>
              <w:highlight w:val="none"/>
              <w:lang w:val="en-US" w:eastAsia="zh-CN"/>
            </w:rPr>
            <w:t>7</w:t>
          </w:r>
          <w:r>
            <w:rPr>
              <w:rFonts w:hint="default" w:ascii="Times New Roman" w:hAnsi="Times New Roman" w:eastAsia="宋体" w:cs="Times New Roman"/>
              <w:szCs w:val="24"/>
              <w:highlight w:val="none"/>
              <w:lang w:eastAsia="zh-CN"/>
            </w:rPr>
            <w:t>.</w:t>
          </w:r>
          <w:r>
            <w:rPr>
              <w:rFonts w:hint="default" w:ascii="Times New Roman" w:hAnsi="Times New Roman" w:cs="Times New Roman"/>
              <w:szCs w:val="24"/>
              <w:highlight w:val="none"/>
              <w:lang w:val="en-US" w:eastAsia="zh-CN"/>
            </w:rPr>
            <w:t>4</w:t>
          </w:r>
          <w:r>
            <w:rPr>
              <w:rFonts w:hint="default" w:ascii="Times New Roman" w:hAnsi="Times New Roman" w:eastAsia="宋体" w:cs="Times New Roman"/>
              <w:szCs w:val="24"/>
              <w:highlight w:val="none"/>
              <w:lang w:eastAsia="zh-CN"/>
            </w:rPr>
            <w:t>小结</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_Toc24812 \h </w:instrText>
          </w:r>
          <w:r>
            <w:rPr>
              <w:rFonts w:hint="default" w:ascii="Times New Roman" w:hAnsi="Times New Roman" w:cs="Times New Roman"/>
            </w:rPr>
            <w:fldChar w:fldCharType="separate"/>
          </w:r>
          <w:r>
            <w:rPr>
              <w:rFonts w:hint="default" w:ascii="Times New Roman" w:hAnsi="Times New Roman" w:cs="Times New Roman"/>
            </w:rPr>
            <w:t>227</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39C6508B">
          <w:pPr>
            <w:pStyle w:val="25"/>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_Toc29257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bCs/>
              <w:szCs w:val="16"/>
              <w:highlight w:val="none"/>
              <w:lang w:val="en-US" w:eastAsia="zh-CN"/>
            </w:rPr>
            <w:t>8</w:t>
          </w:r>
          <w:r>
            <w:rPr>
              <w:rFonts w:hint="default" w:ascii="Times New Roman" w:hAnsi="Times New Roman" w:eastAsia="宋体" w:cs="Times New Roman"/>
              <w:bCs/>
              <w:szCs w:val="16"/>
              <w:highlight w:val="none"/>
            </w:rPr>
            <w:t>环境管理与监测计划</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_Toc29257 \h </w:instrText>
          </w:r>
          <w:r>
            <w:rPr>
              <w:rFonts w:hint="default" w:ascii="Times New Roman" w:hAnsi="Times New Roman" w:cs="Times New Roman"/>
            </w:rPr>
            <w:fldChar w:fldCharType="separate"/>
          </w:r>
          <w:r>
            <w:rPr>
              <w:rFonts w:hint="default" w:ascii="Times New Roman" w:hAnsi="Times New Roman" w:cs="Times New Roman"/>
            </w:rPr>
            <w:t>228</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1315E078">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_Toc19231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24"/>
              <w:highlight w:val="none"/>
              <w:lang w:val="en-US" w:eastAsia="zh-CN"/>
            </w:rPr>
            <w:t>8</w:t>
          </w:r>
          <w:r>
            <w:rPr>
              <w:rFonts w:hint="default" w:ascii="Times New Roman" w:hAnsi="Times New Roman" w:eastAsia="宋体" w:cs="Times New Roman"/>
              <w:szCs w:val="24"/>
              <w:highlight w:val="none"/>
            </w:rPr>
            <w:t>.1环境管理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_Toc19231 \h </w:instrText>
          </w:r>
          <w:r>
            <w:rPr>
              <w:rFonts w:hint="default" w:ascii="Times New Roman" w:hAnsi="Times New Roman" w:cs="Times New Roman"/>
            </w:rPr>
            <w:fldChar w:fldCharType="separate"/>
          </w:r>
          <w:r>
            <w:rPr>
              <w:rFonts w:hint="default" w:ascii="Times New Roman" w:hAnsi="Times New Roman" w:cs="Times New Roman"/>
            </w:rPr>
            <w:t>228</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24286734">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_Toc31625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18"/>
              <w:highlight w:val="none"/>
              <w:lang w:val="en-US" w:eastAsia="zh-CN"/>
            </w:rPr>
            <w:t>8</w:t>
          </w:r>
          <w:r>
            <w:rPr>
              <w:rFonts w:hint="default" w:ascii="Times New Roman" w:hAnsi="Times New Roman" w:eastAsia="宋体" w:cs="Times New Roman"/>
              <w:szCs w:val="18"/>
              <w:highlight w:val="none"/>
            </w:rPr>
            <w:t>.</w:t>
          </w:r>
          <w:r>
            <w:rPr>
              <w:rFonts w:hint="default" w:ascii="Times New Roman" w:hAnsi="Times New Roman" w:cs="Times New Roman"/>
              <w:szCs w:val="18"/>
              <w:highlight w:val="none"/>
              <w:lang w:val="en-US" w:eastAsia="zh-CN"/>
            </w:rPr>
            <w:t>2</w:t>
          </w:r>
          <w:r>
            <w:rPr>
              <w:rFonts w:hint="default" w:ascii="Times New Roman" w:hAnsi="Times New Roman" w:eastAsia="宋体" w:cs="Times New Roman"/>
              <w:szCs w:val="18"/>
              <w:highlight w:val="none"/>
            </w:rPr>
            <w:t>环境监测</w:t>
          </w:r>
          <w:r>
            <w:rPr>
              <w:rFonts w:hint="default" w:ascii="Times New Roman" w:hAnsi="Times New Roman" w:eastAsia="宋体" w:cs="Times New Roman"/>
              <w:szCs w:val="18"/>
              <w:highlight w:val="none"/>
              <w:lang w:val="en-US" w:eastAsia="zh-CN"/>
            </w:rPr>
            <w:t>计划</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_Toc31625 \h </w:instrText>
          </w:r>
          <w:r>
            <w:rPr>
              <w:rFonts w:hint="default" w:ascii="Times New Roman" w:hAnsi="Times New Roman" w:cs="Times New Roman"/>
            </w:rPr>
            <w:fldChar w:fldCharType="separate"/>
          </w:r>
          <w:r>
            <w:rPr>
              <w:rFonts w:hint="default" w:ascii="Times New Roman" w:hAnsi="Times New Roman" w:cs="Times New Roman"/>
            </w:rPr>
            <w:t>240</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1F1EF56D">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_Toc31290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18"/>
              <w:highlight w:val="none"/>
              <w:lang w:val="en-US" w:eastAsia="zh-CN"/>
            </w:rPr>
            <w:t>8</w:t>
          </w:r>
          <w:r>
            <w:rPr>
              <w:rFonts w:hint="default" w:ascii="Times New Roman" w:hAnsi="Times New Roman" w:eastAsia="宋体" w:cs="Times New Roman"/>
              <w:szCs w:val="18"/>
              <w:highlight w:val="none"/>
            </w:rPr>
            <w:t>.</w:t>
          </w:r>
          <w:r>
            <w:rPr>
              <w:rFonts w:hint="default" w:ascii="Times New Roman" w:hAnsi="Times New Roman" w:cs="Times New Roman"/>
              <w:szCs w:val="18"/>
              <w:highlight w:val="none"/>
              <w:lang w:val="en-US" w:eastAsia="zh-CN"/>
            </w:rPr>
            <w:t>3污染物排放清单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_Toc31290 \h </w:instrText>
          </w:r>
          <w:r>
            <w:rPr>
              <w:rFonts w:hint="default" w:ascii="Times New Roman" w:hAnsi="Times New Roman" w:cs="Times New Roman"/>
            </w:rPr>
            <w:fldChar w:fldCharType="separate"/>
          </w:r>
          <w:r>
            <w:rPr>
              <w:rFonts w:hint="default" w:ascii="Times New Roman" w:hAnsi="Times New Roman" w:cs="Times New Roman"/>
            </w:rPr>
            <w:t>241</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39D96D7E">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_Toc27045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18"/>
              <w:highlight w:val="none"/>
              <w:lang w:val="en-US" w:eastAsia="zh-CN"/>
            </w:rPr>
            <w:t>8.4</w:t>
          </w:r>
          <w:r>
            <w:rPr>
              <w:rFonts w:hint="default" w:ascii="Times New Roman" w:hAnsi="Times New Roman" w:eastAsia="宋体" w:cs="Times New Roman"/>
              <w:szCs w:val="18"/>
              <w:highlight w:val="none"/>
              <w:lang w:val="en-US" w:eastAsia="zh-CN"/>
            </w:rPr>
            <w:t>竣工环保验收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_Toc27045 \h </w:instrText>
          </w:r>
          <w:r>
            <w:rPr>
              <w:rFonts w:hint="default" w:ascii="Times New Roman" w:hAnsi="Times New Roman" w:cs="Times New Roman"/>
            </w:rPr>
            <w:fldChar w:fldCharType="separate"/>
          </w:r>
          <w:r>
            <w:rPr>
              <w:rFonts w:hint="default" w:ascii="Times New Roman" w:hAnsi="Times New Roman" w:cs="Times New Roman"/>
            </w:rPr>
            <w:t>242</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180343BC">
          <w:pPr>
            <w:pStyle w:val="25"/>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_Toc25132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bCs/>
              <w:szCs w:val="16"/>
              <w:highlight w:val="none"/>
              <w:lang w:val="en-US" w:eastAsia="zh-CN"/>
            </w:rPr>
            <w:t>9</w:t>
          </w:r>
          <w:r>
            <w:rPr>
              <w:rFonts w:hint="default" w:ascii="Times New Roman" w:hAnsi="Times New Roman" w:eastAsia="宋体" w:cs="Times New Roman"/>
              <w:bCs/>
              <w:szCs w:val="16"/>
              <w:highlight w:val="none"/>
              <w:lang w:val="en-US" w:eastAsia="zh-CN"/>
            </w:rPr>
            <w:t>结论与建议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_Toc25132 \h </w:instrText>
          </w:r>
          <w:r>
            <w:rPr>
              <w:rFonts w:hint="default" w:ascii="Times New Roman" w:hAnsi="Times New Roman" w:cs="Times New Roman"/>
            </w:rPr>
            <w:fldChar w:fldCharType="separate"/>
          </w:r>
          <w:r>
            <w:rPr>
              <w:rFonts w:hint="default" w:ascii="Times New Roman" w:hAnsi="Times New Roman" w:cs="Times New Roman"/>
            </w:rPr>
            <w:t>244</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06EF873B">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_Toc10797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18"/>
              <w:highlight w:val="none"/>
              <w:lang w:val="en-US" w:eastAsia="zh-CN"/>
            </w:rPr>
            <w:t>9</w:t>
          </w:r>
          <w:r>
            <w:rPr>
              <w:rFonts w:hint="default" w:ascii="Times New Roman" w:hAnsi="Times New Roman" w:eastAsia="宋体" w:cs="Times New Roman"/>
              <w:szCs w:val="18"/>
              <w:highlight w:val="none"/>
            </w:rPr>
            <w:t>.1</w:t>
          </w:r>
          <w:r>
            <w:rPr>
              <w:rFonts w:hint="default" w:ascii="Times New Roman" w:hAnsi="Times New Roman" w:eastAsia="宋体" w:cs="Times New Roman"/>
              <w:szCs w:val="18"/>
              <w:highlight w:val="none"/>
              <w:lang w:val="en-US" w:eastAsia="zh-CN"/>
            </w:rPr>
            <w:t>结论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_Toc10797 \h </w:instrText>
          </w:r>
          <w:r>
            <w:rPr>
              <w:rFonts w:hint="default" w:ascii="Times New Roman" w:hAnsi="Times New Roman" w:cs="Times New Roman"/>
            </w:rPr>
            <w:fldChar w:fldCharType="separate"/>
          </w:r>
          <w:r>
            <w:rPr>
              <w:rFonts w:hint="default" w:ascii="Times New Roman" w:hAnsi="Times New Roman" w:cs="Times New Roman"/>
            </w:rPr>
            <w:t>244</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6A74B7CD">
          <w:pPr>
            <w:pStyle w:val="32"/>
            <w:tabs>
              <w:tab w:val="right" w:leader="dot" w:pos="8300"/>
            </w:tabs>
            <w:spacing w:line="360" w:lineRule="auto"/>
            <w:rPr>
              <w:rFonts w:hint="default" w:ascii="Times New Roman" w:hAnsi="Times New Roman" w:cs="Times New Roman"/>
            </w:rPr>
          </w:pPr>
          <w:r>
            <w:rPr>
              <w:rFonts w:hint="default" w:ascii="Times New Roman" w:hAnsi="Times New Roman" w:eastAsia="宋体" w:cs="Times New Roman"/>
              <w:szCs w:val="24"/>
              <w:highlight w:val="none"/>
            </w:rPr>
            <w:fldChar w:fldCharType="begin"/>
          </w:r>
          <w:r>
            <w:rPr>
              <w:rFonts w:hint="default" w:ascii="Times New Roman" w:hAnsi="Times New Roman" w:eastAsia="宋体" w:cs="Times New Roman"/>
              <w:szCs w:val="24"/>
              <w:highlight w:val="none"/>
            </w:rPr>
            <w:instrText xml:space="preserve"> HYPERLINK \l _Toc27545 </w:instrText>
          </w:r>
          <w:r>
            <w:rPr>
              <w:rFonts w:hint="default" w:ascii="Times New Roman" w:hAnsi="Times New Roman" w:eastAsia="宋体" w:cs="Times New Roman"/>
              <w:szCs w:val="24"/>
              <w:highlight w:val="none"/>
            </w:rPr>
            <w:fldChar w:fldCharType="separate"/>
          </w:r>
          <w:r>
            <w:rPr>
              <w:rFonts w:hint="default" w:ascii="Times New Roman" w:hAnsi="Times New Roman" w:cs="Times New Roman"/>
              <w:szCs w:val="18"/>
              <w:highlight w:val="none"/>
              <w:lang w:val="en-US" w:eastAsia="zh-CN"/>
            </w:rPr>
            <w:t>9</w:t>
          </w:r>
          <w:r>
            <w:rPr>
              <w:rFonts w:hint="default" w:ascii="Times New Roman" w:hAnsi="Times New Roman" w:eastAsia="宋体" w:cs="Times New Roman"/>
              <w:szCs w:val="18"/>
              <w:highlight w:val="none"/>
            </w:rPr>
            <w:t>.</w:t>
          </w:r>
          <w:r>
            <w:rPr>
              <w:rFonts w:hint="default" w:ascii="Times New Roman" w:hAnsi="Times New Roman" w:eastAsia="宋体" w:cs="Times New Roman"/>
              <w:szCs w:val="18"/>
              <w:highlight w:val="none"/>
              <w:lang w:val="en-US" w:eastAsia="zh-CN"/>
            </w:rPr>
            <w:t>2建议与要求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_Toc27545 \h </w:instrText>
          </w:r>
          <w:r>
            <w:rPr>
              <w:rFonts w:hint="default" w:ascii="Times New Roman" w:hAnsi="Times New Roman" w:cs="Times New Roman"/>
            </w:rPr>
            <w:fldChar w:fldCharType="separate"/>
          </w:r>
          <w:r>
            <w:rPr>
              <w:rFonts w:hint="default" w:ascii="Times New Roman" w:hAnsi="Times New Roman" w:cs="Times New Roman"/>
            </w:rPr>
            <w:t>249</w:t>
          </w:r>
          <w:r>
            <w:rPr>
              <w:rFonts w:hint="default" w:ascii="Times New Roman" w:hAnsi="Times New Roman" w:cs="Times New Roman"/>
            </w:rPr>
            <w:fldChar w:fldCharType="end"/>
          </w:r>
          <w:r>
            <w:rPr>
              <w:rFonts w:hint="default" w:ascii="Times New Roman" w:hAnsi="Times New Roman" w:eastAsia="宋体" w:cs="Times New Roman"/>
              <w:szCs w:val="24"/>
              <w:highlight w:val="none"/>
            </w:rPr>
            <w:fldChar w:fldCharType="end"/>
          </w:r>
        </w:p>
        <w:p w14:paraId="76837FDD">
          <w:pPr>
            <w:widowControl/>
            <w:spacing w:line="360" w:lineRule="auto"/>
            <w:jc w:val="left"/>
            <w:rPr>
              <w:rFonts w:hint="default" w:ascii="Times New Roman" w:hAnsi="Times New Roman" w:eastAsia="宋体" w:cs="Times New Roman"/>
              <w:sz w:val="24"/>
              <w:szCs w:val="24"/>
              <w:highlight w:val="none"/>
              <w:lang w:val="en-US" w:eastAsia="zh-CN" w:bidi="ar-SA"/>
            </w:rPr>
          </w:pPr>
          <w:r>
            <w:rPr>
              <w:rFonts w:hint="default" w:ascii="Times New Roman" w:hAnsi="Times New Roman" w:eastAsia="宋体" w:cs="Times New Roman"/>
              <w:szCs w:val="24"/>
              <w:highlight w:val="none"/>
            </w:rPr>
            <w:fldChar w:fldCharType="end"/>
          </w:r>
        </w:p>
      </w:sdtContent>
    </w:sdt>
    <w:p w14:paraId="3F94C93B">
      <w:pPr>
        <w:widowControl/>
        <w:spacing w:line="360" w:lineRule="auto"/>
        <w:jc w:val="left"/>
        <w:rPr>
          <w:rFonts w:hint="default" w:ascii="Times New Roman" w:hAnsi="Times New Roman" w:eastAsia="宋体" w:cs="Times New Roman"/>
          <w:sz w:val="24"/>
          <w:szCs w:val="24"/>
          <w:highlight w:val="none"/>
          <w:lang w:val="en-US" w:eastAsia="zh-CN" w:bidi="ar-SA"/>
        </w:rPr>
      </w:pPr>
    </w:p>
    <w:p w14:paraId="0CA28F5C">
      <w:pPr>
        <w:widowControl/>
        <w:spacing w:line="360" w:lineRule="auto"/>
        <w:jc w:val="left"/>
        <w:rPr>
          <w:rFonts w:hint="default" w:ascii="Times New Roman" w:hAnsi="Times New Roman" w:eastAsia="宋体" w:cs="Times New Roman"/>
          <w:sz w:val="24"/>
          <w:szCs w:val="24"/>
          <w:highlight w:val="none"/>
        </w:rPr>
      </w:pPr>
    </w:p>
    <w:p w14:paraId="70B0B7DA">
      <w:pPr>
        <w:keepNext/>
        <w:keepLines/>
        <w:pageBreakBefore w:val="0"/>
        <w:widowControl/>
        <w:kinsoku/>
        <w:wordWrap/>
        <w:overflowPunct/>
        <w:topLinePunct w:val="0"/>
        <w:autoSpaceDE/>
        <w:autoSpaceDN/>
        <w:bidi w:val="0"/>
        <w:adjustRightInd/>
        <w:snapToGrid w:val="0"/>
        <w:spacing w:line="360" w:lineRule="auto"/>
        <w:jc w:val="left"/>
        <w:textAlignment w:val="auto"/>
        <w:outlineLvl w:val="0"/>
        <w:rPr>
          <w:rFonts w:hint="default" w:ascii="Times New Roman" w:hAnsi="Times New Roman" w:eastAsia="宋体" w:cs="Times New Roman"/>
          <w:b/>
          <w:bCs/>
          <w:sz w:val="24"/>
          <w:szCs w:val="24"/>
          <w:highlight w:val="none"/>
        </w:rPr>
        <w:sectPr>
          <w:headerReference r:id="rId3" w:type="default"/>
          <w:footerReference r:id="rId4" w:type="default"/>
          <w:pgSz w:w="11906" w:h="16838"/>
          <w:pgMar w:top="1440" w:right="1803" w:bottom="1440" w:left="1803" w:header="1021" w:footer="1021" w:gutter="0"/>
          <w:pgBorders>
            <w:top w:val="none" w:sz="0" w:space="0"/>
            <w:left w:val="none" w:sz="0" w:space="0"/>
            <w:bottom w:val="none" w:sz="0" w:space="0"/>
            <w:right w:val="none" w:sz="0" w:space="0"/>
          </w:pgBorders>
          <w:pgNumType w:fmt="upperRoman" w:start="1"/>
          <w:cols w:space="720" w:num="1"/>
          <w:docGrid w:linePitch="312" w:charSpace="0"/>
        </w:sectPr>
      </w:pPr>
      <w:bookmarkStart w:id="0" w:name="_Toc9868232"/>
    </w:p>
    <w:p w14:paraId="3AF18224">
      <w:pPr>
        <w:keepNext/>
        <w:keepLines/>
        <w:pageBreakBefore w:val="0"/>
        <w:widowControl/>
        <w:kinsoku/>
        <w:wordWrap/>
        <w:overflowPunct/>
        <w:topLinePunct w:val="0"/>
        <w:autoSpaceDE/>
        <w:autoSpaceDN/>
        <w:bidi w:val="0"/>
        <w:adjustRightInd/>
        <w:snapToGrid w:val="0"/>
        <w:spacing w:line="360" w:lineRule="auto"/>
        <w:jc w:val="left"/>
        <w:textAlignment w:val="auto"/>
        <w:outlineLvl w:val="0"/>
        <w:rPr>
          <w:rFonts w:hint="default" w:ascii="Times New Roman" w:hAnsi="Times New Roman" w:eastAsia="宋体" w:cs="Times New Roman"/>
          <w:b/>
          <w:bCs/>
          <w:sz w:val="24"/>
          <w:szCs w:val="16"/>
          <w:highlight w:val="none"/>
        </w:rPr>
      </w:pPr>
      <w:bookmarkStart w:id="1" w:name="_Toc27617"/>
      <w:bookmarkStart w:id="2" w:name="_Toc22427"/>
      <w:r>
        <w:rPr>
          <w:rFonts w:hint="default" w:ascii="Times New Roman" w:hAnsi="Times New Roman" w:eastAsia="宋体" w:cs="Times New Roman"/>
          <w:b/>
          <w:bCs/>
          <w:sz w:val="24"/>
          <w:szCs w:val="16"/>
          <w:highlight w:val="none"/>
        </w:rPr>
        <w:t>1概述</w:t>
      </w:r>
      <w:bookmarkEnd w:id="0"/>
      <w:bookmarkEnd w:id="1"/>
      <w:bookmarkEnd w:id="2"/>
    </w:p>
    <w:p w14:paraId="75928D21">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b/>
          <w:bCs w:val="0"/>
          <w:sz w:val="24"/>
          <w:szCs w:val="18"/>
          <w:highlight w:val="none"/>
        </w:rPr>
      </w:pPr>
      <w:bookmarkStart w:id="3" w:name="_Toc11047"/>
      <w:bookmarkStart w:id="4" w:name="_Toc9868233"/>
      <w:bookmarkStart w:id="5" w:name="_Toc10351"/>
      <w:bookmarkStart w:id="6" w:name="_Toc2381"/>
      <w:r>
        <w:rPr>
          <w:rFonts w:hint="default" w:ascii="Times New Roman" w:hAnsi="Times New Roman" w:eastAsia="宋体" w:cs="Times New Roman"/>
          <w:b/>
          <w:bCs w:val="0"/>
          <w:sz w:val="24"/>
          <w:szCs w:val="18"/>
          <w:highlight w:val="none"/>
        </w:rPr>
        <w:t>1.1</w:t>
      </w:r>
      <w:r>
        <w:rPr>
          <w:rFonts w:hint="default" w:ascii="Times New Roman" w:hAnsi="Times New Roman" w:eastAsia="宋体" w:cs="Times New Roman"/>
          <w:b/>
          <w:bCs w:val="0"/>
          <w:kern w:val="2"/>
          <w:sz w:val="24"/>
          <w:szCs w:val="24"/>
          <w:highlight w:val="none"/>
        </w:rPr>
        <w:t>项目</w:t>
      </w:r>
      <w:r>
        <w:rPr>
          <w:rFonts w:hint="default" w:ascii="Times New Roman" w:hAnsi="Times New Roman" w:eastAsia="宋体" w:cs="Times New Roman"/>
          <w:b/>
          <w:bCs w:val="0"/>
          <w:sz w:val="24"/>
          <w:szCs w:val="18"/>
          <w:highlight w:val="none"/>
        </w:rPr>
        <w:t>建设背景</w:t>
      </w:r>
      <w:bookmarkEnd w:id="3"/>
      <w:bookmarkEnd w:id="4"/>
      <w:bookmarkEnd w:id="5"/>
      <w:bookmarkEnd w:id="6"/>
    </w:p>
    <w:p w14:paraId="1F9891C5">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我国危险废物的常见处理方式有综合利用和无害化处置。综合利用主要方式是金属回收、燃料利用、油脂再生等；无害化处置主要方式是物化处理、专业焚烧、水泥窑焚烧、填埋等。我国传统的危废处置工艺为焚烧和安全填埋，因其各自的局限性已无法完全满足日益凸显的危废处置产能缺口。水泥行业产能过剩，竞争白热化，在此背景下，水泥企业降低成本、绿色转型是大势所趋。水泥窑协同处置危废以建设周期短、投资少、运营成本低及不产生飞灰和炉渣等优势，已引起众多水泥和环保企业的关注，在危废处置领域发展迅速，已成为传统危废处置的重要补充。</w:t>
      </w:r>
    </w:p>
    <w:p w14:paraId="17F2157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水泥窑协同处置危险废物，是指将满足或经预处理后满足入窑（磨）要求的危险废物投入水泥窑或水泥磨，在进行熟料或水泥生产的同时，实现对危险废物的无害化处置的过程。目前国内许多大型水泥企业已成功利用水泥窑处置危险废物，运行效果良好。</w:t>
      </w:r>
    </w:p>
    <w:p w14:paraId="36143170">
      <w:pPr>
        <w:pStyle w:val="6"/>
        <w:rPr>
          <w:rFonts w:hint="default" w:ascii="Times New Roman" w:hAnsi="Times New Roman" w:cs="Times New Roman"/>
        </w:rPr>
      </w:pPr>
      <w:r>
        <w:rPr>
          <w:rFonts w:hint="default" w:ascii="Times New Roman" w:hAnsi="Times New Roman" w:cs="Times New Roman"/>
        </w:rPr>
        <w:t>新疆兴悦化工有限公司于2012年3月20日注册成立，注册地址：新疆阿克苏地区阿克苏市经济技术开发区浙江产业园，注册资本：20000万元。其中控股股东宜昌兴发集团有限责任公司出资10200万元，出资比例为51%。2012年3月，公司</w:t>
      </w:r>
      <w:r>
        <w:rPr>
          <w:rFonts w:hint="eastAsia" w:cs="Times New Roman"/>
          <w:lang w:val="en-US" w:eastAsia="zh-CN"/>
        </w:rPr>
        <w:t>200</w:t>
      </w:r>
      <w:r>
        <w:rPr>
          <w:rFonts w:hint="default" w:ascii="Times New Roman" w:hAnsi="Times New Roman" w:cs="Times New Roman"/>
        </w:rPr>
        <w:t>万吨/年电石渣水泥项目开工建设，采用新型干法预分解生产工艺，建设一条3200t/d熟料水泥生产线，</w:t>
      </w:r>
      <w:r>
        <w:rPr>
          <w:rFonts w:hint="eastAsia" w:cs="Times New Roman"/>
          <w:lang w:val="en-US" w:eastAsia="zh-CN"/>
        </w:rPr>
        <w:t>可</w:t>
      </w:r>
      <w:r>
        <w:rPr>
          <w:rFonts w:hint="default" w:ascii="Times New Roman" w:hAnsi="Times New Roman" w:cs="Times New Roman"/>
        </w:rPr>
        <w:t>年产熟料93.00万t，年产水泥120.00万t</w:t>
      </w:r>
      <w:r>
        <w:rPr>
          <w:rFonts w:hint="eastAsia" w:cs="Times New Roman"/>
          <w:lang w:eastAsia="zh-CN"/>
        </w:rPr>
        <w:t>，</w:t>
      </w:r>
      <w:r>
        <w:rPr>
          <w:rFonts w:hint="eastAsia" w:cs="Times New Roman"/>
          <w:lang w:val="en-US" w:eastAsia="zh-CN"/>
        </w:rPr>
        <w:t>由于区域内煤、盐矿资源配置问题，可产生电石渣原料的PVC项目未在该项目环评批复有效期内建成，因此企业将原料由电石渣变更为石灰石进行生产，项目于2017年7月通过原阿克苏地区环保局竣工环保验收（阿地环函字〔2017〕356号）</w:t>
      </w:r>
      <w:r>
        <w:rPr>
          <w:rFonts w:hint="default" w:ascii="Times New Roman" w:hAnsi="Times New Roman" w:cs="Times New Roman"/>
        </w:rPr>
        <w:t>。建设</w:t>
      </w:r>
      <w:r>
        <w:rPr>
          <w:rFonts w:hint="eastAsia" w:cs="Times New Roman"/>
          <w:lang w:val="en-US" w:eastAsia="zh-CN"/>
        </w:rPr>
        <w:t>本</w:t>
      </w:r>
      <w:r>
        <w:rPr>
          <w:rFonts w:hint="default" w:ascii="Times New Roman" w:hAnsi="Times New Roman" w:cs="Times New Roman"/>
        </w:rPr>
        <w:t>项目的主要目的是利用回转窑定向利用并处置东侧紧邻的新疆兴发化工有限公司产生的精蒸馏残渣。</w:t>
      </w:r>
    </w:p>
    <w:p w14:paraId="7FAD7389">
      <w:pPr>
        <w:pStyle w:val="6"/>
        <w:rPr>
          <w:rFonts w:hint="default" w:ascii="Times New Roman" w:hAnsi="Times New Roman" w:cs="Times New Roman"/>
        </w:rPr>
      </w:pPr>
      <w:r>
        <w:rPr>
          <w:rFonts w:hint="default" w:ascii="Times New Roman" w:hAnsi="Times New Roman" w:cs="Times New Roman"/>
        </w:rPr>
        <w:t>新疆兴悦化工有限公司东侧与新疆兴发化工有限公司相邻</w:t>
      </w:r>
      <w:r>
        <w:rPr>
          <w:rFonts w:hint="default" w:ascii="Times New Roman" w:hAnsi="Times New Roman" w:cs="Times New Roman"/>
          <w:lang w:eastAsia="zh-CN"/>
        </w:rPr>
        <w:t>，</w:t>
      </w:r>
      <w:r>
        <w:rPr>
          <w:rFonts w:hint="default" w:ascii="Times New Roman" w:hAnsi="Times New Roman" w:cs="Times New Roman"/>
          <w:lang w:val="en-US" w:eastAsia="zh-CN"/>
        </w:rPr>
        <w:t>该公司</w:t>
      </w:r>
      <w:r>
        <w:rPr>
          <w:rFonts w:hint="default" w:ascii="Times New Roman" w:hAnsi="Times New Roman" w:cs="Times New Roman"/>
        </w:rPr>
        <w:t>于2012年2月28日注册成立，注册地址：新疆阿克苏地区阿克苏市经济技术开发区浙江产业园，注册资本：18600万元，为湖北兴发化工集团股份有限公司全资子公司（控股股东宜昌兴发集团有限责任公司），出资比例100%。该公司现有5万吨/年二甲基亚砜生产线，生产过程年产生</w:t>
      </w:r>
      <w:r>
        <w:rPr>
          <w:rFonts w:hint="default" w:ascii="Times New Roman" w:hAnsi="Times New Roman" w:cs="Times New Roman"/>
          <w:lang w:val="en-US" w:eastAsia="zh-CN"/>
        </w:rPr>
        <w:t>的</w:t>
      </w:r>
      <w:r>
        <w:rPr>
          <w:rFonts w:hint="default" w:ascii="Times New Roman" w:hAnsi="Times New Roman" w:cs="Times New Roman"/>
        </w:rPr>
        <w:t>精蒸馏残渣</w:t>
      </w:r>
      <w:r>
        <w:rPr>
          <w:rFonts w:hint="default" w:ascii="Times New Roman" w:hAnsi="Times New Roman" w:cs="Times New Roman"/>
          <w:lang w:eastAsia="zh-CN"/>
        </w:rPr>
        <w:t>（</w:t>
      </w:r>
      <w:r>
        <w:rPr>
          <w:rFonts w:hint="eastAsia" w:cs="Times New Roman"/>
          <w:lang w:val="en-US" w:eastAsia="zh-CN"/>
        </w:rPr>
        <w:t>危废代码</w:t>
      </w:r>
      <w:r>
        <w:rPr>
          <w:rFonts w:hint="default" w:ascii="Times New Roman" w:hAnsi="Times New Roman" w:cs="Times New Roman"/>
          <w:lang w:val="en-US" w:eastAsia="zh-CN"/>
        </w:rPr>
        <w:t>900-013-11</w:t>
      </w:r>
      <w:r>
        <w:rPr>
          <w:rFonts w:hint="default" w:ascii="Times New Roman" w:hAnsi="Times New Roman" w:cs="Times New Roman"/>
          <w:lang w:eastAsia="zh-CN"/>
        </w:rPr>
        <w:t>）</w:t>
      </w:r>
      <w:r>
        <w:rPr>
          <w:rFonts w:hint="default" w:ascii="Times New Roman" w:hAnsi="Times New Roman" w:cs="Times New Roman"/>
        </w:rPr>
        <w:t>均通过罐车送至640km外的库车红狮环保科技有限公司进行处置，该处置方式不仅运输过程中环境风险较高，而且导致企业处置成本居高不下。</w:t>
      </w:r>
    </w:p>
    <w:p w14:paraId="295E5BCB">
      <w:pPr>
        <w:pStyle w:val="6"/>
        <w:rPr>
          <w:rFonts w:hint="default" w:ascii="Times New Roman" w:hAnsi="Times New Roman" w:cs="Times New Roman"/>
        </w:rPr>
      </w:pPr>
      <w:r>
        <w:rPr>
          <w:rFonts w:hint="default" w:ascii="Times New Roman" w:hAnsi="Times New Roman" w:cs="Times New Roman"/>
        </w:rPr>
        <w:t>由于该精蒸馏残渣具有较高的热值，具备替代燃料（煤炭）的功能，经与新疆兴发化工有限公司协商，新疆兴悦化工有限公司计划利用</w:t>
      </w:r>
      <w:r>
        <w:rPr>
          <w:rFonts w:hint="default" w:ascii="Times New Roman" w:hAnsi="Times New Roman" w:cs="Times New Roman"/>
          <w:lang w:val="en-US" w:eastAsia="zh-CN"/>
        </w:rPr>
        <w:t>现有</w:t>
      </w:r>
      <w:r>
        <w:rPr>
          <w:rFonts w:hint="default" w:ascii="Times New Roman" w:hAnsi="Times New Roman" w:cs="Times New Roman"/>
        </w:rPr>
        <w:t>回转窑协同处置新疆兴发化工有限公司产生的精蒸馏残渣</w:t>
      </w:r>
      <w:r>
        <w:rPr>
          <w:rFonts w:hint="default" w:ascii="Times New Roman" w:hAnsi="Times New Roman" w:cs="Times New Roman"/>
          <w:lang w:eastAsia="zh-CN"/>
        </w:rPr>
        <w:t>（</w:t>
      </w:r>
      <w:r>
        <w:rPr>
          <w:rFonts w:hint="eastAsia" w:cs="Times New Roman"/>
          <w:lang w:val="en-US" w:eastAsia="zh-CN"/>
        </w:rPr>
        <w:t>危废代码</w:t>
      </w:r>
      <w:r>
        <w:rPr>
          <w:rFonts w:hint="default" w:ascii="Times New Roman" w:hAnsi="Times New Roman" w:cs="Times New Roman"/>
          <w:lang w:val="en-US" w:eastAsia="zh-CN"/>
        </w:rPr>
        <w:t>900-013-11</w:t>
      </w:r>
      <w:r>
        <w:rPr>
          <w:rFonts w:hint="default" w:ascii="Times New Roman" w:hAnsi="Times New Roman" w:cs="Times New Roman"/>
          <w:lang w:eastAsia="zh-CN"/>
        </w:rPr>
        <w:t>）</w:t>
      </w:r>
      <w:r>
        <w:rPr>
          <w:rFonts w:hint="default" w:ascii="Times New Roman" w:hAnsi="Times New Roman" w:cs="Times New Roman"/>
        </w:rPr>
        <w:t>，在降低</w:t>
      </w:r>
      <w:r>
        <w:rPr>
          <w:rFonts w:hint="eastAsia" w:cs="Times New Roman"/>
          <w:lang w:val="en-US" w:eastAsia="zh-CN"/>
        </w:rPr>
        <w:t>企业处置成本及运输过程环境风险的</w:t>
      </w:r>
      <w:r>
        <w:rPr>
          <w:rFonts w:hint="default" w:ascii="Times New Roman" w:hAnsi="Times New Roman" w:cs="Times New Roman"/>
        </w:rPr>
        <w:t>同时，实现精蒸馏残渣无害化处置</w:t>
      </w:r>
      <w:r>
        <w:rPr>
          <w:rFonts w:hint="default" w:ascii="Times New Roman" w:hAnsi="Times New Roman" w:cs="Times New Roman"/>
          <w:lang w:eastAsia="zh-CN"/>
        </w:rPr>
        <w:t>，</w:t>
      </w:r>
      <w:r>
        <w:rPr>
          <w:rFonts w:hint="default" w:ascii="Times New Roman" w:hAnsi="Times New Roman" w:cs="Times New Roman"/>
        </w:rPr>
        <w:t>设计处理能力为</w:t>
      </w:r>
      <w:r>
        <w:rPr>
          <w:rFonts w:hint="eastAsia" w:cs="Times New Roman"/>
          <w:lang w:val="en-US" w:eastAsia="zh-CN"/>
        </w:rPr>
        <w:t>250</w:t>
      </w:r>
      <w:r>
        <w:rPr>
          <w:rFonts w:hint="default" w:ascii="Times New Roman" w:hAnsi="Times New Roman" w:cs="Times New Roman"/>
        </w:rPr>
        <w:t>t/a。</w:t>
      </w:r>
    </w:p>
    <w:p w14:paraId="0A5E47A2">
      <w:pPr>
        <w:pStyle w:val="6"/>
        <w:rPr>
          <w:rFonts w:hint="default" w:ascii="Times New Roman" w:hAnsi="Times New Roman" w:cs="Times New Roman"/>
        </w:rPr>
      </w:pPr>
      <w:r>
        <w:rPr>
          <w:rFonts w:hint="default" w:ascii="Times New Roman" w:hAnsi="Times New Roman" w:cs="Times New Roman"/>
        </w:rPr>
        <w:t>根据《国家危险废物名录（2025年版）》，该项目利用过程符合“点对点”定向利用的要求，精蒸馏残渣的利用过程可不按危险废物进行管理。</w:t>
      </w:r>
    </w:p>
    <w:p w14:paraId="4FF2DB67">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7" w:name="_Toc9868234"/>
      <w:bookmarkStart w:id="8" w:name="_Toc21497"/>
      <w:bookmarkStart w:id="9" w:name="_Toc28595"/>
      <w:bookmarkStart w:id="10" w:name="_Toc7684"/>
      <w:r>
        <w:rPr>
          <w:rFonts w:hint="default" w:ascii="Times New Roman" w:hAnsi="Times New Roman" w:eastAsia="宋体" w:cs="Times New Roman"/>
          <w:sz w:val="24"/>
          <w:szCs w:val="18"/>
          <w:highlight w:val="none"/>
        </w:rPr>
        <w:t>1.2环境影响评价工作过程</w:t>
      </w:r>
      <w:bookmarkEnd w:id="7"/>
      <w:bookmarkEnd w:id="8"/>
      <w:bookmarkEnd w:id="9"/>
      <w:bookmarkEnd w:id="10"/>
    </w:p>
    <w:p w14:paraId="1CF71A09">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本项目依托</w:t>
      </w:r>
      <w:r>
        <w:rPr>
          <w:rFonts w:hint="default" w:ascii="Times New Roman" w:hAnsi="Times New Roman" w:cs="Times New Roman"/>
          <w:sz w:val="24"/>
          <w:szCs w:val="24"/>
          <w:highlight w:val="none"/>
          <w:lang w:val="en-US" w:eastAsia="zh-CN"/>
        </w:rPr>
        <w:t>新疆兴悦化工有限公司</w:t>
      </w:r>
      <w:r>
        <w:rPr>
          <w:rFonts w:hint="default" w:ascii="Times New Roman" w:hAnsi="Times New Roman" w:eastAsia="宋体" w:cs="Times New Roman"/>
          <w:sz w:val="24"/>
          <w:szCs w:val="24"/>
          <w:highlight w:val="none"/>
        </w:rPr>
        <w:t>现有200万吨/年电石渣制水泥项目水泥窑协同处置新疆兴发化工有限公司</w:t>
      </w:r>
      <w:r>
        <w:rPr>
          <w:rFonts w:hint="default" w:ascii="Times New Roman" w:hAnsi="Times New Roman" w:cs="Times New Roman"/>
          <w:sz w:val="24"/>
          <w:szCs w:val="24"/>
          <w:highlight w:val="none"/>
          <w:lang w:val="en-US" w:eastAsia="zh-CN"/>
        </w:rPr>
        <w:t>产生的</w:t>
      </w:r>
      <w:r>
        <w:rPr>
          <w:rFonts w:hint="default" w:ascii="Times New Roman" w:hAnsi="Times New Roman" w:eastAsia="宋体" w:cs="Times New Roman"/>
          <w:sz w:val="24"/>
          <w:szCs w:val="24"/>
          <w:highlight w:val="none"/>
        </w:rPr>
        <w:t>精蒸馏残渣，设计处理能力为</w:t>
      </w:r>
      <w:r>
        <w:rPr>
          <w:rFonts w:hint="eastAsia" w:cs="Times New Roman"/>
          <w:sz w:val="24"/>
          <w:szCs w:val="24"/>
          <w:highlight w:val="none"/>
          <w:lang w:val="en-US" w:eastAsia="zh-CN"/>
        </w:rPr>
        <w:t>25</w:t>
      </w:r>
      <w:r>
        <w:rPr>
          <w:rFonts w:hint="default" w:ascii="Times New Roman" w:hAnsi="Times New Roman" w:eastAsia="宋体" w:cs="Times New Roman"/>
          <w:sz w:val="24"/>
          <w:szCs w:val="24"/>
          <w:highlight w:val="none"/>
        </w:rPr>
        <w:t>0t/a</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其中液态危险废物</w:t>
      </w:r>
      <w:r>
        <w:rPr>
          <w:rFonts w:hint="default" w:ascii="Times New Roman" w:hAnsi="Times New Roman" w:cs="Times New Roman"/>
          <w:sz w:val="24"/>
          <w:szCs w:val="24"/>
          <w:highlight w:val="none"/>
          <w:lang w:val="en-US" w:eastAsia="zh-CN"/>
        </w:rPr>
        <w:t>50</w:t>
      </w:r>
      <w:r>
        <w:rPr>
          <w:rFonts w:hint="default" w:ascii="Times New Roman" w:hAnsi="Times New Roman" w:eastAsia="宋体" w:cs="Times New Roman"/>
          <w:sz w:val="24"/>
          <w:szCs w:val="24"/>
          <w:highlight w:val="none"/>
        </w:rPr>
        <w:t>吨/年</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固态危险废物</w:t>
      </w:r>
      <w:r>
        <w:rPr>
          <w:rFonts w:hint="eastAsia" w:cs="Times New Roman"/>
          <w:sz w:val="24"/>
          <w:szCs w:val="24"/>
          <w:highlight w:val="none"/>
          <w:lang w:val="en-US" w:eastAsia="zh-CN"/>
        </w:rPr>
        <w:t>2</w:t>
      </w:r>
      <w:r>
        <w:rPr>
          <w:rFonts w:hint="default" w:ascii="Times New Roman" w:hAnsi="Times New Roman" w:cs="Times New Roman"/>
          <w:sz w:val="24"/>
          <w:szCs w:val="24"/>
          <w:highlight w:val="none"/>
          <w:lang w:val="en-US" w:eastAsia="zh-CN"/>
        </w:rPr>
        <w:t>00</w:t>
      </w:r>
      <w:r>
        <w:rPr>
          <w:rFonts w:hint="default" w:ascii="Times New Roman" w:hAnsi="Times New Roman" w:eastAsia="宋体" w:cs="Times New Roman"/>
          <w:sz w:val="24"/>
          <w:szCs w:val="24"/>
          <w:highlight w:val="none"/>
        </w:rPr>
        <w:t>吨/年，处置类别</w:t>
      </w:r>
      <w:r>
        <w:rPr>
          <w:rFonts w:hint="default" w:ascii="Times New Roman" w:hAnsi="Times New Roman" w:cs="Times New Roman"/>
          <w:sz w:val="24"/>
          <w:szCs w:val="24"/>
          <w:highlight w:val="none"/>
          <w:lang w:val="en-US" w:eastAsia="zh-CN"/>
        </w:rPr>
        <w:t>为：HW11</w:t>
      </w:r>
      <w:r>
        <w:rPr>
          <w:rFonts w:hint="default" w:ascii="Times New Roman" w:hAnsi="Times New Roman" w:eastAsia="宋体" w:cs="Times New Roman"/>
          <w:sz w:val="24"/>
          <w:szCs w:val="24"/>
          <w:highlight w:val="none"/>
        </w:rPr>
        <w:t>精（蒸）馏残渣</w:t>
      </w:r>
      <w:r>
        <w:rPr>
          <w:rFonts w:hint="eastAsia" w:cs="Times New Roman"/>
          <w:sz w:val="24"/>
          <w:szCs w:val="24"/>
          <w:highlight w:val="none"/>
          <w:lang w:eastAsia="zh-CN"/>
        </w:rPr>
        <w:t>（危废代码900-013-11）</w:t>
      </w:r>
      <w:r>
        <w:rPr>
          <w:rFonts w:hint="default" w:ascii="Times New Roman" w:hAnsi="Times New Roman" w:cs="Times New Roman"/>
          <w:sz w:val="24"/>
          <w:szCs w:val="24"/>
          <w:highlight w:val="none"/>
          <w:lang w:eastAsia="zh-CN"/>
        </w:rPr>
        <w:t>。</w:t>
      </w:r>
      <w:r>
        <w:rPr>
          <w:rFonts w:hint="eastAsia" w:cs="Times New Roman"/>
          <w:sz w:val="24"/>
          <w:szCs w:val="24"/>
          <w:highlight w:val="none"/>
          <w:lang w:val="en-US" w:eastAsia="zh-CN"/>
        </w:rPr>
        <w:t>通</w:t>
      </w:r>
      <w:r>
        <w:rPr>
          <w:rFonts w:hint="default" w:ascii="Times New Roman" w:hAnsi="Times New Roman" w:cs="Times New Roman"/>
          <w:sz w:val="24"/>
          <w:szCs w:val="24"/>
          <w:highlight w:val="none"/>
          <w:lang w:eastAsia="zh-CN"/>
        </w:rPr>
        <w:t>过高温焚烧及水泥熟料矿物化高温烧结过程，实现水泥窑协同处置危险废物高温解毒的作用，达到危险废物资源化和无害化</w:t>
      </w:r>
      <w:r>
        <w:rPr>
          <w:rFonts w:hint="eastAsia" w:cs="Times New Roman"/>
          <w:sz w:val="24"/>
          <w:szCs w:val="24"/>
          <w:highlight w:val="none"/>
          <w:lang w:val="en-US" w:eastAsia="zh-CN"/>
        </w:rPr>
        <w:t>的处置</w:t>
      </w:r>
      <w:r>
        <w:rPr>
          <w:rFonts w:hint="default" w:ascii="Times New Roman" w:hAnsi="Times New Roman" w:cs="Times New Roman"/>
          <w:sz w:val="24"/>
          <w:szCs w:val="24"/>
          <w:highlight w:val="none"/>
          <w:lang w:eastAsia="zh-CN"/>
        </w:rPr>
        <w:t>目标。</w:t>
      </w:r>
    </w:p>
    <w:p w14:paraId="367CE95E">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根据《建设项目环境影响评价分类管理名录》</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2021版</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本项目属于名录中的“四十七、生态保护和环境治理业，101危险废物（不含医疗废物）利用及处置，危险废物利用及处置（产生单位内部回收再利用的除外；单纯收集、贮存的除外）”，应编制环境影响报告书。受建设单位委托，</w:t>
      </w:r>
      <w:r>
        <w:rPr>
          <w:rFonts w:hint="eastAsia" w:cs="Times New Roman"/>
          <w:sz w:val="24"/>
          <w:szCs w:val="24"/>
          <w:highlight w:val="none"/>
          <w:lang w:val="en-US" w:eastAsia="zh-CN"/>
        </w:rPr>
        <w:t>阿克苏净源环境科技有限责任公司</w:t>
      </w:r>
      <w:r>
        <w:rPr>
          <w:rFonts w:hint="default" w:ascii="Times New Roman" w:hAnsi="Times New Roman" w:eastAsia="宋体" w:cs="Times New Roman"/>
          <w:sz w:val="24"/>
          <w:szCs w:val="24"/>
          <w:highlight w:val="none"/>
        </w:rPr>
        <w:t>承担本项目环境影响评价工作。评价单位按照环境影响评价的有关工作程序，组织专业人员，收集相关资料及其他支撑性文件，对本项目选址及周边区域现场实地踏勘、开展环境现状监测，并对建设项目进行工程分析，根据环境各要素的评价等级及其相应评价等级的要求对各环境要素影响进行预测和评价，提出环境保护措施，并进行技术经济论证，给出污染物排放清单，提出评价结论，在此基础上，编制完成了《新疆兴悦化工有限公司水泥窑协同处置250t/a精蒸馏残渣技改项目环境影响报告书》。环境影响评价工作一般分三个阶段，即前期准备、调研和工作方案阶段，分析论证和预测评价阶段，环境影响评价文件编制阶段。具体流程见图1.2-1。</w:t>
      </w:r>
    </w:p>
    <w:p w14:paraId="6F07AC57">
      <w:pPr>
        <w:rPr>
          <w:rFonts w:hint="default" w:ascii="Times New Roman" w:hAnsi="Times New Roman" w:eastAsia="宋体" w:cs="Times New Roman"/>
          <w:highlight w:val="none"/>
        </w:rPr>
      </w:pPr>
      <w:r>
        <w:rPr>
          <w:rFonts w:hint="default" w:ascii="Times New Roman" w:hAnsi="Times New Roman" w:eastAsia="宋体" w:cs="Times New Roman"/>
          <w:highlight w:val="none"/>
        </w:rPr>
        <w:br w:type="page"/>
      </w:r>
    </w:p>
    <w:p w14:paraId="1A23FBFA">
      <w:pPr>
        <w:widowControl/>
        <w:snapToGrid w:val="0"/>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87936" behindDoc="0" locked="0" layoutInCell="1" allowOverlap="1">
                <wp:simplePos x="0" y="0"/>
                <wp:positionH relativeFrom="column">
                  <wp:posOffset>177800</wp:posOffset>
                </wp:positionH>
                <wp:positionV relativeFrom="paragraph">
                  <wp:posOffset>99060</wp:posOffset>
                </wp:positionV>
                <wp:extent cx="5330190" cy="6610985"/>
                <wp:effectExtent l="4445" t="4445" r="12065" b="13970"/>
                <wp:wrapNone/>
                <wp:docPr id="28" name="矩形 39"/>
                <wp:cNvGraphicFramePr/>
                <a:graphic xmlns:a="http://schemas.openxmlformats.org/drawingml/2006/main">
                  <a:graphicData uri="http://schemas.microsoft.com/office/word/2010/wordprocessingShape">
                    <wps:wsp>
                      <wps:cNvSpPr/>
                      <wps:spPr>
                        <a:xfrm>
                          <a:off x="0" y="0"/>
                          <a:ext cx="5330190" cy="6610985"/>
                        </a:xfrm>
                        <a:prstGeom prst="rect">
                          <a:avLst/>
                        </a:prstGeom>
                        <a:noFill/>
                        <a:ln w="9525" cap="flat" cmpd="sng">
                          <a:solidFill>
                            <a:srgbClr val="000000"/>
                          </a:solidFill>
                          <a:prstDash val="dash"/>
                          <a:round/>
                          <a:headEnd type="none" w="med" len="med"/>
                          <a:tailEnd type="none" w="med" len="med"/>
                        </a:ln>
                      </wps:spPr>
                      <wps:bodyPr wrap="square" upright="1"/>
                    </wps:wsp>
                  </a:graphicData>
                </a:graphic>
              </wp:anchor>
            </w:drawing>
          </mc:Choice>
          <mc:Fallback>
            <w:pict>
              <v:rect id="矩形 39" o:spid="_x0000_s1026" o:spt="1" style="position:absolute;left:0pt;margin-left:14pt;margin-top:7.8pt;height:520.55pt;width:419.7pt;z-index:251687936;mso-width-relative:page;mso-height-relative:page;" filled="f" stroked="t" coordsize="21600,21600" o:gfxdata="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8gHsl1wAAAAoBAAAPAAAAAAAAAAEAIAAAACIAAABkcnMvZG93&#10;bnJldi54bWxQSwECFAAUAAAACACHTuJAQIS6KgECAAAFBAAADgAAAAAAAAABACAAAAAmAQAAZHJz&#10;L2Uyb0RvYy54bWxQSwUGAAAAAAYABgBZAQAAmQUAAAAA&#10;">
                <v:fill on="f" focussize="0,0"/>
                <v:stroke color="#000000" joinstyle="round" dashstyle="dash"/>
                <v:imagedata o:title=""/>
                <o:lock v:ext="edit" aspectratio="f"/>
              </v:rect>
            </w:pict>
          </mc:Fallback>
        </mc:AlternateContent>
      </w:r>
    </w:p>
    <w:p w14:paraId="2B71AD60">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61312" behindDoc="0" locked="0" layoutInCell="1" allowOverlap="1">
                <wp:simplePos x="0" y="0"/>
                <wp:positionH relativeFrom="column">
                  <wp:posOffset>1296035</wp:posOffset>
                </wp:positionH>
                <wp:positionV relativeFrom="paragraph">
                  <wp:posOffset>81280</wp:posOffset>
                </wp:positionV>
                <wp:extent cx="2936875" cy="285750"/>
                <wp:effectExtent l="4445" t="4445" r="5080" b="14605"/>
                <wp:wrapNone/>
                <wp:docPr id="2" name="矩形 13"/>
                <wp:cNvGraphicFramePr/>
                <a:graphic xmlns:a="http://schemas.openxmlformats.org/drawingml/2006/main">
                  <a:graphicData uri="http://schemas.microsoft.com/office/word/2010/wordprocessingShape">
                    <wps:wsp>
                      <wps:cNvSpPr/>
                      <wps:spPr>
                        <a:xfrm>
                          <a:off x="0" y="0"/>
                          <a:ext cx="2936875" cy="285750"/>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5A03F8C2">
                            <w:pPr>
                              <w:widowControl/>
                              <w:snapToGrid w:val="0"/>
                              <w:ind w:firstLine="315"/>
                              <w:rPr>
                                <w:sz w:val="21"/>
                              </w:rPr>
                            </w:pPr>
                            <w:r>
                              <w:rPr>
                                <w:rFonts w:hint="eastAsia"/>
                                <w:sz w:val="21"/>
                              </w:rPr>
                              <w:t>依据相关规定确定环境影响评价文件类型</w:t>
                            </w:r>
                          </w:p>
                        </w:txbxContent>
                      </wps:txbx>
                      <wps:bodyPr wrap="square" upright="1"/>
                    </wps:wsp>
                  </a:graphicData>
                </a:graphic>
              </wp:anchor>
            </w:drawing>
          </mc:Choice>
          <mc:Fallback>
            <w:pict>
              <v:rect id="矩形 13" o:spid="_x0000_s1026" o:spt="1" style="position:absolute;left:0pt;margin-left:102.05pt;margin-top:6.4pt;height:22.5pt;width:231.25pt;z-index:251661312;mso-width-relative:page;mso-height-relative:page;" fillcolor="#FFFFFF" filled="t" stroked="t" coordsize="21600,21600" o:gfxdata="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5bYyG1gAAAAkBAAAPAAAAAAAAAAEAIAAA&#10;ACIAAABkcnMvZG93bnJldi54bWxQSwECFAAUAAAACACHTuJAoX68gw4CAAA4BAAADgAAAAAAAAAB&#10;ACAAAAAlAQAAZHJzL2Uyb0RvYy54bWxQSwUGAAAAAAYABgBZAQAApQUAAAAA&#10;">
                <v:fill on="t" focussize="0,0"/>
                <v:stroke color="#000000" joinstyle="round"/>
                <v:imagedata o:title=""/>
                <o:lock v:ext="edit" aspectratio="f"/>
                <v:textbox>
                  <w:txbxContent>
                    <w:p w14:paraId="5A03F8C2">
                      <w:pPr>
                        <w:widowControl/>
                        <w:snapToGrid w:val="0"/>
                        <w:ind w:firstLine="315"/>
                        <w:rPr>
                          <w:sz w:val="21"/>
                        </w:rPr>
                      </w:pPr>
                      <w:r>
                        <w:rPr>
                          <w:rFonts w:hint="eastAsia"/>
                          <w:sz w:val="21"/>
                        </w:rPr>
                        <w:t>依据相关规定确定环境影响评价文件类型</w:t>
                      </w:r>
                    </w:p>
                  </w:txbxContent>
                </v:textbox>
              </v:rect>
            </w:pict>
          </mc:Fallback>
        </mc:AlternateContent>
      </w:r>
    </w:p>
    <w:p w14:paraId="06983FE4">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62336" behindDoc="0" locked="0" layoutInCell="1" allowOverlap="1">
                <wp:simplePos x="0" y="0"/>
                <wp:positionH relativeFrom="column">
                  <wp:posOffset>2821940</wp:posOffset>
                </wp:positionH>
                <wp:positionV relativeFrom="paragraph">
                  <wp:posOffset>144780</wp:posOffset>
                </wp:positionV>
                <wp:extent cx="635" cy="221615"/>
                <wp:effectExtent l="37465" t="0" r="38100" b="6985"/>
                <wp:wrapNone/>
                <wp:docPr id="3" name="自选图形 14"/>
                <wp:cNvGraphicFramePr/>
                <a:graphic xmlns:a="http://schemas.openxmlformats.org/drawingml/2006/main">
                  <a:graphicData uri="http://schemas.microsoft.com/office/word/2010/wordprocessingShape">
                    <wps:wsp>
                      <wps:cNvCnPr/>
                      <wps:spPr>
                        <a:xfrm>
                          <a:off x="0" y="0"/>
                          <a:ext cx="635" cy="221615"/>
                        </a:xfrm>
                        <a:prstGeom prst="straightConnector1">
                          <a:avLst/>
                        </a:prstGeom>
                        <a:ln w="9525" cap="flat" cmpd="sng">
                          <a:solidFill>
                            <a:srgbClr val="000000"/>
                          </a:solidFill>
                          <a:prstDash val="solid"/>
                          <a:headEnd type="none" w="med" len="med"/>
                          <a:tailEnd type="triangle" w="med" len="med"/>
                        </a:ln>
                      </wps:spPr>
                      <wps:txbx>
                        <w:txbxContent>
                          <w:p w14:paraId="5158A234"/>
                        </w:txbxContent>
                      </wps:txbx>
                      <wps:bodyPr wrap="square" upright="1"/>
                    </wps:wsp>
                  </a:graphicData>
                </a:graphic>
              </wp:anchor>
            </w:drawing>
          </mc:Choice>
          <mc:Fallback>
            <w:pict>
              <v:shape id="自选图形 14" o:spid="_x0000_s1026" o:spt="32" type="#_x0000_t32" style="position:absolute;left:0pt;margin-left:222.2pt;margin-top:11.4pt;height:17.45pt;width:0.05pt;z-index:251662336;mso-width-relative:page;mso-height-relative:page;" filled="f" stroked="t" coordsize="21600,21600" o:gfxdata="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Q75EM1wAAAAkBAAAPAAAAAAAA&#10;AAEAIAAAACIAAABkcnMvZG93bnJldi54bWxQSwECFAAUAAAACACHTuJA1da50xMCAAAOBAAADgAA&#10;AAAAAAABACAAAAAmAQAAZHJzL2Uyb0RvYy54bWxQSwUGAAAAAAYABgBZAQAAqwUAAAAA&#10;">
                <v:fill on="f" focussize="0,0"/>
                <v:stroke color="#000000" joinstyle="round" endarrow="block"/>
                <v:imagedata o:title=""/>
                <o:lock v:ext="edit" aspectratio="f"/>
                <v:textbox>
                  <w:txbxContent>
                    <w:p w14:paraId="5158A234"/>
                  </w:txbxContent>
                </v:textbox>
              </v:shape>
            </w:pict>
          </mc:Fallback>
        </mc:AlternateContent>
      </w:r>
    </w:p>
    <w:p w14:paraId="565562AB">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84864" behindDoc="0" locked="0" layoutInCell="1" allowOverlap="1">
                <wp:simplePos x="0" y="0"/>
                <wp:positionH relativeFrom="column">
                  <wp:posOffset>278130</wp:posOffset>
                </wp:positionH>
                <wp:positionV relativeFrom="paragraph">
                  <wp:posOffset>156845</wp:posOffset>
                </wp:positionV>
                <wp:extent cx="266700" cy="1123950"/>
                <wp:effectExtent l="0" t="0" r="0" b="0"/>
                <wp:wrapNone/>
                <wp:docPr id="25" name="矩形 36"/>
                <wp:cNvGraphicFramePr/>
                <a:graphic xmlns:a="http://schemas.openxmlformats.org/drawingml/2006/main">
                  <a:graphicData uri="http://schemas.microsoft.com/office/word/2010/wordprocessingShape">
                    <wps:wsp>
                      <wps:cNvSpPr/>
                      <wps:spPr>
                        <a:xfrm>
                          <a:off x="0" y="0"/>
                          <a:ext cx="266700" cy="1123950"/>
                        </a:xfrm>
                        <a:prstGeom prst="rect">
                          <a:avLst/>
                        </a:prstGeom>
                        <a:noFill/>
                        <a:ln>
                          <a:noFill/>
                        </a:ln>
                      </wps:spPr>
                      <wps:txbx>
                        <w:txbxContent>
                          <w:p w14:paraId="2C2F562A">
                            <w:pPr>
                              <w:widowControl/>
                              <w:snapToGrid w:val="0"/>
                              <w:ind w:firstLine="480"/>
                              <w:jc w:val="center"/>
                              <w:rPr>
                                <w:sz w:val="21"/>
                              </w:rPr>
                            </w:pPr>
                            <w:r>
                              <w:rPr>
                                <w:rFonts w:hint="eastAsia"/>
                                <w:sz w:val="21"/>
                              </w:rPr>
                              <w:t>第一阶段</w:t>
                            </w:r>
                          </w:p>
                        </w:txbxContent>
                      </wps:txbx>
                      <wps:bodyPr wrap="square" upright="1"/>
                    </wps:wsp>
                  </a:graphicData>
                </a:graphic>
              </wp:anchor>
            </w:drawing>
          </mc:Choice>
          <mc:Fallback>
            <w:pict>
              <v:rect id="矩形 36" o:spid="_x0000_s1026" o:spt="1" style="position:absolute;left:0pt;margin-left:21.9pt;margin-top:12.35pt;height:88.5pt;width:21pt;z-index:251684864;mso-width-relative:page;mso-height-relative:page;" filled="f" stroked="f" coordsize="21600,21600" o:gfxdata="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EWeO7LY&#10;AAAACAEAAA8AAAAAAAAAAQAgAAAAIgAAAGRycy9kb3ducmV2LnhtbFBLAQIUABQAAAAIAIdO4kB0&#10;NidRrgEAAFEDAAAOAAAAAAAAAAEAIAAAACcBAABkcnMvZTJvRG9jLnhtbFBLBQYAAAAABgAGAFkB&#10;AABHBQAAAAA=&#10;">
                <v:fill on="f" focussize="0,0"/>
                <v:stroke on="f"/>
                <v:imagedata o:title=""/>
                <o:lock v:ext="edit" aspectratio="f"/>
                <v:textbox>
                  <w:txbxContent>
                    <w:p w14:paraId="2C2F562A">
                      <w:pPr>
                        <w:widowControl/>
                        <w:snapToGrid w:val="0"/>
                        <w:ind w:firstLine="480"/>
                        <w:jc w:val="center"/>
                        <w:rPr>
                          <w:sz w:val="21"/>
                        </w:rPr>
                      </w:pPr>
                      <w:r>
                        <w:rPr>
                          <w:rFonts w:hint="eastAsia"/>
                          <w:sz w:val="21"/>
                        </w:rPr>
                        <w:t>第一阶段</w:t>
                      </w:r>
                    </w:p>
                  </w:txbxContent>
                </v:textbox>
              </v:rect>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60288" behindDoc="0" locked="0" layoutInCell="1" allowOverlap="1">
                <wp:simplePos x="0" y="0"/>
                <wp:positionH relativeFrom="column">
                  <wp:posOffset>1336675</wp:posOffset>
                </wp:positionH>
                <wp:positionV relativeFrom="paragraph">
                  <wp:posOffset>120650</wp:posOffset>
                </wp:positionV>
                <wp:extent cx="2838450" cy="687705"/>
                <wp:effectExtent l="4445" t="4445" r="14605" b="6350"/>
                <wp:wrapNone/>
                <wp:docPr id="1" name="矩形 11"/>
                <wp:cNvGraphicFramePr/>
                <a:graphic xmlns:a="http://schemas.openxmlformats.org/drawingml/2006/main">
                  <a:graphicData uri="http://schemas.microsoft.com/office/word/2010/wordprocessingShape">
                    <wps:wsp>
                      <wps:cNvSpPr/>
                      <wps:spPr>
                        <a:xfrm>
                          <a:off x="0" y="0"/>
                          <a:ext cx="2838450" cy="68770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78C8311B">
                            <w:pPr>
                              <w:widowControl/>
                              <w:snapToGrid w:val="0"/>
                              <w:ind w:firstLine="480"/>
                              <w:rPr>
                                <w:rFonts w:ascii="Times New Roman" w:hAnsi="Times New Roman"/>
                                <w:sz w:val="21"/>
                              </w:rPr>
                            </w:pPr>
                            <w:r>
                              <w:rPr>
                                <w:rFonts w:ascii="Times New Roman" w:hAnsi="Times New Roman"/>
                                <w:sz w:val="21"/>
                              </w:rPr>
                              <w:t xml:space="preserve">1 </w:t>
                            </w:r>
                            <w:r>
                              <w:rPr>
                                <w:rFonts w:hint="eastAsia" w:ascii="Times New Roman" w:hAnsi="Times New Roman"/>
                                <w:sz w:val="21"/>
                              </w:rPr>
                              <w:t>研究相关技术文件和其他有关文件</w:t>
                            </w:r>
                          </w:p>
                          <w:p w14:paraId="440636CB">
                            <w:pPr>
                              <w:widowControl/>
                              <w:snapToGrid w:val="0"/>
                              <w:ind w:firstLine="480"/>
                              <w:rPr>
                                <w:rFonts w:ascii="Times New Roman" w:hAnsi="Times New Roman"/>
                                <w:sz w:val="21"/>
                              </w:rPr>
                            </w:pPr>
                            <w:r>
                              <w:rPr>
                                <w:rFonts w:ascii="Times New Roman" w:hAnsi="Times New Roman"/>
                                <w:sz w:val="21"/>
                              </w:rPr>
                              <w:t xml:space="preserve">2 </w:t>
                            </w:r>
                            <w:r>
                              <w:rPr>
                                <w:rFonts w:hint="eastAsia" w:ascii="Times New Roman" w:hAnsi="Times New Roman"/>
                                <w:sz w:val="21"/>
                              </w:rPr>
                              <w:t>进行初步工程分析</w:t>
                            </w:r>
                          </w:p>
                          <w:p w14:paraId="7EB0CC50">
                            <w:pPr>
                              <w:widowControl/>
                              <w:snapToGrid w:val="0"/>
                              <w:ind w:firstLine="480"/>
                              <w:rPr>
                                <w:sz w:val="21"/>
                              </w:rPr>
                            </w:pPr>
                            <w:r>
                              <w:rPr>
                                <w:rFonts w:ascii="Times New Roman" w:hAnsi="Times New Roman"/>
                                <w:sz w:val="21"/>
                              </w:rPr>
                              <w:t xml:space="preserve">3 </w:t>
                            </w:r>
                            <w:r>
                              <w:rPr>
                                <w:rFonts w:hint="eastAsia" w:ascii="Times New Roman" w:hAnsi="Times New Roman"/>
                                <w:sz w:val="21"/>
                              </w:rPr>
                              <w:t>开</w:t>
                            </w:r>
                            <w:r>
                              <w:rPr>
                                <w:rFonts w:hint="eastAsia"/>
                                <w:sz w:val="21"/>
                              </w:rPr>
                              <w:t>展初步的环境状况调查</w:t>
                            </w:r>
                          </w:p>
                        </w:txbxContent>
                      </wps:txbx>
                      <wps:bodyPr wrap="square" upright="1"/>
                    </wps:wsp>
                  </a:graphicData>
                </a:graphic>
              </wp:anchor>
            </w:drawing>
          </mc:Choice>
          <mc:Fallback>
            <w:pict>
              <v:rect id="矩形 11" o:spid="_x0000_s1026" o:spt="1" style="position:absolute;left:0pt;margin-left:105.25pt;margin-top:9.5pt;height:54.15pt;width:223.5pt;z-index:251660288;mso-width-relative:page;mso-height-relative:page;" fillcolor="#FFFFFF" filled="t" stroked="t" coordsize="21600,21600" o:gfxdata="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l850J1wAAAAoBAAAPAAAAAAAAAAEAIAAAACIA&#10;AABkcnMvZG93bnJldi54bWxQSwECFAAUAAAACACHTuJAVl66jgoCAAA4BAAADgAAAAAAAAABACAA&#10;AAAmAQAAZHJzL2Uyb0RvYy54bWxQSwUGAAAAAAYABgBZAQAAogUAAAAA&#10;">
                <v:fill on="t" focussize="0,0"/>
                <v:stroke color="#000000" joinstyle="round"/>
                <v:imagedata o:title=""/>
                <o:lock v:ext="edit" aspectratio="f"/>
                <v:textbox>
                  <w:txbxContent>
                    <w:p w14:paraId="78C8311B">
                      <w:pPr>
                        <w:widowControl/>
                        <w:snapToGrid w:val="0"/>
                        <w:ind w:firstLine="480"/>
                        <w:rPr>
                          <w:rFonts w:ascii="Times New Roman" w:hAnsi="Times New Roman"/>
                          <w:sz w:val="21"/>
                        </w:rPr>
                      </w:pPr>
                      <w:r>
                        <w:rPr>
                          <w:rFonts w:ascii="Times New Roman" w:hAnsi="Times New Roman"/>
                          <w:sz w:val="21"/>
                        </w:rPr>
                        <w:t xml:space="preserve">1 </w:t>
                      </w:r>
                      <w:r>
                        <w:rPr>
                          <w:rFonts w:hint="eastAsia" w:ascii="Times New Roman" w:hAnsi="Times New Roman"/>
                          <w:sz w:val="21"/>
                        </w:rPr>
                        <w:t>研究相关技术文件和其他有关文件</w:t>
                      </w:r>
                    </w:p>
                    <w:p w14:paraId="440636CB">
                      <w:pPr>
                        <w:widowControl/>
                        <w:snapToGrid w:val="0"/>
                        <w:ind w:firstLine="480"/>
                        <w:rPr>
                          <w:rFonts w:ascii="Times New Roman" w:hAnsi="Times New Roman"/>
                          <w:sz w:val="21"/>
                        </w:rPr>
                      </w:pPr>
                      <w:r>
                        <w:rPr>
                          <w:rFonts w:ascii="Times New Roman" w:hAnsi="Times New Roman"/>
                          <w:sz w:val="21"/>
                        </w:rPr>
                        <w:t xml:space="preserve">2 </w:t>
                      </w:r>
                      <w:r>
                        <w:rPr>
                          <w:rFonts w:hint="eastAsia" w:ascii="Times New Roman" w:hAnsi="Times New Roman"/>
                          <w:sz w:val="21"/>
                        </w:rPr>
                        <w:t>进行初步工程分析</w:t>
                      </w:r>
                    </w:p>
                    <w:p w14:paraId="7EB0CC50">
                      <w:pPr>
                        <w:widowControl/>
                        <w:snapToGrid w:val="0"/>
                        <w:ind w:firstLine="480"/>
                        <w:rPr>
                          <w:sz w:val="21"/>
                        </w:rPr>
                      </w:pPr>
                      <w:r>
                        <w:rPr>
                          <w:rFonts w:ascii="Times New Roman" w:hAnsi="Times New Roman"/>
                          <w:sz w:val="21"/>
                        </w:rPr>
                        <w:t xml:space="preserve">3 </w:t>
                      </w:r>
                      <w:r>
                        <w:rPr>
                          <w:rFonts w:hint="eastAsia" w:ascii="Times New Roman" w:hAnsi="Times New Roman"/>
                          <w:sz w:val="21"/>
                        </w:rPr>
                        <w:t>开</w:t>
                      </w:r>
                      <w:r>
                        <w:rPr>
                          <w:rFonts w:hint="eastAsia"/>
                          <w:sz w:val="21"/>
                        </w:rPr>
                        <w:t>展初步的环境状况调查</w:t>
                      </w:r>
                    </w:p>
                  </w:txbxContent>
                </v:textbox>
              </v:rect>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70528" behindDoc="0" locked="0" layoutInCell="1" allowOverlap="1">
                <wp:simplePos x="0" y="0"/>
                <wp:positionH relativeFrom="column">
                  <wp:posOffset>3690620</wp:posOffset>
                </wp:positionH>
                <wp:positionV relativeFrom="paragraph">
                  <wp:posOffset>2509520</wp:posOffset>
                </wp:positionV>
                <wp:extent cx="635" cy="283210"/>
                <wp:effectExtent l="4445" t="0" r="7620" b="8890"/>
                <wp:wrapNone/>
                <wp:docPr id="11" name="自选图形 22"/>
                <wp:cNvGraphicFramePr/>
                <a:graphic xmlns:a="http://schemas.openxmlformats.org/drawingml/2006/main">
                  <a:graphicData uri="http://schemas.microsoft.com/office/word/2010/wordprocessingShape">
                    <wps:wsp>
                      <wps:cNvCnPr/>
                      <wps:spPr>
                        <a:xfrm>
                          <a:off x="0" y="0"/>
                          <a:ext cx="635" cy="283210"/>
                        </a:xfrm>
                        <a:prstGeom prst="straightConnector1">
                          <a:avLst/>
                        </a:prstGeom>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22" o:spid="_x0000_s1026" o:spt="32" type="#_x0000_t32" style="position:absolute;left:0pt;margin-left:290.6pt;margin-top:197.6pt;height:22.3pt;width:0.05pt;z-index:251670528;mso-width-relative:page;mso-height-relative:page;" filled="f" stroked="t" coordsize="21600,21600" o:gfxdata="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MWIynNkAAAALAQAADwAAAAAAAAABACAAAAAi&#10;AAAAZHJzL2Rvd25yZXYueG1sUEsBAhQAFAAAAAgAh07iQKpGYWsJAgAAAAQAAA4AAAAAAAAAAQAg&#10;AAAAKAEAAGRycy9lMm9Eb2MueG1sUEsFBgAAAAAGAAYAWQEAAKMFAAAAAA==&#10;">
                <v:fill on="f" focussize="0,0"/>
                <v:stroke color="#000000" joinstyle="round"/>
                <v:imagedata o:title=""/>
                <o:lock v:ext="edit" aspectratio="f"/>
              </v:shape>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69504" behindDoc="0" locked="0" layoutInCell="1" allowOverlap="1">
                <wp:simplePos x="0" y="0"/>
                <wp:positionH relativeFrom="column">
                  <wp:posOffset>1831975</wp:posOffset>
                </wp:positionH>
                <wp:positionV relativeFrom="paragraph">
                  <wp:posOffset>2499995</wp:posOffset>
                </wp:positionV>
                <wp:extent cx="635" cy="270510"/>
                <wp:effectExtent l="4445" t="0" r="7620" b="8890"/>
                <wp:wrapNone/>
                <wp:docPr id="10" name="自选图形 21"/>
                <wp:cNvGraphicFramePr/>
                <a:graphic xmlns:a="http://schemas.openxmlformats.org/drawingml/2006/main">
                  <a:graphicData uri="http://schemas.microsoft.com/office/word/2010/wordprocessingShape">
                    <wps:wsp>
                      <wps:cNvCnPr/>
                      <wps:spPr>
                        <a:xfrm>
                          <a:off x="0" y="0"/>
                          <a:ext cx="635" cy="270510"/>
                        </a:xfrm>
                        <a:prstGeom prst="straightConnector1">
                          <a:avLst/>
                        </a:prstGeom>
                        <a:ln w="9525" cap="flat" cmpd="sng">
                          <a:solidFill>
                            <a:srgbClr val="000000"/>
                          </a:solidFill>
                          <a:prstDash val="solid"/>
                          <a:headEnd type="none" w="med" len="med"/>
                          <a:tailEnd type="none" w="med" len="med"/>
                        </a:ln>
                      </wps:spPr>
                      <wps:txbx>
                        <w:txbxContent>
                          <w:p w14:paraId="5F2F8C61"/>
                        </w:txbxContent>
                      </wps:txbx>
                      <wps:bodyPr wrap="square" upright="1"/>
                    </wps:wsp>
                  </a:graphicData>
                </a:graphic>
              </wp:anchor>
            </w:drawing>
          </mc:Choice>
          <mc:Fallback>
            <w:pict>
              <v:shape id="自选图形 21" o:spid="_x0000_s1026" o:spt="32" type="#_x0000_t32" style="position:absolute;left:0pt;margin-left:144.25pt;margin-top:196.85pt;height:21.3pt;width:0.05pt;z-index:251669504;mso-width-relative:page;mso-height-relative:page;" filled="f" stroked="t" coordsize="21600,21600" o:gfxdata="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AYeE/faAAAACwEAAA8AAAAAAAAAAQAg&#10;AAAAIgAAAGRycy9kb3ducmV2LnhtbFBLAQIUABQAAAAIAIdO4kAiqYl/DAIAAAsEAAAOAAAAAAAA&#10;AAEAIAAAACkBAABkcnMvZTJvRG9jLnhtbFBLBQYAAAAABgAGAFkBAACnBQAAAAA=&#10;">
                <v:fill on="f" focussize="0,0"/>
                <v:stroke color="#000000" joinstyle="round"/>
                <v:imagedata o:title=""/>
                <o:lock v:ext="edit" aspectratio="f"/>
                <v:textbox>
                  <w:txbxContent>
                    <w:p w14:paraId="5F2F8C61"/>
                  </w:txbxContent>
                </v:textbox>
              </v:shape>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68480" behindDoc="0" locked="0" layoutInCell="1" allowOverlap="1">
                <wp:simplePos x="0" y="0"/>
                <wp:positionH relativeFrom="column">
                  <wp:posOffset>1823085</wp:posOffset>
                </wp:positionH>
                <wp:positionV relativeFrom="paragraph">
                  <wp:posOffset>2508885</wp:posOffset>
                </wp:positionV>
                <wp:extent cx="1866900" cy="635"/>
                <wp:effectExtent l="0" t="0" r="0" b="0"/>
                <wp:wrapNone/>
                <wp:docPr id="9" name="自选图形 20"/>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none" w="med" len="med"/>
                        </a:ln>
                      </wps:spPr>
                      <wps:txbx>
                        <w:txbxContent>
                          <w:p w14:paraId="6926B803"/>
                        </w:txbxContent>
                      </wps:txbx>
                      <wps:bodyPr wrap="square" upright="1"/>
                    </wps:wsp>
                  </a:graphicData>
                </a:graphic>
              </wp:anchor>
            </w:drawing>
          </mc:Choice>
          <mc:Fallback>
            <w:pict>
              <v:shape id="自选图形 20" o:spid="_x0000_s1026" o:spt="32" type="#_x0000_t32" style="position:absolute;left:0pt;margin-left:143.55pt;margin-top:197.55pt;height:0.05pt;width:147pt;z-index:251668480;mso-width-relative:page;mso-height-relative:page;" filled="f" stroked="t" coordsize="21600,21600" o:gfxdata="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7no/nYAAAACwEAAA8AAAAAAAAAAQAgAAAA&#10;IgAAAGRycy9kb3ducmV2LnhtbFBLAQIUABQAAAAIAIdO4kAVeVSwCwIAAAsEAAAOAAAAAAAAAAEA&#10;IAAAACcBAABkcnMvZTJvRG9jLnhtbFBLBQYAAAAABgAGAFkBAACkBQAAAAA=&#10;">
                <v:fill on="f" focussize="0,0"/>
                <v:stroke color="#000000" joinstyle="round"/>
                <v:imagedata o:title=""/>
                <o:lock v:ext="edit" aspectratio="f"/>
                <v:textbox>
                  <w:txbxContent>
                    <w:p w14:paraId="6926B803"/>
                  </w:txbxContent>
                </v:textbox>
              </v:shape>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72576" behindDoc="0" locked="0" layoutInCell="1" allowOverlap="1">
                <wp:simplePos x="0" y="0"/>
                <wp:positionH relativeFrom="column">
                  <wp:posOffset>3268980</wp:posOffset>
                </wp:positionH>
                <wp:positionV relativeFrom="paragraph">
                  <wp:posOffset>2780030</wp:posOffset>
                </wp:positionV>
                <wp:extent cx="835025" cy="474980"/>
                <wp:effectExtent l="4445" t="4445" r="11430" b="15875"/>
                <wp:wrapNone/>
                <wp:docPr id="13" name="矩形 24"/>
                <wp:cNvGraphicFramePr/>
                <a:graphic xmlns:a="http://schemas.openxmlformats.org/drawingml/2006/main">
                  <a:graphicData uri="http://schemas.microsoft.com/office/word/2010/wordprocessingShape">
                    <wps:wsp>
                      <wps:cNvSpPr/>
                      <wps:spPr>
                        <a:xfrm>
                          <a:off x="0" y="0"/>
                          <a:ext cx="835025" cy="474980"/>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2F0486C6">
                            <w:pPr>
                              <w:widowControl/>
                              <w:snapToGrid w:val="0"/>
                              <w:jc w:val="center"/>
                              <w:rPr>
                                <w:sz w:val="21"/>
                              </w:rPr>
                            </w:pPr>
                            <w:r>
                              <w:rPr>
                                <w:rFonts w:hint="eastAsia"/>
                                <w:sz w:val="21"/>
                              </w:rPr>
                              <w:t>建设项目工程分析</w:t>
                            </w:r>
                          </w:p>
                        </w:txbxContent>
                      </wps:txbx>
                      <wps:bodyPr wrap="square" upright="1"/>
                    </wps:wsp>
                  </a:graphicData>
                </a:graphic>
              </wp:anchor>
            </w:drawing>
          </mc:Choice>
          <mc:Fallback>
            <w:pict>
              <v:rect id="矩形 24" o:spid="_x0000_s1026" o:spt="1" style="position:absolute;left:0pt;margin-left:257.4pt;margin-top:218.9pt;height:37.4pt;width:65.75pt;z-index:251672576;mso-width-relative:page;mso-height-relative:page;" fillcolor="#FFFFFF" filled="t" stroked="t" coordsize="21600,21600" o:gfxdata="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BVbgW/ZAAAACwEAAA8AAAAAAAAAAQAg&#10;AAAAIgAAAGRycy9kb3ducmV2LnhtbFBLAQIUABQAAAAIAIdO4kAPU+vkDQIAADgEAAAOAAAAAAAA&#10;AAEAIAAAACgBAABkcnMvZTJvRG9jLnhtbFBLBQYAAAAABgAGAFkBAACnBQAAAAA=&#10;">
                <v:fill on="t" focussize="0,0"/>
                <v:stroke color="#000000" joinstyle="round"/>
                <v:imagedata o:title=""/>
                <o:lock v:ext="edit" aspectratio="f"/>
                <v:textbox>
                  <w:txbxContent>
                    <w:p w14:paraId="2F0486C6">
                      <w:pPr>
                        <w:widowControl/>
                        <w:snapToGrid w:val="0"/>
                        <w:jc w:val="center"/>
                        <w:rPr>
                          <w:sz w:val="21"/>
                        </w:rPr>
                      </w:pPr>
                      <w:r>
                        <w:rPr>
                          <w:rFonts w:hint="eastAsia"/>
                          <w:sz w:val="21"/>
                        </w:rPr>
                        <w:t>建设项目工程分析</w:t>
                      </w:r>
                    </w:p>
                  </w:txbxContent>
                </v:textbox>
              </v:rect>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85888" behindDoc="0" locked="0" layoutInCell="1" allowOverlap="1">
                <wp:simplePos x="0" y="0"/>
                <wp:positionH relativeFrom="column">
                  <wp:posOffset>255905</wp:posOffset>
                </wp:positionH>
                <wp:positionV relativeFrom="paragraph">
                  <wp:posOffset>3075940</wp:posOffset>
                </wp:positionV>
                <wp:extent cx="266700" cy="939165"/>
                <wp:effectExtent l="0" t="0" r="0" b="0"/>
                <wp:wrapNone/>
                <wp:docPr id="26" name="矩形 37"/>
                <wp:cNvGraphicFramePr/>
                <a:graphic xmlns:a="http://schemas.openxmlformats.org/drawingml/2006/main">
                  <a:graphicData uri="http://schemas.microsoft.com/office/word/2010/wordprocessingShape">
                    <wps:wsp>
                      <wps:cNvSpPr/>
                      <wps:spPr>
                        <a:xfrm>
                          <a:off x="0" y="0"/>
                          <a:ext cx="266700" cy="939165"/>
                        </a:xfrm>
                        <a:prstGeom prst="rect">
                          <a:avLst/>
                        </a:prstGeom>
                        <a:noFill/>
                        <a:ln>
                          <a:noFill/>
                        </a:ln>
                      </wps:spPr>
                      <wps:txbx>
                        <w:txbxContent>
                          <w:p w14:paraId="60660A49">
                            <w:pPr>
                              <w:widowControl/>
                              <w:snapToGrid w:val="0"/>
                              <w:ind w:firstLine="480"/>
                              <w:jc w:val="center"/>
                              <w:rPr>
                                <w:sz w:val="21"/>
                              </w:rPr>
                            </w:pPr>
                            <w:r>
                              <w:rPr>
                                <w:rFonts w:hint="eastAsia"/>
                                <w:sz w:val="21"/>
                              </w:rPr>
                              <w:t>第二阶段</w:t>
                            </w:r>
                          </w:p>
                        </w:txbxContent>
                      </wps:txbx>
                      <wps:bodyPr wrap="square" upright="1"/>
                    </wps:wsp>
                  </a:graphicData>
                </a:graphic>
              </wp:anchor>
            </w:drawing>
          </mc:Choice>
          <mc:Fallback>
            <w:pict>
              <v:rect id="矩形 37" o:spid="_x0000_s1026" o:spt="1" style="position:absolute;left:0pt;margin-left:20.15pt;margin-top:242.2pt;height:73.95pt;width:21pt;z-index:251685888;mso-width-relative:page;mso-height-relative:page;" filled="f" stroked="f" coordsize="21600,21600" o:gfxdata="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fpn0X&#10;2QAAAAkBAAAPAAAAAAAAAAEAIAAAACIAAABkcnMvZG93bnJldi54bWxQSwECFAAUAAAACACHTuJA&#10;fpjnY64BAABQAwAADgAAAAAAAAABACAAAAAoAQAAZHJzL2Uyb0RvYy54bWxQSwUGAAAAAAYABgBZ&#10;AQAASAUAAAAA&#10;">
                <v:fill on="f" focussize="0,0"/>
                <v:stroke on="f"/>
                <v:imagedata o:title=""/>
                <o:lock v:ext="edit" aspectratio="f"/>
                <v:textbox>
                  <w:txbxContent>
                    <w:p w14:paraId="60660A49">
                      <w:pPr>
                        <w:widowControl/>
                        <w:snapToGrid w:val="0"/>
                        <w:ind w:firstLine="480"/>
                        <w:jc w:val="center"/>
                        <w:rPr>
                          <w:sz w:val="21"/>
                        </w:rPr>
                      </w:pPr>
                      <w:r>
                        <w:rPr>
                          <w:rFonts w:hint="eastAsia"/>
                          <w:sz w:val="21"/>
                        </w:rPr>
                        <w:t>第二阶段</w:t>
                      </w:r>
                    </w:p>
                  </w:txbxContent>
                </v:textbox>
              </v:rect>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75648" behindDoc="0" locked="0" layoutInCell="1" allowOverlap="1">
                <wp:simplePos x="0" y="0"/>
                <wp:positionH relativeFrom="column">
                  <wp:posOffset>3708400</wp:posOffset>
                </wp:positionH>
                <wp:positionV relativeFrom="paragraph">
                  <wp:posOffset>3227705</wp:posOffset>
                </wp:positionV>
                <wp:extent cx="635" cy="274320"/>
                <wp:effectExtent l="4445" t="0" r="7620" b="5080"/>
                <wp:wrapNone/>
                <wp:docPr id="16" name="自选图形 27"/>
                <wp:cNvGraphicFramePr/>
                <a:graphic xmlns:a="http://schemas.openxmlformats.org/drawingml/2006/main">
                  <a:graphicData uri="http://schemas.microsoft.com/office/word/2010/wordprocessingShape">
                    <wps:wsp>
                      <wps:cNvCnPr/>
                      <wps:spPr>
                        <a:xfrm>
                          <a:off x="0" y="0"/>
                          <a:ext cx="635" cy="274320"/>
                        </a:xfrm>
                        <a:prstGeom prst="straightConnector1">
                          <a:avLst/>
                        </a:prstGeom>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27" o:spid="_x0000_s1026" o:spt="32" type="#_x0000_t32" style="position:absolute;left:0pt;margin-left:292pt;margin-top:254.15pt;height:21.6pt;width:0.05pt;z-index:251675648;mso-width-relative:page;mso-height-relative:page;" filled="f" stroked="t" coordsize="21600,21600" o:gfxdata="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8cMo69gAAAALAQAADwAAAAAAAAABACAAAAAi&#10;AAAAZHJzL2Rvd25yZXYueG1sUEsBAhQAFAAAAAgAh07iQFnrgxsKAgAAAAQAAA4AAAAAAAAAAQAg&#10;AAAAJwEAAGRycy9lMm9Eb2MueG1sUEsFBgAAAAAGAAYAWQEAAKMFAAAAAA==&#10;">
                <v:fill on="f" focussize="0,0"/>
                <v:stroke color="#000000" joinstyle="round"/>
                <v:imagedata o:title=""/>
                <o:lock v:ext="edit" aspectratio="f"/>
              </v:shape>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76672" behindDoc="0" locked="0" layoutInCell="1" allowOverlap="1">
                <wp:simplePos x="0" y="0"/>
                <wp:positionH relativeFrom="column">
                  <wp:posOffset>1830705</wp:posOffset>
                </wp:positionH>
                <wp:positionV relativeFrom="paragraph">
                  <wp:posOffset>3485515</wp:posOffset>
                </wp:positionV>
                <wp:extent cx="1866900" cy="635"/>
                <wp:effectExtent l="0" t="0" r="0" b="0"/>
                <wp:wrapNone/>
                <wp:docPr id="17" name="自选图形 28"/>
                <wp:cNvGraphicFramePr/>
                <a:graphic xmlns:a="http://schemas.openxmlformats.org/drawingml/2006/main">
                  <a:graphicData uri="http://schemas.microsoft.com/office/word/2010/wordprocessingShape">
                    <wps:wsp>
                      <wps:cNvCnPr/>
                      <wps:spPr>
                        <a:xfrm>
                          <a:off x="0" y="0"/>
                          <a:ext cx="1866900" cy="635"/>
                        </a:xfrm>
                        <a:prstGeom prst="straightConnector1">
                          <a:avLst/>
                        </a:prstGeom>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28" o:spid="_x0000_s1026" o:spt="32" type="#_x0000_t32" style="position:absolute;left:0pt;margin-left:144.15pt;margin-top:274.45pt;height:0.05pt;width:147pt;z-index:251676672;mso-width-relative:page;mso-height-relative:page;" filled="f" stroked="t" coordsize="21600,21600" o:gfxdata="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GNRLvYAAAACwEAAA8AAAAAAAAAAQAgAAAAIgAA&#10;AGRycy9kb3ducmV2LnhtbFBLAQIUABQAAAAIAIdO4kCipxwvCAIAAAEEAAAOAAAAAAAAAAEAIAAA&#10;ACcBAABkcnMvZTJvRG9jLnhtbFBLBQYAAAAABgAGAFkBAAChBQAAAAA=&#10;">
                <v:fill on="f" focussize="0,0"/>
                <v:stroke color="#000000" joinstyle="round"/>
                <v:imagedata o:title=""/>
                <o:lock v:ext="edit" aspectratio="f"/>
              </v:shape>
            </w:pict>
          </mc:Fallback>
        </mc:AlternateContent>
      </w:r>
      <w:r>
        <w:rPr>
          <w:rFonts w:hint="default" w:ascii="Times New Roman" w:hAnsi="Times New Roman" w:eastAsia="宋体" w:cs="Times New Roman"/>
          <w:highlight w:val="none"/>
        </w:rPr>
        <mc:AlternateContent>
          <mc:Choice Requires="wps">
            <w:drawing>
              <wp:anchor distT="0" distB="0" distL="114300" distR="114300" simplePos="0" relativeHeight="251679744" behindDoc="0" locked="0" layoutInCell="1" allowOverlap="1">
                <wp:simplePos x="0" y="0"/>
                <wp:positionH relativeFrom="column">
                  <wp:posOffset>1470025</wp:posOffset>
                </wp:positionH>
                <wp:positionV relativeFrom="paragraph">
                  <wp:posOffset>4552950</wp:posOffset>
                </wp:positionV>
                <wp:extent cx="2647950" cy="821690"/>
                <wp:effectExtent l="4445" t="4445" r="14605" b="12065"/>
                <wp:wrapNone/>
                <wp:docPr id="20" name="矩形 31"/>
                <wp:cNvGraphicFramePr/>
                <a:graphic xmlns:a="http://schemas.openxmlformats.org/drawingml/2006/main">
                  <a:graphicData uri="http://schemas.microsoft.com/office/word/2010/wordprocessingShape">
                    <wps:wsp>
                      <wps:cNvSpPr/>
                      <wps:spPr>
                        <a:xfrm>
                          <a:off x="0" y="0"/>
                          <a:ext cx="2647950" cy="821690"/>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3FAFAA2C">
                            <w:pPr>
                              <w:widowControl/>
                              <w:snapToGrid w:val="0"/>
                              <w:rPr>
                                <w:sz w:val="21"/>
                              </w:rPr>
                            </w:pPr>
                            <w:r>
                              <w:rPr>
                                <w:sz w:val="21"/>
                              </w:rPr>
                              <w:t xml:space="preserve">1 </w:t>
                            </w:r>
                            <w:r>
                              <w:rPr>
                                <w:rFonts w:hint="eastAsia"/>
                                <w:sz w:val="21"/>
                              </w:rPr>
                              <w:t>提出环境保护措施，进行技术经济论证</w:t>
                            </w:r>
                          </w:p>
                          <w:p w14:paraId="213CCE2D">
                            <w:pPr>
                              <w:widowControl/>
                              <w:snapToGrid w:val="0"/>
                              <w:rPr>
                                <w:sz w:val="21"/>
                              </w:rPr>
                            </w:pPr>
                            <w:r>
                              <w:rPr>
                                <w:sz w:val="21"/>
                              </w:rPr>
                              <w:t xml:space="preserve">2 </w:t>
                            </w:r>
                            <w:r>
                              <w:rPr>
                                <w:rFonts w:hint="eastAsia"/>
                                <w:sz w:val="21"/>
                              </w:rPr>
                              <w:t>给出污染物排放清单</w:t>
                            </w:r>
                          </w:p>
                          <w:p w14:paraId="1B9C4C52">
                            <w:pPr>
                              <w:widowControl/>
                              <w:snapToGrid w:val="0"/>
                              <w:rPr>
                                <w:sz w:val="21"/>
                              </w:rPr>
                            </w:pPr>
                            <w:r>
                              <w:rPr>
                                <w:sz w:val="21"/>
                              </w:rPr>
                              <w:t>3</w:t>
                            </w:r>
                            <w:r>
                              <w:rPr>
                                <w:rFonts w:hint="eastAsia"/>
                                <w:sz w:val="21"/>
                              </w:rPr>
                              <w:t>给出建设项目环境影响评价结论</w:t>
                            </w:r>
                          </w:p>
                        </w:txbxContent>
                      </wps:txbx>
                      <wps:bodyPr wrap="square" upright="1"/>
                    </wps:wsp>
                  </a:graphicData>
                </a:graphic>
              </wp:anchor>
            </w:drawing>
          </mc:Choice>
          <mc:Fallback>
            <w:pict>
              <v:rect id="矩形 31" o:spid="_x0000_s1026" o:spt="1" style="position:absolute;left:0pt;margin-left:115.75pt;margin-top:358.5pt;height:64.7pt;width:208.5pt;z-index:251679744;mso-width-relative:page;mso-height-relative:page;" fillcolor="#FFFFFF" filled="t" stroked="t" coordsize="21600,21600" o:gfxdata="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rtHtkAAAALAQAADwAAAAAAAAABACAA&#10;AAAiAAAAZHJzL2Rvd25yZXYueG1sUEsBAhQAFAAAAAgAh07iQHNKvaoMAgAAOQQAAA4AAAAAAAAA&#10;AQAgAAAAKAEAAGRycy9lMm9Eb2MueG1sUEsFBgAAAAAGAAYAWQEAAKYFAAAAAA==&#10;">
                <v:fill on="t" focussize="0,0"/>
                <v:stroke color="#000000" joinstyle="round"/>
                <v:imagedata o:title=""/>
                <o:lock v:ext="edit" aspectratio="f"/>
                <v:textbox>
                  <w:txbxContent>
                    <w:p w14:paraId="3FAFAA2C">
                      <w:pPr>
                        <w:widowControl/>
                        <w:snapToGrid w:val="0"/>
                        <w:rPr>
                          <w:sz w:val="21"/>
                        </w:rPr>
                      </w:pPr>
                      <w:r>
                        <w:rPr>
                          <w:sz w:val="21"/>
                        </w:rPr>
                        <w:t xml:space="preserve">1 </w:t>
                      </w:r>
                      <w:r>
                        <w:rPr>
                          <w:rFonts w:hint="eastAsia"/>
                          <w:sz w:val="21"/>
                        </w:rPr>
                        <w:t>提出环境保护措施，进行技术经济论证</w:t>
                      </w:r>
                    </w:p>
                    <w:p w14:paraId="213CCE2D">
                      <w:pPr>
                        <w:widowControl/>
                        <w:snapToGrid w:val="0"/>
                        <w:rPr>
                          <w:sz w:val="21"/>
                        </w:rPr>
                      </w:pPr>
                      <w:r>
                        <w:rPr>
                          <w:sz w:val="21"/>
                        </w:rPr>
                        <w:t xml:space="preserve">2 </w:t>
                      </w:r>
                      <w:r>
                        <w:rPr>
                          <w:rFonts w:hint="eastAsia"/>
                          <w:sz w:val="21"/>
                        </w:rPr>
                        <w:t>给出污染物排放清单</w:t>
                      </w:r>
                    </w:p>
                    <w:p w14:paraId="1B9C4C52">
                      <w:pPr>
                        <w:widowControl/>
                        <w:snapToGrid w:val="0"/>
                        <w:rPr>
                          <w:sz w:val="21"/>
                        </w:rPr>
                      </w:pPr>
                      <w:r>
                        <w:rPr>
                          <w:sz w:val="21"/>
                        </w:rPr>
                        <w:t>3</w:t>
                      </w:r>
                      <w:r>
                        <w:rPr>
                          <w:rFonts w:hint="eastAsia"/>
                          <w:sz w:val="21"/>
                        </w:rPr>
                        <w:t>给出建设项目环境影响评价结论</w:t>
                      </w:r>
                    </w:p>
                  </w:txbxContent>
                </v:textbox>
              </v:rect>
            </w:pict>
          </mc:Fallback>
        </mc:AlternateContent>
      </w:r>
    </w:p>
    <w:p w14:paraId="285F48D4">
      <w:pPr>
        <w:widowControl/>
        <w:snapToGrid w:val="0"/>
        <w:spacing w:line="400" w:lineRule="atLeast"/>
        <w:ind w:firstLine="480"/>
        <w:jc w:val="left"/>
        <w:rPr>
          <w:rFonts w:hint="default" w:ascii="Times New Roman" w:hAnsi="Times New Roman" w:eastAsia="宋体" w:cs="Times New Roman"/>
          <w:highlight w:val="none"/>
        </w:rPr>
      </w:pPr>
    </w:p>
    <w:p w14:paraId="32A9CF40">
      <w:pPr>
        <w:widowControl/>
        <w:snapToGrid w:val="0"/>
        <w:spacing w:line="400" w:lineRule="atLeast"/>
        <w:ind w:firstLine="480"/>
        <w:jc w:val="left"/>
        <w:rPr>
          <w:rFonts w:hint="default" w:ascii="Times New Roman" w:hAnsi="Times New Roman" w:eastAsia="宋体" w:cs="Times New Roman"/>
          <w:highlight w:val="none"/>
        </w:rPr>
      </w:pPr>
    </w:p>
    <w:p w14:paraId="130D2CDB">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63360" behindDoc="0" locked="0" layoutInCell="1" allowOverlap="1">
                <wp:simplePos x="0" y="0"/>
                <wp:positionH relativeFrom="column">
                  <wp:posOffset>2837180</wp:posOffset>
                </wp:positionH>
                <wp:positionV relativeFrom="paragraph">
                  <wp:posOffset>62230</wp:posOffset>
                </wp:positionV>
                <wp:extent cx="635" cy="196215"/>
                <wp:effectExtent l="37465" t="0" r="38100" b="6985"/>
                <wp:wrapNone/>
                <wp:docPr id="4" name="自选图形 15"/>
                <wp:cNvGraphicFramePr/>
                <a:graphic xmlns:a="http://schemas.openxmlformats.org/drawingml/2006/main">
                  <a:graphicData uri="http://schemas.microsoft.com/office/word/2010/wordprocessingShape">
                    <wps:wsp>
                      <wps:cNvCnPr/>
                      <wps:spPr>
                        <a:xfrm>
                          <a:off x="0" y="0"/>
                          <a:ext cx="635" cy="196215"/>
                        </a:xfrm>
                        <a:prstGeom prst="straightConnector1">
                          <a:avLst/>
                        </a:prstGeom>
                        <a:ln w="9525" cap="flat" cmpd="sng">
                          <a:solidFill>
                            <a:srgbClr val="000000"/>
                          </a:solidFill>
                          <a:prstDash val="solid"/>
                          <a:headEnd type="none" w="med" len="med"/>
                          <a:tailEnd type="triangle" w="med" len="med"/>
                        </a:ln>
                      </wps:spPr>
                      <wps:txbx>
                        <w:txbxContent>
                          <w:p w14:paraId="0A55CCC6"/>
                        </w:txbxContent>
                      </wps:txbx>
                      <wps:bodyPr wrap="square" upright="1"/>
                    </wps:wsp>
                  </a:graphicData>
                </a:graphic>
              </wp:anchor>
            </w:drawing>
          </mc:Choice>
          <mc:Fallback>
            <w:pict>
              <v:shape id="自选图形 15" o:spid="_x0000_s1026" o:spt="32" type="#_x0000_t32" style="position:absolute;left:0pt;margin-left:223.4pt;margin-top:4.9pt;height:15.45pt;width:0.05pt;z-index:251663360;mso-width-relative:page;mso-height-relative:page;" filled="f" stroked="t" coordsize="21600,21600" o:gfxdata="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JAuIm1wAAAAgBAAAPAAAAAAAA&#10;AAEAIAAAACIAAABkcnMvZG93bnJldi54bWxQSwECFAAUAAAACACHTuJAWs0ITxMCAAAOBAAADgAA&#10;AAAAAAABACAAAAAmAQAAZHJzL2Uyb0RvYy54bWxQSwUGAAAAAAYABgBZAQAAqwUAAAAA&#10;">
                <v:fill on="f" focussize="0,0"/>
                <v:stroke color="#000000" joinstyle="round" endarrow="block"/>
                <v:imagedata o:title=""/>
                <o:lock v:ext="edit" aspectratio="f"/>
                <v:textbox>
                  <w:txbxContent>
                    <w:p w14:paraId="0A55CCC6"/>
                  </w:txbxContent>
                </v:textbox>
              </v:shape>
            </w:pict>
          </mc:Fallback>
        </mc:AlternateContent>
      </w:r>
    </w:p>
    <w:p w14:paraId="2B06349E">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64384" behindDoc="0" locked="0" layoutInCell="1" allowOverlap="1">
                <wp:simplePos x="0" y="0"/>
                <wp:positionH relativeFrom="column">
                  <wp:posOffset>1344295</wp:posOffset>
                </wp:positionH>
                <wp:positionV relativeFrom="paragraph">
                  <wp:posOffset>12700</wp:posOffset>
                </wp:positionV>
                <wp:extent cx="2838450" cy="687705"/>
                <wp:effectExtent l="4445" t="4445" r="14605" b="6350"/>
                <wp:wrapNone/>
                <wp:docPr id="5" name="矩形 16"/>
                <wp:cNvGraphicFramePr/>
                <a:graphic xmlns:a="http://schemas.openxmlformats.org/drawingml/2006/main">
                  <a:graphicData uri="http://schemas.microsoft.com/office/word/2010/wordprocessingShape">
                    <wps:wsp>
                      <wps:cNvSpPr/>
                      <wps:spPr>
                        <a:xfrm>
                          <a:off x="0" y="0"/>
                          <a:ext cx="2838450" cy="68770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7EBFEFE4">
                            <w:pPr>
                              <w:widowControl/>
                              <w:snapToGrid w:val="0"/>
                              <w:ind w:firstLine="480"/>
                              <w:rPr>
                                <w:rFonts w:ascii="Times New Roman" w:hAnsi="Times New Roman"/>
                                <w:sz w:val="21"/>
                              </w:rPr>
                            </w:pPr>
                            <w:r>
                              <w:rPr>
                                <w:rFonts w:ascii="Times New Roman" w:hAnsi="Times New Roman"/>
                                <w:sz w:val="21"/>
                              </w:rPr>
                              <w:t xml:space="preserve">1 </w:t>
                            </w:r>
                            <w:r>
                              <w:rPr>
                                <w:rFonts w:hint="eastAsia" w:ascii="Times New Roman" w:hAnsi="Times New Roman"/>
                                <w:sz w:val="21"/>
                              </w:rPr>
                              <w:t>环境影响识别和评价因子筛选</w:t>
                            </w:r>
                          </w:p>
                          <w:p w14:paraId="054BCAD5">
                            <w:pPr>
                              <w:widowControl/>
                              <w:snapToGrid w:val="0"/>
                              <w:ind w:firstLine="480"/>
                              <w:rPr>
                                <w:rFonts w:ascii="Times New Roman" w:hAnsi="Times New Roman"/>
                                <w:sz w:val="21"/>
                              </w:rPr>
                            </w:pPr>
                            <w:r>
                              <w:rPr>
                                <w:rFonts w:ascii="Times New Roman" w:hAnsi="Times New Roman"/>
                                <w:sz w:val="21"/>
                              </w:rPr>
                              <w:t xml:space="preserve">2 </w:t>
                            </w:r>
                            <w:r>
                              <w:rPr>
                                <w:rFonts w:hint="eastAsia" w:ascii="Times New Roman" w:hAnsi="Times New Roman"/>
                                <w:sz w:val="21"/>
                              </w:rPr>
                              <w:t>明确评价重点和环境保护目标</w:t>
                            </w:r>
                          </w:p>
                          <w:p w14:paraId="175B7E30">
                            <w:pPr>
                              <w:widowControl/>
                              <w:snapToGrid w:val="0"/>
                              <w:ind w:firstLine="480"/>
                              <w:rPr>
                                <w:sz w:val="21"/>
                              </w:rPr>
                            </w:pPr>
                            <w:r>
                              <w:rPr>
                                <w:rFonts w:ascii="Times New Roman" w:hAnsi="Times New Roman"/>
                                <w:sz w:val="21"/>
                              </w:rPr>
                              <w:t xml:space="preserve">3 </w:t>
                            </w:r>
                            <w:r>
                              <w:rPr>
                                <w:rFonts w:hint="eastAsia" w:ascii="Times New Roman" w:hAnsi="Times New Roman"/>
                                <w:sz w:val="21"/>
                              </w:rPr>
                              <w:t>确定</w:t>
                            </w:r>
                            <w:r>
                              <w:rPr>
                                <w:rFonts w:hint="eastAsia"/>
                                <w:sz w:val="21"/>
                              </w:rPr>
                              <w:t>工作等级、评价范围和评价标准</w:t>
                            </w:r>
                          </w:p>
                        </w:txbxContent>
                      </wps:txbx>
                      <wps:bodyPr wrap="square" upright="1"/>
                    </wps:wsp>
                  </a:graphicData>
                </a:graphic>
              </wp:anchor>
            </w:drawing>
          </mc:Choice>
          <mc:Fallback>
            <w:pict>
              <v:rect id="矩形 16" o:spid="_x0000_s1026" o:spt="1" style="position:absolute;left:0pt;margin-left:105.85pt;margin-top:1pt;height:54.15pt;width:223.5pt;z-index:251664384;mso-width-relative:page;mso-height-relative:page;" fillcolor="#FFFFFF" filled="t" stroked="t" coordsize="21600,21600" o:gfxdata="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ZpYDd1gAAAAkBAAAPAAAAAAAAAAEAIAAAACIA&#10;AABkcnMvZG93bnJldi54bWxQSwECFAAUAAAACACHTuJARwFNFwsCAAA4BAAADgAAAAAAAAABACAA&#10;AAAlAQAAZHJzL2Uyb0RvYy54bWxQSwUGAAAAAAYABgBZAQAAogUAAAAA&#10;">
                <v:fill on="t" focussize="0,0"/>
                <v:stroke color="#000000" joinstyle="round"/>
                <v:imagedata o:title=""/>
                <o:lock v:ext="edit" aspectratio="f"/>
                <v:textbox>
                  <w:txbxContent>
                    <w:p w14:paraId="7EBFEFE4">
                      <w:pPr>
                        <w:widowControl/>
                        <w:snapToGrid w:val="0"/>
                        <w:ind w:firstLine="480"/>
                        <w:rPr>
                          <w:rFonts w:ascii="Times New Roman" w:hAnsi="Times New Roman"/>
                          <w:sz w:val="21"/>
                        </w:rPr>
                      </w:pPr>
                      <w:r>
                        <w:rPr>
                          <w:rFonts w:ascii="Times New Roman" w:hAnsi="Times New Roman"/>
                          <w:sz w:val="21"/>
                        </w:rPr>
                        <w:t xml:space="preserve">1 </w:t>
                      </w:r>
                      <w:r>
                        <w:rPr>
                          <w:rFonts w:hint="eastAsia" w:ascii="Times New Roman" w:hAnsi="Times New Roman"/>
                          <w:sz w:val="21"/>
                        </w:rPr>
                        <w:t>环境影响识别和评价因子筛选</w:t>
                      </w:r>
                    </w:p>
                    <w:p w14:paraId="054BCAD5">
                      <w:pPr>
                        <w:widowControl/>
                        <w:snapToGrid w:val="0"/>
                        <w:ind w:firstLine="480"/>
                        <w:rPr>
                          <w:rFonts w:ascii="Times New Roman" w:hAnsi="Times New Roman"/>
                          <w:sz w:val="21"/>
                        </w:rPr>
                      </w:pPr>
                      <w:r>
                        <w:rPr>
                          <w:rFonts w:ascii="Times New Roman" w:hAnsi="Times New Roman"/>
                          <w:sz w:val="21"/>
                        </w:rPr>
                        <w:t xml:space="preserve">2 </w:t>
                      </w:r>
                      <w:r>
                        <w:rPr>
                          <w:rFonts w:hint="eastAsia" w:ascii="Times New Roman" w:hAnsi="Times New Roman"/>
                          <w:sz w:val="21"/>
                        </w:rPr>
                        <w:t>明确评价重点和环境保护目标</w:t>
                      </w:r>
                    </w:p>
                    <w:p w14:paraId="175B7E30">
                      <w:pPr>
                        <w:widowControl/>
                        <w:snapToGrid w:val="0"/>
                        <w:ind w:firstLine="480"/>
                        <w:rPr>
                          <w:sz w:val="21"/>
                        </w:rPr>
                      </w:pPr>
                      <w:r>
                        <w:rPr>
                          <w:rFonts w:ascii="Times New Roman" w:hAnsi="Times New Roman"/>
                          <w:sz w:val="21"/>
                        </w:rPr>
                        <w:t xml:space="preserve">3 </w:t>
                      </w:r>
                      <w:r>
                        <w:rPr>
                          <w:rFonts w:hint="eastAsia" w:ascii="Times New Roman" w:hAnsi="Times New Roman"/>
                          <w:sz w:val="21"/>
                        </w:rPr>
                        <w:t>确定</w:t>
                      </w:r>
                      <w:r>
                        <w:rPr>
                          <w:rFonts w:hint="eastAsia"/>
                          <w:sz w:val="21"/>
                        </w:rPr>
                        <w:t>工作等级、评价范围和评价标准</w:t>
                      </w:r>
                    </w:p>
                  </w:txbxContent>
                </v:textbox>
              </v:rect>
            </w:pict>
          </mc:Fallback>
        </mc:AlternateContent>
      </w:r>
    </w:p>
    <w:p w14:paraId="6CE5E323">
      <w:pPr>
        <w:widowControl/>
        <w:snapToGrid w:val="0"/>
        <w:spacing w:line="400" w:lineRule="atLeast"/>
        <w:ind w:firstLine="480"/>
        <w:jc w:val="left"/>
        <w:rPr>
          <w:rFonts w:hint="default" w:ascii="Times New Roman" w:hAnsi="Times New Roman" w:eastAsia="宋体" w:cs="Times New Roman"/>
          <w:highlight w:val="none"/>
        </w:rPr>
      </w:pPr>
    </w:p>
    <w:p w14:paraId="5DD5827A">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65408" behindDoc="0" locked="0" layoutInCell="1" allowOverlap="1">
                <wp:simplePos x="0" y="0"/>
                <wp:positionH relativeFrom="column">
                  <wp:posOffset>2844800</wp:posOffset>
                </wp:positionH>
                <wp:positionV relativeFrom="paragraph">
                  <wp:posOffset>189230</wp:posOffset>
                </wp:positionV>
                <wp:extent cx="635" cy="196215"/>
                <wp:effectExtent l="37465" t="0" r="38100" b="6985"/>
                <wp:wrapNone/>
                <wp:docPr id="6" name="自选图形 17"/>
                <wp:cNvGraphicFramePr/>
                <a:graphic xmlns:a="http://schemas.openxmlformats.org/drawingml/2006/main">
                  <a:graphicData uri="http://schemas.microsoft.com/office/word/2010/wordprocessingShape">
                    <wps:wsp>
                      <wps:cNvCnPr/>
                      <wps:spPr>
                        <a:xfrm>
                          <a:off x="0" y="0"/>
                          <a:ext cx="635" cy="196215"/>
                        </a:xfrm>
                        <a:prstGeom prst="straightConnector1">
                          <a:avLst/>
                        </a:prstGeom>
                        <a:ln w="9525" cap="flat" cmpd="sng">
                          <a:solidFill>
                            <a:srgbClr val="000000"/>
                          </a:solidFill>
                          <a:prstDash val="solid"/>
                          <a:headEnd type="none" w="med" len="med"/>
                          <a:tailEnd type="triangle" w="med" len="med"/>
                        </a:ln>
                      </wps:spPr>
                      <wps:txbx>
                        <w:txbxContent>
                          <w:p w14:paraId="3B5B0586"/>
                        </w:txbxContent>
                      </wps:txbx>
                      <wps:bodyPr wrap="square" upright="1"/>
                    </wps:wsp>
                  </a:graphicData>
                </a:graphic>
              </wp:anchor>
            </w:drawing>
          </mc:Choice>
          <mc:Fallback>
            <w:pict>
              <v:shape id="自选图形 17" o:spid="_x0000_s1026" o:spt="32" type="#_x0000_t32" style="position:absolute;left:0pt;margin-left:224pt;margin-top:14.9pt;height:15.45pt;width:0.05pt;z-index:251665408;mso-width-relative:page;mso-height-relative:page;" filled="f" stroked="t" coordsize="21600,21600" o:gfxdata="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Hs1uC3ZAAAACQEAAA8AAAAA&#10;AAAAAQAgAAAAIgAAAGRycy9kb3ducmV2LnhtbFBLAQIUABQAAAAIAIdO4kBP/lILEwIAAA4EAAAO&#10;AAAAAAAAAAEAIAAAACgBAABkcnMvZTJvRG9jLnhtbFBLBQYAAAAABgAGAFkBAACtBQAAAAA=&#10;">
                <v:fill on="f" focussize="0,0"/>
                <v:stroke color="#000000" joinstyle="round" endarrow="block"/>
                <v:imagedata o:title=""/>
                <o:lock v:ext="edit" aspectratio="f"/>
                <v:textbox>
                  <w:txbxContent>
                    <w:p w14:paraId="3B5B0586"/>
                  </w:txbxContent>
                </v:textbox>
              </v:shape>
            </w:pict>
          </mc:Fallback>
        </mc:AlternateContent>
      </w:r>
    </w:p>
    <w:p w14:paraId="2E014D92">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66432" behindDoc="0" locked="0" layoutInCell="1" allowOverlap="1">
                <wp:simplePos x="0" y="0"/>
                <wp:positionH relativeFrom="column">
                  <wp:posOffset>2209800</wp:posOffset>
                </wp:positionH>
                <wp:positionV relativeFrom="paragraph">
                  <wp:posOffset>131445</wp:posOffset>
                </wp:positionV>
                <wp:extent cx="1228725" cy="295275"/>
                <wp:effectExtent l="4445" t="4445" r="11430" b="5080"/>
                <wp:wrapNone/>
                <wp:docPr id="7" name="矩形 18"/>
                <wp:cNvGraphicFramePr/>
                <a:graphic xmlns:a="http://schemas.openxmlformats.org/drawingml/2006/main">
                  <a:graphicData uri="http://schemas.microsoft.com/office/word/2010/wordprocessingShape">
                    <wps:wsp>
                      <wps:cNvSpPr/>
                      <wps:spPr>
                        <a:xfrm>
                          <a:off x="0" y="0"/>
                          <a:ext cx="1228725" cy="2952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1C736969">
                            <w:pPr>
                              <w:widowControl/>
                              <w:snapToGrid w:val="0"/>
                              <w:ind w:firstLine="210"/>
                              <w:rPr>
                                <w:sz w:val="21"/>
                              </w:rPr>
                            </w:pPr>
                            <w:r>
                              <w:rPr>
                                <w:rFonts w:hint="eastAsia"/>
                                <w:sz w:val="21"/>
                              </w:rPr>
                              <w:t>制定工作方案</w:t>
                            </w:r>
                          </w:p>
                        </w:txbxContent>
                      </wps:txbx>
                      <wps:bodyPr wrap="square" upright="1"/>
                    </wps:wsp>
                  </a:graphicData>
                </a:graphic>
              </wp:anchor>
            </w:drawing>
          </mc:Choice>
          <mc:Fallback>
            <w:pict>
              <v:rect id="矩形 18" o:spid="_x0000_s1026" o:spt="1" style="position:absolute;left:0pt;margin-left:174pt;margin-top:10.35pt;height:23.25pt;width:96.75pt;z-index:251666432;mso-width-relative:page;mso-height-relative:page;" fillcolor="#FFFFFF" filled="t" stroked="t" coordsize="21600,21600" o:gfxdata="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vpvaW2AAAAAkBAAAPAAAAAAAAAAEAIAAAACIA&#10;AABkcnMvZG93bnJldi54bWxQSwECFAAUAAAACACHTuJAj7J5nAkCAAA4BAAADgAAAAAAAAABACAA&#10;AAAnAQAAZHJzL2Uyb0RvYy54bWxQSwUGAAAAAAYABgBZAQAAogUAAAAA&#10;">
                <v:fill on="t" focussize="0,0"/>
                <v:stroke color="#000000" joinstyle="round"/>
                <v:imagedata o:title=""/>
                <o:lock v:ext="edit" aspectratio="f"/>
                <v:textbox>
                  <w:txbxContent>
                    <w:p w14:paraId="1C736969">
                      <w:pPr>
                        <w:widowControl/>
                        <w:snapToGrid w:val="0"/>
                        <w:ind w:firstLine="210"/>
                        <w:rPr>
                          <w:sz w:val="21"/>
                        </w:rPr>
                      </w:pPr>
                      <w:r>
                        <w:rPr>
                          <w:rFonts w:hint="eastAsia"/>
                          <w:sz w:val="21"/>
                        </w:rPr>
                        <w:t>制定工作方案</w:t>
                      </w:r>
                    </w:p>
                  </w:txbxContent>
                </v:textbox>
              </v:rect>
            </w:pict>
          </mc:Fallback>
        </mc:AlternateContent>
      </w:r>
    </w:p>
    <w:p w14:paraId="795EF84B">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67456" behindDoc="0" locked="0" layoutInCell="1" allowOverlap="1">
                <wp:simplePos x="0" y="0"/>
                <wp:positionH relativeFrom="column">
                  <wp:posOffset>2841625</wp:posOffset>
                </wp:positionH>
                <wp:positionV relativeFrom="paragraph">
                  <wp:posOffset>182880</wp:posOffset>
                </wp:positionV>
                <wp:extent cx="4445" cy="295275"/>
                <wp:effectExtent l="36830" t="0" r="34925" b="9525"/>
                <wp:wrapNone/>
                <wp:docPr id="8" name="自选图形 19"/>
                <wp:cNvGraphicFramePr/>
                <a:graphic xmlns:a="http://schemas.openxmlformats.org/drawingml/2006/main">
                  <a:graphicData uri="http://schemas.microsoft.com/office/word/2010/wordprocessingShape">
                    <wps:wsp>
                      <wps:cNvCnPr/>
                      <wps:spPr>
                        <a:xfrm flipH="1">
                          <a:off x="0" y="0"/>
                          <a:ext cx="4445" cy="295275"/>
                        </a:xfrm>
                        <a:prstGeom prst="straightConnector1">
                          <a:avLst/>
                        </a:prstGeom>
                        <a:ln w="9525" cap="flat" cmpd="sng">
                          <a:solidFill>
                            <a:srgbClr val="000000"/>
                          </a:solidFill>
                          <a:prstDash val="solid"/>
                          <a:headEnd type="none" w="med" len="med"/>
                          <a:tailEnd type="triangle" w="med" len="med"/>
                        </a:ln>
                      </wps:spPr>
                      <wps:txbx>
                        <w:txbxContent>
                          <w:p w14:paraId="6E76D96B"/>
                        </w:txbxContent>
                      </wps:txbx>
                      <wps:bodyPr wrap="square" upright="1"/>
                    </wps:wsp>
                  </a:graphicData>
                </a:graphic>
              </wp:anchor>
            </w:drawing>
          </mc:Choice>
          <mc:Fallback>
            <w:pict>
              <v:shape id="自选图形 19" o:spid="_x0000_s1026" o:spt="32" type="#_x0000_t32" style="position:absolute;left:0pt;flip:x;margin-left:223.75pt;margin-top:14.4pt;height:23.25pt;width:0.35pt;z-index:251667456;mso-width-relative:page;mso-height-relative:page;" filled="f" stroked="t" coordsize="21600,21600" o:gfxdata="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S0dI79kAAAAJ&#10;AQAADwAAAAAAAAABACAAAAAiAAAAZHJzL2Rvd25yZXYueG1sUEsBAhQAFAAAAAgAh07iQHcbidgb&#10;AgAAGQQAAA4AAAAAAAAAAQAgAAAAKAEAAGRycy9lMm9Eb2MueG1sUEsFBgAAAAAGAAYAWQEAALUF&#10;AAAAAA==&#10;">
                <v:fill on="f" focussize="0,0"/>
                <v:stroke color="#000000" joinstyle="round" endarrow="block"/>
                <v:imagedata o:title=""/>
                <o:lock v:ext="edit" aspectratio="f"/>
                <v:textbox>
                  <w:txbxContent>
                    <w:p w14:paraId="6E76D96B"/>
                  </w:txbxContent>
                </v:textbox>
              </v:shape>
            </w:pict>
          </mc:Fallback>
        </mc:AlternateContent>
      </w:r>
    </w:p>
    <w:p w14:paraId="4DE96395">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82816" behindDoc="0" locked="0" layoutInCell="1" allowOverlap="1">
                <wp:simplePos x="0" y="0"/>
                <wp:positionH relativeFrom="column">
                  <wp:posOffset>203835</wp:posOffset>
                </wp:positionH>
                <wp:positionV relativeFrom="paragraph">
                  <wp:posOffset>26670</wp:posOffset>
                </wp:positionV>
                <wp:extent cx="5343525" cy="635"/>
                <wp:effectExtent l="0" t="0" r="0" b="0"/>
                <wp:wrapNone/>
                <wp:docPr id="23" name="自选图形 34"/>
                <wp:cNvGraphicFramePr/>
                <a:graphic xmlns:a="http://schemas.openxmlformats.org/drawingml/2006/main">
                  <a:graphicData uri="http://schemas.microsoft.com/office/word/2010/wordprocessingShape">
                    <wps:wsp>
                      <wps:cNvCnPr/>
                      <wps:spPr>
                        <a:xfrm>
                          <a:off x="0" y="0"/>
                          <a:ext cx="5343525" cy="635"/>
                        </a:xfrm>
                        <a:prstGeom prst="straightConnector1">
                          <a:avLst/>
                        </a:prstGeom>
                        <a:ln w="9525" cap="flat" cmpd="sng">
                          <a:solidFill>
                            <a:srgbClr val="000000"/>
                          </a:solidFill>
                          <a:prstDash val="dash"/>
                          <a:headEnd type="none" w="med" len="med"/>
                          <a:tailEnd type="none" w="med" len="med"/>
                        </a:ln>
                      </wps:spPr>
                      <wps:bodyPr wrap="square" upright="1"/>
                    </wps:wsp>
                  </a:graphicData>
                </a:graphic>
              </wp:anchor>
            </w:drawing>
          </mc:Choice>
          <mc:Fallback>
            <w:pict>
              <v:shape id="自选图形 34" o:spid="_x0000_s1026" o:spt="32" type="#_x0000_t32" style="position:absolute;left:0pt;margin-left:16.05pt;margin-top:2.1pt;height:0.05pt;width:420.75pt;z-index:251682816;mso-width-relative:page;mso-height-relative:page;" filled="f" stroked="t" coordsize="21600,21600" o:gfxdata="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m6RQe1AAAAAYBAAAPAAAAAAAAAAEAIAAAACIAAABkcnMv&#10;ZG93bnJldi54bWxQSwECFAAUAAAACACHTuJAfM2clAcCAAAABAAADgAAAAAAAAABACAAAAAjAQAA&#10;ZHJzL2Uyb0RvYy54bWxQSwUGAAAAAAYABgBZAQAAnAUAAAAA&#10;">
                <v:fill on="f" focussize="0,0"/>
                <v:stroke color="#000000" joinstyle="round" dashstyle="dash"/>
                <v:imagedata o:title=""/>
                <o:lock v:ext="edit" aspectratio="f"/>
              </v:shape>
            </w:pict>
          </mc:Fallback>
        </mc:AlternateContent>
      </w:r>
    </w:p>
    <w:p w14:paraId="7C58ECFD">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71552" behindDoc="0" locked="0" layoutInCell="1" allowOverlap="1">
                <wp:simplePos x="0" y="0"/>
                <wp:positionH relativeFrom="column">
                  <wp:posOffset>1192530</wp:posOffset>
                </wp:positionH>
                <wp:positionV relativeFrom="paragraph">
                  <wp:posOffset>232410</wp:posOffset>
                </wp:positionV>
                <wp:extent cx="1296670" cy="488950"/>
                <wp:effectExtent l="4445" t="4445" r="6985" b="14605"/>
                <wp:wrapNone/>
                <wp:docPr id="12" name="矩形 23"/>
                <wp:cNvGraphicFramePr/>
                <a:graphic xmlns:a="http://schemas.openxmlformats.org/drawingml/2006/main">
                  <a:graphicData uri="http://schemas.microsoft.com/office/word/2010/wordprocessingShape">
                    <wps:wsp>
                      <wps:cNvSpPr/>
                      <wps:spPr>
                        <a:xfrm>
                          <a:off x="0" y="0"/>
                          <a:ext cx="1296670" cy="488950"/>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3A379E4F">
                            <w:pPr>
                              <w:widowControl/>
                              <w:snapToGrid w:val="0"/>
                              <w:jc w:val="center"/>
                              <w:rPr>
                                <w:sz w:val="21"/>
                              </w:rPr>
                            </w:pPr>
                            <w:r>
                              <w:rPr>
                                <w:rFonts w:hint="eastAsia"/>
                                <w:sz w:val="21"/>
                              </w:rPr>
                              <w:t>环境现状调查监测与评价</w:t>
                            </w:r>
                          </w:p>
                        </w:txbxContent>
                      </wps:txbx>
                      <wps:bodyPr wrap="square" upright="1"/>
                    </wps:wsp>
                  </a:graphicData>
                </a:graphic>
              </wp:anchor>
            </w:drawing>
          </mc:Choice>
          <mc:Fallback>
            <w:pict>
              <v:rect id="矩形 23" o:spid="_x0000_s1026" o:spt="1" style="position:absolute;left:0pt;margin-left:93.9pt;margin-top:18.3pt;height:38.5pt;width:102.1pt;z-index:251671552;mso-width-relative:page;mso-height-relative:page;" fillcolor="#FFFFFF" filled="t" stroked="t" coordsize="21600,21600" o:gfxdata="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ubbxv1wAAAAoBAAAPAAAAAAAAAAEAIAAA&#10;ACIAAABkcnMvZG93bnJldi54bWxQSwECFAAUAAAACACHTuJA55T6HQ0CAAA5BAAADgAAAAAAAAAB&#10;ACAAAAAmAQAAZHJzL2Uyb0RvYy54bWxQSwUGAAAAAAYABgBZAQAApQUAAAAA&#10;">
                <v:fill on="t" focussize="0,0"/>
                <v:stroke color="#000000" joinstyle="round"/>
                <v:imagedata o:title=""/>
                <o:lock v:ext="edit" aspectratio="f"/>
                <v:textbox>
                  <w:txbxContent>
                    <w:p w14:paraId="3A379E4F">
                      <w:pPr>
                        <w:widowControl/>
                        <w:snapToGrid w:val="0"/>
                        <w:jc w:val="center"/>
                        <w:rPr>
                          <w:sz w:val="21"/>
                        </w:rPr>
                      </w:pPr>
                      <w:r>
                        <w:rPr>
                          <w:rFonts w:hint="eastAsia"/>
                          <w:sz w:val="21"/>
                        </w:rPr>
                        <w:t>环境现状调查监测与评价</w:t>
                      </w:r>
                    </w:p>
                  </w:txbxContent>
                </v:textbox>
              </v:rect>
            </w:pict>
          </mc:Fallback>
        </mc:AlternateContent>
      </w:r>
    </w:p>
    <w:p w14:paraId="59D63442">
      <w:pPr>
        <w:widowControl/>
        <w:snapToGrid w:val="0"/>
        <w:spacing w:line="400" w:lineRule="atLeast"/>
        <w:ind w:firstLine="480"/>
        <w:jc w:val="left"/>
        <w:rPr>
          <w:rFonts w:hint="default" w:ascii="Times New Roman" w:hAnsi="Times New Roman" w:eastAsia="宋体" w:cs="Times New Roman"/>
          <w:highlight w:val="none"/>
        </w:rPr>
      </w:pPr>
    </w:p>
    <w:p w14:paraId="6075EA4E">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74624" behindDoc="0" locked="0" layoutInCell="1" allowOverlap="1">
                <wp:simplePos x="0" y="0"/>
                <wp:positionH relativeFrom="column">
                  <wp:posOffset>1840865</wp:posOffset>
                </wp:positionH>
                <wp:positionV relativeFrom="paragraph">
                  <wp:posOffset>213360</wp:posOffset>
                </wp:positionV>
                <wp:extent cx="635" cy="226695"/>
                <wp:effectExtent l="4445" t="0" r="7620" b="1905"/>
                <wp:wrapNone/>
                <wp:docPr id="15" name="自选图形 26"/>
                <wp:cNvGraphicFramePr/>
                <a:graphic xmlns:a="http://schemas.openxmlformats.org/drawingml/2006/main">
                  <a:graphicData uri="http://schemas.microsoft.com/office/word/2010/wordprocessingShape">
                    <wps:wsp>
                      <wps:cNvCnPr/>
                      <wps:spPr>
                        <a:xfrm>
                          <a:off x="0" y="0"/>
                          <a:ext cx="635" cy="226695"/>
                        </a:xfrm>
                        <a:prstGeom prst="straightConnector1">
                          <a:avLst/>
                        </a:prstGeom>
                        <a:ln w="9525" cap="flat" cmpd="sng">
                          <a:solidFill>
                            <a:srgbClr val="000000"/>
                          </a:solidFill>
                          <a:prstDash val="solid"/>
                          <a:headEnd type="none" w="med" len="med"/>
                          <a:tailEnd type="none" w="med" len="med"/>
                        </a:ln>
                      </wps:spPr>
                      <wps:bodyPr wrap="square" upright="1"/>
                    </wps:wsp>
                  </a:graphicData>
                </a:graphic>
              </wp:anchor>
            </w:drawing>
          </mc:Choice>
          <mc:Fallback>
            <w:pict>
              <v:shape id="自选图形 26" o:spid="_x0000_s1026" o:spt="32" type="#_x0000_t32" style="position:absolute;left:0pt;margin-left:144.95pt;margin-top:16.8pt;height:17.85pt;width:0.05pt;z-index:251674624;mso-width-relative:page;mso-height-relative:page;" filled="f" stroked="t" coordsize="21600,21600" o:gfxdata="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6135i2AAAAAkBAAAPAAAAAAAAAAEAIAAAACIAAABk&#10;cnMvZG93bnJldi54bWxQSwECFAAUAAAACACHTuJAoAYsJAYCAAAABAAADgAAAAAAAAABACAAAAAn&#10;AQAAZHJzL2Uyb0RvYy54bWxQSwUGAAAAAAYABgBZAQAAnwUAAAAA&#10;">
                <v:fill on="f" focussize="0,0"/>
                <v:stroke color="#000000" joinstyle="round"/>
                <v:imagedata o:title=""/>
                <o:lock v:ext="edit" aspectratio="f"/>
              </v:shape>
            </w:pict>
          </mc:Fallback>
        </mc:AlternateContent>
      </w:r>
    </w:p>
    <w:p w14:paraId="79A47C29">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73600" behindDoc="0" locked="0" layoutInCell="1" allowOverlap="1">
                <wp:simplePos x="0" y="0"/>
                <wp:positionH relativeFrom="column">
                  <wp:posOffset>2827655</wp:posOffset>
                </wp:positionH>
                <wp:positionV relativeFrom="paragraph">
                  <wp:posOffset>182880</wp:posOffset>
                </wp:positionV>
                <wp:extent cx="635" cy="253365"/>
                <wp:effectExtent l="37465" t="0" r="38100" b="635"/>
                <wp:wrapNone/>
                <wp:docPr id="14" name="自选图形 25"/>
                <wp:cNvGraphicFramePr/>
                <a:graphic xmlns:a="http://schemas.openxmlformats.org/drawingml/2006/main">
                  <a:graphicData uri="http://schemas.microsoft.com/office/word/2010/wordprocessingShape">
                    <wps:wsp>
                      <wps:cNvCnPr/>
                      <wps:spPr>
                        <a:xfrm>
                          <a:off x="0" y="0"/>
                          <a:ext cx="635" cy="253365"/>
                        </a:xfrm>
                        <a:prstGeom prst="straightConnector1">
                          <a:avLst/>
                        </a:prstGeom>
                        <a:ln w="9525" cap="flat" cmpd="sng">
                          <a:solidFill>
                            <a:srgbClr val="000000"/>
                          </a:solidFill>
                          <a:prstDash val="solid"/>
                          <a:headEnd type="none" w="med" len="med"/>
                          <a:tailEnd type="triangle" w="med" len="med"/>
                        </a:ln>
                      </wps:spPr>
                      <wps:bodyPr wrap="square" upright="1"/>
                    </wps:wsp>
                  </a:graphicData>
                </a:graphic>
              </wp:anchor>
            </w:drawing>
          </mc:Choice>
          <mc:Fallback>
            <w:pict>
              <v:shape id="自选图形 25" o:spid="_x0000_s1026" o:spt="32" type="#_x0000_t32" style="position:absolute;left:0pt;margin-left:222.65pt;margin-top:14.4pt;height:19.95pt;width:0.05pt;z-index:251673600;mso-width-relative:page;mso-height-relative:page;" filled="f" stroked="t" coordsize="21600,21600" o:gfxdata="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O3/UBfaAAAACQEAAA8AAAAAAAAA&#10;AQAgAAAAIgAAAGRycy9kb3ducmV2LnhtbFBLAQIUABQAAAAIAIdO4kDBISFDDwIAAAQEAAAOAAAA&#10;AAAAAAEAIAAAACkBAABkcnMvZTJvRG9jLnhtbFBLBQYAAAAABgAGAFkBAACqBQAAAAA=&#10;">
                <v:fill on="f" focussize="0,0"/>
                <v:stroke color="#000000" joinstyle="round" endarrow="block"/>
                <v:imagedata o:title=""/>
                <o:lock v:ext="edit" aspectratio="f"/>
              </v:shape>
            </w:pict>
          </mc:Fallback>
        </mc:AlternateContent>
      </w:r>
    </w:p>
    <w:p w14:paraId="4E4C1B10">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77696" behindDoc="0" locked="0" layoutInCell="1" allowOverlap="1">
                <wp:simplePos x="0" y="0"/>
                <wp:positionH relativeFrom="column">
                  <wp:posOffset>1555750</wp:posOffset>
                </wp:positionH>
                <wp:positionV relativeFrom="paragraph">
                  <wp:posOffset>175895</wp:posOffset>
                </wp:positionV>
                <wp:extent cx="2466975" cy="536575"/>
                <wp:effectExtent l="4445" t="4445" r="5080" b="5080"/>
                <wp:wrapNone/>
                <wp:docPr id="18" name="矩形 29"/>
                <wp:cNvGraphicFramePr/>
                <a:graphic xmlns:a="http://schemas.openxmlformats.org/drawingml/2006/main">
                  <a:graphicData uri="http://schemas.microsoft.com/office/word/2010/wordprocessingShape">
                    <wps:wsp>
                      <wps:cNvSpPr/>
                      <wps:spPr>
                        <a:xfrm>
                          <a:off x="0" y="0"/>
                          <a:ext cx="2466975" cy="536575"/>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417F944F">
                            <w:pPr>
                              <w:widowControl/>
                              <w:snapToGrid w:val="0"/>
                              <w:rPr>
                                <w:rFonts w:ascii="Times New Roman" w:hAnsi="Times New Roman"/>
                                <w:sz w:val="21"/>
                              </w:rPr>
                            </w:pPr>
                            <w:r>
                              <w:rPr>
                                <w:rFonts w:ascii="Times New Roman" w:hAnsi="Times New Roman"/>
                                <w:sz w:val="21"/>
                              </w:rPr>
                              <w:t>1</w:t>
                            </w:r>
                            <w:r>
                              <w:rPr>
                                <w:rFonts w:hint="eastAsia" w:ascii="Times New Roman" w:hAnsi="Times New Roman"/>
                                <w:sz w:val="21"/>
                              </w:rPr>
                              <w:t>各环境要素环境影响预测与评价</w:t>
                            </w:r>
                          </w:p>
                          <w:p w14:paraId="21E5700C">
                            <w:pPr>
                              <w:widowControl/>
                              <w:snapToGrid w:val="0"/>
                              <w:rPr>
                                <w:rFonts w:ascii="Times New Roman" w:hAnsi="Times New Roman"/>
                                <w:sz w:val="21"/>
                              </w:rPr>
                            </w:pPr>
                            <w:r>
                              <w:rPr>
                                <w:rFonts w:ascii="Times New Roman" w:hAnsi="Times New Roman"/>
                                <w:sz w:val="21"/>
                              </w:rPr>
                              <w:t xml:space="preserve">2 </w:t>
                            </w:r>
                            <w:r>
                              <w:rPr>
                                <w:rFonts w:hint="eastAsia" w:ascii="Times New Roman" w:hAnsi="Times New Roman"/>
                                <w:sz w:val="21"/>
                              </w:rPr>
                              <w:t>各</w:t>
                            </w:r>
                            <w:r>
                              <w:rPr>
                                <w:rFonts w:hint="eastAsia"/>
                                <w:sz w:val="21"/>
                              </w:rPr>
                              <w:t>专题环境影响分析与评价</w:t>
                            </w:r>
                          </w:p>
                        </w:txbxContent>
                      </wps:txbx>
                      <wps:bodyPr wrap="square" upright="1"/>
                    </wps:wsp>
                  </a:graphicData>
                </a:graphic>
              </wp:anchor>
            </w:drawing>
          </mc:Choice>
          <mc:Fallback>
            <w:pict>
              <v:rect id="矩形 29" o:spid="_x0000_s1026" o:spt="1" style="position:absolute;left:0pt;margin-left:122.5pt;margin-top:13.85pt;height:42.25pt;width:194.25pt;z-index:251677696;mso-width-relative:page;mso-height-relative:page;" fillcolor="#FFFFFF" filled="t" stroked="t" coordsize="21600,21600" o:gfxdata="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3W8JfZAAAACgEAAA8AAAAAAAAAAQAgAAAA&#10;IgAAAGRycy9kb3ducmV2LnhtbFBLAQIUABQAAAAIAIdO4kB0vne1CgIAADkEAAAOAAAAAAAAAAEA&#10;IAAAACgBAABkcnMvZTJvRG9jLnhtbFBLBQYAAAAABgAGAFkBAACkBQAAAAA=&#10;">
                <v:fill on="t" focussize="0,0"/>
                <v:stroke color="#000000" joinstyle="round"/>
                <v:imagedata o:title=""/>
                <o:lock v:ext="edit" aspectratio="f"/>
                <v:textbox>
                  <w:txbxContent>
                    <w:p w14:paraId="417F944F">
                      <w:pPr>
                        <w:widowControl/>
                        <w:snapToGrid w:val="0"/>
                        <w:rPr>
                          <w:rFonts w:ascii="Times New Roman" w:hAnsi="Times New Roman"/>
                          <w:sz w:val="21"/>
                        </w:rPr>
                      </w:pPr>
                      <w:r>
                        <w:rPr>
                          <w:rFonts w:ascii="Times New Roman" w:hAnsi="Times New Roman"/>
                          <w:sz w:val="21"/>
                        </w:rPr>
                        <w:t>1</w:t>
                      </w:r>
                      <w:r>
                        <w:rPr>
                          <w:rFonts w:hint="eastAsia" w:ascii="Times New Roman" w:hAnsi="Times New Roman"/>
                          <w:sz w:val="21"/>
                        </w:rPr>
                        <w:t>各环境要素环境影响预测与评价</w:t>
                      </w:r>
                    </w:p>
                    <w:p w14:paraId="21E5700C">
                      <w:pPr>
                        <w:widowControl/>
                        <w:snapToGrid w:val="0"/>
                        <w:rPr>
                          <w:rFonts w:ascii="Times New Roman" w:hAnsi="Times New Roman"/>
                          <w:sz w:val="21"/>
                        </w:rPr>
                      </w:pPr>
                      <w:r>
                        <w:rPr>
                          <w:rFonts w:ascii="Times New Roman" w:hAnsi="Times New Roman"/>
                          <w:sz w:val="21"/>
                        </w:rPr>
                        <w:t xml:space="preserve">2 </w:t>
                      </w:r>
                      <w:r>
                        <w:rPr>
                          <w:rFonts w:hint="eastAsia" w:ascii="Times New Roman" w:hAnsi="Times New Roman"/>
                          <w:sz w:val="21"/>
                        </w:rPr>
                        <w:t>各</w:t>
                      </w:r>
                      <w:r>
                        <w:rPr>
                          <w:rFonts w:hint="eastAsia"/>
                          <w:sz w:val="21"/>
                        </w:rPr>
                        <w:t>专题环境影响分析与评价</w:t>
                      </w:r>
                    </w:p>
                  </w:txbxContent>
                </v:textbox>
              </v:rect>
            </w:pict>
          </mc:Fallback>
        </mc:AlternateContent>
      </w:r>
    </w:p>
    <w:p w14:paraId="680EA69E">
      <w:pPr>
        <w:widowControl/>
        <w:snapToGrid w:val="0"/>
        <w:spacing w:line="400" w:lineRule="atLeast"/>
        <w:ind w:firstLine="480"/>
        <w:jc w:val="left"/>
        <w:rPr>
          <w:rFonts w:hint="default" w:ascii="Times New Roman" w:hAnsi="Times New Roman" w:eastAsia="宋体" w:cs="Times New Roman"/>
          <w:highlight w:val="none"/>
        </w:rPr>
      </w:pPr>
    </w:p>
    <w:p w14:paraId="0769FE07">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78720" behindDoc="0" locked="0" layoutInCell="1" allowOverlap="1">
                <wp:simplePos x="0" y="0"/>
                <wp:positionH relativeFrom="column">
                  <wp:posOffset>2826385</wp:posOffset>
                </wp:positionH>
                <wp:positionV relativeFrom="paragraph">
                  <wp:posOffset>192405</wp:posOffset>
                </wp:positionV>
                <wp:extent cx="1905" cy="285115"/>
                <wp:effectExtent l="37465" t="0" r="36830" b="6985"/>
                <wp:wrapNone/>
                <wp:docPr id="19" name="自选图形 30"/>
                <wp:cNvGraphicFramePr/>
                <a:graphic xmlns:a="http://schemas.openxmlformats.org/drawingml/2006/main">
                  <a:graphicData uri="http://schemas.microsoft.com/office/word/2010/wordprocessingShape">
                    <wps:wsp>
                      <wps:cNvCnPr/>
                      <wps:spPr>
                        <a:xfrm flipH="1">
                          <a:off x="0" y="0"/>
                          <a:ext cx="1905" cy="285115"/>
                        </a:xfrm>
                        <a:prstGeom prst="straightConnector1">
                          <a:avLst/>
                        </a:prstGeom>
                        <a:ln w="9525" cap="flat" cmpd="sng">
                          <a:solidFill>
                            <a:srgbClr val="000000"/>
                          </a:solidFill>
                          <a:prstDash val="solid"/>
                          <a:headEnd type="none" w="med" len="med"/>
                          <a:tailEnd type="triangle" w="med" len="med"/>
                        </a:ln>
                      </wps:spPr>
                      <wps:bodyPr wrap="square" upright="1"/>
                    </wps:wsp>
                  </a:graphicData>
                </a:graphic>
              </wp:anchor>
            </w:drawing>
          </mc:Choice>
          <mc:Fallback>
            <w:pict>
              <v:shape id="自选图形 30" o:spid="_x0000_s1026" o:spt="32" type="#_x0000_t32" style="position:absolute;left:0pt;flip:x;margin-left:222.55pt;margin-top:15.15pt;height:22.45pt;width:0.15pt;z-index:251678720;mso-width-relative:page;mso-height-relative:page;" filled="f" stroked="t" coordsize="21600,21600" o:gfxdata="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EhWrf/YAAAACQEAAA8AAAAA&#10;AAAAAQAgAAAAIgAAAGRycy9kb3ducmV2LnhtbFBLAQIUABQAAAAIAIdO4kD7luRWFAIAAA8EAAAO&#10;AAAAAAAAAAEAIAAAACcBAABkcnMvZTJvRG9jLnhtbFBLBQYAAAAABgAGAFkBAACtBQAAAAA=&#10;">
                <v:fill on="f" focussize="0,0"/>
                <v:stroke color="#000000" joinstyle="round" endarrow="block"/>
                <v:imagedata o:title=""/>
                <o:lock v:ext="edit" aspectratio="f"/>
              </v:shape>
            </w:pict>
          </mc:Fallback>
        </mc:AlternateContent>
      </w:r>
    </w:p>
    <w:p w14:paraId="16672775">
      <w:pPr>
        <w:widowControl/>
        <w:snapToGrid w:val="0"/>
        <w:spacing w:line="400" w:lineRule="atLeast"/>
        <w:ind w:firstLine="480"/>
        <w:jc w:val="left"/>
        <w:rPr>
          <w:rFonts w:hint="default" w:ascii="Times New Roman" w:hAnsi="Times New Roman" w:eastAsia="宋体" w:cs="Times New Roman"/>
          <w:sz w:val="15"/>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83840" behindDoc="0" locked="0" layoutInCell="1" allowOverlap="1">
                <wp:simplePos x="0" y="0"/>
                <wp:positionH relativeFrom="column">
                  <wp:posOffset>161290</wp:posOffset>
                </wp:positionH>
                <wp:positionV relativeFrom="paragraph">
                  <wp:posOffset>97790</wp:posOffset>
                </wp:positionV>
                <wp:extent cx="5343525" cy="635"/>
                <wp:effectExtent l="0" t="0" r="0" b="0"/>
                <wp:wrapNone/>
                <wp:docPr id="24" name="自选图形 35"/>
                <wp:cNvGraphicFramePr/>
                <a:graphic xmlns:a="http://schemas.openxmlformats.org/drawingml/2006/main">
                  <a:graphicData uri="http://schemas.microsoft.com/office/word/2010/wordprocessingShape">
                    <wps:wsp>
                      <wps:cNvCnPr/>
                      <wps:spPr>
                        <a:xfrm>
                          <a:off x="0" y="0"/>
                          <a:ext cx="5343525" cy="635"/>
                        </a:xfrm>
                        <a:prstGeom prst="straightConnector1">
                          <a:avLst/>
                        </a:prstGeom>
                        <a:ln w="9525" cap="flat" cmpd="sng">
                          <a:solidFill>
                            <a:srgbClr val="000000"/>
                          </a:solidFill>
                          <a:prstDash val="dash"/>
                          <a:headEnd type="none" w="med" len="med"/>
                          <a:tailEnd type="none" w="med" len="med"/>
                        </a:ln>
                      </wps:spPr>
                      <wps:bodyPr wrap="square" upright="1"/>
                    </wps:wsp>
                  </a:graphicData>
                </a:graphic>
              </wp:anchor>
            </w:drawing>
          </mc:Choice>
          <mc:Fallback>
            <w:pict>
              <v:shape id="自选图形 35" o:spid="_x0000_s1026" o:spt="32" type="#_x0000_t32" style="position:absolute;left:0pt;margin-left:12.7pt;margin-top:7.7pt;height:0.05pt;width:420.75pt;z-index:251683840;mso-width-relative:page;mso-height-relative:page;" filled="f" stroked="t" coordsize="21600,21600" o:gfxdata="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EU6BFNcAAAAIAQAADwAAAAAAAAABACAAAAAiAAAA&#10;ZHJzL2Rvd25yZXYueG1sUEsBAhQAFAAAAAgAh07iQDs44zcIAgAAAAQAAA4AAAAAAAAAAQAgAAAA&#10;JgEAAGRycy9lMm9Eb2MueG1sUEsFBgAAAAAGAAYAWQEAAKAFAAAAAA==&#10;">
                <v:fill on="f" focussize="0,0"/>
                <v:stroke color="#000000" joinstyle="round" dashstyle="dash"/>
                <v:imagedata o:title=""/>
                <o:lock v:ext="edit" aspectratio="f"/>
              </v:shape>
            </w:pict>
          </mc:Fallback>
        </mc:AlternateContent>
      </w:r>
    </w:p>
    <w:p w14:paraId="25E2CF36">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86912" behindDoc="0" locked="0" layoutInCell="1" allowOverlap="1">
                <wp:simplePos x="0" y="0"/>
                <wp:positionH relativeFrom="column">
                  <wp:posOffset>227330</wp:posOffset>
                </wp:positionH>
                <wp:positionV relativeFrom="paragraph">
                  <wp:posOffset>59690</wp:posOffset>
                </wp:positionV>
                <wp:extent cx="266700" cy="966470"/>
                <wp:effectExtent l="0" t="0" r="0" b="0"/>
                <wp:wrapNone/>
                <wp:docPr id="27" name="矩形 38"/>
                <wp:cNvGraphicFramePr/>
                <a:graphic xmlns:a="http://schemas.openxmlformats.org/drawingml/2006/main">
                  <a:graphicData uri="http://schemas.microsoft.com/office/word/2010/wordprocessingShape">
                    <wps:wsp>
                      <wps:cNvSpPr/>
                      <wps:spPr>
                        <a:xfrm>
                          <a:off x="0" y="0"/>
                          <a:ext cx="266700" cy="966470"/>
                        </a:xfrm>
                        <a:prstGeom prst="rect">
                          <a:avLst/>
                        </a:prstGeom>
                        <a:noFill/>
                        <a:ln>
                          <a:noFill/>
                        </a:ln>
                      </wps:spPr>
                      <wps:txbx>
                        <w:txbxContent>
                          <w:p w14:paraId="6A44BF48">
                            <w:pPr>
                              <w:widowControl/>
                              <w:snapToGrid w:val="0"/>
                              <w:ind w:firstLine="480"/>
                              <w:jc w:val="center"/>
                              <w:rPr>
                                <w:sz w:val="21"/>
                              </w:rPr>
                            </w:pPr>
                            <w:r>
                              <w:rPr>
                                <w:rFonts w:hint="eastAsia"/>
                                <w:sz w:val="21"/>
                              </w:rPr>
                              <w:t>第三阶段</w:t>
                            </w:r>
                          </w:p>
                        </w:txbxContent>
                      </wps:txbx>
                      <wps:bodyPr wrap="square" upright="1"/>
                    </wps:wsp>
                  </a:graphicData>
                </a:graphic>
              </wp:anchor>
            </w:drawing>
          </mc:Choice>
          <mc:Fallback>
            <w:pict>
              <v:rect id="矩形 38" o:spid="_x0000_s1026" o:spt="1" style="position:absolute;left:0pt;margin-left:17.9pt;margin-top:4.7pt;height:76.1pt;width:21pt;z-index:251686912;mso-width-relative:page;mso-height-relative:page;" filled="f" stroked="f" coordsize="21600,21600" o:gfxdata="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t0lZZtgA&#10;AAAHAQAADwAAAAAAAAABACAAAAAiAAAAZHJzL2Rvd25yZXYueG1sUEsBAhQAFAAAAAgAh07iQONZ&#10;YN6tAQAAUAMAAA4AAAAAAAAAAQAgAAAAJwEAAGRycy9lMm9Eb2MueG1sUEsFBgAAAAAGAAYAWQEA&#10;AEYFAAAAAA==&#10;">
                <v:fill on="f" focussize="0,0"/>
                <v:stroke on="f"/>
                <v:imagedata o:title=""/>
                <o:lock v:ext="edit" aspectratio="f"/>
                <v:textbox>
                  <w:txbxContent>
                    <w:p w14:paraId="6A44BF48">
                      <w:pPr>
                        <w:widowControl/>
                        <w:snapToGrid w:val="0"/>
                        <w:ind w:firstLine="480"/>
                        <w:jc w:val="center"/>
                        <w:rPr>
                          <w:sz w:val="21"/>
                        </w:rPr>
                      </w:pPr>
                      <w:r>
                        <w:rPr>
                          <w:rFonts w:hint="eastAsia"/>
                          <w:sz w:val="21"/>
                        </w:rPr>
                        <w:t>第三阶段</w:t>
                      </w:r>
                    </w:p>
                  </w:txbxContent>
                </v:textbox>
              </v:rect>
            </w:pict>
          </mc:Fallback>
        </mc:AlternateContent>
      </w:r>
    </w:p>
    <w:p w14:paraId="631C0D12">
      <w:pPr>
        <w:widowControl/>
        <w:snapToGrid w:val="0"/>
        <w:spacing w:line="400" w:lineRule="atLeast"/>
        <w:ind w:firstLine="480"/>
        <w:jc w:val="left"/>
        <w:rPr>
          <w:rFonts w:hint="default" w:ascii="Times New Roman" w:hAnsi="Times New Roman" w:eastAsia="宋体" w:cs="Times New Roman"/>
          <w:highlight w:val="none"/>
        </w:rPr>
      </w:pPr>
    </w:p>
    <w:p w14:paraId="13E7D7B8">
      <w:pPr>
        <w:widowControl/>
        <w:snapToGrid w:val="0"/>
        <w:spacing w:line="400" w:lineRule="atLeast"/>
        <w:ind w:firstLine="480"/>
        <w:jc w:val="left"/>
        <w:rPr>
          <w:rFonts w:hint="default" w:ascii="Times New Roman" w:hAnsi="Times New Roman" w:eastAsia="宋体" w:cs="Times New Roman"/>
          <w:highlight w:val="none"/>
        </w:rPr>
      </w:pPr>
    </w:p>
    <w:p w14:paraId="2F872D93">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80768" behindDoc="0" locked="0" layoutInCell="1" allowOverlap="1">
                <wp:simplePos x="0" y="0"/>
                <wp:positionH relativeFrom="column">
                  <wp:posOffset>2802255</wp:posOffset>
                </wp:positionH>
                <wp:positionV relativeFrom="paragraph">
                  <wp:posOffset>51435</wp:posOffset>
                </wp:positionV>
                <wp:extent cx="635" cy="230505"/>
                <wp:effectExtent l="37465" t="0" r="38100" b="10795"/>
                <wp:wrapNone/>
                <wp:docPr id="21" name="自选图形 32"/>
                <wp:cNvGraphicFramePr/>
                <a:graphic xmlns:a="http://schemas.openxmlformats.org/drawingml/2006/main">
                  <a:graphicData uri="http://schemas.microsoft.com/office/word/2010/wordprocessingShape">
                    <wps:wsp>
                      <wps:cNvCnPr/>
                      <wps:spPr>
                        <a:xfrm>
                          <a:off x="0" y="0"/>
                          <a:ext cx="635" cy="230505"/>
                        </a:xfrm>
                        <a:prstGeom prst="straightConnector1">
                          <a:avLst/>
                        </a:prstGeom>
                        <a:ln w="9525" cap="flat" cmpd="sng">
                          <a:solidFill>
                            <a:srgbClr val="000000"/>
                          </a:solidFill>
                          <a:prstDash val="solid"/>
                          <a:headEnd type="none" w="med" len="med"/>
                          <a:tailEnd type="triangle" w="med" len="med"/>
                        </a:ln>
                      </wps:spPr>
                      <wps:bodyPr wrap="square" upright="1"/>
                    </wps:wsp>
                  </a:graphicData>
                </a:graphic>
              </wp:anchor>
            </w:drawing>
          </mc:Choice>
          <mc:Fallback>
            <w:pict>
              <v:shape id="自选图形 32" o:spid="_x0000_s1026" o:spt="32" type="#_x0000_t32" style="position:absolute;left:0pt;margin-left:220.65pt;margin-top:4.05pt;height:18.15pt;width:0.05pt;z-index:251680768;mso-width-relative:page;mso-height-relative:page;" filled="f" stroked="t" coordsize="21600,21600" o:gfxdata="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OEffLdcAAAAIAQAADwAAAAAAAAABACAA&#10;AAAiAAAAZHJzL2Rvd25yZXYueG1sUEsBAhQAFAAAAAgAh07iQNDNUJUOAgAABAQAAA4AAAAAAAAA&#10;AQAgAAAAJgEAAGRycy9lMm9Eb2MueG1sUEsFBgAAAAAGAAYAWQEAAKYFAAAAAA==&#10;">
                <v:fill on="f" focussize="0,0"/>
                <v:stroke color="#000000" joinstyle="round" endarrow="block"/>
                <v:imagedata o:title=""/>
                <o:lock v:ext="edit" aspectratio="f"/>
              </v:shape>
            </w:pict>
          </mc:Fallback>
        </mc:AlternateContent>
      </w:r>
    </w:p>
    <w:p w14:paraId="5589A771">
      <w:pPr>
        <w:widowControl/>
        <w:snapToGrid w:val="0"/>
        <w:spacing w:line="400" w:lineRule="atLeast"/>
        <w:ind w:firstLine="480"/>
        <w:jc w:val="left"/>
        <w:rPr>
          <w:rFonts w:hint="default" w:ascii="Times New Roman" w:hAnsi="Times New Roman" w:eastAsia="宋体" w:cs="Times New Roman"/>
          <w:highlight w:val="none"/>
        </w:rPr>
      </w:pPr>
      <w:r>
        <w:rPr>
          <w:rFonts w:hint="default" w:ascii="Times New Roman" w:hAnsi="Times New Roman" w:eastAsia="宋体" w:cs="Times New Roman"/>
          <w:highlight w:val="none"/>
        </w:rPr>
        <mc:AlternateContent>
          <mc:Choice Requires="wps">
            <w:drawing>
              <wp:anchor distT="0" distB="0" distL="114300" distR="114300" simplePos="0" relativeHeight="251681792" behindDoc="0" locked="0" layoutInCell="1" allowOverlap="1">
                <wp:simplePos x="0" y="0"/>
                <wp:positionH relativeFrom="column">
                  <wp:posOffset>1856105</wp:posOffset>
                </wp:positionH>
                <wp:positionV relativeFrom="paragraph">
                  <wp:posOffset>24130</wp:posOffset>
                </wp:positionV>
                <wp:extent cx="1847215" cy="285750"/>
                <wp:effectExtent l="4445" t="5080" r="15240" b="13970"/>
                <wp:wrapNone/>
                <wp:docPr id="22" name="矩形 33"/>
                <wp:cNvGraphicFramePr/>
                <a:graphic xmlns:a="http://schemas.openxmlformats.org/drawingml/2006/main">
                  <a:graphicData uri="http://schemas.microsoft.com/office/word/2010/wordprocessingShape">
                    <wps:wsp>
                      <wps:cNvSpPr/>
                      <wps:spPr>
                        <a:xfrm>
                          <a:off x="0" y="0"/>
                          <a:ext cx="1847215" cy="285750"/>
                        </a:xfrm>
                        <a:prstGeom prst="rect">
                          <a:avLst/>
                        </a:prstGeom>
                        <a:solidFill>
                          <a:srgbClr val="FFFFFF"/>
                        </a:solidFill>
                        <a:ln w="9525" cap="flat" cmpd="sng">
                          <a:solidFill>
                            <a:srgbClr val="000000"/>
                          </a:solidFill>
                          <a:prstDash val="solid"/>
                          <a:round/>
                          <a:headEnd type="none" w="med" len="med"/>
                          <a:tailEnd type="none" w="med" len="med"/>
                        </a:ln>
                      </wps:spPr>
                      <wps:txbx>
                        <w:txbxContent>
                          <w:p w14:paraId="25D3F281">
                            <w:pPr>
                              <w:widowControl/>
                              <w:snapToGrid w:val="0"/>
                              <w:ind w:firstLine="480"/>
                              <w:jc w:val="center"/>
                              <w:rPr>
                                <w:sz w:val="21"/>
                              </w:rPr>
                            </w:pPr>
                            <w:r>
                              <w:rPr>
                                <w:rFonts w:hint="eastAsia"/>
                                <w:sz w:val="21"/>
                              </w:rPr>
                              <w:t>编制环境影响报告书（表）</w:t>
                            </w:r>
                          </w:p>
                        </w:txbxContent>
                      </wps:txbx>
                      <wps:bodyPr wrap="square" upright="1"/>
                    </wps:wsp>
                  </a:graphicData>
                </a:graphic>
              </wp:anchor>
            </w:drawing>
          </mc:Choice>
          <mc:Fallback>
            <w:pict>
              <v:rect id="矩形 33" o:spid="_x0000_s1026" o:spt="1" style="position:absolute;left:0pt;margin-left:146.15pt;margin-top:1.9pt;height:22.5pt;width:145.45pt;z-index:251681792;mso-width-relative:page;mso-height-relative:page;" fillcolor="#FFFFFF" filled="t" stroked="t" coordsize="21600,21600" o:gfxdata="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XKYx41wAAAAgBAAAPAAAAAAAAAAEAIAAA&#10;ACIAAABkcnMvZG93bnJldi54bWxQSwECFAAUAAAACACHTuJA4IBskA0CAAA5BAAADgAAAAAAAAAB&#10;ACAAAAAmAQAAZHJzL2Uyb0RvYy54bWxQSwUGAAAAAAYABgBZAQAApQUAAAAA&#10;">
                <v:fill on="t" focussize="0,0"/>
                <v:stroke color="#000000" joinstyle="round"/>
                <v:imagedata o:title=""/>
                <o:lock v:ext="edit" aspectratio="f"/>
                <v:textbox>
                  <w:txbxContent>
                    <w:p w14:paraId="25D3F281">
                      <w:pPr>
                        <w:widowControl/>
                        <w:snapToGrid w:val="0"/>
                        <w:ind w:firstLine="480"/>
                        <w:jc w:val="center"/>
                        <w:rPr>
                          <w:sz w:val="21"/>
                        </w:rPr>
                      </w:pPr>
                      <w:r>
                        <w:rPr>
                          <w:rFonts w:hint="eastAsia"/>
                          <w:sz w:val="21"/>
                        </w:rPr>
                        <w:t>编制环境影响报告书（表）</w:t>
                      </w:r>
                    </w:p>
                  </w:txbxContent>
                </v:textbox>
              </v:rect>
            </w:pict>
          </mc:Fallback>
        </mc:AlternateContent>
      </w:r>
    </w:p>
    <w:p w14:paraId="5D977AC9">
      <w:pPr>
        <w:widowControl/>
        <w:snapToGrid w:val="0"/>
        <w:jc w:val="left"/>
        <w:rPr>
          <w:rFonts w:hint="default" w:ascii="Times New Roman" w:hAnsi="Times New Roman" w:eastAsia="宋体" w:cs="Times New Roman"/>
          <w:highlight w:val="none"/>
        </w:rPr>
      </w:pPr>
    </w:p>
    <w:p w14:paraId="766977DB">
      <w:pPr>
        <w:widowControl/>
        <w:snapToGrid w:val="0"/>
        <w:spacing w:line="360" w:lineRule="auto"/>
        <w:jc w:val="center"/>
        <w:rPr>
          <w:rFonts w:hint="default" w:ascii="Times New Roman" w:hAnsi="Times New Roman" w:eastAsia="宋体" w:cs="Times New Roman"/>
          <w:b/>
          <w:bCs/>
          <w:highlight w:val="none"/>
        </w:rPr>
      </w:pPr>
      <w:r>
        <w:rPr>
          <w:rFonts w:hint="default" w:ascii="Times New Roman" w:hAnsi="Times New Roman" w:eastAsia="宋体" w:cs="Times New Roman"/>
          <w:b/>
          <w:bCs/>
          <w:sz w:val="24"/>
          <w:szCs w:val="24"/>
          <w:highlight w:val="none"/>
        </w:rPr>
        <w:t>图1.2-1 环境影响评价工作程序图</w:t>
      </w:r>
    </w:p>
    <w:p w14:paraId="397E47BD">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11" w:name="_Toc9868237"/>
      <w:bookmarkStart w:id="12" w:name="_Toc5262"/>
      <w:bookmarkStart w:id="13" w:name="_Toc1076"/>
      <w:bookmarkStart w:id="14" w:name="_Toc8102"/>
      <w:r>
        <w:rPr>
          <w:rFonts w:hint="default" w:ascii="Times New Roman" w:hAnsi="Times New Roman" w:eastAsia="宋体" w:cs="Times New Roman"/>
          <w:sz w:val="24"/>
          <w:szCs w:val="18"/>
          <w:highlight w:val="none"/>
        </w:rPr>
        <w:t>1.</w:t>
      </w:r>
      <w:r>
        <w:rPr>
          <w:rFonts w:hint="default" w:ascii="Times New Roman" w:hAnsi="Times New Roman" w:cs="Times New Roman"/>
          <w:sz w:val="24"/>
          <w:szCs w:val="18"/>
          <w:highlight w:val="none"/>
          <w:lang w:val="en-US" w:eastAsia="zh-CN"/>
        </w:rPr>
        <w:t>3</w:t>
      </w:r>
      <w:bookmarkEnd w:id="11"/>
      <w:r>
        <w:rPr>
          <w:rFonts w:hint="default" w:ascii="Times New Roman" w:hAnsi="Times New Roman" w:eastAsia="宋体" w:cs="Times New Roman"/>
          <w:sz w:val="24"/>
          <w:szCs w:val="18"/>
          <w:highlight w:val="none"/>
        </w:rPr>
        <w:t>分析判定相关情况</w:t>
      </w:r>
      <w:bookmarkEnd w:id="12"/>
      <w:bookmarkEnd w:id="13"/>
      <w:bookmarkEnd w:id="14"/>
    </w:p>
    <w:p w14:paraId="4279C9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1</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产业政策符合性判定</w:t>
      </w:r>
    </w:p>
    <w:p w14:paraId="752847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本项目为水泥窑协同处置危险废物项目，属于《产业结构调整指导目录（2024年本）》（2023年12月1日，中华人民共和国国家发展和改革委员会令第7号）鼓励类中“十二、建材</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1</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建筑材料等矿产资源的共伴生矿产综合开发利用、水泥原燃材料替代及协同处置技术；四十</w:t>
      </w:r>
      <w:r>
        <w:rPr>
          <w:rFonts w:hint="default" w:ascii="Times New Roman" w:hAnsi="Times New Roman" w:eastAsia="宋体" w:cs="Times New Roman"/>
          <w:color w:val="auto"/>
          <w:sz w:val="24"/>
          <w:szCs w:val="24"/>
          <w:lang w:val="en-US" w:eastAsia="zh-CN"/>
        </w:rPr>
        <w:t>二</w:t>
      </w:r>
      <w:r>
        <w:rPr>
          <w:rFonts w:hint="default" w:ascii="Times New Roman" w:hAnsi="Times New Roman" w:eastAsia="宋体" w:cs="Times New Roman"/>
          <w:color w:val="auto"/>
          <w:sz w:val="24"/>
          <w:szCs w:val="24"/>
        </w:rPr>
        <w:t>、环境保护与资源节约综合利用</w:t>
      </w:r>
      <w:r>
        <w:rPr>
          <w:rFonts w:hint="default" w:ascii="Times New Roman" w:hAnsi="Times New Roman" w:eastAsia="宋体" w:cs="Times New Roman"/>
          <w:color w:val="auto"/>
          <w:sz w:val="24"/>
          <w:szCs w:val="24"/>
          <w:lang w:val="en-US" w:eastAsia="zh-CN"/>
        </w:rPr>
        <w:t>-6.</w:t>
      </w:r>
      <w:r>
        <w:rPr>
          <w:rFonts w:hint="default" w:ascii="Times New Roman" w:hAnsi="Times New Roman" w:eastAsia="宋体" w:cs="Times New Roman"/>
          <w:color w:val="auto"/>
          <w:sz w:val="24"/>
          <w:szCs w:val="24"/>
        </w:rPr>
        <w:t>危险废物（医疗废物）无害化处置和高效利用技术设备开发制造、利用处置中心建设和（或）运营”，符合国家及地方产业政策要求。</w:t>
      </w:r>
    </w:p>
    <w:p w14:paraId="101341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规划符合性判定</w:t>
      </w:r>
    </w:p>
    <w:p w14:paraId="1DE0CE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w:t>
      </w:r>
      <w:r>
        <w:rPr>
          <w:rFonts w:hint="default" w:ascii="Times New Roman" w:hAnsi="Times New Roman" w:eastAsia="宋体" w:cs="Times New Roman"/>
          <w:color w:val="auto"/>
          <w:sz w:val="24"/>
          <w:szCs w:val="24"/>
          <w:lang w:val="en-US" w:eastAsia="zh-CN"/>
        </w:rPr>
        <w:t>项目的建设</w:t>
      </w:r>
      <w:r>
        <w:rPr>
          <w:rFonts w:hint="default" w:ascii="Times New Roman" w:hAnsi="Times New Roman" w:eastAsia="宋体" w:cs="Times New Roman"/>
          <w:color w:val="auto"/>
          <w:sz w:val="24"/>
          <w:szCs w:val="24"/>
        </w:rPr>
        <w:t>符合《中华人民共和国国民经济和社会发展第十四个五年规划和2035年远景目标纲要》、《新疆维吾尔自治区国民经济和社会发展第十四个五年规划和2035年远景目标纲要》、《</w:t>
      </w:r>
      <w:r>
        <w:rPr>
          <w:rFonts w:hint="default" w:ascii="Times New Roman" w:hAnsi="Times New Roman" w:eastAsia="宋体" w:cs="Times New Roman"/>
          <w:color w:val="auto"/>
          <w:sz w:val="24"/>
          <w:szCs w:val="24"/>
          <w:lang w:val="en-US" w:eastAsia="zh-CN"/>
        </w:rPr>
        <w:t>阿克苏地区国民经济和社会发展第十四个五年规划和2035年远景目标纲要</w:t>
      </w:r>
      <w:r>
        <w:rPr>
          <w:rFonts w:hint="default" w:ascii="Times New Roman" w:hAnsi="Times New Roman" w:eastAsia="宋体" w:cs="Times New Roman"/>
          <w:color w:val="auto"/>
          <w:sz w:val="24"/>
          <w:szCs w:val="24"/>
        </w:rPr>
        <w:t>》等。本项目位于阿克苏</w:t>
      </w:r>
      <w:r>
        <w:rPr>
          <w:rFonts w:hint="eastAsia" w:cs="Times New Roman"/>
          <w:color w:val="auto"/>
          <w:sz w:val="24"/>
          <w:szCs w:val="24"/>
          <w:lang w:val="en-US" w:eastAsia="zh-CN"/>
        </w:rPr>
        <w:t>经济技术开发区</w:t>
      </w:r>
      <w:r>
        <w:rPr>
          <w:rFonts w:hint="default" w:ascii="Times New Roman" w:hAnsi="Times New Roman" w:eastAsia="宋体" w:cs="Times New Roman"/>
          <w:color w:val="auto"/>
          <w:sz w:val="24"/>
          <w:szCs w:val="24"/>
        </w:rPr>
        <w:t>内，不涉及生态保护红线及水源地、风景名胜区等</w:t>
      </w:r>
      <w:r>
        <w:rPr>
          <w:rFonts w:hint="default" w:ascii="Times New Roman" w:hAnsi="Times New Roman" w:eastAsia="宋体" w:cs="Times New Roman"/>
          <w:color w:val="auto"/>
          <w:sz w:val="24"/>
          <w:szCs w:val="24"/>
          <w:lang w:val="en-US" w:eastAsia="zh-CN"/>
        </w:rPr>
        <w:t>重要</w:t>
      </w:r>
      <w:r>
        <w:rPr>
          <w:rFonts w:hint="default" w:ascii="Times New Roman" w:hAnsi="Times New Roman" w:eastAsia="宋体" w:cs="Times New Roman"/>
          <w:color w:val="auto"/>
          <w:sz w:val="24"/>
          <w:szCs w:val="24"/>
        </w:rPr>
        <w:t>环境敏感区，本项目不在新疆维吾尔自治区主体功能区规划划定的禁止开发区，符合《新疆维吾尔自治区主体功能区规划》相关要求。</w:t>
      </w:r>
    </w:p>
    <w:p w14:paraId="4B3777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lang w:val="en-US"/>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lang w:val="en-US" w:eastAsia="zh-CN"/>
        </w:rPr>
        <w:t>区域环境敏感性判定</w:t>
      </w:r>
    </w:p>
    <w:p w14:paraId="2DA622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所在区域不涉及国家及地方划定的自然保护区、风景名胜区、生态功能保护区、水土流失重点防治区、森林公园、地质公园、世界遗产地、国家重点文物保护单位、历史文化保护地等敏感目标，区内无珍稀野生保护动植物。</w:t>
      </w:r>
    </w:p>
    <w:p w14:paraId="398D44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项目建设地点位于阿克苏市西工业园，属于</w:t>
      </w:r>
      <w:r>
        <w:rPr>
          <w:rFonts w:hint="default" w:ascii="Times New Roman" w:hAnsi="Times New Roman" w:eastAsia="宋体" w:cs="Times New Roman"/>
          <w:color w:val="auto"/>
          <w:sz w:val="24"/>
          <w:szCs w:val="24"/>
          <w:lang w:val="en-US" w:eastAsia="zh-CN"/>
        </w:rPr>
        <w:t>阿克苏地区</w:t>
      </w:r>
      <w:r>
        <w:rPr>
          <w:rFonts w:hint="default" w:ascii="Times New Roman" w:hAnsi="Times New Roman" w:eastAsia="宋体" w:cs="Times New Roman"/>
          <w:color w:val="auto"/>
          <w:sz w:val="24"/>
          <w:szCs w:val="24"/>
        </w:rPr>
        <w:t>“三线一单”生态环境分区管控方案中的重点管控单元，项目不在划定的生态保护红线范围内，符合《新疆维吾尔自治区“三线一单”生态环境分区管控方案》及《</w:t>
      </w:r>
      <w:r>
        <w:rPr>
          <w:rFonts w:hint="default" w:ascii="Times New Roman" w:hAnsi="Times New Roman" w:eastAsia="宋体" w:cs="Times New Roman"/>
          <w:color w:val="auto"/>
          <w:sz w:val="24"/>
          <w:szCs w:val="24"/>
          <w:lang w:val="en-US" w:eastAsia="zh-CN"/>
        </w:rPr>
        <w:t>阿克苏地区</w:t>
      </w:r>
      <w:r>
        <w:rPr>
          <w:rFonts w:hint="default" w:ascii="Times New Roman" w:hAnsi="Times New Roman" w:eastAsia="宋体" w:cs="Times New Roman"/>
          <w:color w:val="auto"/>
          <w:sz w:val="24"/>
          <w:szCs w:val="24"/>
        </w:rPr>
        <w:t>“三线一单”生态环境分区管控方案》相关要求。</w:t>
      </w:r>
    </w:p>
    <w:p w14:paraId="7AD3B4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outlineLvl w:val="9"/>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综合以上分析判定结果，本项目符合国家及地方相关政策、规划要求。</w:t>
      </w:r>
    </w:p>
    <w:p w14:paraId="7700EC3D">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15" w:name="_Toc9868236"/>
      <w:bookmarkStart w:id="16" w:name="_Toc8633"/>
      <w:bookmarkStart w:id="17" w:name="_Toc25563"/>
      <w:bookmarkStart w:id="18" w:name="_Toc22560"/>
      <w:bookmarkStart w:id="19" w:name="_Toc9868238"/>
      <w:r>
        <w:rPr>
          <w:rFonts w:hint="default" w:ascii="Times New Roman" w:hAnsi="Times New Roman" w:eastAsia="宋体" w:cs="Times New Roman"/>
          <w:sz w:val="24"/>
          <w:szCs w:val="18"/>
          <w:highlight w:val="none"/>
        </w:rPr>
        <w:t>1.</w:t>
      </w:r>
      <w:r>
        <w:rPr>
          <w:rFonts w:hint="default" w:ascii="Times New Roman" w:hAnsi="Times New Roman" w:cs="Times New Roman"/>
          <w:sz w:val="24"/>
          <w:szCs w:val="18"/>
          <w:highlight w:val="none"/>
          <w:lang w:val="en-US" w:eastAsia="zh-CN"/>
        </w:rPr>
        <w:t>4</w:t>
      </w:r>
      <w:bookmarkEnd w:id="15"/>
      <w:r>
        <w:rPr>
          <w:rFonts w:hint="default" w:ascii="Times New Roman" w:hAnsi="Times New Roman" w:eastAsia="宋体" w:cs="Times New Roman"/>
          <w:sz w:val="24"/>
          <w:szCs w:val="18"/>
          <w:highlight w:val="none"/>
        </w:rPr>
        <w:t>关注的主要环境问题及环境影响</w:t>
      </w:r>
      <w:bookmarkEnd w:id="16"/>
      <w:bookmarkEnd w:id="17"/>
      <w:bookmarkEnd w:id="18"/>
    </w:p>
    <w:p w14:paraId="3FEFF7A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施工期产生的废气及建筑垃圾、施工临时占地及生态破坏对周围环境的影响；</w:t>
      </w:r>
    </w:p>
    <w:p w14:paraId="606BFB29">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）水泥窑窑尾烟气</w:t>
      </w:r>
      <w:r>
        <w:rPr>
          <w:rFonts w:hint="eastAsia" w:cs="Times New Roman"/>
          <w:sz w:val="24"/>
          <w:szCs w:val="24"/>
          <w:highlight w:val="none"/>
          <w:lang w:val="en-US" w:eastAsia="zh-CN"/>
        </w:rPr>
        <w:t>及投料车间废气对区域</w:t>
      </w:r>
      <w:r>
        <w:rPr>
          <w:rFonts w:hint="default" w:ascii="Times New Roman" w:hAnsi="Times New Roman" w:eastAsia="宋体" w:cs="Times New Roman"/>
          <w:sz w:val="24"/>
          <w:szCs w:val="24"/>
          <w:highlight w:val="none"/>
        </w:rPr>
        <w:t>所造成的大气环境质量影响；</w:t>
      </w:r>
    </w:p>
    <w:p w14:paraId="1F062D31">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rPr>
        <w:t>）工业危险废物</w:t>
      </w:r>
      <w:r>
        <w:rPr>
          <w:rFonts w:hint="default" w:ascii="Times New Roman" w:hAnsi="Times New Roman" w:cs="Times New Roman"/>
          <w:sz w:val="24"/>
          <w:szCs w:val="24"/>
          <w:highlight w:val="none"/>
          <w:lang w:val="en-US" w:eastAsia="zh-CN"/>
        </w:rPr>
        <w:t>输送及处置</w:t>
      </w:r>
      <w:r>
        <w:rPr>
          <w:rFonts w:hint="default" w:ascii="Times New Roman" w:hAnsi="Times New Roman" w:eastAsia="宋体" w:cs="Times New Roman"/>
          <w:sz w:val="24"/>
          <w:szCs w:val="24"/>
          <w:highlight w:val="none"/>
        </w:rPr>
        <w:t>过程中对厂区周边大气环境质量的影响；</w:t>
      </w:r>
    </w:p>
    <w:p w14:paraId="350AC380">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4</w:t>
      </w:r>
      <w:r>
        <w:rPr>
          <w:rFonts w:hint="default" w:ascii="Times New Roman" w:hAnsi="Times New Roman" w:eastAsia="宋体" w:cs="Times New Roman"/>
          <w:sz w:val="24"/>
          <w:szCs w:val="24"/>
          <w:highlight w:val="none"/>
        </w:rPr>
        <w:t>）工业危险废物</w:t>
      </w:r>
      <w:r>
        <w:rPr>
          <w:rFonts w:hint="default" w:ascii="Times New Roman" w:hAnsi="Times New Roman" w:cs="Times New Roman"/>
          <w:sz w:val="24"/>
          <w:szCs w:val="24"/>
          <w:highlight w:val="none"/>
          <w:lang w:val="en-US" w:eastAsia="zh-CN"/>
        </w:rPr>
        <w:t>输送</w:t>
      </w:r>
      <w:r>
        <w:rPr>
          <w:rFonts w:hint="default" w:ascii="Times New Roman" w:hAnsi="Times New Roman" w:eastAsia="宋体" w:cs="Times New Roman"/>
          <w:sz w:val="24"/>
          <w:szCs w:val="24"/>
          <w:highlight w:val="none"/>
        </w:rPr>
        <w:t>对土壤和地下水的影响</w:t>
      </w:r>
      <w:r>
        <w:rPr>
          <w:rFonts w:hint="default" w:ascii="Times New Roman" w:hAnsi="Times New Roman" w:eastAsia="宋体" w:cs="Times New Roman"/>
          <w:sz w:val="24"/>
          <w:szCs w:val="24"/>
          <w:highlight w:val="none"/>
          <w:lang w:val="en-US" w:eastAsia="zh-CN"/>
        </w:rPr>
        <w:t>以及</w:t>
      </w:r>
      <w:r>
        <w:rPr>
          <w:rFonts w:hint="default" w:ascii="Times New Roman" w:hAnsi="Times New Roman" w:eastAsia="宋体" w:cs="Times New Roman"/>
          <w:sz w:val="24"/>
          <w:szCs w:val="24"/>
          <w:highlight w:val="none"/>
        </w:rPr>
        <w:t>发生风险事故时对</w:t>
      </w:r>
      <w:r>
        <w:rPr>
          <w:rFonts w:hint="default" w:ascii="Times New Roman" w:hAnsi="Times New Roman" w:eastAsia="宋体" w:cs="Times New Roman"/>
          <w:sz w:val="24"/>
          <w:szCs w:val="24"/>
          <w:highlight w:val="none"/>
          <w:lang w:val="en-US" w:eastAsia="zh-CN"/>
        </w:rPr>
        <w:t>周围</w:t>
      </w:r>
      <w:r>
        <w:rPr>
          <w:rFonts w:hint="default" w:ascii="Times New Roman" w:hAnsi="Times New Roman" w:eastAsia="宋体" w:cs="Times New Roman"/>
          <w:sz w:val="24"/>
          <w:szCs w:val="24"/>
          <w:highlight w:val="none"/>
        </w:rPr>
        <w:t>环境的影响</w:t>
      </w:r>
      <w:r>
        <w:rPr>
          <w:rFonts w:hint="default" w:ascii="Times New Roman" w:hAnsi="Times New Roman" w:eastAsia="宋体" w:cs="Times New Roman"/>
          <w:sz w:val="24"/>
          <w:szCs w:val="24"/>
          <w:highlight w:val="none"/>
          <w:lang w:eastAsia="zh-CN"/>
        </w:rPr>
        <w:t>；</w:t>
      </w:r>
    </w:p>
    <w:p w14:paraId="07A23A1E">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对施工期和运营期产生的废气、废水、噪声、固体废物的达标排放情况以及提出的生态减缓措施是否将生态影响降至最低进行分析和论述，并针对以上环境影响所采取的环境保护及风险防范措施的可行性进行分析。</w:t>
      </w:r>
    </w:p>
    <w:p w14:paraId="1FA9C3CE">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20" w:name="_Toc1015"/>
      <w:bookmarkStart w:id="21" w:name="_Toc25247"/>
      <w:bookmarkStart w:id="22" w:name="_Toc16505"/>
      <w:r>
        <w:rPr>
          <w:rFonts w:hint="default" w:ascii="Times New Roman" w:hAnsi="Times New Roman" w:eastAsia="宋体" w:cs="Times New Roman"/>
          <w:sz w:val="24"/>
          <w:szCs w:val="18"/>
          <w:highlight w:val="none"/>
        </w:rPr>
        <w:t>1.</w:t>
      </w:r>
      <w:r>
        <w:rPr>
          <w:rFonts w:hint="default" w:ascii="Times New Roman" w:hAnsi="Times New Roman" w:cs="Times New Roman"/>
          <w:sz w:val="24"/>
          <w:szCs w:val="18"/>
          <w:highlight w:val="none"/>
          <w:lang w:val="en-US" w:eastAsia="zh-CN"/>
        </w:rPr>
        <w:t>5</w:t>
      </w:r>
      <w:r>
        <w:rPr>
          <w:rFonts w:hint="default" w:ascii="Times New Roman" w:hAnsi="Times New Roman" w:eastAsia="宋体" w:cs="Times New Roman"/>
          <w:sz w:val="24"/>
          <w:szCs w:val="18"/>
          <w:highlight w:val="none"/>
        </w:rPr>
        <w:t>环境影响报告书的主要结论</w:t>
      </w:r>
      <w:bookmarkEnd w:id="19"/>
      <w:bookmarkEnd w:id="20"/>
      <w:bookmarkEnd w:id="21"/>
      <w:bookmarkEnd w:id="22"/>
    </w:p>
    <w:p w14:paraId="5EEE9222">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位于阿克苏市西工业园内，符合区域环境功能区划和生态功能区划的要求，选址及总平面布局合理可行。项目符合国家、自治区以及地方产业政策，属于鼓励类项目。在按“三同时”要求，严格落实各项污染防控措施和对策条件下，项目建设可以有效处置新疆兴发化工有限公司</w:t>
      </w:r>
      <w:r>
        <w:rPr>
          <w:rFonts w:hint="default" w:ascii="Times New Roman" w:hAnsi="Times New Roman" w:cs="Times New Roman"/>
          <w:sz w:val="24"/>
          <w:szCs w:val="24"/>
          <w:highlight w:val="none"/>
          <w:lang w:val="en-US" w:eastAsia="zh-CN"/>
        </w:rPr>
        <w:t>生产过程</w:t>
      </w:r>
      <w:r>
        <w:rPr>
          <w:rFonts w:hint="eastAsia" w:cs="Times New Roman"/>
          <w:sz w:val="24"/>
          <w:szCs w:val="24"/>
          <w:highlight w:val="none"/>
          <w:lang w:val="en-US" w:eastAsia="zh-CN"/>
        </w:rPr>
        <w:t>中</w:t>
      </w:r>
      <w:r>
        <w:rPr>
          <w:rFonts w:hint="default" w:ascii="Times New Roman" w:hAnsi="Times New Roman" w:cs="Times New Roman"/>
          <w:sz w:val="24"/>
          <w:szCs w:val="24"/>
          <w:highlight w:val="none"/>
          <w:lang w:val="en-US" w:eastAsia="zh-CN"/>
        </w:rPr>
        <w:t>产生</w:t>
      </w:r>
      <w:r>
        <w:rPr>
          <w:rFonts w:hint="default" w:ascii="Times New Roman" w:hAnsi="Times New Roman" w:eastAsia="宋体" w:cs="Times New Roman"/>
          <w:sz w:val="24"/>
          <w:szCs w:val="24"/>
          <w:highlight w:val="none"/>
        </w:rPr>
        <w:t>的</w:t>
      </w:r>
      <w:r>
        <w:rPr>
          <w:rFonts w:hint="default" w:ascii="Times New Roman" w:hAnsi="Times New Roman" w:cs="Times New Roman"/>
          <w:sz w:val="24"/>
          <w:szCs w:val="24"/>
          <w:highlight w:val="none"/>
          <w:lang w:val="en-US" w:eastAsia="zh-CN"/>
        </w:rPr>
        <w:t>HW11精（蒸）馏残渣（900-013-11）</w:t>
      </w:r>
      <w:r>
        <w:rPr>
          <w:rFonts w:hint="default" w:ascii="Times New Roman" w:hAnsi="Times New Roman" w:eastAsia="宋体" w:cs="Times New Roman"/>
          <w:sz w:val="24"/>
          <w:szCs w:val="24"/>
          <w:highlight w:val="none"/>
        </w:rPr>
        <w:t>，</w:t>
      </w:r>
      <w:r>
        <w:rPr>
          <w:rFonts w:hint="eastAsia" w:cs="Times New Roman"/>
          <w:sz w:val="24"/>
          <w:szCs w:val="24"/>
          <w:highlight w:val="none"/>
          <w:lang w:val="en-US" w:eastAsia="zh-CN"/>
        </w:rPr>
        <w:t>降低了危险废物的处置成本以及在运输过程中的环境风险</w:t>
      </w:r>
      <w:r>
        <w:rPr>
          <w:rFonts w:hint="default" w:ascii="Times New Roman" w:hAnsi="Times New Roman" w:eastAsia="宋体" w:cs="Times New Roman"/>
          <w:sz w:val="24"/>
          <w:szCs w:val="24"/>
          <w:highlight w:val="none"/>
        </w:rPr>
        <w:t>，也可实现水泥生产企业的可持续发展。建设单位开展建设项目环境影响评价公众参与时，公示期满未收到任何公众意见及反馈。项目的建设对于区域的环境保护总体上是有正面、积极意义的，从环保角度分析，本项目建设具有环境可行性。</w:t>
      </w:r>
    </w:p>
    <w:p w14:paraId="7C808014">
      <w:pPr>
        <w:pStyle w:val="51"/>
        <w:jc w:val="both"/>
        <w:rPr>
          <w:rFonts w:hint="default" w:ascii="Times New Roman" w:hAnsi="Times New Roman" w:eastAsia="宋体" w:cs="Times New Roman"/>
          <w:sz w:val="24"/>
          <w:szCs w:val="24"/>
          <w:highlight w:val="none"/>
        </w:rPr>
      </w:pPr>
    </w:p>
    <w:p w14:paraId="57269952">
      <w:pPr>
        <w:pStyle w:val="51"/>
        <w:rPr>
          <w:rFonts w:hint="default" w:ascii="Times New Roman" w:hAnsi="Times New Roman" w:eastAsia="宋体" w:cs="Times New Roman"/>
          <w:sz w:val="24"/>
          <w:szCs w:val="24"/>
          <w:highlight w:val="none"/>
        </w:rPr>
        <w:sectPr>
          <w:footerReference r:id="rId5" w:type="default"/>
          <w:pgSz w:w="11906" w:h="16838"/>
          <w:pgMar w:top="1440" w:right="1803" w:bottom="1440" w:left="1803" w:header="1021" w:footer="1021" w:gutter="0"/>
          <w:pgBorders>
            <w:top w:val="none" w:sz="0" w:space="0"/>
            <w:left w:val="none" w:sz="0" w:space="0"/>
            <w:bottom w:val="none" w:sz="0" w:space="0"/>
            <w:right w:val="none" w:sz="0" w:space="0"/>
          </w:pgBorders>
          <w:pgNumType w:fmt="decimal" w:start="1"/>
          <w:cols w:space="720" w:num="1"/>
          <w:docGrid w:linePitch="312" w:charSpace="0"/>
        </w:sectPr>
      </w:pPr>
    </w:p>
    <w:p w14:paraId="248488B3">
      <w:pPr>
        <w:keepNext/>
        <w:keepLines/>
        <w:pageBreakBefore w:val="0"/>
        <w:widowControl/>
        <w:kinsoku/>
        <w:wordWrap/>
        <w:overflowPunct/>
        <w:topLinePunct w:val="0"/>
        <w:autoSpaceDE/>
        <w:autoSpaceDN/>
        <w:bidi w:val="0"/>
        <w:adjustRightInd/>
        <w:snapToGrid w:val="0"/>
        <w:spacing w:line="360" w:lineRule="auto"/>
        <w:jc w:val="left"/>
        <w:textAlignment w:val="auto"/>
        <w:outlineLvl w:val="0"/>
        <w:rPr>
          <w:rFonts w:hint="default" w:ascii="Times New Roman" w:hAnsi="Times New Roman" w:eastAsia="宋体" w:cs="Times New Roman"/>
          <w:b/>
          <w:bCs/>
          <w:sz w:val="24"/>
          <w:szCs w:val="16"/>
          <w:highlight w:val="none"/>
        </w:rPr>
      </w:pPr>
      <w:bookmarkStart w:id="23" w:name="_Toc25927"/>
      <w:bookmarkStart w:id="24" w:name="_Toc20507"/>
      <w:bookmarkStart w:id="25" w:name="_Toc9868239"/>
      <w:bookmarkStart w:id="26" w:name="_Toc2347"/>
      <w:r>
        <w:rPr>
          <w:rFonts w:hint="default" w:ascii="Times New Roman" w:hAnsi="Times New Roman" w:eastAsia="宋体" w:cs="Times New Roman"/>
          <w:b/>
          <w:bCs/>
          <w:sz w:val="24"/>
          <w:szCs w:val="16"/>
          <w:highlight w:val="none"/>
        </w:rPr>
        <w:t>2总则</w:t>
      </w:r>
      <w:bookmarkEnd w:id="23"/>
      <w:bookmarkEnd w:id="24"/>
      <w:bookmarkEnd w:id="25"/>
      <w:bookmarkEnd w:id="26"/>
    </w:p>
    <w:p w14:paraId="71AA1002">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27" w:name="_Toc23092"/>
      <w:bookmarkStart w:id="28" w:name="_Toc9868240"/>
      <w:bookmarkStart w:id="29" w:name="_Toc32447"/>
      <w:bookmarkStart w:id="30" w:name="_Toc9851"/>
      <w:r>
        <w:rPr>
          <w:rFonts w:hint="default" w:ascii="Times New Roman" w:hAnsi="Times New Roman" w:eastAsia="宋体" w:cs="Times New Roman"/>
          <w:sz w:val="24"/>
          <w:szCs w:val="18"/>
          <w:highlight w:val="none"/>
        </w:rPr>
        <w:t>2.1编制依据</w:t>
      </w:r>
      <w:bookmarkEnd w:id="27"/>
      <w:bookmarkEnd w:id="28"/>
      <w:bookmarkEnd w:id="29"/>
      <w:bookmarkEnd w:id="30"/>
    </w:p>
    <w:p w14:paraId="5203AB69">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bookmarkStart w:id="31" w:name="_Toc9868241"/>
      <w:r>
        <w:rPr>
          <w:rFonts w:hint="default" w:ascii="Times New Roman" w:hAnsi="Times New Roman" w:eastAsia="宋体" w:cs="Times New Roman"/>
          <w:b/>
          <w:bCs w:val="0"/>
          <w:kern w:val="2"/>
          <w:sz w:val="24"/>
          <w:szCs w:val="24"/>
          <w:highlight w:val="none"/>
        </w:rPr>
        <w:t>2.1.1国家环保法律法规</w:t>
      </w:r>
    </w:p>
    <w:p w14:paraId="3F465B46">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（1）《中华人民共和国环境保护法》，2014年4月24日修订，2015年1月1日起施行</w:t>
      </w:r>
      <w:r>
        <w:rPr>
          <w:rFonts w:hint="default" w:ascii="Times New Roman" w:hAnsi="Times New Roman" w:cs="Times New Roman"/>
          <w:lang w:eastAsia="zh-CN"/>
        </w:rPr>
        <w:t>；</w:t>
      </w:r>
    </w:p>
    <w:p w14:paraId="0F6C68B6">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（2）《中华人民共和国环境影响评价法》，2018年12月29日修正并施行</w:t>
      </w:r>
      <w:r>
        <w:rPr>
          <w:rFonts w:hint="default" w:ascii="Times New Roman" w:hAnsi="Times New Roman" w:cs="Times New Roman"/>
          <w:lang w:eastAsia="zh-CN"/>
        </w:rPr>
        <w:t>；</w:t>
      </w:r>
    </w:p>
    <w:p w14:paraId="434608DA">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（3）《中华人民共和国水污染防治法》，2017年6月27日第二次修正，2018年1月1日起施行</w:t>
      </w:r>
      <w:r>
        <w:rPr>
          <w:rFonts w:hint="default" w:ascii="Times New Roman" w:hAnsi="Times New Roman" w:cs="Times New Roman"/>
          <w:lang w:eastAsia="zh-CN"/>
        </w:rPr>
        <w:t>；</w:t>
      </w:r>
    </w:p>
    <w:p w14:paraId="763AC5E8">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（4）《中华人民共和国大气污染防治法》，2018年10月26日修正并施行</w:t>
      </w:r>
      <w:r>
        <w:rPr>
          <w:rFonts w:hint="default" w:ascii="Times New Roman" w:hAnsi="Times New Roman" w:cs="Times New Roman"/>
          <w:lang w:eastAsia="zh-CN"/>
        </w:rPr>
        <w:t>；</w:t>
      </w:r>
    </w:p>
    <w:p w14:paraId="24548740">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（5）《中华人民共和国噪声污染防治法》，中华人民共和国主席令第一〇四号，2022年6月5日起施行</w:t>
      </w:r>
      <w:r>
        <w:rPr>
          <w:rFonts w:hint="default" w:ascii="Times New Roman" w:hAnsi="Times New Roman" w:cs="Times New Roman"/>
          <w:lang w:eastAsia="zh-CN"/>
        </w:rPr>
        <w:t>；</w:t>
      </w:r>
    </w:p>
    <w:p w14:paraId="0475BEF8">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（6）《中华人民共和国固体废物污染环境防治法》，2020年4月29日第二次修正，2020年9月1日施行</w:t>
      </w:r>
      <w:r>
        <w:rPr>
          <w:rFonts w:hint="default" w:ascii="Times New Roman" w:hAnsi="Times New Roman" w:cs="Times New Roman"/>
          <w:lang w:eastAsia="zh-CN"/>
        </w:rPr>
        <w:t>；</w:t>
      </w:r>
    </w:p>
    <w:p w14:paraId="58B2A7C2">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（7）《中华人民共和国土壤污染防治法》，2019年1月1日起施行</w:t>
      </w:r>
      <w:r>
        <w:rPr>
          <w:rFonts w:hint="default" w:ascii="Times New Roman" w:hAnsi="Times New Roman" w:cs="Times New Roman"/>
          <w:lang w:eastAsia="zh-CN"/>
        </w:rPr>
        <w:t>；</w:t>
      </w:r>
    </w:p>
    <w:p w14:paraId="56755408">
      <w:pPr>
        <w:pStyle w:val="6"/>
        <w:keepNext w:val="0"/>
        <w:keepLines w:val="0"/>
        <w:pageBreakBefore w:val="0"/>
        <w:widowControl w:val="0"/>
        <w:kinsoku/>
        <w:wordWrap/>
        <w:overflowPunct/>
        <w:topLinePunct w:val="0"/>
        <w:autoSpaceDE/>
        <w:autoSpaceDN/>
        <w:bidi w:val="0"/>
        <w:adjustRightInd w:val="0"/>
        <w:snapToGrid w:val="0"/>
        <w:ind w:firstLine="456"/>
        <w:textAlignment w:val="auto"/>
        <w:rPr>
          <w:rFonts w:hint="default" w:ascii="Times New Roman" w:hAnsi="Times New Roman" w:eastAsia="宋体" w:cs="Times New Roman"/>
          <w:spacing w:val="-6"/>
          <w:lang w:eastAsia="zh-CN"/>
        </w:rPr>
      </w:pPr>
      <w:r>
        <w:rPr>
          <w:rFonts w:hint="default" w:ascii="Times New Roman" w:hAnsi="Times New Roman" w:cs="Times New Roman"/>
          <w:spacing w:val="-6"/>
        </w:rPr>
        <w:t>（8）《中华人民共和国水法》，2016年7月2日修正，2016年9月1日起施行</w:t>
      </w:r>
      <w:r>
        <w:rPr>
          <w:rFonts w:hint="default" w:ascii="Times New Roman" w:hAnsi="Times New Roman" w:cs="Times New Roman"/>
          <w:spacing w:val="-6"/>
          <w:lang w:eastAsia="zh-CN"/>
        </w:rPr>
        <w:t>；</w:t>
      </w:r>
    </w:p>
    <w:p w14:paraId="341BC834">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（9）《中华人民共和国土地管理法》，2019年4月28日第二次修正，2020年1月1日起施行</w:t>
      </w:r>
      <w:r>
        <w:rPr>
          <w:rFonts w:hint="default" w:ascii="Times New Roman" w:hAnsi="Times New Roman" w:cs="Times New Roman"/>
          <w:lang w:eastAsia="zh-CN"/>
        </w:rPr>
        <w:t>；</w:t>
      </w:r>
    </w:p>
    <w:p w14:paraId="3BE6BA61">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（10）《中华人民共和国清洁生产促进法》，2012年修正，2012年7月1日起施行</w:t>
      </w:r>
      <w:r>
        <w:rPr>
          <w:rFonts w:hint="default" w:ascii="Times New Roman" w:hAnsi="Times New Roman" w:cs="Times New Roman"/>
          <w:lang w:eastAsia="zh-CN"/>
        </w:rPr>
        <w:t>；</w:t>
      </w:r>
    </w:p>
    <w:p w14:paraId="3D0E2A62">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（11）《中华人民共和国循环经济促进法》，2018年10月26日修正并施行</w:t>
      </w:r>
      <w:r>
        <w:rPr>
          <w:rFonts w:hint="default" w:ascii="Times New Roman" w:hAnsi="Times New Roman" w:cs="Times New Roman"/>
          <w:lang w:eastAsia="zh-CN"/>
        </w:rPr>
        <w:t>；</w:t>
      </w:r>
    </w:p>
    <w:p w14:paraId="03A68F55">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（12）《中华人民共和国节约能源法》，2018年10月26日修正并施行</w:t>
      </w:r>
      <w:r>
        <w:rPr>
          <w:rFonts w:hint="default" w:ascii="Times New Roman" w:hAnsi="Times New Roman" w:cs="Times New Roman"/>
          <w:lang w:eastAsia="zh-CN"/>
        </w:rPr>
        <w:t>；</w:t>
      </w:r>
    </w:p>
    <w:p w14:paraId="05CC5CF9">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（13）《中华人民共和国水土保持法》2011年3月1日起施行</w:t>
      </w:r>
      <w:r>
        <w:rPr>
          <w:rFonts w:hint="default" w:ascii="Times New Roman" w:hAnsi="Times New Roman" w:cs="Times New Roman"/>
          <w:lang w:eastAsia="zh-CN"/>
        </w:rPr>
        <w:t>；</w:t>
      </w:r>
    </w:p>
    <w:p w14:paraId="047FA82B">
      <w:pPr>
        <w:pStyle w:val="6"/>
        <w:keepNext w:val="0"/>
        <w:keepLines w:val="0"/>
        <w:pageBreakBefore w:val="0"/>
        <w:widowControl w:val="0"/>
        <w:kinsoku/>
        <w:wordWrap/>
        <w:overflowPunct/>
        <w:topLinePunct w:val="0"/>
        <w:autoSpaceDE/>
        <w:autoSpaceDN/>
        <w:bidi w:val="0"/>
        <w:adjustRightInd w:val="0"/>
        <w:snapToGrid w:val="0"/>
        <w:ind w:firstLine="456"/>
        <w:textAlignment w:val="auto"/>
        <w:rPr>
          <w:rFonts w:hint="default" w:ascii="Times New Roman" w:hAnsi="Times New Roman" w:eastAsia="宋体" w:cs="Times New Roman"/>
          <w:spacing w:val="-6"/>
          <w:lang w:eastAsia="zh-CN"/>
        </w:rPr>
      </w:pPr>
      <w:r>
        <w:rPr>
          <w:rFonts w:hint="default" w:ascii="Times New Roman" w:hAnsi="Times New Roman" w:cs="Times New Roman"/>
          <w:spacing w:val="-6"/>
        </w:rPr>
        <w:t>（14）《中华人民共和国安全生产法》，2021年修正，2021年9月1日起施行</w:t>
      </w:r>
      <w:r>
        <w:rPr>
          <w:rFonts w:hint="default" w:ascii="Times New Roman" w:hAnsi="Times New Roman" w:cs="Times New Roman"/>
          <w:spacing w:val="-6"/>
          <w:lang w:eastAsia="zh-CN"/>
        </w:rPr>
        <w:t>；</w:t>
      </w:r>
    </w:p>
    <w:p w14:paraId="42E8B937">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（15）《中华人民共和国突发事件应对法》，2007年11月1日起施行</w:t>
      </w:r>
      <w:r>
        <w:rPr>
          <w:rFonts w:hint="default" w:ascii="Times New Roman" w:hAnsi="Times New Roman" w:cs="Times New Roman"/>
          <w:lang w:eastAsia="zh-CN"/>
        </w:rPr>
        <w:t>；</w:t>
      </w:r>
    </w:p>
    <w:p w14:paraId="75B4D7D8">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（16）</w:t>
      </w:r>
      <w:r>
        <w:rPr>
          <w:rFonts w:hint="default" w:ascii="Times New Roman" w:hAnsi="Times New Roman" w:cs="Times New Roman"/>
          <w:spacing w:val="-6"/>
        </w:rPr>
        <w:t>《排污许可管理条例》，2020年12月9日通过，2021年3月1日起施行</w:t>
      </w:r>
      <w:r>
        <w:rPr>
          <w:rFonts w:hint="default" w:ascii="Times New Roman" w:hAnsi="Times New Roman" w:cs="Times New Roman"/>
          <w:spacing w:val="-6"/>
          <w:lang w:eastAsia="zh-CN"/>
        </w:rPr>
        <w:t>；</w:t>
      </w:r>
    </w:p>
    <w:p w14:paraId="2DEFB374">
      <w:pPr>
        <w:pStyle w:val="6"/>
        <w:keepNext w:val="0"/>
        <w:keepLines w:val="0"/>
        <w:pageBreakBefore w:val="0"/>
        <w:widowControl w:val="0"/>
        <w:kinsoku/>
        <w:wordWrap/>
        <w:overflowPunct/>
        <w:topLinePunct w:val="0"/>
        <w:autoSpaceDE/>
        <w:autoSpaceDN/>
        <w:bidi w:val="0"/>
        <w:adjustRightInd w:val="0"/>
        <w:snapToGrid w:val="0"/>
        <w:ind w:firstLine="456"/>
        <w:textAlignment w:val="auto"/>
        <w:rPr>
          <w:rFonts w:hint="default" w:ascii="Times New Roman" w:hAnsi="Times New Roman" w:eastAsia="宋体" w:cs="Times New Roman"/>
          <w:spacing w:val="-6"/>
          <w:lang w:eastAsia="zh-CN"/>
        </w:rPr>
      </w:pPr>
      <w:r>
        <w:rPr>
          <w:rFonts w:hint="default" w:ascii="Times New Roman" w:hAnsi="Times New Roman" w:cs="Times New Roman"/>
          <w:spacing w:val="-6"/>
        </w:rPr>
        <w:t>（17）</w:t>
      </w:r>
      <w:r>
        <w:rPr>
          <w:rFonts w:hint="default" w:ascii="Times New Roman" w:hAnsi="Times New Roman" w:cs="Times New Roman"/>
          <w:spacing w:val="-4"/>
        </w:rPr>
        <w:t>《建设项目环境保护管理条例》，2017年修正，2017年10月1日起施行</w:t>
      </w:r>
      <w:r>
        <w:rPr>
          <w:rFonts w:hint="default" w:ascii="Times New Roman" w:hAnsi="Times New Roman" w:cs="Times New Roman"/>
          <w:spacing w:val="-4"/>
          <w:lang w:eastAsia="zh-CN"/>
        </w:rPr>
        <w:t>。</w:t>
      </w:r>
    </w:p>
    <w:p w14:paraId="2196B67A">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rPr>
        <w:t>2.1.2部门规章</w:t>
      </w:r>
    </w:p>
    <w:p w14:paraId="2DE325B6">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lang w:eastAsia="zh-CN"/>
        </w:rPr>
      </w:pPr>
      <w:r>
        <w:rPr>
          <w:rFonts w:hint="default" w:ascii="Times New Roman" w:hAnsi="Times New Roman" w:cs="Times New Roman"/>
        </w:rPr>
        <w:t>（1）《建设项目环境影响评价分类管理名录（2021年版）》，生态环境部令第16号，2021年1月1日起施行</w:t>
      </w:r>
      <w:r>
        <w:rPr>
          <w:rFonts w:hint="default" w:ascii="Times New Roman" w:hAnsi="Times New Roman" w:cs="Times New Roman"/>
          <w:lang w:eastAsia="zh-CN"/>
        </w:rPr>
        <w:t>；</w:t>
      </w:r>
    </w:p>
    <w:p w14:paraId="7E2A8437">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（2）《关于进一步加强危险废物规范化环境管理有关工作的通知》，环办固体〔2023〕17号</w:t>
      </w:r>
      <w:r>
        <w:rPr>
          <w:rFonts w:hint="default" w:ascii="Times New Roman" w:hAnsi="Times New Roman" w:cs="Times New Roman"/>
          <w:lang w:eastAsia="zh-CN"/>
        </w:rPr>
        <w:t>；</w:t>
      </w:r>
    </w:p>
    <w:p w14:paraId="401F2EA9">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（3）《关于切实加强风险防范严格环境影响评价管理的通知》，环发〔2012〕98号</w:t>
      </w:r>
      <w:r>
        <w:rPr>
          <w:rFonts w:hint="default" w:ascii="Times New Roman" w:hAnsi="Times New Roman" w:cs="Times New Roman"/>
          <w:lang w:eastAsia="zh-CN"/>
        </w:rPr>
        <w:t>；</w:t>
      </w:r>
    </w:p>
    <w:p w14:paraId="074DECD4">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（4）关于印发《建设项目主要污染物排放总量指标审核及管理暂行办法》的通知，环发〔2014〕197号，2014年12月30日施行</w:t>
      </w:r>
      <w:r>
        <w:rPr>
          <w:rFonts w:hint="default" w:ascii="Times New Roman" w:hAnsi="Times New Roman" w:cs="Times New Roman"/>
          <w:lang w:eastAsia="zh-CN"/>
        </w:rPr>
        <w:t>；</w:t>
      </w:r>
    </w:p>
    <w:p w14:paraId="538335EA">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（5）《关于发布&lt;建设项目竣工环境保护验收暂行办法&gt;的公告》，国环规环评〔2017〕4号，2017年11月20日起施行</w:t>
      </w:r>
      <w:r>
        <w:rPr>
          <w:rFonts w:hint="default" w:ascii="Times New Roman" w:hAnsi="Times New Roman" w:cs="Times New Roman"/>
          <w:lang w:eastAsia="zh-CN"/>
        </w:rPr>
        <w:t>；</w:t>
      </w:r>
    </w:p>
    <w:p w14:paraId="6BB834FC">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（6）关于印发《环评与排污许可监管行动计划（2021-2023）、生态环境部2021年度环评环评与排污许可监管工作方案》的通知，环办环评函〔2020〕463号</w:t>
      </w:r>
      <w:r>
        <w:rPr>
          <w:rFonts w:hint="default" w:ascii="Times New Roman" w:hAnsi="Times New Roman" w:cs="Times New Roman"/>
          <w:lang w:eastAsia="zh-CN"/>
        </w:rPr>
        <w:t>；</w:t>
      </w:r>
    </w:p>
    <w:p w14:paraId="14D5A5BB">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（7）《突发环境事件应急管理办法》，原环境保护部部令第34号，2015年6月5日起施行</w:t>
      </w:r>
      <w:r>
        <w:rPr>
          <w:rFonts w:hint="default" w:ascii="Times New Roman" w:hAnsi="Times New Roman" w:cs="Times New Roman"/>
          <w:lang w:eastAsia="zh-CN"/>
        </w:rPr>
        <w:t>；</w:t>
      </w:r>
    </w:p>
    <w:p w14:paraId="6343A5E9">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（8）《关于强化建设项目环境影响评价事中事后监管的实施意见》，环环评〔2018〕11号，2018年1月25日起施行</w:t>
      </w:r>
      <w:r>
        <w:rPr>
          <w:rFonts w:hint="default" w:ascii="Times New Roman" w:hAnsi="Times New Roman" w:cs="Times New Roman"/>
          <w:lang w:eastAsia="zh-CN"/>
        </w:rPr>
        <w:t>；</w:t>
      </w:r>
    </w:p>
    <w:p w14:paraId="3540D794">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（9）《环境影响评价公众参与办法》，生态环境部令第4号，2019年1月1日起施行</w:t>
      </w:r>
      <w:r>
        <w:rPr>
          <w:rFonts w:hint="default" w:ascii="Times New Roman" w:hAnsi="Times New Roman" w:cs="Times New Roman"/>
          <w:lang w:eastAsia="zh-CN"/>
        </w:rPr>
        <w:t>；</w:t>
      </w:r>
    </w:p>
    <w:p w14:paraId="139B0CE1">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（10）《关于以改善环境质量为核心加强环境影响评价管理的通知》，环环评〔2016〕150号，原环境保护部办公厅2016年10月27日印发</w:t>
      </w:r>
      <w:r>
        <w:rPr>
          <w:rFonts w:hint="default" w:ascii="Times New Roman" w:hAnsi="Times New Roman" w:cs="Times New Roman"/>
          <w:lang w:eastAsia="zh-CN"/>
        </w:rPr>
        <w:t>；</w:t>
      </w:r>
    </w:p>
    <w:p w14:paraId="3E49CB7C">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（11）《企业环境信息依法披露管理办法》，生态环境部令第24号，2022年2月8日起施行</w:t>
      </w:r>
      <w:r>
        <w:rPr>
          <w:rFonts w:hint="default" w:ascii="Times New Roman" w:hAnsi="Times New Roman" w:cs="Times New Roman"/>
          <w:lang w:eastAsia="zh-CN"/>
        </w:rPr>
        <w:t>；</w:t>
      </w:r>
    </w:p>
    <w:p w14:paraId="30103348">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（12）《关于发布危险废物经营单位编制应急预案指南的公告》，国家环境保护总局公告2007年第48号</w:t>
      </w:r>
      <w:r>
        <w:rPr>
          <w:rFonts w:hint="default" w:ascii="Times New Roman" w:hAnsi="Times New Roman" w:cs="Times New Roman"/>
          <w:lang w:eastAsia="zh-CN"/>
        </w:rPr>
        <w:t>；</w:t>
      </w:r>
    </w:p>
    <w:p w14:paraId="788C25D2">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（13）《产业结构调整指导目录（20</w:t>
      </w:r>
      <w:r>
        <w:rPr>
          <w:rFonts w:hint="default" w:ascii="Times New Roman" w:hAnsi="Times New Roman" w:cs="Times New Roman"/>
          <w:lang w:val="en-US" w:eastAsia="zh-CN"/>
        </w:rPr>
        <w:t>24</w:t>
      </w:r>
      <w:r>
        <w:rPr>
          <w:rFonts w:hint="default" w:ascii="Times New Roman" w:hAnsi="Times New Roman" w:cs="Times New Roman"/>
        </w:rPr>
        <w:t>年本）》（2024年2月1日起施行）</w:t>
      </w:r>
      <w:r>
        <w:rPr>
          <w:rFonts w:hint="default" w:ascii="Times New Roman" w:hAnsi="Times New Roman" w:cs="Times New Roman"/>
          <w:lang w:eastAsia="zh-CN"/>
        </w:rPr>
        <w:t>；</w:t>
      </w:r>
    </w:p>
    <w:p w14:paraId="3393F33C">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（14）《危险废物转移管理办法》（生态环境部公安部交通运输部部令第23号）</w:t>
      </w:r>
      <w:r>
        <w:rPr>
          <w:rFonts w:hint="default" w:ascii="Times New Roman" w:hAnsi="Times New Roman" w:cs="Times New Roman"/>
          <w:lang w:eastAsia="zh-CN"/>
        </w:rPr>
        <w:t>；</w:t>
      </w:r>
    </w:p>
    <w:p w14:paraId="4DE707B5">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（15）《关于做好环境影响评价制度与排污许可制衔接相关工作的通知》，环办环评〔2017〕84号</w:t>
      </w:r>
      <w:r>
        <w:rPr>
          <w:rFonts w:hint="default" w:ascii="Times New Roman" w:hAnsi="Times New Roman" w:cs="Times New Roman"/>
          <w:lang w:eastAsia="zh-CN"/>
        </w:rPr>
        <w:t>；</w:t>
      </w:r>
    </w:p>
    <w:p w14:paraId="331F8C76">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（16）《关于加强污染源环境监管信息公开工作的通知》，环发〔2013〕74号，2013年7月21日起施行</w:t>
      </w:r>
      <w:r>
        <w:rPr>
          <w:rFonts w:hint="default" w:ascii="Times New Roman" w:hAnsi="Times New Roman" w:cs="Times New Roman"/>
          <w:lang w:eastAsia="zh-CN"/>
        </w:rPr>
        <w:t>；</w:t>
      </w:r>
    </w:p>
    <w:p w14:paraId="5C5C5F4F">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（17）《关于发布重点监管单位土壤污染隐患排查指南（试行）的公告》，生态环境部公告2021年第1号</w:t>
      </w:r>
      <w:r>
        <w:rPr>
          <w:rFonts w:hint="default" w:ascii="Times New Roman" w:hAnsi="Times New Roman" w:cs="Times New Roman"/>
          <w:lang w:eastAsia="zh-CN"/>
        </w:rPr>
        <w:t>；</w:t>
      </w:r>
    </w:p>
    <w:p w14:paraId="5EC14EBC">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（18）《国务院关于印发</w:t>
      </w:r>
      <w:r>
        <w:rPr>
          <w:rFonts w:hint="default" w:ascii="Times New Roman" w:hAnsi="Times New Roman" w:cs="Times New Roman"/>
          <w:lang w:eastAsia="zh-CN"/>
        </w:rPr>
        <w:t>“</w:t>
      </w:r>
      <w:r>
        <w:rPr>
          <w:rFonts w:hint="default" w:ascii="Times New Roman" w:hAnsi="Times New Roman" w:cs="Times New Roman"/>
          <w:lang w:val="en-US" w:eastAsia="zh-CN"/>
        </w:rPr>
        <w:t>十四五</w:t>
      </w:r>
      <w:r>
        <w:rPr>
          <w:rFonts w:hint="default" w:ascii="Times New Roman" w:hAnsi="Times New Roman" w:cs="Times New Roman"/>
          <w:lang w:eastAsia="zh-CN"/>
        </w:rPr>
        <w:t>”</w:t>
      </w:r>
      <w:r>
        <w:rPr>
          <w:rFonts w:hint="default" w:ascii="Times New Roman" w:hAnsi="Times New Roman" w:cs="Times New Roman"/>
        </w:rPr>
        <w:t>节能减排综合工作方案的通知》（国发〔2021〕33号）</w:t>
      </w:r>
      <w:r>
        <w:rPr>
          <w:rFonts w:hint="default" w:ascii="Times New Roman" w:hAnsi="Times New Roman" w:cs="Times New Roman"/>
          <w:lang w:eastAsia="zh-CN"/>
        </w:rPr>
        <w:t>；</w:t>
      </w:r>
    </w:p>
    <w:p w14:paraId="38F677DC">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（19）《国家危险废物名录（202</w:t>
      </w:r>
      <w:r>
        <w:rPr>
          <w:rFonts w:hint="default" w:ascii="Times New Roman" w:hAnsi="Times New Roman" w:cs="Times New Roman"/>
          <w:lang w:val="en-US" w:eastAsia="zh-CN"/>
        </w:rPr>
        <w:t>5</w:t>
      </w:r>
      <w:r>
        <w:rPr>
          <w:rFonts w:hint="default" w:ascii="Times New Roman" w:hAnsi="Times New Roman" w:cs="Times New Roman"/>
        </w:rPr>
        <w:t>年版）》，自2025年1月1日起施行</w:t>
      </w:r>
      <w:r>
        <w:rPr>
          <w:rFonts w:hint="default" w:ascii="Times New Roman" w:hAnsi="Times New Roman" w:cs="Times New Roman"/>
          <w:lang w:eastAsia="zh-CN"/>
        </w:rPr>
        <w:t>；</w:t>
      </w:r>
    </w:p>
    <w:p w14:paraId="62610C89">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（20）《固定污染源排污许可分类管理名录（2019年版）》，生态环境部部令第11号</w:t>
      </w:r>
      <w:r>
        <w:rPr>
          <w:rFonts w:hint="default" w:ascii="Times New Roman" w:hAnsi="Times New Roman" w:cs="Times New Roman"/>
          <w:lang w:eastAsia="zh-CN"/>
        </w:rPr>
        <w:t>；</w:t>
      </w:r>
    </w:p>
    <w:p w14:paraId="402AC6E6">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（21）《中共中央国务院关于深入打好污染防治攻坚战的意见》，2021年11月2日</w:t>
      </w:r>
      <w:r>
        <w:rPr>
          <w:rFonts w:hint="default" w:ascii="Times New Roman" w:hAnsi="Times New Roman" w:cs="Times New Roman"/>
          <w:lang w:eastAsia="zh-CN"/>
        </w:rPr>
        <w:t>；</w:t>
      </w:r>
    </w:p>
    <w:p w14:paraId="441D4B4F">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（22）《工矿用地土壤环境管理办法（试行）》（生态环境部令第3号）</w:t>
      </w:r>
      <w:r>
        <w:rPr>
          <w:rFonts w:hint="default" w:ascii="Times New Roman" w:hAnsi="Times New Roman" w:cs="Times New Roman"/>
          <w:lang w:eastAsia="zh-CN"/>
        </w:rPr>
        <w:t>；</w:t>
      </w:r>
    </w:p>
    <w:p w14:paraId="32DEE2CD">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（23）《中共中央国务院关于全面加强生态环境保护坚决打好污染防治攻坚战的意见》，2018年6月16日</w:t>
      </w:r>
      <w:r>
        <w:rPr>
          <w:rFonts w:hint="default" w:ascii="Times New Roman" w:hAnsi="Times New Roman" w:cs="Times New Roman"/>
          <w:lang w:eastAsia="zh-CN"/>
        </w:rPr>
        <w:t>；</w:t>
      </w:r>
    </w:p>
    <w:p w14:paraId="2BAFA8CB">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（24）《国务院办公厅关于印发控制污染物排放许可制实施方案的通知》（国办发〔2016〕81号）</w:t>
      </w:r>
      <w:r>
        <w:rPr>
          <w:rFonts w:hint="default" w:ascii="Times New Roman" w:hAnsi="Times New Roman" w:cs="Times New Roman"/>
          <w:lang w:eastAsia="zh-CN"/>
        </w:rPr>
        <w:t>；</w:t>
      </w:r>
    </w:p>
    <w:p w14:paraId="0CEB30D1">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（25）《危险废物经营单位审查和许可指南》（2019年修订）</w:t>
      </w:r>
      <w:r>
        <w:rPr>
          <w:rFonts w:hint="default" w:ascii="Times New Roman" w:hAnsi="Times New Roman" w:cs="Times New Roman"/>
          <w:lang w:eastAsia="zh-CN"/>
        </w:rPr>
        <w:t>；</w:t>
      </w:r>
    </w:p>
    <w:p w14:paraId="35BC76D3">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（26）《水泥窑协同处置危险废物经营许可证审查指南（试行）》</w:t>
      </w:r>
      <w:r>
        <w:rPr>
          <w:rFonts w:hint="default" w:ascii="Times New Roman" w:hAnsi="Times New Roman" w:cs="Times New Roman"/>
          <w:lang w:eastAsia="zh-CN"/>
        </w:rPr>
        <w:t>；</w:t>
      </w:r>
    </w:p>
    <w:p w14:paraId="1A275FA3">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（27）《危险废物规范化管理指标体系》（环办〔2015〕99号）</w:t>
      </w:r>
      <w:r>
        <w:rPr>
          <w:rFonts w:hint="default" w:ascii="Times New Roman" w:hAnsi="Times New Roman" w:cs="Times New Roman"/>
          <w:lang w:eastAsia="zh-CN"/>
        </w:rPr>
        <w:t>；</w:t>
      </w:r>
    </w:p>
    <w:p w14:paraId="738CA1AA">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（28）《危险废物经营许可证管理办法》（2016年修订）</w:t>
      </w:r>
      <w:r>
        <w:rPr>
          <w:rFonts w:hint="default" w:ascii="Times New Roman" w:hAnsi="Times New Roman" w:cs="Times New Roman"/>
          <w:lang w:eastAsia="zh-CN"/>
        </w:rPr>
        <w:t>；</w:t>
      </w:r>
    </w:p>
    <w:p w14:paraId="7522F276">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（29）《危险废物污染防治技术政策》（环发〔2001〕199号）</w:t>
      </w:r>
      <w:r>
        <w:rPr>
          <w:rFonts w:hint="default" w:ascii="Times New Roman" w:hAnsi="Times New Roman" w:cs="Times New Roman"/>
          <w:lang w:eastAsia="zh-CN"/>
        </w:rPr>
        <w:t>；</w:t>
      </w:r>
    </w:p>
    <w:p w14:paraId="58BC94DF">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（30）《水泥窑协同处置固体废物污染防治技术政策》（公告2016年第72号）</w:t>
      </w:r>
      <w:r>
        <w:rPr>
          <w:rFonts w:hint="default" w:ascii="Times New Roman" w:hAnsi="Times New Roman" w:cs="Times New Roman"/>
          <w:lang w:eastAsia="zh-CN"/>
        </w:rPr>
        <w:t>；</w:t>
      </w:r>
    </w:p>
    <w:p w14:paraId="55A82087">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（31）关于印发《“十四五”全国危险废物规范化环境管理评估工作方案》的通知（环办固体〔2021〕20号）</w:t>
      </w:r>
      <w:r>
        <w:rPr>
          <w:rFonts w:hint="default" w:ascii="Times New Roman" w:hAnsi="Times New Roman" w:cs="Times New Roman"/>
          <w:lang w:eastAsia="zh-CN"/>
        </w:rPr>
        <w:t>；</w:t>
      </w:r>
    </w:p>
    <w:p w14:paraId="2DF4BC00">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（32）《工业和信息化部 生态环境部关于进一步做好水泥常态化错峰生产的通知》，工信部联原〔2020〕201号</w:t>
      </w:r>
      <w:r>
        <w:rPr>
          <w:rFonts w:hint="default" w:ascii="Times New Roman" w:hAnsi="Times New Roman" w:cs="Times New Roman"/>
          <w:lang w:eastAsia="zh-CN"/>
        </w:rPr>
        <w:t>；</w:t>
      </w:r>
    </w:p>
    <w:p w14:paraId="20DD277D">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（33）《国务院办公厅关于印发强化危险废物监管和利用处置能力改革实施方案的通知》，国办函〔2021〕47号</w:t>
      </w:r>
      <w:r>
        <w:rPr>
          <w:rFonts w:hint="default" w:ascii="Times New Roman" w:hAnsi="Times New Roman" w:cs="Times New Roman"/>
          <w:lang w:eastAsia="zh-CN"/>
        </w:rPr>
        <w:t>；</w:t>
      </w:r>
    </w:p>
    <w:p w14:paraId="5F40B7EE">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（34）《关于加强危险废物鉴别工作的通知》，环办固体函〔2021〕419号</w:t>
      </w:r>
      <w:r>
        <w:rPr>
          <w:rFonts w:hint="default" w:ascii="Times New Roman" w:hAnsi="Times New Roman" w:cs="Times New Roman"/>
          <w:lang w:eastAsia="zh-CN"/>
        </w:rPr>
        <w:t>；</w:t>
      </w:r>
    </w:p>
    <w:p w14:paraId="50DD1747">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（35）《关于提升危险废物环境监管能力、利用处置能力和环境风险防范能力的指导意见》，环固体〔2019〕92号</w:t>
      </w:r>
      <w:r>
        <w:rPr>
          <w:rFonts w:hint="default" w:ascii="Times New Roman" w:hAnsi="Times New Roman" w:cs="Times New Roman"/>
          <w:lang w:eastAsia="zh-CN"/>
        </w:rPr>
        <w:t>；</w:t>
      </w:r>
    </w:p>
    <w:p w14:paraId="4CD2D542">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rPr>
      </w:pPr>
      <w:r>
        <w:rPr>
          <w:rFonts w:hint="default" w:ascii="Times New Roman" w:hAnsi="Times New Roman" w:cs="Times New Roman"/>
        </w:rPr>
        <w:t>（36）《关于印发“十四五”噪声污染防治行动计划的通知》，环大气〔2023〕1号</w:t>
      </w:r>
    </w:p>
    <w:p w14:paraId="0605C1C6">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eastAsia="宋体" w:cs="Times New Roman"/>
          <w:lang w:eastAsia="zh-CN"/>
        </w:rPr>
      </w:pPr>
      <w:r>
        <w:rPr>
          <w:rFonts w:hint="default" w:ascii="Times New Roman" w:hAnsi="Times New Roman" w:cs="Times New Roman"/>
        </w:rPr>
        <w:t>（37）《环境监管重点单位名录管理办法》，生态环境部令第27号，2023年1月1日起施行</w:t>
      </w:r>
      <w:r>
        <w:rPr>
          <w:rFonts w:hint="default" w:ascii="Times New Roman" w:hAnsi="Times New Roman" w:cs="Times New Roman"/>
          <w:lang w:eastAsia="zh-CN"/>
        </w:rPr>
        <w:t>。</w:t>
      </w:r>
    </w:p>
    <w:p w14:paraId="189A7D5B">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rPr>
        <w:t>2.1.3地方法规</w:t>
      </w:r>
    </w:p>
    <w:p w14:paraId="4358865F">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（1）《新疆维吾尔自治区环境保护条例》（2018年9月21日）；</w:t>
      </w:r>
    </w:p>
    <w:p w14:paraId="25FFD561">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（2）《新疆维吾尔自治区大气污染防治条例》（2019年1月1日）；</w:t>
      </w:r>
    </w:p>
    <w:p w14:paraId="7C1AF4F7">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（3）《新疆维吾尔自治区水污染防治工作方案》（2016年1月29日）；</w:t>
      </w:r>
    </w:p>
    <w:p w14:paraId="6E457459">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（4）《新疆维吾尔自治区土壤污染防治工作方案》（2017年3月20日）；</w:t>
      </w:r>
    </w:p>
    <w:p w14:paraId="4BD065D6">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（5）《新疆维吾尔自治区建设项目环境影响评价文件分级审批目录（202</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年本）》（202</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12</w:t>
      </w:r>
      <w:r>
        <w:rPr>
          <w:rFonts w:hint="default" w:ascii="Times New Roman" w:hAnsi="Times New Roman" w:cs="Times New Roman"/>
          <w:sz w:val="24"/>
          <w:szCs w:val="24"/>
        </w:rPr>
        <w:t>月3</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日）；</w:t>
      </w:r>
    </w:p>
    <w:p w14:paraId="4ADBF4C7">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（6）《自治区党委、自治区人民政府印发〈关于全面加强生态环境保护坚决打好污染防治攻坚战实施方案〉的通知》（新党发</w:t>
      </w:r>
      <w:r>
        <w:rPr>
          <w:rFonts w:hint="default" w:ascii="Times New Roman" w:hAnsi="Times New Roman" w:cs="Times New Roman"/>
          <w:sz w:val="24"/>
          <w:szCs w:val="24"/>
          <w:lang w:eastAsia="zh-CN"/>
        </w:rPr>
        <w:t>〔</w:t>
      </w:r>
      <w:r>
        <w:rPr>
          <w:rFonts w:hint="default" w:ascii="Times New Roman" w:hAnsi="Times New Roman" w:cs="Times New Roman"/>
          <w:sz w:val="24"/>
          <w:szCs w:val="24"/>
        </w:rPr>
        <w:t>2018</w:t>
      </w:r>
      <w:r>
        <w:rPr>
          <w:rFonts w:hint="default" w:ascii="Times New Roman" w:hAnsi="Times New Roman" w:cs="Times New Roman"/>
          <w:sz w:val="24"/>
          <w:szCs w:val="24"/>
          <w:lang w:eastAsia="zh-CN"/>
        </w:rPr>
        <w:t>〕</w:t>
      </w:r>
      <w:r>
        <w:rPr>
          <w:rFonts w:hint="default" w:ascii="Times New Roman" w:hAnsi="Times New Roman" w:cs="Times New Roman"/>
          <w:sz w:val="24"/>
          <w:szCs w:val="24"/>
        </w:rPr>
        <w:t>23号）；</w:t>
      </w:r>
    </w:p>
    <w:p w14:paraId="1AAA2AFA">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（7）关于印发《新疆维吾尔自治区重点行业生态环境准入条件（2024年）》的通知（新环环评发〔2024〕93号，2024年6月9日）；</w:t>
      </w:r>
    </w:p>
    <w:p w14:paraId="216A302B">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（8）关于印发《新疆维吾尔自治区生态环境分区管控动态更新成果》的通知（新环环评发〔2024〕157号，2024年11月15日）；</w:t>
      </w:r>
    </w:p>
    <w:p w14:paraId="0B7C7E84">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（9）关于印发《新疆维吾尔自治区2025年空气质量持续改善行动实施方案》的通知（新政办发〔2024〕58号，2024年12月10日）；</w:t>
      </w:r>
    </w:p>
    <w:p w14:paraId="23191182">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（10）关于印发《新疆维吾尔自治区新建化工项目准入条件（试行）》的通知；</w:t>
      </w:r>
    </w:p>
    <w:p w14:paraId="58EC985F">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（11）关于印发《自治区生态环境厅落实高耗能高排放项目生态环境源头防控的措施》的通知（新环环评发</w:t>
      </w:r>
      <w:r>
        <w:rPr>
          <w:rFonts w:hint="default" w:ascii="Times New Roman" w:hAnsi="Times New Roman" w:cs="Times New Roman"/>
          <w:sz w:val="24"/>
          <w:szCs w:val="24"/>
          <w:lang w:eastAsia="zh-CN"/>
        </w:rPr>
        <w:t>〔</w:t>
      </w:r>
      <w:r>
        <w:rPr>
          <w:rFonts w:hint="default" w:ascii="Times New Roman" w:hAnsi="Times New Roman" w:cs="Times New Roman"/>
          <w:sz w:val="24"/>
          <w:szCs w:val="24"/>
        </w:rPr>
        <w:t>2021</w:t>
      </w:r>
      <w:r>
        <w:rPr>
          <w:rFonts w:hint="default" w:ascii="Times New Roman" w:hAnsi="Times New Roman" w:cs="Times New Roman"/>
          <w:sz w:val="24"/>
          <w:szCs w:val="24"/>
          <w:lang w:eastAsia="zh-CN"/>
        </w:rPr>
        <w:t>〕</w:t>
      </w:r>
      <w:r>
        <w:rPr>
          <w:rFonts w:hint="default" w:ascii="Times New Roman" w:hAnsi="Times New Roman" w:cs="Times New Roman"/>
          <w:sz w:val="24"/>
          <w:szCs w:val="24"/>
        </w:rPr>
        <w:t>179号）；</w:t>
      </w:r>
    </w:p>
    <w:p w14:paraId="7C3D163E">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（12）《新疆维吾尔自治区排污许可证管理暂行办法》；</w:t>
      </w:r>
    </w:p>
    <w:p w14:paraId="277CA405">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（13）《新疆生态功能区划》</w:t>
      </w:r>
      <w:r>
        <w:rPr>
          <w:rFonts w:hint="default" w:ascii="Times New Roman" w:hAnsi="Times New Roman" w:cs="Times New Roman"/>
          <w:sz w:val="24"/>
          <w:szCs w:val="24"/>
          <w:lang w:eastAsia="zh-CN"/>
        </w:rPr>
        <w:t>（修编版）</w:t>
      </w: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2017</w:t>
      </w:r>
      <w:r>
        <w:rPr>
          <w:rFonts w:hint="default" w:ascii="Times New Roman" w:hAnsi="Times New Roman" w:cs="Times New Roman"/>
          <w:sz w:val="24"/>
          <w:szCs w:val="24"/>
        </w:rPr>
        <w:t>年）；</w:t>
      </w:r>
    </w:p>
    <w:p w14:paraId="5596A5D2">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（14）《新疆维吾尔自治区水环境功能区划》（2002年12月）；</w:t>
      </w:r>
    </w:p>
    <w:p w14:paraId="37F256F1">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5</w:t>
      </w:r>
      <w:r>
        <w:rPr>
          <w:rFonts w:hint="default" w:ascii="Times New Roman" w:hAnsi="Times New Roman" w:cs="Times New Roman"/>
          <w:sz w:val="24"/>
          <w:szCs w:val="24"/>
        </w:rPr>
        <w:t>）《新疆生态环境保护“十四五”规划》（2021年12月24日）；</w:t>
      </w:r>
    </w:p>
    <w:p w14:paraId="00D99FF4">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rPr>
        <w:t>）《新疆维吾尔自治区国民经济和社会发展第十四个五年规划和2035年远景目标纲要》（2021年2月5日）；</w:t>
      </w:r>
    </w:p>
    <w:p w14:paraId="0B2B2DE1">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7</w:t>
      </w:r>
      <w:r>
        <w:rPr>
          <w:rFonts w:hint="default" w:ascii="Times New Roman" w:hAnsi="Times New Roman" w:cs="Times New Roman"/>
          <w:sz w:val="24"/>
          <w:szCs w:val="24"/>
        </w:rPr>
        <w:t>）《新疆维吾尔自治区“三线一单”生态环境分区管控方案》（2021年2月22日）；</w:t>
      </w:r>
    </w:p>
    <w:p w14:paraId="31E71D90">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8</w:t>
      </w:r>
      <w:r>
        <w:rPr>
          <w:rFonts w:hint="default" w:ascii="Times New Roman" w:hAnsi="Times New Roman" w:cs="Times New Roman"/>
          <w:sz w:val="24"/>
          <w:szCs w:val="24"/>
        </w:rPr>
        <w:t>）《新疆维吾尔自治区生态环境分区管控动态更新成果》（202</w:t>
      </w:r>
      <w:r>
        <w:rPr>
          <w:rFonts w:hint="default" w:ascii="Times New Roman" w:hAnsi="Times New Roman" w:cs="Times New Roman"/>
          <w:sz w:val="24"/>
          <w:szCs w:val="24"/>
          <w:lang w:val="en-US" w:eastAsia="zh-CN"/>
        </w:rPr>
        <w:t>4</w:t>
      </w:r>
      <w:r>
        <w:rPr>
          <w:rFonts w:hint="default" w:ascii="Times New Roman" w:hAnsi="Times New Roman" w:cs="Times New Roman"/>
          <w:sz w:val="24"/>
          <w:szCs w:val="24"/>
        </w:rPr>
        <w:t>年</w:t>
      </w:r>
      <w:r>
        <w:rPr>
          <w:rFonts w:hint="default" w:ascii="Times New Roman" w:hAnsi="Times New Roman" w:cs="Times New Roman"/>
          <w:sz w:val="24"/>
          <w:szCs w:val="24"/>
          <w:lang w:val="en-US" w:eastAsia="zh-CN"/>
        </w:rPr>
        <w:t>11</w:t>
      </w:r>
      <w:r>
        <w:rPr>
          <w:rFonts w:hint="default" w:ascii="Times New Roman" w:hAnsi="Times New Roman" w:cs="Times New Roman"/>
          <w:sz w:val="24"/>
          <w:szCs w:val="24"/>
        </w:rPr>
        <w:t>月</w:t>
      </w:r>
      <w:r>
        <w:rPr>
          <w:rFonts w:hint="default" w:ascii="Times New Roman" w:hAnsi="Times New Roman" w:cs="Times New Roman"/>
          <w:sz w:val="24"/>
          <w:szCs w:val="24"/>
          <w:lang w:val="en-US" w:eastAsia="zh-CN"/>
        </w:rPr>
        <w:t>15</w:t>
      </w:r>
      <w:r>
        <w:rPr>
          <w:rFonts w:hint="default" w:ascii="Times New Roman" w:hAnsi="Times New Roman" w:cs="Times New Roman"/>
          <w:sz w:val="24"/>
          <w:szCs w:val="24"/>
        </w:rPr>
        <w:t>日）；</w:t>
      </w:r>
    </w:p>
    <w:p w14:paraId="7E54ACC8">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9</w:t>
      </w:r>
      <w:r>
        <w:rPr>
          <w:rFonts w:hint="default" w:ascii="Times New Roman" w:hAnsi="Times New Roman" w:cs="Times New Roman"/>
          <w:sz w:val="24"/>
          <w:szCs w:val="24"/>
        </w:rPr>
        <w:t>）《新疆维吾尔自治区工业领域碳达峰实施方案》（新工信节能</w:t>
      </w:r>
      <w:r>
        <w:rPr>
          <w:rFonts w:hint="default" w:ascii="Times New Roman" w:hAnsi="Times New Roman" w:cs="Times New Roman"/>
          <w:sz w:val="24"/>
          <w:szCs w:val="24"/>
          <w:lang w:eastAsia="zh-CN"/>
        </w:rPr>
        <w:t>〔</w:t>
      </w:r>
      <w:r>
        <w:rPr>
          <w:rFonts w:hint="default" w:ascii="Times New Roman" w:hAnsi="Times New Roman" w:cs="Times New Roman"/>
          <w:sz w:val="24"/>
          <w:szCs w:val="24"/>
        </w:rPr>
        <w:t>2023</w:t>
      </w:r>
      <w:r>
        <w:rPr>
          <w:rFonts w:hint="default" w:ascii="Times New Roman" w:hAnsi="Times New Roman" w:cs="Times New Roman"/>
          <w:sz w:val="24"/>
          <w:szCs w:val="24"/>
          <w:lang w:eastAsia="zh-CN"/>
        </w:rPr>
        <w:t>〕</w:t>
      </w:r>
      <w:r>
        <w:rPr>
          <w:rFonts w:hint="default" w:ascii="Times New Roman" w:hAnsi="Times New Roman" w:cs="Times New Roman"/>
          <w:sz w:val="24"/>
          <w:szCs w:val="24"/>
        </w:rPr>
        <w:t>12号）；</w:t>
      </w:r>
    </w:p>
    <w:p w14:paraId="5855C308">
      <w:pPr>
        <w:pStyle w:val="210"/>
        <w:tabs>
          <w:tab w:val="left" w:pos="1441"/>
        </w:tabs>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en-US" w:eastAsia="zh-CN"/>
        </w:rPr>
        <w:t>20</w:t>
      </w:r>
      <w:r>
        <w:rPr>
          <w:rFonts w:hint="default" w:ascii="Times New Roman" w:hAnsi="Times New Roman" w:cs="Times New Roman"/>
          <w:sz w:val="24"/>
          <w:szCs w:val="24"/>
        </w:rPr>
        <w:t>）《阿克苏地区国民经济和社会发展第十四个五年规划和2035年远景目标纲要》（2021年2月27日在阿克苏地区人大工作委员会第一次会议上通过）；</w:t>
      </w:r>
    </w:p>
    <w:p w14:paraId="7F50A9D1">
      <w:pPr>
        <w:pStyle w:val="210"/>
        <w:tabs>
          <w:tab w:val="left" w:pos="1441"/>
        </w:tabs>
        <w:spacing w:line="360" w:lineRule="auto"/>
        <w:ind w:firstLine="480"/>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1</w:t>
      </w:r>
      <w:r>
        <w:rPr>
          <w:rFonts w:hint="default" w:ascii="Times New Roman" w:hAnsi="Times New Roman" w:cs="Times New Roman"/>
          <w:sz w:val="24"/>
          <w:szCs w:val="24"/>
        </w:rPr>
        <w:t>）关于印发《阿克苏地区“三线一单”生态环境分区管控方案》的通知（阿行署发</w:t>
      </w:r>
      <w:r>
        <w:rPr>
          <w:rFonts w:hint="default" w:ascii="Times New Roman" w:hAnsi="Times New Roman" w:cs="Times New Roman"/>
          <w:sz w:val="24"/>
          <w:szCs w:val="24"/>
          <w:lang w:eastAsia="zh-CN"/>
        </w:rPr>
        <w:t>〔</w:t>
      </w:r>
      <w:r>
        <w:rPr>
          <w:rFonts w:hint="default" w:ascii="Times New Roman" w:hAnsi="Times New Roman" w:cs="Times New Roman"/>
          <w:sz w:val="24"/>
          <w:szCs w:val="24"/>
        </w:rPr>
        <w:t>2021</w:t>
      </w:r>
      <w:r>
        <w:rPr>
          <w:rFonts w:hint="default" w:ascii="Times New Roman" w:hAnsi="Times New Roman" w:cs="Times New Roman"/>
          <w:sz w:val="24"/>
          <w:szCs w:val="24"/>
          <w:lang w:eastAsia="zh-CN"/>
        </w:rPr>
        <w:t>〕</w:t>
      </w:r>
      <w:r>
        <w:rPr>
          <w:rFonts w:hint="default" w:ascii="Times New Roman" w:hAnsi="Times New Roman" w:cs="Times New Roman"/>
          <w:sz w:val="24"/>
          <w:szCs w:val="24"/>
        </w:rPr>
        <w:t>81号，2021年7月10日）</w:t>
      </w:r>
      <w:r>
        <w:rPr>
          <w:rFonts w:hint="default" w:ascii="Times New Roman" w:hAnsi="Times New Roman" w:cs="Times New Roman"/>
          <w:sz w:val="24"/>
          <w:szCs w:val="24"/>
          <w:lang w:eastAsia="zh-CN"/>
        </w:rPr>
        <w:t>；</w:t>
      </w:r>
    </w:p>
    <w:p w14:paraId="1CBFA58F">
      <w:pPr>
        <w:pStyle w:val="210"/>
        <w:tabs>
          <w:tab w:val="left" w:pos="1441"/>
        </w:tabs>
        <w:spacing w:line="360" w:lineRule="auto"/>
        <w:ind w:firstLine="48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22</w:t>
      </w:r>
      <w:r>
        <w:rPr>
          <w:rFonts w:hint="default" w:ascii="Times New Roman" w:hAnsi="Times New Roman" w:cs="Times New Roman"/>
          <w:sz w:val="24"/>
          <w:szCs w:val="24"/>
          <w:lang w:eastAsia="zh-CN"/>
        </w:rPr>
        <w:t>）《阿克苏地区生态环境分区管控成果动态更新情况说明（2023年）》（2024年1月）；</w:t>
      </w:r>
    </w:p>
    <w:p w14:paraId="69D9BD24">
      <w:pPr>
        <w:pStyle w:val="210"/>
        <w:tabs>
          <w:tab w:val="left" w:pos="1441"/>
        </w:tabs>
        <w:spacing w:line="360" w:lineRule="auto"/>
        <w:ind w:firstLine="480"/>
        <w:rPr>
          <w:rFonts w:hint="default" w:ascii="Times New Roman" w:hAnsi="Times New Roman" w:cs="Times New Roman"/>
          <w:sz w:val="24"/>
          <w:szCs w:val="24"/>
          <w:lang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23</w:t>
      </w:r>
      <w:r>
        <w:rPr>
          <w:rFonts w:hint="default" w:ascii="Times New Roman" w:hAnsi="Times New Roman" w:cs="Times New Roman"/>
          <w:sz w:val="24"/>
          <w:szCs w:val="24"/>
          <w:lang w:eastAsia="zh-CN"/>
        </w:rPr>
        <w:t>）《阿克苏经济技术开发区总体规划（2018-2035年）》；</w:t>
      </w:r>
    </w:p>
    <w:p w14:paraId="734E61C1">
      <w:pPr>
        <w:pStyle w:val="6"/>
        <w:rPr>
          <w:rFonts w:hint="default" w:ascii="Times New Roman" w:hAnsi="Times New Roman" w:eastAsia="宋体" w:cs="Times New Roman"/>
          <w:lang w:eastAsia="zh-CN"/>
        </w:rPr>
      </w:pPr>
      <w:r>
        <w:rPr>
          <w:rFonts w:hint="default" w:ascii="Times New Roman" w:hAnsi="Times New Roman" w:cs="Times New Roman"/>
          <w:sz w:val="24"/>
          <w:szCs w:val="24"/>
          <w:lang w:val="en-US" w:eastAsia="zh-CN"/>
        </w:rPr>
        <w:t>（24）《阿克苏市工业聚集区规划（2017-2035年）》。</w:t>
      </w:r>
    </w:p>
    <w:p w14:paraId="24067D41">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lang w:val="en-US" w:eastAsia="zh-CN"/>
        </w:rPr>
        <w:t>2.1.4</w:t>
      </w:r>
      <w:r>
        <w:rPr>
          <w:rFonts w:hint="default" w:ascii="Times New Roman" w:hAnsi="Times New Roman" w:eastAsia="宋体" w:cs="Times New Roman"/>
          <w:b/>
          <w:bCs w:val="0"/>
          <w:kern w:val="2"/>
          <w:sz w:val="24"/>
          <w:szCs w:val="24"/>
          <w:highlight w:val="none"/>
        </w:rPr>
        <w:t>环保导则及技术规范</w:t>
      </w:r>
    </w:p>
    <w:p w14:paraId="57B2F07E">
      <w:pPr>
        <w:pStyle w:val="6"/>
        <w:rPr>
          <w:rFonts w:hint="default" w:ascii="Times New Roman" w:hAnsi="Times New Roman" w:eastAsia="宋体" w:cs="Times New Roman"/>
          <w:lang w:eastAsia="zh-CN"/>
        </w:rPr>
      </w:pPr>
      <w:r>
        <w:rPr>
          <w:rFonts w:hint="default" w:ascii="Times New Roman" w:hAnsi="Times New Roman" w:cs="Times New Roman"/>
        </w:rPr>
        <w:t>（1）《建设项目环境影响评价技术导则 总纲》（HJ2.1-2016）</w:t>
      </w:r>
      <w:r>
        <w:rPr>
          <w:rFonts w:hint="default" w:ascii="Times New Roman" w:hAnsi="Times New Roman" w:cs="Times New Roman"/>
          <w:lang w:eastAsia="zh-CN"/>
        </w:rPr>
        <w:t>；</w:t>
      </w:r>
    </w:p>
    <w:p w14:paraId="06C0F8CE">
      <w:pPr>
        <w:pStyle w:val="6"/>
        <w:rPr>
          <w:rFonts w:hint="default" w:ascii="Times New Roman" w:hAnsi="Times New Roman" w:eastAsia="宋体" w:cs="Times New Roman"/>
          <w:lang w:eastAsia="zh-CN"/>
        </w:rPr>
      </w:pPr>
      <w:r>
        <w:rPr>
          <w:rFonts w:hint="default" w:ascii="Times New Roman" w:hAnsi="Times New Roman" w:cs="Times New Roman"/>
        </w:rPr>
        <w:t>（2）《环境影响评价技术导则 大气环境》（HJ2.2-2018）</w:t>
      </w:r>
      <w:r>
        <w:rPr>
          <w:rFonts w:hint="default" w:ascii="Times New Roman" w:hAnsi="Times New Roman" w:cs="Times New Roman"/>
          <w:lang w:eastAsia="zh-CN"/>
        </w:rPr>
        <w:t>；</w:t>
      </w:r>
    </w:p>
    <w:p w14:paraId="3415A0F2">
      <w:pPr>
        <w:pStyle w:val="6"/>
        <w:rPr>
          <w:rFonts w:hint="default" w:ascii="Times New Roman" w:hAnsi="Times New Roman" w:eastAsia="宋体" w:cs="Times New Roman"/>
          <w:lang w:eastAsia="zh-CN"/>
        </w:rPr>
      </w:pPr>
      <w:r>
        <w:rPr>
          <w:rFonts w:hint="default" w:ascii="Times New Roman" w:hAnsi="Times New Roman" w:cs="Times New Roman"/>
        </w:rPr>
        <w:t>（3）《环境影响评价技术导则 地表水环境》（HJ2.3-2018）</w:t>
      </w:r>
      <w:r>
        <w:rPr>
          <w:rFonts w:hint="default" w:ascii="Times New Roman" w:hAnsi="Times New Roman" w:cs="Times New Roman"/>
          <w:lang w:eastAsia="zh-CN"/>
        </w:rPr>
        <w:t>；</w:t>
      </w:r>
    </w:p>
    <w:p w14:paraId="3CCC40E7">
      <w:pPr>
        <w:pStyle w:val="6"/>
        <w:rPr>
          <w:rFonts w:hint="default" w:ascii="Times New Roman" w:hAnsi="Times New Roman" w:eastAsia="宋体" w:cs="Times New Roman"/>
          <w:lang w:eastAsia="zh-CN"/>
        </w:rPr>
      </w:pPr>
      <w:r>
        <w:rPr>
          <w:rFonts w:hint="default" w:ascii="Times New Roman" w:hAnsi="Times New Roman" w:cs="Times New Roman"/>
        </w:rPr>
        <w:t>（4）《环境影响评价技术导则 地下水环境》（HJ610-2016）</w:t>
      </w:r>
      <w:r>
        <w:rPr>
          <w:rFonts w:hint="default" w:ascii="Times New Roman" w:hAnsi="Times New Roman" w:cs="Times New Roman"/>
          <w:lang w:eastAsia="zh-CN"/>
        </w:rPr>
        <w:t>；</w:t>
      </w:r>
    </w:p>
    <w:p w14:paraId="02E2A15C">
      <w:pPr>
        <w:pStyle w:val="6"/>
        <w:rPr>
          <w:rFonts w:hint="default" w:ascii="Times New Roman" w:hAnsi="Times New Roman" w:eastAsia="宋体" w:cs="Times New Roman"/>
          <w:lang w:eastAsia="zh-CN"/>
        </w:rPr>
      </w:pPr>
      <w:r>
        <w:rPr>
          <w:rFonts w:hint="default" w:ascii="Times New Roman" w:hAnsi="Times New Roman" w:cs="Times New Roman"/>
        </w:rPr>
        <w:t>（5）《环境影响评价技术导则 声环境》（HJ2.4-2021）</w:t>
      </w:r>
      <w:r>
        <w:rPr>
          <w:rFonts w:hint="default" w:ascii="Times New Roman" w:hAnsi="Times New Roman" w:cs="Times New Roman"/>
          <w:lang w:eastAsia="zh-CN"/>
        </w:rPr>
        <w:t>；</w:t>
      </w:r>
    </w:p>
    <w:p w14:paraId="4B54E5D1">
      <w:pPr>
        <w:pStyle w:val="6"/>
        <w:rPr>
          <w:rFonts w:hint="default" w:ascii="Times New Roman" w:hAnsi="Times New Roman" w:eastAsia="宋体" w:cs="Times New Roman"/>
          <w:lang w:eastAsia="zh-CN"/>
        </w:rPr>
      </w:pPr>
      <w:r>
        <w:rPr>
          <w:rFonts w:hint="default" w:ascii="Times New Roman" w:hAnsi="Times New Roman" w:cs="Times New Roman"/>
        </w:rPr>
        <w:t>（6）《环境影响评价技术导则 生态影响》（HJ19-2022）</w:t>
      </w:r>
      <w:r>
        <w:rPr>
          <w:rFonts w:hint="default" w:ascii="Times New Roman" w:hAnsi="Times New Roman" w:cs="Times New Roman"/>
          <w:lang w:eastAsia="zh-CN"/>
        </w:rPr>
        <w:t>；</w:t>
      </w:r>
    </w:p>
    <w:p w14:paraId="130160E4">
      <w:pPr>
        <w:pStyle w:val="6"/>
        <w:rPr>
          <w:rFonts w:hint="default" w:ascii="Times New Roman" w:hAnsi="Times New Roman" w:eastAsia="宋体" w:cs="Times New Roman"/>
          <w:lang w:eastAsia="zh-CN"/>
        </w:rPr>
      </w:pPr>
      <w:r>
        <w:rPr>
          <w:rFonts w:hint="default" w:ascii="Times New Roman" w:hAnsi="Times New Roman" w:cs="Times New Roman"/>
        </w:rPr>
        <w:t>（7）《环境影响评价技术导则 土壤环境（试行）》（HJ964-2018）</w:t>
      </w:r>
      <w:r>
        <w:rPr>
          <w:rFonts w:hint="default" w:ascii="Times New Roman" w:hAnsi="Times New Roman" w:cs="Times New Roman"/>
          <w:lang w:eastAsia="zh-CN"/>
        </w:rPr>
        <w:t>；</w:t>
      </w:r>
    </w:p>
    <w:p w14:paraId="36EECCC4">
      <w:pPr>
        <w:pStyle w:val="6"/>
        <w:rPr>
          <w:rFonts w:hint="default" w:ascii="Times New Roman" w:hAnsi="Times New Roman" w:eastAsia="宋体" w:cs="Times New Roman"/>
          <w:lang w:eastAsia="zh-CN"/>
        </w:rPr>
      </w:pPr>
      <w:r>
        <w:rPr>
          <w:rFonts w:hint="default" w:ascii="Times New Roman" w:hAnsi="Times New Roman" w:cs="Times New Roman"/>
        </w:rPr>
        <w:t>（8）《建设项目环境风险评价技术导则》（HJ169-2018）</w:t>
      </w:r>
      <w:r>
        <w:rPr>
          <w:rFonts w:hint="default" w:ascii="Times New Roman" w:hAnsi="Times New Roman" w:cs="Times New Roman"/>
          <w:lang w:eastAsia="zh-CN"/>
        </w:rPr>
        <w:t>；</w:t>
      </w:r>
    </w:p>
    <w:p w14:paraId="02324F0D">
      <w:pPr>
        <w:pStyle w:val="6"/>
        <w:rPr>
          <w:rFonts w:hint="default" w:ascii="Times New Roman" w:hAnsi="Times New Roman" w:eastAsia="宋体" w:cs="Times New Roman"/>
          <w:lang w:eastAsia="zh-CN"/>
        </w:rPr>
      </w:pPr>
      <w:r>
        <w:rPr>
          <w:rFonts w:hint="default" w:ascii="Times New Roman" w:hAnsi="Times New Roman" w:cs="Times New Roman"/>
        </w:rPr>
        <w:t>（9）《固体废物处理处置工程技术导则》（HJ2035-2013）</w:t>
      </w:r>
      <w:r>
        <w:rPr>
          <w:rFonts w:hint="default" w:ascii="Times New Roman" w:hAnsi="Times New Roman" w:cs="Times New Roman"/>
          <w:lang w:eastAsia="zh-CN"/>
        </w:rPr>
        <w:t>；</w:t>
      </w:r>
    </w:p>
    <w:p w14:paraId="5F0F6303">
      <w:pPr>
        <w:pStyle w:val="6"/>
        <w:rPr>
          <w:rFonts w:hint="default" w:ascii="Times New Roman" w:hAnsi="Times New Roman" w:eastAsia="宋体" w:cs="Times New Roman"/>
          <w:lang w:eastAsia="zh-CN"/>
        </w:rPr>
      </w:pPr>
      <w:r>
        <w:rPr>
          <w:rFonts w:hint="default" w:ascii="Times New Roman" w:hAnsi="Times New Roman" w:cs="Times New Roman"/>
        </w:rPr>
        <w:t>（10）《固体废物鉴别标准 通则》（GB34330-2017）</w:t>
      </w:r>
      <w:r>
        <w:rPr>
          <w:rFonts w:hint="default" w:ascii="Times New Roman" w:hAnsi="Times New Roman" w:cs="Times New Roman"/>
          <w:lang w:eastAsia="zh-CN"/>
        </w:rPr>
        <w:t>；</w:t>
      </w:r>
    </w:p>
    <w:p w14:paraId="6C565A42">
      <w:pPr>
        <w:pStyle w:val="6"/>
        <w:rPr>
          <w:rFonts w:hint="default" w:ascii="Times New Roman" w:hAnsi="Times New Roman" w:eastAsia="宋体" w:cs="Times New Roman"/>
          <w:lang w:eastAsia="zh-CN"/>
        </w:rPr>
      </w:pPr>
      <w:r>
        <w:rPr>
          <w:rFonts w:hint="default" w:ascii="Times New Roman" w:hAnsi="Times New Roman" w:cs="Times New Roman"/>
        </w:rPr>
        <w:t>（11）《环境噪声与振动控制工程技术导则》（HJ2034-2013）</w:t>
      </w:r>
      <w:r>
        <w:rPr>
          <w:rFonts w:hint="default" w:ascii="Times New Roman" w:hAnsi="Times New Roman" w:cs="Times New Roman"/>
          <w:lang w:eastAsia="zh-CN"/>
        </w:rPr>
        <w:t>；</w:t>
      </w:r>
    </w:p>
    <w:p w14:paraId="47D18399">
      <w:pPr>
        <w:pStyle w:val="6"/>
        <w:rPr>
          <w:rFonts w:hint="default" w:ascii="Times New Roman" w:hAnsi="Times New Roman" w:eastAsia="宋体" w:cs="Times New Roman"/>
          <w:lang w:eastAsia="zh-CN"/>
        </w:rPr>
      </w:pPr>
      <w:r>
        <w:rPr>
          <w:rFonts w:hint="default" w:ascii="Times New Roman" w:hAnsi="Times New Roman" w:cs="Times New Roman"/>
        </w:rPr>
        <w:t>（12）《危险废物处置工程技术导则》（HJ2042-2014）</w:t>
      </w:r>
      <w:r>
        <w:rPr>
          <w:rFonts w:hint="default" w:ascii="Times New Roman" w:hAnsi="Times New Roman" w:cs="Times New Roman"/>
          <w:lang w:eastAsia="zh-CN"/>
        </w:rPr>
        <w:t>；</w:t>
      </w:r>
    </w:p>
    <w:p w14:paraId="4BB25488">
      <w:pPr>
        <w:pStyle w:val="6"/>
        <w:rPr>
          <w:rFonts w:hint="default" w:ascii="Times New Roman" w:hAnsi="Times New Roman" w:eastAsia="宋体" w:cs="Times New Roman"/>
          <w:lang w:eastAsia="zh-CN"/>
        </w:rPr>
      </w:pPr>
      <w:r>
        <w:rPr>
          <w:rFonts w:hint="default" w:ascii="Times New Roman" w:hAnsi="Times New Roman" w:cs="Times New Roman"/>
        </w:rPr>
        <w:t>（13）《危险废物管理计划和管理台账制定技术导则》（HJ1259-2022）</w:t>
      </w:r>
      <w:r>
        <w:rPr>
          <w:rFonts w:hint="default" w:ascii="Times New Roman" w:hAnsi="Times New Roman" w:cs="Times New Roman"/>
          <w:lang w:eastAsia="zh-CN"/>
        </w:rPr>
        <w:t>；</w:t>
      </w:r>
    </w:p>
    <w:p w14:paraId="1361B7FB">
      <w:pPr>
        <w:pStyle w:val="6"/>
        <w:rPr>
          <w:rFonts w:hint="default" w:ascii="Times New Roman" w:hAnsi="Times New Roman" w:eastAsia="宋体" w:cs="Times New Roman"/>
          <w:lang w:eastAsia="zh-CN"/>
        </w:rPr>
      </w:pPr>
      <w:r>
        <w:rPr>
          <w:rFonts w:hint="default" w:ascii="Times New Roman" w:hAnsi="Times New Roman" w:cs="Times New Roman"/>
        </w:rPr>
        <w:t>（14）《危险废物收集、贮存、运输技术规范》（HJ2025-2012）</w:t>
      </w:r>
      <w:r>
        <w:rPr>
          <w:rFonts w:hint="default" w:ascii="Times New Roman" w:hAnsi="Times New Roman" w:cs="Times New Roman"/>
          <w:lang w:eastAsia="zh-CN"/>
        </w:rPr>
        <w:t>；</w:t>
      </w:r>
    </w:p>
    <w:p w14:paraId="26DBD21B">
      <w:pPr>
        <w:pStyle w:val="6"/>
        <w:rPr>
          <w:rFonts w:hint="default" w:ascii="Times New Roman" w:hAnsi="Times New Roman" w:eastAsia="宋体" w:cs="Times New Roman"/>
          <w:lang w:eastAsia="zh-CN"/>
        </w:rPr>
      </w:pPr>
      <w:r>
        <w:rPr>
          <w:rFonts w:hint="default" w:ascii="Times New Roman" w:hAnsi="Times New Roman" w:cs="Times New Roman"/>
        </w:rPr>
        <w:t>（15）《水泥窑协同处置固体废物环境保护技术规范》（HJ662-2013）</w:t>
      </w:r>
      <w:r>
        <w:rPr>
          <w:rFonts w:hint="default" w:ascii="Times New Roman" w:hAnsi="Times New Roman" w:cs="Times New Roman"/>
          <w:lang w:eastAsia="zh-CN"/>
        </w:rPr>
        <w:t>；</w:t>
      </w:r>
    </w:p>
    <w:p w14:paraId="5A1818F1">
      <w:pPr>
        <w:pStyle w:val="6"/>
        <w:rPr>
          <w:rFonts w:hint="default" w:ascii="Times New Roman" w:hAnsi="Times New Roman" w:eastAsia="宋体" w:cs="Times New Roman"/>
          <w:lang w:eastAsia="zh-CN"/>
        </w:rPr>
      </w:pPr>
      <w:r>
        <w:rPr>
          <w:rFonts w:hint="default" w:ascii="Times New Roman" w:hAnsi="Times New Roman" w:cs="Times New Roman"/>
        </w:rPr>
        <w:t>（16）《水泥窑协同处置固体废物污染控制标准》（GB30485-2013）</w:t>
      </w:r>
      <w:r>
        <w:rPr>
          <w:rFonts w:hint="default" w:ascii="Times New Roman" w:hAnsi="Times New Roman" w:cs="Times New Roman"/>
          <w:lang w:eastAsia="zh-CN"/>
        </w:rPr>
        <w:t>；</w:t>
      </w:r>
    </w:p>
    <w:p w14:paraId="6981CC29">
      <w:pPr>
        <w:pStyle w:val="6"/>
        <w:rPr>
          <w:rFonts w:hint="default" w:ascii="Times New Roman" w:hAnsi="Times New Roman" w:eastAsia="宋体" w:cs="Times New Roman"/>
          <w:lang w:eastAsia="zh-CN"/>
        </w:rPr>
      </w:pPr>
      <w:r>
        <w:rPr>
          <w:rFonts w:hint="default" w:ascii="Times New Roman" w:hAnsi="Times New Roman" w:cs="Times New Roman"/>
        </w:rPr>
        <w:t>（17）《水泥窑协同处置固体废物技术规范》（GB/T30760-2014）</w:t>
      </w:r>
      <w:r>
        <w:rPr>
          <w:rFonts w:hint="default" w:ascii="Times New Roman" w:hAnsi="Times New Roman" w:cs="Times New Roman"/>
          <w:lang w:eastAsia="zh-CN"/>
        </w:rPr>
        <w:t>；</w:t>
      </w:r>
    </w:p>
    <w:p w14:paraId="33822F57">
      <w:pPr>
        <w:pStyle w:val="6"/>
        <w:rPr>
          <w:rFonts w:hint="default" w:ascii="Times New Roman" w:hAnsi="Times New Roman" w:eastAsia="宋体" w:cs="Times New Roman"/>
          <w:lang w:eastAsia="zh-CN"/>
        </w:rPr>
      </w:pPr>
      <w:r>
        <w:rPr>
          <w:rFonts w:hint="default" w:ascii="Times New Roman" w:hAnsi="Times New Roman" w:cs="Times New Roman"/>
        </w:rPr>
        <w:t>（18）《危险化学品重大危险源辨识》（GB18218-2018）</w:t>
      </w:r>
      <w:r>
        <w:rPr>
          <w:rFonts w:hint="default" w:ascii="Times New Roman" w:hAnsi="Times New Roman" w:cs="Times New Roman"/>
          <w:lang w:eastAsia="zh-CN"/>
        </w:rPr>
        <w:t>；</w:t>
      </w:r>
    </w:p>
    <w:p w14:paraId="245EEC68">
      <w:pPr>
        <w:pStyle w:val="6"/>
        <w:rPr>
          <w:rFonts w:hint="default" w:ascii="Times New Roman" w:hAnsi="Times New Roman" w:eastAsia="宋体" w:cs="Times New Roman"/>
          <w:lang w:eastAsia="zh-CN"/>
        </w:rPr>
      </w:pPr>
      <w:r>
        <w:rPr>
          <w:rFonts w:hint="default" w:ascii="Times New Roman" w:hAnsi="Times New Roman" w:cs="Times New Roman"/>
        </w:rPr>
        <w:t>（19）《排污许可证申请与核发技术规范 水泥工业》（HJ847-2017）</w:t>
      </w:r>
      <w:r>
        <w:rPr>
          <w:rFonts w:hint="default" w:ascii="Times New Roman" w:hAnsi="Times New Roman" w:cs="Times New Roman"/>
          <w:lang w:eastAsia="zh-CN"/>
        </w:rPr>
        <w:t>；</w:t>
      </w:r>
    </w:p>
    <w:p w14:paraId="68A0166A">
      <w:pPr>
        <w:pStyle w:val="6"/>
        <w:rPr>
          <w:rFonts w:hint="default" w:ascii="Times New Roman" w:hAnsi="Times New Roman" w:eastAsia="宋体" w:cs="Times New Roman"/>
          <w:lang w:eastAsia="zh-CN"/>
        </w:rPr>
      </w:pPr>
      <w:r>
        <w:rPr>
          <w:rFonts w:hint="default" w:ascii="Times New Roman" w:hAnsi="Times New Roman" w:cs="Times New Roman"/>
        </w:rPr>
        <w:t>（20）《排污单位自行监测技术指南 水泥工业》（HJ848-2017）</w:t>
      </w:r>
      <w:r>
        <w:rPr>
          <w:rFonts w:hint="default" w:ascii="Times New Roman" w:hAnsi="Times New Roman" w:cs="Times New Roman"/>
          <w:lang w:eastAsia="zh-CN"/>
        </w:rPr>
        <w:t>；</w:t>
      </w:r>
    </w:p>
    <w:p w14:paraId="6088C908">
      <w:pPr>
        <w:pStyle w:val="6"/>
        <w:rPr>
          <w:rFonts w:hint="default" w:ascii="Times New Roman" w:hAnsi="Times New Roman" w:eastAsia="宋体" w:cs="Times New Roman"/>
          <w:lang w:eastAsia="zh-CN"/>
        </w:rPr>
      </w:pPr>
      <w:r>
        <w:rPr>
          <w:rFonts w:hint="default" w:ascii="Times New Roman" w:hAnsi="Times New Roman" w:cs="Times New Roman"/>
        </w:rPr>
        <w:t>（21）《污染源源强核算技术指南 水泥工业》（HJ886-2018）</w:t>
      </w:r>
      <w:r>
        <w:rPr>
          <w:rFonts w:hint="default" w:ascii="Times New Roman" w:hAnsi="Times New Roman" w:cs="Times New Roman"/>
          <w:lang w:eastAsia="zh-CN"/>
        </w:rPr>
        <w:t>；</w:t>
      </w:r>
    </w:p>
    <w:p w14:paraId="7A9520A7">
      <w:pPr>
        <w:pStyle w:val="6"/>
        <w:rPr>
          <w:rFonts w:hint="default" w:ascii="Times New Roman" w:hAnsi="Times New Roman" w:eastAsia="宋体" w:cs="Times New Roman"/>
          <w:lang w:eastAsia="zh-CN"/>
        </w:rPr>
      </w:pPr>
      <w:r>
        <w:rPr>
          <w:rFonts w:hint="default" w:ascii="Times New Roman" w:hAnsi="Times New Roman" w:cs="Times New Roman"/>
        </w:rPr>
        <w:t>（22）《排污单位自行监测技术指南 总则》（HJ819-2017）</w:t>
      </w:r>
      <w:r>
        <w:rPr>
          <w:rFonts w:hint="default" w:ascii="Times New Roman" w:hAnsi="Times New Roman" w:cs="Times New Roman"/>
          <w:lang w:eastAsia="zh-CN"/>
        </w:rPr>
        <w:t>；</w:t>
      </w:r>
    </w:p>
    <w:p w14:paraId="4612A453">
      <w:pPr>
        <w:pStyle w:val="6"/>
        <w:rPr>
          <w:rFonts w:hint="default" w:ascii="Times New Roman" w:hAnsi="Times New Roman" w:eastAsia="宋体" w:cs="Times New Roman"/>
          <w:lang w:eastAsia="zh-CN"/>
        </w:rPr>
      </w:pPr>
      <w:r>
        <w:rPr>
          <w:rFonts w:hint="default" w:ascii="Times New Roman" w:hAnsi="Times New Roman" w:cs="Times New Roman"/>
        </w:rPr>
        <w:t>（23）《地下水环境监测技术规范》（HJ164-2020）</w:t>
      </w:r>
      <w:r>
        <w:rPr>
          <w:rFonts w:hint="default" w:ascii="Times New Roman" w:hAnsi="Times New Roman" w:cs="Times New Roman"/>
          <w:lang w:eastAsia="zh-CN"/>
        </w:rPr>
        <w:t>；</w:t>
      </w:r>
    </w:p>
    <w:p w14:paraId="5436CF28">
      <w:pPr>
        <w:pStyle w:val="6"/>
        <w:rPr>
          <w:rFonts w:hint="default" w:ascii="Times New Roman" w:hAnsi="Times New Roman" w:eastAsia="宋体" w:cs="Times New Roman"/>
          <w:lang w:eastAsia="zh-CN"/>
        </w:rPr>
      </w:pPr>
      <w:r>
        <w:rPr>
          <w:rFonts w:hint="default" w:ascii="Times New Roman" w:hAnsi="Times New Roman" w:cs="Times New Roman"/>
        </w:rPr>
        <w:t>（24）《土壤环境监测技术规范》（HJ/T166-2004）</w:t>
      </w:r>
      <w:r>
        <w:rPr>
          <w:rFonts w:hint="default" w:ascii="Times New Roman" w:hAnsi="Times New Roman" w:cs="Times New Roman"/>
          <w:lang w:eastAsia="zh-CN"/>
        </w:rPr>
        <w:t>；</w:t>
      </w:r>
    </w:p>
    <w:p w14:paraId="55B6048D">
      <w:pPr>
        <w:pStyle w:val="6"/>
        <w:rPr>
          <w:rFonts w:hint="default" w:ascii="Times New Roman" w:hAnsi="Times New Roman" w:eastAsia="宋体" w:cs="Times New Roman"/>
          <w:lang w:eastAsia="zh-CN"/>
        </w:rPr>
      </w:pPr>
      <w:r>
        <w:rPr>
          <w:rFonts w:hint="default" w:ascii="Times New Roman" w:hAnsi="Times New Roman" w:cs="Times New Roman"/>
        </w:rPr>
        <w:t>（25）《工业企业土壤和地下水自行监测技术指南（试行）》（HJ1209-2021）</w:t>
      </w:r>
      <w:r>
        <w:rPr>
          <w:rFonts w:hint="default" w:ascii="Times New Roman" w:hAnsi="Times New Roman" w:cs="Times New Roman"/>
          <w:lang w:eastAsia="zh-CN"/>
        </w:rPr>
        <w:t>；</w:t>
      </w:r>
    </w:p>
    <w:p w14:paraId="42D978F4">
      <w:pPr>
        <w:pStyle w:val="6"/>
        <w:rPr>
          <w:rFonts w:hint="default" w:ascii="Times New Roman" w:hAnsi="Times New Roman" w:eastAsia="宋体" w:cs="Times New Roman"/>
          <w:lang w:eastAsia="zh-CN"/>
        </w:rPr>
      </w:pPr>
      <w:r>
        <w:rPr>
          <w:rFonts w:hint="default" w:ascii="Times New Roman" w:hAnsi="Times New Roman" w:cs="Times New Roman"/>
        </w:rPr>
        <w:t>（26）《危险废物识别标志设置技术规范》（HJ1276-2022）</w:t>
      </w:r>
      <w:r>
        <w:rPr>
          <w:rFonts w:hint="default" w:ascii="Times New Roman" w:hAnsi="Times New Roman" w:cs="Times New Roman"/>
          <w:lang w:eastAsia="zh-CN"/>
        </w:rPr>
        <w:t>；</w:t>
      </w:r>
    </w:p>
    <w:p w14:paraId="3BBC5ED4">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rPr>
        <w:t>（27）</w:t>
      </w:r>
      <w:r>
        <w:rPr>
          <w:rFonts w:hint="default" w:ascii="Times New Roman" w:hAnsi="Times New Roman" w:eastAsia="宋体" w:cs="Times New Roman"/>
          <w:color w:val="auto"/>
          <w:kern w:val="0"/>
          <w:sz w:val="24"/>
          <w:szCs w:val="24"/>
          <w:highlight w:val="none"/>
          <w:lang w:val="en-US" w:eastAsia="zh-CN"/>
        </w:rPr>
        <w:t>《危险废物贮存污染控制标准》(GB18597-2023)。</w:t>
      </w:r>
    </w:p>
    <w:p w14:paraId="3CBE3B19">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2.1.5相关文件资料</w:t>
      </w:r>
    </w:p>
    <w:p w14:paraId="22BE3595">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rPr>
      </w:pPr>
      <w:r>
        <w:rPr>
          <w:rFonts w:hint="default" w:ascii="Times New Roman" w:hAnsi="Times New Roman" w:cs="Times New Roman"/>
        </w:rPr>
        <w:t>（1）《关于&lt;新疆兴悦化工有限公司200万吨/年电石渣制水泥项目环境影响报告书&gt;的批复》（新环评价函〔2013〕279号）；</w:t>
      </w:r>
    </w:p>
    <w:p w14:paraId="6A5820C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rPr>
      </w:pPr>
      <w:r>
        <w:rPr>
          <w:rFonts w:hint="default" w:ascii="Times New Roman" w:hAnsi="Times New Roman" w:cs="Times New Roman"/>
        </w:rPr>
        <w:t>（2）兴悦化工年产200万吨电石渣制水泥建设项目（一期项目）竣工环境保护验收的批复（阿地环函字〔2017〕356号）；</w:t>
      </w:r>
    </w:p>
    <w:p w14:paraId="174CF3CB">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rPr>
      </w:pPr>
      <w:r>
        <w:rPr>
          <w:rFonts w:hint="default" w:ascii="Times New Roman" w:hAnsi="Times New Roman" w:cs="Times New Roman"/>
        </w:rPr>
        <w:t>（3）建设单位提供的其他相关文件资料。</w:t>
      </w:r>
    </w:p>
    <w:p w14:paraId="1925D155">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32" w:name="_Toc30302"/>
      <w:bookmarkStart w:id="33" w:name="_Toc22492"/>
      <w:bookmarkStart w:id="34" w:name="_Toc29263"/>
      <w:r>
        <w:rPr>
          <w:rFonts w:hint="default" w:ascii="Times New Roman" w:hAnsi="Times New Roman" w:eastAsia="宋体" w:cs="Times New Roman"/>
          <w:sz w:val="24"/>
          <w:szCs w:val="18"/>
          <w:highlight w:val="none"/>
        </w:rPr>
        <w:t>2.2评价目的与原则</w:t>
      </w:r>
      <w:bookmarkEnd w:id="31"/>
      <w:bookmarkEnd w:id="32"/>
      <w:bookmarkEnd w:id="33"/>
      <w:bookmarkEnd w:id="34"/>
    </w:p>
    <w:p w14:paraId="094B316A">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2.2.1评价目的</w:t>
      </w:r>
    </w:p>
    <w:p w14:paraId="7C35397D">
      <w:pPr>
        <w:pStyle w:val="6"/>
        <w:rPr>
          <w:rFonts w:hint="default" w:ascii="Times New Roman" w:hAnsi="Times New Roman" w:cs="Times New Roman"/>
        </w:rPr>
      </w:pPr>
      <w:r>
        <w:rPr>
          <w:rFonts w:hint="default" w:ascii="Times New Roman" w:hAnsi="Times New Roman" w:cs="Times New Roman"/>
        </w:rPr>
        <w:t>（1）通过调查分析建设项目所在区域的环境概况，掌握评价区域的环境敏感目标；充分收集现有资料，进行现场踏勘和必要的现场监测，查清评价区域环境现状，进行环境质量现状评价；全面深入分析建设项目工程内容，掌握建设项目运营期各污染源主要污染物的排放特征，确定污染源强，计算污染物产生及排放量。</w:t>
      </w:r>
    </w:p>
    <w:p w14:paraId="20EB64ED">
      <w:pPr>
        <w:pStyle w:val="6"/>
        <w:rPr>
          <w:rFonts w:hint="default" w:ascii="Times New Roman" w:hAnsi="Times New Roman" w:cs="Times New Roman"/>
        </w:rPr>
      </w:pPr>
      <w:r>
        <w:rPr>
          <w:rFonts w:hint="default" w:ascii="Times New Roman" w:hAnsi="Times New Roman" w:cs="Times New Roman"/>
        </w:rPr>
        <w:t>（2）根据区域环境特征和项目污染物排放特征，预测和分析建设项目对周围环境影响的范围和程度，从环境保护角度分析论证建设项目对周围环境的影响。</w:t>
      </w:r>
    </w:p>
    <w:p w14:paraId="018B9CF6">
      <w:pPr>
        <w:pStyle w:val="6"/>
        <w:rPr>
          <w:rFonts w:hint="default" w:ascii="Times New Roman" w:hAnsi="Times New Roman" w:cs="Times New Roman"/>
        </w:rPr>
      </w:pPr>
      <w:r>
        <w:rPr>
          <w:rFonts w:hint="default" w:ascii="Times New Roman" w:hAnsi="Times New Roman" w:cs="Times New Roman"/>
        </w:rPr>
        <w:t>（3）通过对项目污染治理设施的经济技术合理性分析和达标排放的可靠性分析，提出进一步减缓污染的对策措施和建议，为优化环境项目设计以及建设项目的环境管理与环境监测提供依据。</w:t>
      </w:r>
    </w:p>
    <w:p w14:paraId="64113A12">
      <w:pPr>
        <w:pStyle w:val="6"/>
        <w:rPr>
          <w:rFonts w:hint="default" w:ascii="Times New Roman" w:hAnsi="Times New Roman" w:cs="Times New Roman"/>
        </w:rPr>
      </w:pPr>
      <w:r>
        <w:rPr>
          <w:rFonts w:hint="default" w:ascii="Times New Roman" w:hAnsi="Times New Roman" w:cs="Times New Roman"/>
        </w:rPr>
        <w:t>（4）在以上工作的基础上，从环境保护角度论证该项目建设的可行性。</w:t>
      </w:r>
    </w:p>
    <w:p w14:paraId="7E977727">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2.2.2评价原则</w:t>
      </w:r>
    </w:p>
    <w:p w14:paraId="24FD75D0">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（1）依法评价</w:t>
      </w:r>
    </w:p>
    <w:p w14:paraId="5E6ED1C8">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贯彻执行我国环境保护相关法律法规、标准、政策和规划等，优化项目建设，服务环境管理。</w:t>
      </w:r>
    </w:p>
    <w:p w14:paraId="3DF7C5B3">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（2）科学评价</w:t>
      </w:r>
    </w:p>
    <w:p w14:paraId="14427E56">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规范环境影响评价方法，科学分析项目建设对环境质量的影响。</w:t>
      </w:r>
    </w:p>
    <w:p w14:paraId="691546F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（3）突出重点</w:t>
      </w:r>
    </w:p>
    <w:p w14:paraId="63CD714C">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根据建设项目的工程内容及其特点，明确与环境要素间的作用效应关系，根据规划环境影响评价结论和审查意见，充分利用符合时效的数据资料及成果，对建设项目主要环境影响予以重点分析和评价。</w:t>
      </w:r>
    </w:p>
    <w:p w14:paraId="2A374B99">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35" w:name="_Toc9868242"/>
      <w:bookmarkStart w:id="36" w:name="_Toc13339"/>
      <w:bookmarkStart w:id="37" w:name="_Toc5264"/>
      <w:bookmarkStart w:id="38" w:name="_Toc6390"/>
      <w:bookmarkStart w:id="39" w:name="_Toc24488"/>
      <w:r>
        <w:rPr>
          <w:rFonts w:hint="default" w:ascii="Times New Roman" w:hAnsi="Times New Roman" w:eastAsia="宋体" w:cs="Times New Roman"/>
          <w:sz w:val="24"/>
          <w:szCs w:val="18"/>
          <w:highlight w:val="none"/>
        </w:rPr>
        <w:t>2.3</w:t>
      </w:r>
      <w:bookmarkEnd w:id="35"/>
      <w:bookmarkEnd w:id="36"/>
      <w:bookmarkStart w:id="40" w:name="_Toc152320407"/>
      <w:r>
        <w:rPr>
          <w:rFonts w:hint="default" w:ascii="Times New Roman" w:hAnsi="Times New Roman" w:cs="Times New Roman"/>
          <w:lang w:val="zh-CN"/>
        </w:rPr>
        <w:t>环境影响因素识别及评价因子筛选</w:t>
      </w:r>
      <w:bookmarkEnd w:id="37"/>
      <w:bookmarkEnd w:id="38"/>
      <w:bookmarkEnd w:id="39"/>
      <w:bookmarkEnd w:id="40"/>
    </w:p>
    <w:p w14:paraId="5223B632">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2.3.1环境影响因素识别</w:t>
      </w:r>
    </w:p>
    <w:p w14:paraId="3F117002">
      <w:pPr>
        <w:pStyle w:val="6"/>
        <w:rPr>
          <w:rFonts w:hint="default" w:ascii="Times New Roman" w:hAnsi="Times New Roman" w:cs="Times New Roman"/>
        </w:rPr>
      </w:pPr>
      <w:r>
        <w:rPr>
          <w:rFonts w:hint="default" w:ascii="Times New Roman" w:hAnsi="Times New Roman" w:cs="Times New Roman"/>
        </w:rPr>
        <w:t>施工期对环境的影响主要是废气（车辆运输废气、施工扬尘等），噪声（施工作业噪声）、废水（施工人员生活废水、施工废水等）和固体废物（建筑垃圾等），施工期将对周围环境产生一定的影响，通过相关措施的控制及管理，其影响是暂时的、可消除的。</w:t>
      </w:r>
    </w:p>
    <w:p w14:paraId="1B02E062">
      <w:pPr>
        <w:pStyle w:val="6"/>
        <w:rPr>
          <w:rFonts w:hint="default" w:ascii="Times New Roman" w:hAnsi="Times New Roman" w:cs="Times New Roman"/>
        </w:rPr>
      </w:pPr>
      <w:r>
        <w:rPr>
          <w:rFonts w:hint="default" w:ascii="Times New Roman" w:hAnsi="Times New Roman" w:cs="Times New Roman"/>
        </w:rPr>
        <w:t>生产运营期环境影响因素主要包括装置运行期间产生的废气、废水、噪声、固体废物等对区域内各环境要素（环境空气、地下水、声环境、土壤环境等）产生不同程度的影响，且影响贯穿于整个生产期。</w:t>
      </w:r>
    </w:p>
    <w:p w14:paraId="5866D968">
      <w:pPr>
        <w:pStyle w:val="6"/>
        <w:rPr>
          <w:rFonts w:hint="default" w:ascii="Times New Roman" w:hAnsi="Times New Roman" w:cs="Times New Roman"/>
        </w:rPr>
      </w:pPr>
      <w:r>
        <w:rPr>
          <w:rFonts w:hint="default" w:ascii="Times New Roman" w:hAnsi="Times New Roman" w:cs="Times New Roman"/>
        </w:rPr>
        <w:t>在对建设项目现场勘查的基础上，依据该项目周边的环境状况和项目生产情况，对建设项目各阶段环境影响要素进行筛选。</w:t>
      </w:r>
    </w:p>
    <w:p w14:paraId="278A6F6A">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rPr>
        <w:t>本次主要识别项目施工期和运营期的各种行为与可能受影响的环境要素间的作用效应关系、影响性质、影响范围、影响程度等</w:t>
      </w:r>
      <w:r>
        <w:rPr>
          <w:rFonts w:hint="default" w:ascii="Times New Roman" w:hAnsi="Times New Roman" w:cs="Times New Roman"/>
          <w:lang w:eastAsia="zh-CN"/>
        </w:rPr>
        <w:t>。</w:t>
      </w:r>
    </w:p>
    <w:p w14:paraId="28D3EEA5">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环境影响因素识别详见表2.3-1。</w:t>
      </w:r>
    </w:p>
    <w:p w14:paraId="45EC8299">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表2.3-1 项目环境影响要素识别</w:t>
      </w:r>
    </w:p>
    <w:tbl>
      <w:tblPr>
        <w:tblStyle w:val="204"/>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70"/>
        <w:gridCol w:w="2278"/>
        <w:gridCol w:w="1380"/>
        <w:gridCol w:w="1104"/>
        <w:gridCol w:w="1104"/>
        <w:gridCol w:w="1380"/>
      </w:tblGrid>
      <w:tr w14:paraId="75717C7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restart"/>
            <w:tcBorders>
              <w:tl2br w:val="nil"/>
              <w:tr2bl w:val="nil"/>
            </w:tcBorders>
            <w:vAlign w:val="center"/>
          </w:tcPr>
          <w:p w14:paraId="287431D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评价时段</w:t>
            </w:r>
          </w:p>
        </w:tc>
        <w:tc>
          <w:tcPr>
            <w:tcW w:w="1338" w:type="pct"/>
            <w:vMerge w:val="restart"/>
            <w:tcBorders>
              <w:tl2br w:val="nil"/>
              <w:tr2bl w:val="nil"/>
            </w:tcBorders>
            <w:vAlign w:val="center"/>
          </w:tcPr>
          <w:p w14:paraId="0CA98A89">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工程行为</w:t>
            </w:r>
          </w:p>
        </w:tc>
        <w:tc>
          <w:tcPr>
            <w:tcW w:w="2916" w:type="pct"/>
            <w:gridSpan w:val="4"/>
            <w:tcBorders>
              <w:tl2br w:val="nil"/>
              <w:tr2bl w:val="nil"/>
            </w:tcBorders>
            <w:vAlign w:val="center"/>
          </w:tcPr>
          <w:p w14:paraId="5F34536E">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可能受影响的环境要素</w:t>
            </w:r>
          </w:p>
        </w:tc>
      </w:tr>
      <w:tr w14:paraId="21D07F5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tl2br w:val="nil"/>
              <w:tr2bl w:val="nil"/>
            </w:tcBorders>
            <w:vAlign w:val="center"/>
          </w:tcPr>
          <w:p w14:paraId="1DC216AA">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p>
        </w:tc>
        <w:tc>
          <w:tcPr>
            <w:tcW w:w="1338" w:type="pct"/>
            <w:vMerge w:val="continue"/>
            <w:tcBorders>
              <w:tl2br w:val="nil"/>
              <w:tr2bl w:val="nil"/>
            </w:tcBorders>
            <w:vAlign w:val="center"/>
          </w:tcPr>
          <w:p w14:paraId="39EC3B6B">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p>
        </w:tc>
        <w:tc>
          <w:tcPr>
            <w:tcW w:w="810" w:type="pct"/>
            <w:tcBorders>
              <w:tl2br w:val="nil"/>
              <w:tr2bl w:val="nil"/>
            </w:tcBorders>
            <w:vAlign w:val="center"/>
          </w:tcPr>
          <w:p w14:paraId="36B05289">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环境空气</w:t>
            </w:r>
          </w:p>
        </w:tc>
        <w:tc>
          <w:tcPr>
            <w:tcW w:w="648" w:type="pct"/>
            <w:tcBorders>
              <w:tl2br w:val="nil"/>
              <w:tr2bl w:val="nil"/>
            </w:tcBorders>
            <w:vAlign w:val="center"/>
          </w:tcPr>
          <w:p w14:paraId="255B235E">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地下水</w:t>
            </w:r>
          </w:p>
        </w:tc>
        <w:tc>
          <w:tcPr>
            <w:tcW w:w="648" w:type="pct"/>
            <w:tcBorders>
              <w:tl2br w:val="nil"/>
              <w:tr2bl w:val="nil"/>
            </w:tcBorders>
            <w:vAlign w:val="center"/>
          </w:tcPr>
          <w:p w14:paraId="34689F92">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声环境</w:t>
            </w:r>
          </w:p>
        </w:tc>
        <w:tc>
          <w:tcPr>
            <w:tcW w:w="810" w:type="pct"/>
            <w:tcBorders>
              <w:tl2br w:val="nil"/>
              <w:tr2bl w:val="nil"/>
            </w:tcBorders>
            <w:vAlign w:val="center"/>
          </w:tcPr>
          <w:p w14:paraId="2CBE7663">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土壤环境</w:t>
            </w:r>
          </w:p>
        </w:tc>
      </w:tr>
      <w:tr w14:paraId="2689D71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restart"/>
            <w:tcBorders>
              <w:tl2br w:val="nil"/>
              <w:tr2bl w:val="nil"/>
            </w:tcBorders>
            <w:vAlign w:val="center"/>
          </w:tcPr>
          <w:p w14:paraId="56B2227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施工期</w:t>
            </w:r>
          </w:p>
        </w:tc>
        <w:tc>
          <w:tcPr>
            <w:tcW w:w="1338" w:type="pct"/>
            <w:tcBorders>
              <w:tl2br w:val="nil"/>
              <w:tr2bl w:val="nil"/>
            </w:tcBorders>
            <w:vAlign w:val="center"/>
          </w:tcPr>
          <w:p w14:paraId="0AE124B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场地清理及开挖</w:t>
            </w:r>
          </w:p>
        </w:tc>
        <w:tc>
          <w:tcPr>
            <w:tcW w:w="810" w:type="pct"/>
            <w:tcBorders>
              <w:tl2br w:val="nil"/>
              <w:tr2bl w:val="nil"/>
            </w:tcBorders>
            <w:vAlign w:val="center"/>
          </w:tcPr>
          <w:p w14:paraId="7A4A797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648" w:type="pct"/>
            <w:tcBorders>
              <w:tl2br w:val="nil"/>
              <w:tr2bl w:val="nil"/>
            </w:tcBorders>
            <w:vAlign w:val="center"/>
          </w:tcPr>
          <w:p w14:paraId="162397A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6E7E13E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810" w:type="pct"/>
            <w:tcBorders>
              <w:tl2br w:val="nil"/>
              <w:tr2bl w:val="nil"/>
            </w:tcBorders>
            <w:vAlign w:val="center"/>
          </w:tcPr>
          <w:p w14:paraId="75CF234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4544AE2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tl2br w:val="nil"/>
              <w:tr2bl w:val="nil"/>
            </w:tcBorders>
            <w:vAlign w:val="center"/>
          </w:tcPr>
          <w:p w14:paraId="110CE43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14:paraId="369C1CE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基础工程</w:t>
            </w:r>
          </w:p>
        </w:tc>
        <w:tc>
          <w:tcPr>
            <w:tcW w:w="810" w:type="pct"/>
            <w:tcBorders>
              <w:tl2br w:val="nil"/>
              <w:tr2bl w:val="nil"/>
            </w:tcBorders>
            <w:vAlign w:val="center"/>
          </w:tcPr>
          <w:p w14:paraId="1E0D744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648" w:type="pct"/>
            <w:tcBorders>
              <w:tl2br w:val="nil"/>
              <w:tr2bl w:val="nil"/>
            </w:tcBorders>
            <w:vAlign w:val="center"/>
          </w:tcPr>
          <w:p w14:paraId="0531AD2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5DCC1B8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810" w:type="pct"/>
            <w:tcBorders>
              <w:tl2br w:val="nil"/>
              <w:tr2bl w:val="nil"/>
            </w:tcBorders>
            <w:vAlign w:val="center"/>
          </w:tcPr>
          <w:p w14:paraId="7A485DD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r>
      <w:tr w14:paraId="2B1019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tl2br w:val="nil"/>
              <w:tr2bl w:val="nil"/>
            </w:tcBorders>
            <w:vAlign w:val="center"/>
          </w:tcPr>
          <w:p w14:paraId="76D954F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14:paraId="0A9EA42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建筑施工</w:t>
            </w:r>
          </w:p>
        </w:tc>
        <w:tc>
          <w:tcPr>
            <w:tcW w:w="810" w:type="pct"/>
            <w:tcBorders>
              <w:tl2br w:val="nil"/>
              <w:tr2bl w:val="nil"/>
            </w:tcBorders>
            <w:vAlign w:val="center"/>
          </w:tcPr>
          <w:p w14:paraId="030BA2F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648" w:type="pct"/>
            <w:tcBorders>
              <w:tl2br w:val="nil"/>
              <w:tr2bl w:val="nil"/>
            </w:tcBorders>
            <w:vAlign w:val="center"/>
          </w:tcPr>
          <w:p w14:paraId="7077A5C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3920EC5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810" w:type="pct"/>
            <w:tcBorders>
              <w:tl2br w:val="nil"/>
              <w:tr2bl w:val="nil"/>
            </w:tcBorders>
            <w:vAlign w:val="center"/>
          </w:tcPr>
          <w:p w14:paraId="3F18876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r>
      <w:tr w14:paraId="6A8B593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tl2br w:val="nil"/>
              <w:tr2bl w:val="nil"/>
            </w:tcBorders>
            <w:vAlign w:val="center"/>
          </w:tcPr>
          <w:p w14:paraId="23B684E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14:paraId="2C145C9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安装施工</w:t>
            </w:r>
          </w:p>
        </w:tc>
        <w:tc>
          <w:tcPr>
            <w:tcW w:w="810" w:type="pct"/>
            <w:tcBorders>
              <w:tl2br w:val="nil"/>
              <w:tr2bl w:val="nil"/>
            </w:tcBorders>
            <w:vAlign w:val="center"/>
          </w:tcPr>
          <w:p w14:paraId="2430F72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05876FE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37DC189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810" w:type="pct"/>
            <w:tcBorders>
              <w:tl2br w:val="nil"/>
              <w:tr2bl w:val="nil"/>
            </w:tcBorders>
            <w:vAlign w:val="center"/>
          </w:tcPr>
          <w:p w14:paraId="11A7B9B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r>
      <w:tr w14:paraId="760DFA3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tl2br w:val="nil"/>
              <w:tr2bl w:val="nil"/>
            </w:tcBorders>
            <w:vAlign w:val="center"/>
          </w:tcPr>
          <w:p w14:paraId="7EE9BF3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14:paraId="6859519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运输</w:t>
            </w:r>
          </w:p>
        </w:tc>
        <w:tc>
          <w:tcPr>
            <w:tcW w:w="810" w:type="pct"/>
            <w:tcBorders>
              <w:tl2br w:val="nil"/>
              <w:tr2bl w:val="nil"/>
            </w:tcBorders>
            <w:vAlign w:val="center"/>
          </w:tcPr>
          <w:p w14:paraId="459CA32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648" w:type="pct"/>
            <w:tcBorders>
              <w:tl2br w:val="nil"/>
              <w:tr2bl w:val="nil"/>
            </w:tcBorders>
            <w:vAlign w:val="center"/>
          </w:tcPr>
          <w:p w14:paraId="252C65C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3348CC1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810" w:type="pct"/>
            <w:tcBorders>
              <w:tl2br w:val="nil"/>
              <w:tr2bl w:val="nil"/>
            </w:tcBorders>
            <w:vAlign w:val="center"/>
          </w:tcPr>
          <w:p w14:paraId="0AC9AD6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r>
      <w:tr w14:paraId="05F8A5E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tl2br w:val="nil"/>
              <w:tr2bl w:val="nil"/>
            </w:tcBorders>
            <w:vAlign w:val="center"/>
          </w:tcPr>
          <w:p w14:paraId="114614B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14:paraId="48954B1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物料堆存</w:t>
            </w:r>
          </w:p>
        </w:tc>
        <w:tc>
          <w:tcPr>
            <w:tcW w:w="810" w:type="pct"/>
            <w:tcBorders>
              <w:tl2br w:val="nil"/>
              <w:tr2bl w:val="nil"/>
            </w:tcBorders>
            <w:vAlign w:val="center"/>
          </w:tcPr>
          <w:p w14:paraId="226E2A9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648" w:type="pct"/>
            <w:tcBorders>
              <w:tl2br w:val="nil"/>
              <w:tr2bl w:val="nil"/>
            </w:tcBorders>
            <w:vAlign w:val="center"/>
          </w:tcPr>
          <w:p w14:paraId="7765958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0F26941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810" w:type="pct"/>
            <w:tcBorders>
              <w:tl2br w:val="nil"/>
              <w:tr2bl w:val="nil"/>
            </w:tcBorders>
            <w:vAlign w:val="center"/>
          </w:tcPr>
          <w:p w14:paraId="560B2E3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3EC6A9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restart"/>
            <w:tcBorders>
              <w:tl2br w:val="nil"/>
              <w:tr2bl w:val="nil"/>
            </w:tcBorders>
            <w:vAlign w:val="center"/>
          </w:tcPr>
          <w:p w14:paraId="2F00A7E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运营期</w:t>
            </w:r>
          </w:p>
        </w:tc>
        <w:tc>
          <w:tcPr>
            <w:tcW w:w="1338" w:type="pct"/>
            <w:tcBorders>
              <w:tl2br w:val="nil"/>
              <w:tr2bl w:val="nil"/>
            </w:tcBorders>
            <w:vAlign w:val="center"/>
          </w:tcPr>
          <w:p w14:paraId="4735B90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废气排放</w:t>
            </w:r>
          </w:p>
        </w:tc>
        <w:tc>
          <w:tcPr>
            <w:tcW w:w="810" w:type="pct"/>
            <w:tcBorders>
              <w:tl2br w:val="nil"/>
              <w:tr2bl w:val="nil"/>
            </w:tcBorders>
            <w:vAlign w:val="center"/>
          </w:tcPr>
          <w:p w14:paraId="730854A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648" w:type="pct"/>
            <w:tcBorders>
              <w:tl2br w:val="nil"/>
              <w:tr2bl w:val="nil"/>
            </w:tcBorders>
            <w:vAlign w:val="center"/>
          </w:tcPr>
          <w:p w14:paraId="21A36D7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15AB6B7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810" w:type="pct"/>
            <w:tcBorders>
              <w:tl2br w:val="nil"/>
              <w:tr2bl w:val="nil"/>
            </w:tcBorders>
            <w:vAlign w:val="center"/>
          </w:tcPr>
          <w:p w14:paraId="6C456F2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3626F60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tl2br w:val="nil"/>
              <w:tr2bl w:val="nil"/>
            </w:tcBorders>
            <w:vAlign w:val="center"/>
          </w:tcPr>
          <w:p w14:paraId="665D93B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14:paraId="2EF9596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废水排放</w:t>
            </w:r>
          </w:p>
        </w:tc>
        <w:tc>
          <w:tcPr>
            <w:tcW w:w="810" w:type="pct"/>
            <w:tcBorders>
              <w:tl2br w:val="nil"/>
              <w:tr2bl w:val="nil"/>
            </w:tcBorders>
            <w:vAlign w:val="center"/>
          </w:tcPr>
          <w:p w14:paraId="2EE8AB6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2F044B1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648" w:type="pct"/>
            <w:tcBorders>
              <w:tl2br w:val="nil"/>
              <w:tr2bl w:val="nil"/>
            </w:tcBorders>
            <w:vAlign w:val="center"/>
          </w:tcPr>
          <w:p w14:paraId="52C24FF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810" w:type="pct"/>
            <w:tcBorders>
              <w:tl2br w:val="nil"/>
              <w:tr2bl w:val="nil"/>
            </w:tcBorders>
            <w:vAlign w:val="center"/>
          </w:tcPr>
          <w:p w14:paraId="03823B3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r>
      <w:tr w14:paraId="5892749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tl2br w:val="nil"/>
              <w:tr2bl w:val="nil"/>
            </w:tcBorders>
            <w:vAlign w:val="center"/>
          </w:tcPr>
          <w:p w14:paraId="0FB8B80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14:paraId="3C79478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固废排放</w:t>
            </w:r>
          </w:p>
        </w:tc>
        <w:tc>
          <w:tcPr>
            <w:tcW w:w="810" w:type="pct"/>
            <w:tcBorders>
              <w:tl2br w:val="nil"/>
              <w:tr2bl w:val="nil"/>
            </w:tcBorders>
            <w:vAlign w:val="center"/>
          </w:tcPr>
          <w:p w14:paraId="13B8DA9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35A755B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6F90D69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810" w:type="pct"/>
            <w:tcBorders>
              <w:tl2br w:val="nil"/>
              <w:tr2bl w:val="nil"/>
            </w:tcBorders>
            <w:vAlign w:val="center"/>
          </w:tcPr>
          <w:p w14:paraId="2284B7F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r>
      <w:tr w14:paraId="21C5C10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6" w:type="pct"/>
            <w:vMerge w:val="continue"/>
            <w:tcBorders>
              <w:tl2br w:val="nil"/>
              <w:tr2bl w:val="nil"/>
            </w:tcBorders>
            <w:vAlign w:val="center"/>
          </w:tcPr>
          <w:p w14:paraId="058FBA5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14:paraId="75EC949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噪声排放</w:t>
            </w:r>
          </w:p>
        </w:tc>
        <w:tc>
          <w:tcPr>
            <w:tcW w:w="810" w:type="pct"/>
            <w:tcBorders>
              <w:tl2br w:val="nil"/>
              <w:tr2bl w:val="nil"/>
            </w:tcBorders>
            <w:vAlign w:val="center"/>
          </w:tcPr>
          <w:p w14:paraId="100E324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0BAC000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648" w:type="pct"/>
            <w:tcBorders>
              <w:tl2br w:val="nil"/>
              <w:tr2bl w:val="nil"/>
            </w:tcBorders>
            <w:vAlign w:val="center"/>
          </w:tcPr>
          <w:p w14:paraId="608AAAE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810" w:type="pct"/>
            <w:tcBorders>
              <w:tl2br w:val="nil"/>
              <w:tr2bl w:val="nil"/>
            </w:tcBorders>
            <w:vAlign w:val="center"/>
          </w:tcPr>
          <w:p w14:paraId="42CBDC0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r>
      <w:tr w14:paraId="03D9839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6"/>
            <w:tcBorders>
              <w:tl2br w:val="nil"/>
              <w:tr2bl w:val="nil"/>
            </w:tcBorders>
            <w:vAlign w:val="center"/>
          </w:tcPr>
          <w:p w14:paraId="3A8B0F5F">
            <w:pPr>
              <w:pStyle w:val="52"/>
              <w:spacing w:before="0" w:after="0" w:line="240" w:lineRule="auto"/>
              <w:ind w:left="0" w:firstLine="0"/>
              <w:jc w:val="left"/>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18"/>
                <w:szCs w:val="18"/>
                <w14:textFill>
                  <w14:solidFill>
                    <w14:schemeClr w14:val="tx1"/>
                  </w14:solidFill>
                </w14:textFill>
              </w:rPr>
              <w:t>注：3-重大影响；2-中等影响；1-轻微影响；0-无影响；“+”表示有利影响；“-”表示不利影响。</w:t>
            </w:r>
          </w:p>
        </w:tc>
      </w:tr>
    </w:tbl>
    <w:p w14:paraId="0011C8EF">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2.3.2评价因子筛选</w:t>
      </w:r>
    </w:p>
    <w:p w14:paraId="7393A63F">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根据识别结果筛选的评价因子见表2.3-2。</w:t>
      </w:r>
    </w:p>
    <w:p w14:paraId="64C8BA9D">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表2.3-2 环境影响评价因子筛选表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94"/>
        <w:gridCol w:w="1168"/>
        <w:gridCol w:w="6154"/>
      </w:tblGrid>
      <w:tr w14:paraId="5A2EC62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1387" w:type="pct"/>
            <w:gridSpan w:val="2"/>
            <w:tcBorders>
              <w:tl2br w:val="nil"/>
              <w:tr2bl w:val="nil"/>
            </w:tcBorders>
            <w:vAlign w:val="center"/>
          </w:tcPr>
          <w:p w14:paraId="150FDFC4">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zh-CN"/>
                <w14:textFill>
                  <w14:solidFill>
                    <w14:schemeClr w14:val="tx1"/>
                  </w14:solidFill>
                </w14:textFill>
              </w:rPr>
              <w:t>类别</w:t>
            </w:r>
          </w:p>
        </w:tc>
        <w:tc>
          <w:tcPr>
            <w:tcW w:w="3613" w:type="pct"/>
            <w:tcBorders>
              <w:tl2br w:val="nil"/>
              <w:tr2bl w:val="nil"/>
            </w:tcBorders>
            <w:vAlign w:val="center"/>
          </w:tcPr>
          <w:p w14:paraId="1D081588">
            <w:pPr>
              <w:pStyle w:val="52"/>
              <w:spacing w:before="0" w:after="0" w:line="240" w:lineRule="auto"/>
              <w:ind w:left="0" w:firstLine="0"/>
              <w:rPr>
                <w:rFonts w:hint="default" w:ascii="Times New Roman" w:hAnsi="Times New Roman" w:cs="Times New Roman"/>
                <w:b/>
                <w:bCs/>
                <w:color w:val="000000" w:themeColor="text1"/>
                <w:sz w:val="21"/>
                <w:szCs w:val="21"/>
                <w:highlight w:val="none"/>
                <w14:textFill>
                  <w14:solidFill>
                    <w14:schemeClr w14:val="tx1"/>
                  </w14:solidFill>
                </w14:textFill>
              </w:rPr>
            </w:pPr>
            <w:r>
              <w:rPr>
                <w:rFonts w:hint="default" w:ascii="Times New Roman" w:hAnsi="Times New Roman" w:cs="Times New Roman"/>
                <w:b/>
                <w:bCs/>
                <w:color w:val="000000" w:themeColor="text1"/>
                <w:sz w:val="21"/>
                <w:szCs w:val="21"/>
                <w:highlight w:val="none"/>
                <w14:textFill>
                  <w14:solidFill>
                    <w14:schemeClr w14:val="tx1"/>
                  </w14:solidFill>
                </w14:textFill>
              </w:rPr>
              <w:t>评价因子</w:t>
            </w:r>
          </w:p>
        </w:tc>
      </w:tr>
      <w:tr w14:paraId="073B494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restart"/>
            <w:tcBorders>
              <w:tl2br w:val="nil"/>
              <w:tr2bl w:val="nil"/>
            </w:tcBorders>
            <w:vAlign w:val="center"/>
          </w:tcPr>
          <w:p w14:paraId="4F7434B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zh-CN"/>
                <w14:textFill>
                  <w14:solidFill>
                    <w14:schemeClr w14:val="tx1"/>
                  </w14:solidFill>
                </w14:textFill>
              </w:rPr>
              <w:t>环境空气</w:t>
            </w:r>
          </w:p>
        </w:tc>
        <w:tc>
          <w:tcPr>
            <w:tcW w:w="686" w:type="pct"/>
            <w:tcBorders>
              <w:tl2br w:val="nil"/>
              <w:tr2bl w:val="nil"/>
            </w:tcBorders>
            <w:vAlign w:val="center"/>
          </w:tcPr>
          <w:p w14:paraId="3816F798">
            <w:pPr>
              <w:pStyle w:val="52"/>
              <w:spacing w:before="0" w:after="0" w:line="240" w:lineRule="auto"/>
              <w:ind w:left="0" w:firstLine="0"/>
              <w:rPr>
                <w:rFonts w:hint="default" w:ascii="Times New Roman" w:hAnsi="Times New Roman" w:cs="Times New Roman"/>
                <w:color w:val="000000" w:themeColor="text1"/>
                <w:sz w:val="21"/>
                <w:szCs w:val="21"/>
                <w:lang w:val="zh-CN"/>
                <w14:textFill>
                  <w14:solidFill>
                    <w14:schemeClr w14:val="tx1"/>
                  </w14:solidFill>
                </w14:textFill>
              </w:rPr>
            </w:pPr>
            <w:r>
              <w:rPr>
                <w:rFonts w:hint="default" w:ascii="Times New Roman" w:hAnsi="Times New Roman" w:cs="Times New Roman"/>
                <w:color w:val="000000" w:themeColor="text1"/>
                <w:sz w:val="21"/>
                <w:szCs w:val="21"/>
                <w:lang w:val="zh-CN"/>
                <w14:textFill>
                  <w14:solidFill>
                    <w14:schemeClr w14:val="tx1"/>
                  </w14:solidFill>
                </w14:textFill>
              </w:rPr>
              <w:t>现状评价</w:t>
            </w:r>
          </w:p>
        </w:tc>
        <w:tc>
          <w:tcPr>
            <w:tcW w:w="3613" w:type="pct"/>
            <w:tcBorders>
              <w:tl2br w:val="nil"/>
              <w:tr2bl w:val="nil"/>
            </w:tcBorders>
            <w:vAlign w:val="center"/>
          </w:tcPr>
          <w:p w14:paraId="64255503">
            <w:pPr>
              <w:pStyle w:val="52"/>
              <w:spacing w:before="0" w:after="0" w:line="240" w:lineRule="auto"/>
              <w:ind w:left="0" w:firstLine="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PM</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10</w:t>
            </w:r>
            <w:r>
              <w:rPr>
                <w:rFonts w:hint="default" w:ascii="Times New Roman" w:hAnsi="Times New Roman" w:cs="Times New Roman"/>
                <w:color w:val="000000" w:themeColor="text1"/>
                <w:sz w:val="21"/>
                <w:szCs w:val="21"/>
                <w:highlight w:val="none"/>
                <w14:textFill>
                  <w14:solidFill>
                    <w14:schemeClr w14:val="tx1"/>
                  </w14:solidFill>
                </w14:textFill>
              </w:rPr>
              <w:t>、PM</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2.5</w:t>
            </w:r>
            <w:r>
              <w:rPr>
                <w:rFonts w:hint="default" w:ascii="Times New Roman" w:hAnsi="Times New Roman" w:cs="Times New Roman"/>
                <w:color w:val="000000" w:themeColor="text1"/>
                <w:sz w:val="21"/>
                <w:szCs w:val="21"/>
                <w:highlight w:val="none"/>
                <w14:textFill>
                  <w14:solidFill>
                    <w14:schemeClr w14:val="tx1"/>
                  </w14:solidFill>
                </w14:textFill>
              </w:rPr>
              <w:t>、NO</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、SO</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、CO、O</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、TSP</w:t>
            </w:r>
          </w:p>
        </w:tc>
      </w:tr>
      <w:tr w14:paraId="4F32A1A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continue"/>
            <w:tcBorders>
              <w:tl2br w:val="nil"/>
              <w:tr2bl w:val="nil"/>
            </w:tcBorders>
            <w:vAlign w:val="center"/>
          </w:tcPr>
          <w:p w14:paraId="087705EF">
            <w:pPr>
              <w:pStyle w:val="52"/>
              <w:spacing w:before="0" w:after="0" w:line="240" w:lineRule="auto"/>
              <w:ind w:left="0" w:firstLine="0"/>
              <w:rPr>
                <w:rFonts w:hint="default" w:ascii="Times New Roman" w:hAnsi="Times New Roman" w:cs="Times New Roman"/>
                <w:color w:val="000000" w:themeColor="text1"/>
                <w:sz w:val="21"/>
                <w:szCs w:val="21"/>
                <w:lang w:val="zh-CN"/>
                <w14:textFill>
                  <w14:solidFill>
                    <w14:schemeClr w14:val="tx1"/>
                  </w14:solidFill>
                </w14:textFill>
              </w:rPr>
            </w:pPr>
          </w:p>
        </w:tc>
        <w:tc>
          <w:tcPr>
            <w:tcW w:w="686" w:type="pct"/>
            <w:tcBorders>
              <w:tl2br w:val="nil"/>
              <w:tr2bl w:val="nil"/>
            </w:tcBorders>
            <w:vAlign w:val="center"/>
          </w:tcPr>
          <w:p w14:paraId="592B4CD5">
            <w:pPr>
              <w:pStyle w:val="52"/>
              <w:spacing w:before="0" w:after="0" w:line="240" w:lineRule="auto"/>
              <w:ind w:left="0" w:firstLine="0"/>
              <w:rPr>
                <w:rFonts w:hint="default" w:ascii="Times New Roman" w:hAnsi="Times New Roman" w:cs="Times New Roman"/>
                <w:color w:val="000000" w:themeColor="text1"/>
                <w:sz w:val="21"/>
                <w:szCs w:val="21"/>
                <w:lang w:val="zh-CN"/>
                <w14:textFill>
                  <w14:solidFill>
                    <w14:schemeClr w14:val="tx1"/>
                  </w14:solidFill>
                </w14:textFill>
              </w:rPr>
            </w:pPr>
            <w:r>
              <w:rPr>
                <w:rFonts w:hint="default" w:ascii="Times New Roman" w:hAnsi="Times New Roman" w:cs="Times New Roman"/>
                <w:color w:val="000000" w:themeColor="text1"/>
                <w:sz w:val="21"/>
                <w:szCs w:val="21"/>
                <w:lang w:val="zh-CN"/>
                <w14:textFill>
                  <w14:solidFill>
                    <w14:schemeClr w14:val="tx1"/>
                  </w14:solidFill>
                </w14:textFill>
              </w:rPr>
              <w:t>影响预测</w:t>
            </w:r>
          </w:p>
        </w:tc>
        <w:tc>
          <w:tcPr>
            <w:tcW w:w="3613" w:type="pct"/>
            <w:tcBorders>
              <w:tl2br w:val="nil"/>
              <w:tr2bl w:val="nil"/>
            </w:tcBorders>
            <w:vAlign w:val="center"/>
          </w:tcPr>
          <w:p w14:paraId="6D2F6B42">
            <w:pPr>
              <w:pStyle w:val="52"/>
              <w:spacing w:before="0" w:after="0" w:line="240" w:lineRule="auto"/>
              <w:ind w:left="0" w:firstLine="0"/>
              <w:rPr>
                <w:rFonts w:hint="default" w:ascii="Times New Roman" w:hAnsi="Times New Roman" w:cs="Times New Roman"/>
                <w:color w:val="000000" w:themeColor="text1"/>
                <w:sz w:val="21"/>
                <w:szCs w:val="21"/>
                <w:highlight w:val="yellow"/>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TSP</w:t>
            </w:r>
          </w:p>
        </w:tc>
      </w:tr>
      <w:tr w14:paraId="6F351B6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restart"/>
            <w:tcBorders>
              <w:tl2br w:val="nil"/>
              <w:tr2bl w:val="nil"/>
            </w:tcBorders>
            <w:vAlign w:val="center"/>
          </w:tcPr>
          <w:p w14:paraId="6471A73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水环境</w:t>
            </w:r>
          </w:p>
        </w:tc>
        <w:tc>
          <w:tcPr>
            <w:tcW w:w="686" w:type="pct"/>
            <w:tcBorders>
              <w:tl2br w:val="nil"/>
              <w:tr2bl w:val="nil"/>
            </w:tcBorders>
            <w:vAlign w:val="center"/>
          </w:tcPr>
          <w:p w14:paraId="7727DCDD">
            <w:pPr>
              <w:pStyle w:val="52"/>
              <w:spacing w:before="0" w:after="0" w:line="240" w:lineRule="auto"/>
              <w:ind w:left="0" w:firstLine="0"/>
              <w:rPr>
                <w:rFonts w:hint="default" w:ascii="Times New Roman" w:hAnsi="Times New Roman" w:cs="Times New Roman"/>
                <w:color w:val="000000" w:themeColor="text1"/>
                <w:sz w:val="21"/>
                <w:szCs w:val="21"/>
                <w:highlight w:val="none"/>
                <w:lang w:val="zh-CN"/>
                <w14:textFill>
                  <w14:solidFill>
                    <w14:schemeClr w14:val="tx1"/>
                  </w14:solidFill>
                </w14:textFill>
              </w:rPr>
            </w:pPr>
            <w:r>
              <w:rPr>
                <w:rFonts w:hint="default" w:ascii="Times New Roman" w:hAnsi="Times New Roman" w:cs="Times New Roman"/>
                <w:color w:val="000000" w:themeColor="text1"/>
                <w:sz w:val="21"/>
                <w:szCs w:val="21"/>
                <w:highlight w:val="none"/>
                <w:lang w:val="zh-CN"/>
                <w14:textFill>
                  <w14:solidFill>
                    <w14:schemeClr w14:val="tx1"/>
                  </w14:solidFill>
                </w14:textFill>
              </w:rPr>
              <w:t>现状评价</w:t>
            </w:r>
          </w:p>
        </w:tc>
        <w:tc>
          <w:tcPr>
            <w:tcW w:w="3613" w:type="pct"/>
            <w:tcBorders>
              <w:tl2br w:val="nil"/>
              <w:tr2bl w:val="nil"/>
            </w:tcBorders>
            <w:vAlign w:val="center"/>
          </w:tcPr>
          <w:p w14:paraId="4F50F0DD">
            <w:pPr>
              <w:pStyle w:val="52"/>
              <w:spacing w:before="0" w:after="0" w:line="240" w:lineRule="auto"/>
              <w:ind w:left="0" w:firstLine="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bCs/>
                <w:color w:val="000000" w:themeColor="text1"/>
                <w:sz w:val="21"/>
                <w:szCs w:val="21"/>
                <w:highlight w:val="none"/>
                <w14:textFill>
                  <w14:solidFill>
                    <w14:schemeClr w14:val="tx1"/>
                  </w14:solidFill>
                </w14:textFill>
              </w:rPr>
              <w:t>K</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、Na</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、Ca</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cs="Times New Roman"/>
                <w:bCs/>
                <w:color w:val="000000" w:themeColor="text1"/>
                <w:sz w:val="21"/>
                <w:szCs w:val="21"/>
                <w:highlight w:val="none"/>
                <w14:textFill>
                  <w14:solidFill>
                    <w14:schemeClr w14:val="tx1"/>
                  </w14:solidFill>
                </w14:textFill>
              </w:rPr>
              <w:t>、Mg</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cs="Times New Roman"/>
                <w:bCs/>
                <w:color w:val="000000" w:themeColor="text1"/>
                <w:sz w:val="21"/>
                <w:szCs w:val="21"/>
                <w:highlight w:val="none"/>
                <w14:textFill>
                  <w14:solidFill>
                    <w14:schemeClr w14:val="tx1"/>
                  </w14:solidFill>
                </w14:textFill>
              </w:rPr>
              <w:t>、CO</w:t>
            </w:r>
            <w:r>
              <w:rPr>
                <w:rFonts w:hint="default" w:ascii="Times New Roman" w:hAnsi="Times New Roman" w:cs="Times New Roman"/>
                <w:bCs/>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cs="Times New Roman"/>
                <w:bCs/>
                <w:color w:val="000000" w:themeColor="text1"/>
                <w:sz w:val="21"/>
                <w:szCs w:val="21"/>
                <w:highlight w:val="none"/>
                <w14:textFill>
                  <w14:solidFill>
                    <w14:schemeClr w14:val="tx1"/>
                  </w14:solidFill>
                </w14:textFill>
              </w:rPr>
              <w:t>、HCO</w:t>
            </w:r>
            <w:r>
              <w:rPr>
                <w:rFonts w:hint="default" w:ascii="Times New Roman" w:hAnsi="Times New Roman" w:cs="Times New Roman"/>
                <w:bCs/>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、Cl</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w:t>
            </w:r>
            <w:r>
              <w:rPr>
                <w:rFonts w:hint="default" w:ascii="Times New Roman" w:hAnsi="Times New Roman" w:cs="Times New Roman"/>
                <w:bCs/>
                <w:color w:val="000000" w:themeColor="text1"/>
                <w:sz w:val="21"/>
                <w:szCs w:val="21"/>
                <w:highlight w:val="none"/>
                <w14:textFill>
                  <w14:solidFill>
                    <w14:schemeClr w14:val="tx1"/>
                  </w14:solidFill>
                </w14:textFill>
              </w:rPr>
              <w:t>、SO</w:t>
            </w:r>
            <w:r>
              <w:rPr>
                <w:rFonts w:hint="default" w:ascii="Times New Roman" w:hAnsi="Times New Roman" w:cs="Times New Roman"/>
                <w:bCs/>
                <w:color w:val="000000" w:themeColor="text1"/>
                <w:sz w:val="21"/>
                <w:szCs w:val="21"/>
                <w:highlight w:val="none"/>
                <w:vertAlign w:val="subscript"/>
                <w14:textFill>
                  <w14:solidFill>
                    <w14:schemeClr w14:val="tx1"/>
                  </w14:solidFill>
                </w14:textFill>
              </w:rPr>
              <w:t>4</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2-</w:t>
            </w:r>
            <w:r>
              <w:rPr>
                <w:rFonts w:hint="default" w:ascii="Times New Roman" w:hAnsi="Times New Roman" w:cs="Times New Roman"/>
                <w:bCs/>
                <w:color w:val="000000" w:themeColor="text1"/>
                <w:sz w:val="21"/>
                <w:szCs w:val="21"/>
                <w:highlight w:val="none"/>
                <w14:textFill>
                  <w14:solidFill>
                    <w14:schemeClr w14:val="tx1"/>
                  </w14:solidFill>
                </w14:textFill>
              </w:rPr>
              <w:t>；pH、总硬度、溶解性总固体、硫酸盐、氯化物、铁、锰、铜、锌、挥发酚、阴离子表面活性剂、硝酸盐、亚硝酸盐、氨氮、硫化物、氟化物、氰化物、汞、砷、镉、六价铬、铅、总大肠菌群、镍、钴、钡等</w:t>
            </w:r>
          </w:p>
        </w:tc>
      </w:tr>
      <w:tr w14:paraId="7B0FEC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continue"/>
            <w:tcBorders>
              <w:tl2br w:val="nil"/>
              <w:tr2bl w:val="nil"/>
            </w:tcBorders>
            <w:vAlign w:val="center"/>
          </w:tcPr>
          <w:p w14:paraId="63687B4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686" w:type="pct"/>
            <w:tcBorders>
              <w:tl2br w:val="nil"/>
              <w:tr2bl w:val="nil"/>
            </w:tcBorders>
            <w:vAlign w:val="center"/>
          </w:tcPr>
          <w:p w14:paraId="3A4E5C96">
            <w:pPr>
              <w:pStyle w:val="52"/>
              <w:spacing w:before="0" w:after="0" w:line="240" w:lineRule="auto"/>
              <w:ind w:left="0" w:firstLine="0"/>
              <w:rPr>
                <w:rFonts w:hint="default" w:ascii="Times New Roman" w:hAnsi="Times New Roman" w:cs="Times New Roman"/>
                <w:color w:val="000000" w:themeColor="text1"/>
                <w:sz w:val="21"/>
                <w:szCs w:val="21"/>
                <w:lang w:val="zh-CN"/>
                <w14:textFill>
                  <w14:solidFill>
                    <w14:schemeClr w14:val="tx1"/>
                  </w14:solidFill>
                </w14:textFill>
              </w:rPr>
            </w:pPr>
            <w:r>
              <w:rPr>
                <w:rFonts w:hint="default" w:ascii="Times New Roman" w:hAnsi="Times New Roman" w:cs="Times New Roman"/>
                <w:color w:val="000000" w:themeColor="text1"/>
                <w:sz w:val="21"/>
                <w:szCs w:val="21"/>
                <w:lang w:val="zh-CN"/>
                <w14:textFill>
                  <w14:solidFill>
                    <w14:schemeClr w14:val="tx1"/>
                  </w14:solidFill>
                </w14:textFill>
              </w:rPr>
              <w:t>影响预测</w:t>
            </w:r>
          </w:p>
        </w:tc>
        <w:tc>
          <w:tcPr>
            <w:tcW w:w="3613" w:type="pct"/>
            <w:tcBorders>
              <w:tl2br w:val="nil"/>
              <w:tr2bl w:val="nil"/>
            </w:tcBorders>
            <w:vAlign w:val="center"/>
          </w:tcPr>
          <w:p w14:paraId="6B42C1C1">
            <w:pPr>
              <w:pStyle w:val="52"/>
              <w:spacing w:before="0" w:after="0" w:line="240" w:lineRule="auto"/>
              <w:ind w:left="0" w:firstLine="0"/>
              <w:rPr>
                <w:rFonts w:hint="default" w:ascii="Times New Roman" w:hAnsi="Times New Roman" w:eastAsia="宋体" w:cs="Times New Roman"/>
                <w:color w:val="000000" w:themeColor="text1"/>
                <w:sz w:val="21"/>
                <w:szCs w:val="21"/>
                <w:highlight w:val="yellow"/>
                <w:lang w:val="en-US" w:eastAsia="zh-CN"/>
                <w14:textFill>
                  <w14:solidFill>
                    <w14:schemeClr w14:val="tx1"/>
                  </w14:solidFill>
                </w14:textFill>
              </w:rPr>
            </w:pPr>
            <w:r>
              <w:rPr>
                <w:rFonts w:hint="eastAsia" w:cs="Times New Roman"/>
                <w:bCs/>
                <w:color w:val="000000" w:themeColor="text1"/>
                <w:sz w:val="21"/>
                <w:szCs w:val="21"/>
                <w:highlight w:val="none"/>
                <w:lang w:val="en-US" w:eastAsia="zh-CN"/>
                <w14:textFill>
                  <w14:solidFill>
                    <w14:schemeClr w14:val="tx1"/>
                  </w14:solidFill>
                </w14:textFill>
              </w:rPr>
              <w:t>甲磺酸钠（以</w:t>
            </w:r>
            <w:r>
              <w:rPr>
                <w:rFonts w:hint="default" w:ascii="Times New Roman" w:hAnsi="Times New Roman" w:cs="Times New Roman"/>
                <w:bCs/>
                <w:color w:val="000000" w:themeColor="text1"/>
                <w:sz w:val="21"/>
                <w:szCs w:val="21"/>
                <w:highlight w:val="none"/>
                <w14:textFill>
                  <w14:solidFill>
                    <w14:schemeClr w14:val="tx1"/>
                  </w14:solidFill>
                </w14:textFill>
              </w:rPr>
              <w:t>Na</w:t>
            </w:r>
            <w:r>
              <w:rPr>
                <w:rFonts w:hint="default" w:ascii="Times New Roman" w:hAnsi="Times New Roman" w:cs="Times New Roman"/>
                <w:bCs/>
                <w:color w:val="000000" w:themeColor="text1"/>
                <w:sz w:val="21"/>
                <w:szCs w:val="21"/>
                <w:highlight w:val="none"/>
                <w:vertAlign w:val="superscript"/>
                <w14:textFill>
                  <w14:solidFill>
                    <w14:schemeClr w14:val="tx1"/>
                  </w14:solidFill>
                </w14:textFill>
              </w:rPr>
              <w:t>+</w:t>
            </w:r>
            <w:r>
              <w:rPr>
                <w:rFonts w:hint="eastAsia" w:cs="Times New Roman"/>
                <w:bCs/>
                <w:color w:val="000000" w:themeColor="text1"/>
                <w:sz w:val="21"/>
                <w:szCs w:val="21"/>
                <w:highlight w:val="none"/>
                <w:lang w:val="en-US" w:eastAsia="zh-CN"/>
                <w14:textFill>
                  <w14:solidFill>
                    <w14:schemeClr w14:val="tx1"/>
                  </w14:solidFill>
                </w14:textFill>
              </w:rPr>
              <w:t>计）</w:t>
            </w:r>
          </w:p>
        </w:tc>
      </w:tr>
      <w:tr w14:paraId="4F56210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restart"/>
            <w:tcBorders>
              <w:tl2br w:val="nil"/>
              <w:tr2bl w:val="nil"/>
            </w:tcBorders>
            <w:vAlign w:val="center"/>
          </w:tcPr>
          <w:p w14:paraId="2CE12C9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声环境</w:t>
            </w:r>
          </w:p>
        </w:tc>
        <w:tc>
          <w:tcPr>
            <w:tcW w:w="686" w:type="pct"/>
            <w:tcBorders>
              <w:tl2br w:val="nil"/>
              <w:tr2bl w:val="nil"/>
            </w:tcBorders>
            <w:vAlign w:val="center"/>
          </w:tcPr>
          <w:p w14:paraId="5579390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现状评价</w:t>
            </w:r>
          </w:p>
        </w:tc>
        <w:tc>
          <w:tcPr>
            <w:tcW w:w="3613" w:type="pct"/>
            <w:tcBorders>
              <w:tl2br w:val="nil"/>
              <w:tr2bl w:val="nil"/>
            </w:tcBorders>
            <w:vAlign w:val="center"/>
          </w:tcPr>
          <w:p w14:paraId="268ECCDE">
            <w:pPr>
              <w:pStyle w:val="52"/>
              <w:spacing w:before="0" w:after="0" w:line="240" w:lineRule="auto"/>
              <w:ind w:left="0" w:firstLine="0"/>
              <w:rPr>
                <w:rFonts w:hint="default" w:ascii="Times New Roman" w:hAnsi="Times New Roman" w:cs="Times New Roman"/>
                <w:color w:val="000000" w:themeColor="text1"/>
                <w:sz w:val="21"/>
                <w:szCs w:val="21"/>
                <w:highlight w:val="none"/>
                <w:lang w:val="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昼间等效A声级、夜间等效A声级</w:t>
            </w:r>
          </w:p>
        </w:tc>
      </w:tr>
      <w:tr w14:paraId="0FC4504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continue"/>
            <w:tcBorders>
              <w:tl2br w:val="nil"/>
              <w:tr2bl w:val="nil"/>
            </w:tcBorders>
            <w:vAlign w:val="center"/>
          </w:tcPr>
          <w:p w14:paraId="363D4B0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686" w:type="pct"/>
            <w:tcBorders>
              <w:tl2br w:val="nil"/>
              <w:tr2bl w:val="nil"/>
            </w:tcBorders>
            <w:vAlign w:val="center"/>
          </w:tcPr>
          <w:p w14:paraId="68751F3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影响预测</w:t>
            </w:r>
          </w:p>
        </w:tc>
        <w:tc>
          <w:tcPr>
            <w:tcW w:w="3613" w:type="pct"/>
            <w:tcBorders>
              <w:tl2br w:val="nil"/>
              <w:tr2bl w:val="nil"/>
            </w:tcBorders>
            <w:vAlign w:val="center"/>
          </w:tcPr>
          <w:p w14:paraId="703A8319">
            <w:pPr>
              <w:pStyle w:val="52"/>
              <w:spacing w:before="0" w:after="0" w:line="240" w:lineRule="auto"/>
              <w:ind w:left="0" w:firstLine="0"/>
              <w:rPr>
                <w:rFonts w:hint="default" w:ascii="Times New Roman" w:hAnsi="Times New Roman" w:cs="Times New Roman"/>
                <w:color w:val="000000" w:themeColor="text1"/>
                <w:sz w:val="21"/>
                <w:szCs w:val="21"/>
                <w:highlight w:val="none"/>
                <w:lang w:val="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昼间等效A声级、夜间等效A声级</w:t>
            </w:r>
          </w:p>
        </w:tc>
      </w:tr>
      <w:tr w14:paraId="3504E1B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restart"/>
            <w:tcBorders>
              <w:tl2br w:val="nil"/>
              <w:tr2bl w:val="nil"/>
            </w:tcBorders>
            <w:vAlign w:val="center"/>
          </w:tcPr>
          <w:p w14:paraId="79490A9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土壤环境</w:t>
            </w:r>
          </w:p>
        </w:tc>
        <w:tc>
          <w:tcPr>
            <w:tcW w:w="686" w:type="pct"/>
            <w:tcBorders>
              <w:tl2br w:val="nil"/>
              <w:tr2bl w:val="nil"/>
            </w:tcBorders>
            <w:vAlign w:val="center"/>
          </w:tcPr>
          <w:p w14:paraId="0228F9D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现状评价</w:t>
            </w:r>
          </w:p>
        </w:tc>
        <w:tc>
          <w:tcPr>
            <w:tcW w:w="3613" w:type="pct"/>
            <w:tcBorders>
              <w:tl2br w:val="nil"/>
              <w:tr2bl w:val="nil"/>
            </w:tcBorders>
            <w:vAlign w:val="center"/>
          </w:tcPr>
          <w:p w14:paraId="79044CD8">
            <w:pPr>
              <w:pStyle w:val="52"/>
              <w:spacing w:before="0" w:after="0" w:line="240" w:lineRule="auto"/>
              <w:ind w:left="0" w:firstLine="0"/>
              <w:rPr>
                <w:rFonts w:hint="default" w:ascii="Times New Roman" w:hAnsi="Times New Roman" w:cs="Times New Roman"/>
                <w:color w:val="000000" w:themeColor="text1"/>
                <w:sz w:val="21"/>
                <w:szCs w:val="21"/>
                <w:highlight w:val="yellow"/>
                <w14:textFill>
                  <w14:solidFill>
                    <w14:schemeClr w14:val="tx1"/>
                  </w14:solidFill>
                </w14:textFill>
              </w:rPr>
            </w:pPr>
            <w:r>
              <w:rPr>
                <w:rFonts w:hint="default" w:ascii="Times New Roman" w:hAnsi="Times New Roman" w:cs="Times New Roman"/>
                <w:color w:val="000000" w:themeColor="text1"/>
                <w:sz w:val="21"/>
                <w:szCs w:val="21"/>
                <w:highlight w:val="none"/>
                <w:lang w:val="zh-CN"/>
                <w14:textFill>
                  <w14:solidFill>
                    <w14:schemeClr w14:val="tx1"/>
                  </w14:solidFill>
                </w14:textFill>
              </w:rPr>
              <w:t>砷、镉、铬</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zh-CN"/>
                <w14:textFill>
                  <w14:solidFill>
                    <w14:schemeClr w14:val="tx1"/>
                  </w14:solidFill>
                </w14:textFill>
              </w:rPr>
              <w:t>六价</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zh-CN"/>
                <w14:textFill>
                  <w14:solidFill>
                    <w14:schemeClr w14:val="tx1"/>
                  </w14:solidFill>
                </w14:textFill>
              </w:rPr>
              <w:t>、铜、铅、汞、镍、钴、钒、锑、铍、氰化物、四氯化碳、氯仿、氯甲烷、</w:t>
            </w:r>
            <w:r>
              <w:rPr>
                <w:rFonts w:hint="default" w:ascii="Times New Roman" w:hAnsi="Times New Roman" w:cs="Times New Roman"/>
                <w:color w:val="000000" w:themeColor="text1"/>
                <w:sz w:val="21"/>
                <w:szCs w:val="21"/>
                <w:highlight w:val="none"/>
                <w14:textFill>
                  <w14:solidFill>
                    <w14:schemeClr w14:val="tx1"/>
                  </w14:solidFill>
                </w14:textFill>
              </w:rPr>
              <w:t>1，1-</w:t>
            </w:r>
            <w:r>
              <w:rPr>
                <w:rFonts w:hint="default" w:ascii="Times New Roman" w:hAnsi="Times New Roman" w:cs="Times New Roman"/>
                <w:color w:val="000000" w:themeColor="text1"/>
                <w:sz w:val="21"/>
                <w:szCs w:val="21"/>
                <w:highlight w:val="none"/>
                <w:lang w:val="zh-CN"/>
                <w14:textFill>
                  <w14:solidFill>
                    <w14:schemeClr w14:val="tx1"/>
                  </w14:solidFill>
                </w14:textFill>
              </w:rPr>
              <w:t>二氯乙烷、</w:t>
            </w:r>
            <w:r>
              <w:rPr>
                <w:rFonts w:hint="default" w:ascii="Times New Roman" w:hAnsi="Times New Roman" w:cs="Times New Roman"/>
                <w:color w:val="000000" w:themeColor="text1"/>
                <w:sz w:val="21"/>
                <w:szCs w:val="21"/>
                <w:highlight w:val="none"/>
                <w14:textFill>
                  <w14:solidFill>
                    <w14:schemeClr w14:val="tx1"/>
                  </w14:solidFill>
                </w14:textFill>
              </w:rPr>
              <w:t>1，2-</w:t>
            </w:r>
            <w:r>
              <w:rPr>
                <w:rFonts w:hint="default" w:ascii="Times New Roman" w:hAnsi="Times New Roman" w:cs="Times New Roman"/>
                <w:color w:val="000000" w:themeColor="text1"/>
                <w:sz w:val="21"/>
                <w:szCs w:val="21"/>
                <w:highlight w:val="none"/>
                <w:lang w:val="zh-CN"/>
                <w14:textFill>
                  <w14:solidFill>
                    <w14:schemeClr w14:val="tx1"/>
                  </w14:solidFill>
                </w14:textFill>
              </w:rPr>
              <w:t>二氯乙烷、</w:t>
            </w:r>
            <w:r>
              <w:rPr>
                <w:rFonts w:hint="default" w:ascii="Times New Roman" w:hAnsi="Times New Roman" w:cs="Times New Roman"/>
                <w:color w:val="000000" w:themeColor="text1"/>
                <w:sz w:val="21"/>
                <w:szCs w:val="21"/>
                <w:highlight w:val="none"/>
                <w14:textFill>
                  <w14:solidFill>
                    <w14:schemeClr w14:val="tx1"/>
                  </w14:solidFill>
                </w14:textFill>
              </w:rPr>
              <w:t>1，1-</w:t>
            </w:r>
            <w:r>
              <w:rPr>
                <w:rFonts w:hint="default" w:ascii="Times New Roman" w:hAnsi="Times New Roman" w:cs="Times New Roman"/>
                <w:color w:val="000000" w:themeColor="text1"/>
                <w:sz w:val="21"/>
                <w:szCs w:val="21"/>
                <w:highlight w:val="none"/>
                <w:lang w:val="zh-CN"/>
                <w14:textFill>
                  <w14:solidFill>
                    <w14:schemeClr w14:val="tx1"/>
                  </w14:solidFill>
                </w14:textFill>
              </w:rPr>
              <w:t>二氯乙烯、顺</w:t>
            </w:r>
            <w:r>
              <w:rPr>
                <w:rFonts w:hint="default" w:ascii="Times New Roman" w:hAnsi="Times New Roman" w:cs="Times New Roman"/>
                <w:color w:val="000000" w:themeColor="text1"/>
                <w:sz w:val="21"/>
                <w:szCs w:val="21"/>
                <w:highlight w:val="none"/>
                <w14:textFill>
                  <w14:solidFill>
                    <w14:schemeClr w14:val="tx1"/>
                  </w14:solidFill>
                </w14:textFill>
              </w:rPr>
              <w:t>-1，2-</w:t>
            </w:r>
            <w:r>
              <w:rPr>
                <w:rFonts w:hint="default" w:ascii="Times New Roman" w:hAnsi="Times New Roman" w:cs="Times New Roman"/>
                <w:color w:val="000000" w:themeColor="text1"/>
                <w:sz w:val="21"/>
                <w:szCs w:val="21"/>
                <w:highlight w:val="none"/>
                <w:lang w:val="zh-CN"/>
                <w14:textFill>
                  <w14:solidFill>
                    <w14:schemeClr w14:val="tx1"/>
                  </w14:solidFill>
                </w14:textFill>
              </w:rPr>
              <w:t>二氯乙烯、反</w:t>
            </w:r>
            <w:r>
              <w:rPr>
                <w:rFonts w:hint="default" w:ascii="Times New Roman" w:hAnsi="Times New Roman" w:cs="Times New Roman"/>
                <w:color w:val="000000" w:themeColor="text1"/>
                <w:sz w:val="21"/>
                <w:szCs w:val="21"/>
                <w:highlight w:val="none"/>
                <w14:textFill>
                  <w14:solidFill>
                    <w14:schemeClr w14:val="tx1"/>
                  </w14:solidFill>
                </w14:textFill>
              </w:rPr>
              <w:t>-1，2-</w:t>
            </w:r>
            <w:r>
              <w:rPr>
                <w:rFonts w:hint="default" w:ascii="Times New Roman" w:hAnsi="Times New Roman" w:cs="Times New Roman"/>
                <w:color w:val="000000" w:themeColor="text1"/>
                <w:sz w:val="21"/>
                <w:szCs w:val="21"/>
                <w:highlight w:val="none"/>
                <w:lang w:val="zh-CN"/>
                <w14:textFill>
                  <w14:solidFill>
                    <w14:schemeClr w14:val="tx1"/>
                  </w14:solidFill>
                </w14:textFill>
              </w:rPr>
              <w:t>二氯乙烯、二氯甲烷、</w:t>
            </w:r>
            <w:r>
              <w:rPr>
                <w:rFonts w:hint="default" w:ascii="Times New Roman" w:hAnsi="Times New Roman" w:cs="Times New Roman"/>
                <w:color w:val="000000" w:themeColor="text1"/>
                <w:sz w:val="21"/>
                <w:szCs w:val="21"/>
                <w:highlight w:val="none"/>
                <w14:textFill>
                  <w14:solidFill>
                    <w14:schemeClr w14:val="tx1"/>
                  </w14:solidFill>
                </w14:textFill>
              </w:rPr>
              <w:t>1，2-</w:t>
            </w:r>
            <w:r>
              <w:rPr>
                <w:rFonts w:hint="default" w:ascii="Times New Roman" w:hAnsi="Times New Roman" w:cs="Times New Roman"/>
                <w:color w:val="000000" w:themeColor="text1"/>
                <w:sz w:val="21"/>
                <w:szCs w:val="21"/>
                <w:highlight w:val="none"/>
                <w:lang w:val="zh-CN"/>
                <w14:textFill>
                  <w14:solidFill>
                    <w14:schemeClr w14:val="tx1"/>
                  </w14:solidFill>
                </w14:textFill>
              </w:rPr>
              <w:t>二氯丙烷、</w:t>
            </w:r>
            <w:r>
              <w:rPr>
                <w:rFonts w:hint="default" w:ascii="Times New Roman" w:hAnsi="Times New Roman" w:cs="Times New Roman"/>
                <w:color w:val="000000" w:themeColor="text1"/>
                <w:sz w:val="21"/>
                <w:szCs w:val="21"/>
                <w:highlight w:val="none"/>
                <w14:textFill>
                  <w14:solidFill>
                    <w14:schemeClr w14:val="tx1"/>
                  </w14:solidFill>
                </w14:textFill>
              </w:rPr>
              <w:t>1，1，1，2-</w:t>
            </w:r>
            <w:r>
              <w:rPr>
                <w:rFonts w:hint="default" w:ascii="Times New Roman" w:hAnsi="Times New Roman" w:cs="Times New Roman"/>
                <w:color w:val="000000" w:themeColor="text1"/>
                <w:sz w:val="21"/>
                <w:szCs w:val="21"/>
                <w:highlight w:val="none"/>
                <w:lang w:val="zh-CN"/>
                <w14:textFill>
                  <w14:solidFill>
                    <w14:schemeClr w14:val="tx1"/>
                  </w14:solidFill>
                </w14:textFill>
              </w:rPr>
              <w:t>四氯乙烷、</w:t>
            </w:r>
            <w:r>
              <w:rPr>
                <w:rFonts w:hint="default" w:ascii="Times New Roman" w:hAnsi="Times New Roman" w:cs="Times New Roman"/>
                <w:color w:val="000000" w:themeColor="text1"/>
                <w:sz w:val="21"/>
                <w:szCs w:val="21"/>
                <w:highlight w:val="none"/>
                <w14:textFill>
                  <w14:solidFill>
                    <w14:schemeClr w14:val="tx1"/>
                  </w14:solidFill>
                </w14:textFill>
              </w:rPr>
              <w:t>1，1，2，2-</w:t>
            </w:r>
            <w:r>
              <w:rPr>
                <w:rFonts w:hint="default" w:ascii="Times New Roman" w:hAnsi="Times New Roman" w:cs="Times New Roman"/>
                <w:color w:val="000000" w:themeColor="text1"/>
                <w:sz w:val="21"/>
                <w:szCs w:val="21"/>
                <w:highlight w:val="none"/>
                <w:lang w:val="zh-CN"/>
                <w14:textFill>
                  <w14:solidFill>
                    <w14:schemeClr w14:val="tx1"/>
                  </w14:solidFill>
                </w14:textFill>
              </w:rPr>
              <w:t>四氯乙烷、四氯乙烯、</w:t>
            </w:r>
            <w:r>
              <w:rPr>
                <w:rFonts w:hint="default" w:ascii="Times New Roman" w:hAnsi="Times New Roman" w:cs="Times New Roman"/>
                <w:color w:val="000000" w:themeColor="text1"/>
                <w:sz w:val="21"/>
                <w:szCs w:val="21"/>
                <w:highlight w:val="none"/>
                <w14:textFill>
                  <w14:solidFill>
                    <w14:schemeClr w14:val="tx1"/>
                  </w14:solidFill>
                </w14:textFill>
              </w:rPr>
              <w:t>1，1，1-</w:t>
            </w:r>
            <w:r>
              <w:rPr>
                <w:rFonts w:hint="default" w:ascii="Times New Roman" w:hAnsi="Times New Roman" w:cs="Times New Roman"/>
                <w:color w:val="000000" w:themeColor="text1"/>
                <w:sz w:val="21"/>
                <w:szCs w:val="21"/>
                <w:highlight w:val="none"/>
                <w:lang w:val="zh-CN"/>
                <w14:textFill>
                  <w14:solidFill>
                    <w14:schemeClr w14:val="tx1"/>
                  </w14:solidFill>
                </w14:textFill>
              </w:rPr>
              <w:t>三氯乙烷、</w:t>
            </w:r>
            <w:r>
              <w:rPr>
                <w:rFonts w:hint="default" w:ascii="Times New Roman" w:hAnsi="Times New Roman" w:cs="Times New Roman"/>
                <w:color w:val="000000" w:themeColor="text1"/>
                <w:sz w:val="21"/>
                <w:szCs w:val="21"/>
                <w:highlight w:val="none"/>
                <w14:textFill>
                  <w14:solidFill>
                    <w14:schemeClr w14:val="tx1"/>
                  </w14:solidFill>
                </w14:textFill>
              </w:rPr>
              <w:t>1，1，2-</w:t>
            </w:r>
            <w:r>
              <w:rPr>
                <w:rFonts w:hint="default" w:ascii="Times New Roman" w:hAnsi="Times New Roman" w:cs="Times New Roman"/>
                <w:color w:val="000000" w:themeColor="text1"/>
                <w:sz w:val="21"/>
                <w:szCs w:val="21"/>
                <w:highlight w:val="none"/>
                <w:lang w:val="zh-CN"/>
                <w14:textFill>
                  <w14:solidFill>
                    <w14:schemeClr w14:val="tx1"/>
                  </w14:solidFill>
                </w14:textFill>
              </w:rPr>
              <w:t>三氯乙烷、三氯乙烯、</w:t>
            </w:r>
            <w:r>
              <w:rPr>
                <w:rFonts w:hint="default" w:ascii="Times New Roman" w:hAnsi="Times New Roman" w:cs="Times New Roman"/>
                <w:color w:val="000000" w:themeColor="text1"/>
                <w:sz w:val="21"/>
                <w:szCs w:val="21"/>
                <w:highlight w:val="none"/>
                <w14:textFill>
                  <w14:solidFill>
                    <w14:schemeClr w14:val="tx1"/>
                  </w14:solidFill>
                </w14:textFill>
              </w:rPr>
              <w:t>1，2，3-</w:t>
            </w:r>
            <w:r>
              <w:rPr>
                <w:rFonts w:hint="default" w:ascii="Times New Roman" w:hAnsi="Times New Roman" w:cs="Times New Roman"/>
                <w:color w:val="000000" w:themeColor="text1"/>
                <w:sz w:val="21"/>
                <w:szCs w:val="21"/>
                <w:highlight w:val="none"/>
                <w:lang w:val="zh-CN"/>
                <w14:textFill>
                  <w14:solidFill>
                    <w14:schemeClr w14:val="tx1"/>
                  </w14:solidFill>
                </w14:textFill>
              </w:rPr>
              <w:t>三氯丙烷、氯乙烯、苯、氯苯、</w:t>
            </w:r>
            <w:r>
              <w:rPr>
                <w:rFonts w:hint="default" w:ascii="Times New Roman" w:hAnsi="Times New Roman" w:cs="Times New Roman"/>
                <w:color w:val="000000" w:themeColor="text1"/>
                <w:sz w:val="21"/>
                <w:szCs w:val="21"/>
                <w:highlight w:val="none"/>
                <w14:textFill>
                  <w14:solidFill>
                    <w14:schemeClr w14:val="tx1"/>
                  </w14:solidFill>
                </w14:textFill>
              </w:rPr>
              <w:t>1，2-</w:t>
            </w:r>
            <w:r>
              <w:rPr>
                <w:rFonts w:hint="default" w:ascii="Times New Roman" w:hAnsi="Times New Roman" w:cs="Times New Roman"/>
                <w:color w:val="000000" w:themeColor="text1"/>
                <w:sz w:val="21"/>
                <w:szCs w:val="21"/>
                <w:highlight w:val="none"/>
                <w:lang w:val="zh-CN"/>
                <w14:textFill>
                  <w14:solidFill>
                    <w14:schemeClr w14:val="tx1"/>
                  </w14:solidFill>
                </w14:textFill>
              </w:rPr>
              <w:t>二氯苯、</w:t>
            </w:r>
            <w:r>
              <w:rPr>
                <w:rFonts w:hint="default" w:ascii="Times New Roman" w:hAnsi="Times New Roman" w:cs="Times New Roman"/>
                <w:color w:val="000000" w:themeColor="text1"/>
                <w:sz w:val="21"/>
                <w:szCs w:val="21"/>
                <w:highlight w:val="none"/>
                <w14:textFill>
                  <w14:solidFill>
                    <w14:schemeClr w14:val="tx1"/>
                  </w14:solidFill>
                </w14:textFill>
              </w:rPr>
              <w:t>1，4-</w:t>
            </w:r>
            <w:r>
              <w:rPr>
                <w:rFonts w:hint="default" w:ascii="Times New Roman" w:hAnsi="Times New Roman" w:cs="Times New Roman"/>
                <w:color w:val="000000" w:themeColor="text1"/>
                <w:sz w:val="21"/>
                <w:szCs w:val="21"/>
                <w:highlight w:val="none"/>
                <w:lang w:val="zh-CN"/>
                <w14:textFill>
                  <w14:solidFill>
                    <w14:schemeClr w14:val="tx1"/>
                  </w14:solidFill>
                </w14:textFill>
              </w:rPr>
              <w:t>二氯苯、乙苯、苯乙烯、甲苯、间二甲苯</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highlight w:val="none"/>
                <w:lang w:val="zh-CN"/>
                <w14:textFill>
                  <w14:solidFill>
                    <w14:schemeClr w14:val="tx1"/>
                  </w14:solidFill>
                </w14:textFill>
              </w:rPr>
              <w:t>对二甲苯、邻二甲苯、硝基苯、苯胺、</w:t>
            </w:r>
            <w:r>
              <w:rPr>
                <w:rFonts w:hint="default" w:ascii="Times New Roman" w:hAnsi="Times New Roman" w:cs="Times New Roman"/>
                <w:color w:val="000000" w:themeColor="text1"/>
                <w:sz w:val="21"/>
                <w:szCs w:val="21"/>
                <w:highlight w:val="none"/>
                <w14:textFill>
                  <w14:solidFill>
                    <w14:schemeClr w14:val="tx1"/>
                  </w14:solidFill>
                </w14:textFill>
              </w:rPr>
              <w:t>2-</w:t>
            </w:r>
            <w:r>
              <w:rPr>
                <w:rFonts w:hint="default" w:ascii="Times New Roman" w:hAnsi="Times New Roman" w:cs="Times New Roman"/>
                <w:color w:val="000000" w:themeColor="text1"/>
                <w:sz w:val="21"/>
                <w:szCs w:val="21"/>
                <w:highlight w:val="none"/>
                <w:lang w:val="zh-CN"/>
                <w14:textFill>
                  <w14:solidFill>
                    <w14:schemeClr w14:val="tx1"/>
                  </w14:solidFill>
                </w14:textFill>
              </w:rPr>
              <w:t>氯酚、苯并</w:t>
            </w:r>
            <w:r>
              <w:rPr>
                <w:rFonts w:hint="default" w:ascii="Times New Roman" w:hAnsi="Times New Roman" w:cs="Times New Roman"/>
                <w:color w:val="000000" w:themeColor="text1"/>
                <w:sz w:val="21"/>
                <w:szCs w:val="21"/>
                <w:highlight w:val="none"/>
                <w14:textFill>
                  <w14:solidFill>
                    <w14:schemeClr w14:val="tx1"/>
                  </w14:solidFill>
                </w14:textFill>
              </w:rPr>
              <w:t>[a]</w:t>
            </w:r>
            <w:r>
              <w:rPr>
                <w:rFonts w:hint="default" w:ascii="Times New Roman" w:hAnsi="Times New Roman" w:cs="Times New Roman"/>
                <w:color w:val="000000" w:themeColor="text1"/>
                <w:sz w:val="21"/>
                <w:szCs w:val="21"/>
                <w:highlight w:val="none"/>
                <w:lang w:val="zh-CN"/>
                <w14:textFill>
                  <w14:solidFill>
                    <w14:schemeClr w14:val="tx1"/>
                  </w14:solidFill>
                </w14:textFill>
              </w:rPr>
              <w:t>蒽、苯并</w:t>
            </w:r>
            <w:r>
              <w:rPr>
                <w:rFonts w:hint="default" w:ascii="Times New Roman" w:hAnsi="Times New Roman" w:cs="Times New Roman"/>
                <w:color w:val="000000" w:themeColor="text1"/>
                <w:sz w:val="21"/>
                <w:szCs w:val="21"/>
                <w:highlight w:val="none"/>
                <w14:textFill>
                  <w14:solidFill>
                    <w14:schemeClr w14:val="tx1"/>
                  </w14:solidFill>
                </w14:textFill>
              </w:rPr>
              <w:t>[a]</w:t>
            </w:r>
            <w:r>
              <w:rPr>
                <w:rFonts w:hint="default" w:ascii="Times New Roman" w:hAnsi="Times New Roman" w:cs="Times New Roman"/>
                <w:color w:val="000000" w:themeColor="text1"/>
                <w:sz w:val="21"/>
                <w:szCs w:val="21"/>
                <w:highlight w:val="none"/>
                <w:lang w:val="zh-CN"/>
                <w14:textFill>
                  <w14:solidFill>
                    <w14:schemeClr w14:val="tx1"/>
                  </w14:solidFill>
                </w14:textFill>
              </w:rPr>
              <w:t>芘、苯并</w:t>
            </w:r>
            <w:r>
              <w:rPr>
                <w:rFonts w:hint="default" w:ascii="Times New Roman" w:hAnsi="Times New Roman" w:cs="Times New Roman"/>
                <w:color w:val="000000" w:themeColor="text1"/>
                <w:sz w:val="21"/>
                <w:szCs w:val="21"/>
                <w:highlight w:val="none"/>
                <w14:textFill>
                  <w14:solidFill>
                    <w14:schemeClr w14:val="tx1"/>
                  </w14:solidFill>
                </w14:textFill>
              </w:rPr>
              <w:t>[b]荧蒽</w:t>
            </w:r>
            <w:r>
              <w:rPr>
                <w:rFonts w:hint="default" w:ascii="Times New Roman" w:hAnsi="Times New Roman" w:cs="Times New Roman"/>
                <w:color w:val="000000" w:themeColor="text1"/>
                <w:sz w:val="21"/>
                <w:szCs w:val="21"/>
                <w:highlight w:val="none"/>
                <w:lang w:val="zh-CN"/>
                <w14:textFill>
                  <w14:solidFill>
                    <w14:schemeClr w14:val="tx1"/>
                  </w14:solidFill>
                </w14:textFill>
              </w:rPr>
              <w:t>、苯并</w:t>
            </w:r>
            <w:r>
              <w:rPr>
                <w:rFonts w:hint="default" w:ascii="Times New Roman" w:hAnsi="Times New Roman" w:cs="Times New Roman"/>
                <w:color w:val="000000" w:themeColor="text1"/>
                <w:sz w:val="21"/>
                <w:szCs w:val="21"/>
                <w:highlight w:val="none"/>
                <w14:textFill>
                  <w14:solidFill>
                    <w14:schemeClr w14:val="tx1"/>
                  </w14:solidFill>
                </w14:textFill>
              </w:rPr>
              <w:t>[k]荧蒽、䓛、二苯并[a，h]蒽、茚并[1，2，3，-cd]芘、萘</w:t>
            </w:r>
          </w:p>
        </w:tc>
      </w:tr>
      <w:tr w14:paraId="0E5881B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continue"/>
            <w:tcBorders>
              <w:tl2br w:val="nil"/>
              <w:tr2bl w:val="nil"/>
            </w:tcBorders>
            <w:vAlign w:val="center"/>
          </w:tcPr>
          <w:p w14:paraId="17544C4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686" w:type="pct"/>
            <w:tcBorders>
              <w:tl2br w:val="nil"/>
              <w:tr2bl w:val="nil"/>
            </w:tcBorders>
            <w:vAlign w:val="center"/>
          </w:tcPr>
          <w:p w14:paraId="17FFF48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影响预测</w:t>
            </w:r>
          </w:p>
        </w:tc>
        <w:tc>
          <w:tcPr>
            <w:tcW w:w="3613" w:type="pct"/>
            <w:tcBorders>
              <w:tl2br w:val="nil"/>
              <w:tr2bl w:val="nil"/>
            </w:tcBorders>
            <w:vAlign w:val="center"/>
          </w:tcPr>
          <w:p w14:paraId="515393C3">
            <w:pPr>
              <w:pStyle w:val="52"/>
              <w:spacing w:before="0" w:after="0" w:line="240" w:lineRule="auto"/>
              <w:ind w:left="0" w:firstLine="0"/>
              <w:rPr>
                <w:rFonts w:hint="default" w:ascii="Times New Roman" w:hAnsi="Times New Roman" w:eastAsia="宋体" w:cs="Times New Roman"/>
                <w:color w:val="000000" w:themeColor="text1"/>
                <w:sz w:val="21"/>
                <w:szCs w:val="21"/>
                <w:highlight w:val="yellow"/>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pH</w:t>
            </w:r>
          </w:p>
        </w:tc>
      </w:tr>
      <w:tr w14:paraId="117EAC3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restart"/>
            <w:tcBorders>
              <w:tl2br w:val="nil"/>
              <w:tr2bl w:val="nil"/>
            </w:tcBorders>
            <w:vAlign w:val="center"/>
          </w:tcPr>
          <w:p w14:paraId="74746C0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固体废物</w:t>
            </w:r>
          </w:p>
        </w:tc>
        <w:tc>
          <w:tcPr>
            <w:tcW w:w="686" w:type="pct"/>
            <w:tcBorders>
              <w:tl2br w:val="nil"/>
              <w:tr2bl w:val="nil"/>
            </w:tcBorders>
            <w:vAlign w:val="center"/>
          </w:tcPr>
          <w:p w14:paraId="3161CECB">
            <w:pPr>
              <w:pStyle w:val="52"/>
              <w:spacing w:before="0" w:after="0" w:line="240" w:lineRule="auto"/>
              <w:ind w:left="0" w:firstLine="0"/>
              <w:rPr>
                <w:rFonts w:hint="default" w:ascii="Times New Roman" w:hAnsi="Times New Roman" w:cs="Times New Roman"/>
                <w:color w:val="000000" w:themeColor="text1"/>
                <w:sz w:val="21"/>
                <w:szCs w:val="21"/>
                <w:lang w:val="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现状评价</w:t>
            </w:r>
          </w:p>
        </w:tc>
        <w:tc>
          <w:tcPr>
            <w:tcW w:w="3613" w:type="pct"/>
            <w:tcBorders>
              <w:tl2br w:val="nil"/>
              <w:tr2bl w:val="nil"/>
            </w:tcBorders>
            <w:vAlign w:val="center"/>
          </w:tcPr>
          <w:p w14:paraId="104711B3">
            <w:pPr>
              <w:pStyle w:val="52"/>
              <w:spacing w:before="0" w:after="0" w:line="240" w:lineRule="auto"/>
              <w:ind w:left="0" w:firstLine="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w:t>
            </w:r>
          </w:p>
        </w:tc>
      </w:tr>
      <w:tr w14:paraId="28AC273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01" w:type="pct"/>
            <w:vMerge w:val="continue"/>
            <w:tcBorders>
              <w:tl2br w:val="nil"/>
              <w:tr2bl w:val="nil"/>
            </w:tcBorders>
            <w:vAlign w:val="center"/>
          </w:tcPr>
          <w:p w14:paraId="43A25A1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686" w:type="pct"/>
            <w:tcBorders>
              <w:tl2br w:val="nil"/>
              <w:tr2bl w:val="nil"/>
            </w:tcBorders>
            <w:vAlign w:val="center"/>
          </w:tcPr>
          <w:p w14:paraId="46669AC4">
            <w:pPr>
              <w:pStyle w:val="52"/>
              <w:spacing w:before="0" w:after="0" w:line="240" w:lineRule="auto"/>
              <w:ind w:left="0" w:firstLine="0"/>
              <w:rPr>
                <w:rFonts w:hint="default" w:ascii="Times New Roman" w:hAnsi="Times New Roman" w:cs="Times New Roman"/>
                <w:color w:val="000000" w:themeColor="text1"/>
                <w:sz w:val="21"/>
                <w:szCs w:val="21"/>
                <w:lang w:val="zh-CN"/>
                <w14:textFill>
                  <w14:solidFill>
                    <w14:schemeClr w14:val="tx1"/>
                  </w14:solidFill>
                </w14:textFill>
              </w:rPr>
            </w:pPr>
            <w:r>
              <w:rPr>
                <w:rFonts w:hint="default" w:ascii="Times New Roman" w:hAnsi="Times New Roman" w:cs="Times New Roman"/>
                <w:color w:val="000000" w:themeColor="text1"/>
                <w:sz w:val="21"/>
                <w:szCs w:val="21"/>
                <w:lang w:val="zh-CN"/>
                <w14:textFill>
                  <w14:solidFill>
                    <w14:schemeClr w14:val="tx1"/>
                  </w14:solidFill>
                </w14:textFill>
              </w:rPr>
              <w:t>影响分析</w:t>
            </w:r>
          </w:p>
        </w:tc>
        <w:tc>
          <w:tcPr>
            <w:tcW w:w="3613" w:type="pct"/>
            <w:tcBorders>
              <w:tl2br w:val="nil"/>
              <w:tr2bl w:val="nil"/>
            </w:tcBorders>
            <w:vAlign w:val="center"/>
          </w:tcPr>
          <w:p w14:paraId="694C2173">
            <w:pPr>
              <w:pStyle w:val="52"/>
              <w:spacing w:before="0" w:after="0" w:line="240" w:lineRule="auto"/>
              <w:ind w:left="0" w:firstLine="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废物包装物、</w:t>
            </w:r>
            <w:r>
              <w:rPr>
                <w:rFonts w:hint="eastAsia" w:cs="Times New Roman"/>
                <w:color w:val="000000" w:themeColor="text1"/>
                <w:sz w:val="21"/>
                <w:szCs w:val="21"/>
                <w:highlight w:val="none"/>
                <w:lang w:val="en-US" w:eastAsia="zh-CN"/>
                <w14:textFill>
                  <w14:solidFill>
                    <w14:schemeClr w14:val="tx1"/>
                  </w14:solidFill>
                </w14:textFill>
              </w:rPr>
              <w:t>除尘灰、</w:t>
            </w:r>
            <w:r>
              <w:rPr>
                <w:rFonts w:hint="default" w:ascii="Times New Roman" w:hAnsi="Times New Roman" w:cs="Times New Roman"/>
                <w:color w:val="000000" w:themeColor="text1"/>
                <w:sz w:val="21"/>
                <w:szCs w:val="21"/>
                <w:highlight w:val="none"/>
                <w14:textFill>
                  <w14:solidFill>
                    <w14:schemeClr w14:val="tx1"/>
                  </w14:solidFill>
                </w14:textFill>
              </w:rPr>
              <w:t>化验废物</w:t>
            </w:r>
          </w:p>
        </w:tc>
      </w:tr>
    </w:tbl>
    <w:p w14:paraId="60589523">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lang w:val="zh-CN"/>
        </w:rPr>
      </w:pPr>
      <w:bookmarkStart w:id="41" w:name="_Toc11277"/>
      <w:bookmarkStart w:id="42" w:name="_Toc28623"/>
      <w:bookmarkStart w:id="43" w:name="_Toc26014"/>
      <w:r>
        <w:rPr>
          <w:rFonts w:hint="default" w:ascii="Times New Roman" w:hAnsi="Times New Roman" w:eastAsia="宋体" w:cs="Times New Roman"/>
          <w:sz w:val="24"/>
          <w:szCs w:val="18"/>
          <w:highlight w:val="none"/>
          <w:lang w:val="en-US" w:eastAsia="zh-CN"/>
        </w:rPr>
        <w:t>2.4</w:t>
      </w:r>
      <w:bookmarkStart w:id="44" w:name="_Toc152320408"/>
      <w:r>
        <w:rPr>
          <w:rFonts w:hint="default" w:ascii="Times New Roman" w:hAnsi="Times New Roman" w:eastAsia="宋体" w:cs="Times New Roman"/>
          <w:sz w:val="24"/>
          <w:szCs w:val="18"/>
          <w:highlight w:val="none"/>
          <w:lang w:val="zh-CN"/>
        </w:rPr>
        <w:t>评价标准</w:t>
      </w:r>
      <w:bookmarkEnd w:id="41"/>
      <w:bookmarkEnd w:id="42"/>
      <w:bookmarkEnd w:id="43"/>
      <w:bookmarkEnd w:id="44"/>
    </w:p>
    <w:p w14:paraId="158D472B">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2.4.1环境质量标准</w:t>
      </w:r>
    </w:p>
    <w:p w14:paraId="7BFFF38F">
      <w:pPr>
        <w:pStyle w:val="6"/>
        <w:rPr>
          <w:rFonts w:hint="default" w:ascii="Times New Roman" w:hAnsi="Times New Roman" w:cs="Times New Roman"/>
        </w:rPr>
      </w:pPr>
      <w:r>
        <w:rPr>
          <w:rFonts w:hint="default" w:ascii="Times New Roman" w:hAnsi="Times New Roman" w:cs="Times New Roman"/>
        </w:rPr>
        <w:t>（1）环境空气质量标准</w:t>
      </w:r>
    </w:p>
    <w:p w14:paraId="19CB7EA5">
      <w:pPr>
        <w:pStyle w:val="11"/>
        <w:spacing w:after="0" w:line="360" w:lineRule="auto"/>
        <w:ind w:firstLine="480" w:firstLineChars="200"/>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本项目所在区域SO</w:t>
      </w:r>
      <w:r>
        <w:rPr>
          <w:rFonts w:hint="default" w:ascii="Times New Roman" w:hAnsi="Times New Roman" w:cs="Times New Roman"/>
          <w:sz w:val="24"/>
          <w:szCs w:val="24"/>
          <w:highlight w:val="none"/>
          <w:vertAlign w:val="subscript"/>
        </w:rPr>
        <w:t>2</w:t>
      </w:r>
      <w:r>
        <w:rPr>
          <w:rFonts w:hint="default" w:ascii="Times New Roman" w:hAnsi="Times New Roman" w:cs="Times New Roman"/>
          <w:sz w:val="24"/>
          <w:szCs w:val="24"/>
          <w:highlight w:val="none"/>
        </w:rPr>
        <w:t>、NO</w:t>
      </w:r>
      <w:r>
        <w:rPr>
          <w:rFonts w:hint="default" w:ascii="Times New Roman" w:hAnsi="Times New Roman" w:cs="Times New Roman"/>
          <w:sz w:val="24"/>
          <w:szCs w:val="24"/>
          <w:highlight w:val="none"/>
          <w:vertAlign w:val="subscript"/>
        </w:rPr>
        <w:t>2</w:t>
      </w:r>
      <w:r>
        <w:rPr>
          <w:rFonts w:hint="default" w:ascii="Times New Roman" w:hAnsi="Times New Roman" w:cs="Times New Roman"/>
          <w:sz w:val="24"/>
          <w:szCs w:val="24"/>
          <w:highlight w:val="none"/>
        </w:rPr>
        <w:t>、CO、O</w:t>
      </w:r>
      <w:r>
        <w:rPr>
          <w:rFonts w:hint="default" w:ascii="Times New Roman" w:hAnsi="Times New Roman" w:cs="Times New Roman"/>
          <w:sz w:val="24"/>
          <w:szCs w:val="24"/>
          <w:highlight w:val="none"/>
          <w:vertAlign w:val="subscript"/>
        </w:rPr>
        <w:t>3</w:t>
      </w:r>
      <w:r>
        <w:rPr>
          <w:rFonts w:hint="default" w:ascii="Times New Roman" w:hAnsi="Times New Roman" w:cs="Times New Roman"/>
          <w:sz w:val="24"/>
          <w:szCs w:val="24"/>
          <w:highlight w:val="none"/>
        </w:rPr>
        <w:t>、PM</w:t>
      </w:r>
      <w:r>
        <w:rPr>
          <w:rFonts w:hint="default" w:ascii="Times New Roman" w:hAnsi="Times New Roman" w:cs="Times New Roman"/>
          <w:sz w:val="24"/>
          <w:szCs w:val="24"/>
          <w:highlight w:val="none"/>
          <w:vertAlign w:val="subscript"/>
        </w:rPr>
        <w:t>10</w:t>
      </w:r>
      <w:r>
        <w:rPr>
          <w:rFonts w:hint="default" w:ascii="Times New Roman" w:hAnsi="Times New Roman" w:cs="Times New Roman"/>
          <w:sz w:val="24"/>
          <w:szCs w:val="24"/>
          <w:highlight w:val="none"/>
        </w:rPr>
        <w:t>、PM</w:t>
      </w:r>
      <w:r>
        <w:rPr>
          <w:rFonts w:hint="default" w:ascii="Times New Roman" w:hAnsi="Times New Roman" w:cs="Times New Roman"/>
          <w:sz w:val="24"/>
          <w:szCs w:val="24"/>
          <w:highlight w:val="none"/>
          <w:vertAlign w:val="subscript"/>
        </w:rPr>
        <w:t>2.5</w:t>
      </w:r>
      <w:r>
        <w:rPr>
          <w:rFonts w:hint="default" w:ascii="Times New Roman" w:hAnsi="Times New Roman" w:cs="Times New Roman"/>
          <w:sz w:val="24"/>
          <w:szCs w:val="24"/>
          <w:highlight w:val="none"/>
        </w:rPr>
        <w:t>执行《环境空气质量标准》（GB3095-2026）</w:t>
      </w:r>
      <w:r>
        <w:rPr>
          <w:rFonts w:hint="eastAsia" w:ascii="Times New Roman" w:hAnsi="Times New Roman" w:cs="Times New Roman"/>
          <w:sz w:val="24"/>
          <w:szCs w:val="24"/>
          <w:highlight w:val="none"/>
          <w:lang w:val="en-US" w:eastAsia="zh-CN"/>
        </w:rPr>
        <w:t>中表1</w:t>
      </w:r>
      <w:r>
        <w:rPr>
          <w:rFonts w:hint="default" w:ascii="Times New Roman" w:hAnsi="Times New Roman" w:cs="Times New Roman"/>
          <w:sz w:val="24"/>
          <w:szCs w:val="24"/>
          <w:highlight w:val="none"/>
        </w:rPr>
        <w:t>过渡阶段二级标准</w:t>
      </w:r>
      <w:r>
        <w:rPr>
          <w:rFonts w:hint="default"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NO</w:t>
      </w:r>
      <w:r>
        <w:rPr>
          <w:rFonts w:hint="eastAsia" w:ascii="Times New Roman" w:hAnsi="Times New Roman" w:cs="Times New Roman"/>
          <w:sz w:val="24"/>
          <w:szCs w:val="24"/>
          <w:highlight w:val="none"/>
          <w:vertAlign w:val="subscript"/>
          <w:lang w:val="en-US" w:eastAsia="zh-CN"/>
        </w:rPr>
        <w:t>x</w:t>
      </w:r>
      <w:r>
        <w:rPr>
          <w:rFonts w:hint="eastAsia" w:ascii="Times New Roman" w:hAnsi="Times New Roman" w:cs="Times New Roman"/>
          <w:sz w:val="24"/>
          <w:szCs w:val="24"/>
          <w:highlight w:val="none"/>
          <w:lang w:val="en-US" w:eastAsia="zh-CN"/>
        </w:rPr>
        <w:t>、TSP执行</w:t>
      </w:r>
      <w:r>
        <w:rPr>
          <w:rFonts w:hint="default" w:ascii="Times New Roman" w:hAnsi="Times New Roman" w:cs="Times New Roman"/>
          <w:sz w:val="24"/>
          <w:szCs w:val="24"/>
          <w:highlight w:val="none"/>
        </w:rPr>
        <w:t>《环境空气质量标准》（GB3095-2026）</w:t>
      </w:r>
      <w:r>
        <w:rPr>
          <w:rFonts w:hint="eastAsia" w:ascii="Times New Roman" w:hAnsi="Times New Roman" w:cs="Times New Roman"/>
          <w:sz w:val="24"/>
          <w:szCs w:val="24"/>
          <w:highlight w:val="none"/>
          <w:lang w:val="en-US" w:eastAsia="zh-CN"/>
        </w:rPr>
        <w:t>中表2过渡阶段二级标准；</w:t>
      </w:r>
      <w:r>
        <w:rPr>
          <w:rFonts w:hint="default" w:ascii="Times New Roman" w:hAnsi="Times New Roman" w:cs="Times New Roman"/>
          <w:sz w:val="24"/>
          <w:szCs w:val="24"/>
          <w:highlight w:val="none"/>
          <w:lang w:val="en-US" w:eastAsia="zh-CN"/>
        </w:rPr>
        <w:t>NH</w:t>
      </w:r>
      <w:r>
        <w:rPr>
          <w:rFonts w:hint="default" w:ascii="Times New Roman" w:hAnsi="Times New Roman" w:cs="Times New Roman"/>
          <w:sz w:val="24"/>
          <w:szCs w:val="24"/>
          <w:highlight w:val="none"/>
          <w:vertAlign w:val="subscript"/>
          <w:lang w:val="en-US" w:eastAsia="zh-CN"/>
        </w:rPr>
        <w:t>3</w:t>
      </w:r>
      <w:r>
        <w:rPr>
          <w:rFonts w:hint="default" w:ascii="Times New Roman" w:hAnsi="Times New Roman" w:cs="Times New Roman"/>
          <w:sz w:val="24"/>
          <w:szCs w:val="24"/>
          <w:highlight w:val="none"/>
          <w:lang w:val="en-US" w:eastAsia="zh-CN"/>
        </w:rPr>
        <w:t>执行《环境影响评价技术导则 大气环境》（HJ2.2-2018）附录D标准</w:t>
      </w:r>
      <w:r>
        <w:rPr>
          <w:rFonts w:hint="default" w:ascii="Times New Roman" w:hAnsi="Times New Roman" w:cs="Times New Roman"/>
          <w:sz w:val="24"/>
          <w:szCs w:val="24"/>
          <w:highlight w:val="none"/>
        </w:rPr>
        <w:t>。具体标准见表2</w:t>
      </w:r>
      <w:r>
        <w:rPr>
          <w:rFonts w:hint="default" w:ascii="Times New Roman" w:hAnsi="Times New Roman" w:cs="Times New Roman"/>
          <w:sz w:val="24"/>
          <w:szCs w:val="24"/>
          <w:highlight w:val="none"/>
          <w:lang w:val="en-US" w:eastAsia="zh-CN"/>
        </w:rPr>
        <w:t>.4-1</w:t>
      </w:r>
      <w:r>
        <w:rPr>
          <w:rFonts w:hint="default" w:ascii="Times New Roman" w:hAnsi="Times New Roman" w:cs="Times New Roman"/>
          <w:sz w:val="24"/>
          <w:szCs w:val="24"/>
          <w:highlight w:val="none"/>
        </w:rPr>
        <w:t>。</w:t>
      </w:r>
    </w:p>
    <w:p w14:paraId="5F018433">
      <w:pPr>
        <w:pStyle w:val="211"/>
        <w:spacing w:line="240" w:lineRule="auto"/>
        <w:rPr>
          <w:rFonts w:hint="default" w:ascii="Times New Roman" w:hAnsi="Times New Roman" w:cs="Times New Roman"/>
          <w:b w:val="0"/>
          <w:bCs/>
          <w:sz w:val="24"/>
          <w:szCs w:val="24"/>
          <w:highlight w:val="none"/>
        </w:rPr>
      </w:pPr>
      <w:r>
        <w:rPr>
          <w:rFonts w:hint="default" w:ascii="Times New Roman" w:hAnsi="Times New Roman" w:cs="Times New Roman"/>
          <w:color w:val="000000"/>
          <w:sz w:val="24"/>
          <w:szCs w:val="24"/>
          <w:highlight w:val="none"/>
        </w:rPr>
        <w:t>表2</w:t>
      </w:r>
      <w:r>
        <w:rPr>
          <w:rFonts w:hint="default" w:ascii="Times New Roman" w:hAnsi="Times New Roman" w:cs="Times New Roman"/>
          <w:color w:val="000000"/>
          <w:sz w:val="24"/>
          <w:szCs w:val="24"/>
          <w:highlight w:val="none"/>
          <w:lang w:val="en-US" w:eastAsia="zh-CN"/>
        </w:rPr>
        <w:t>.</w:t>
      </w:r>
      <w:r>
        <w:rPr>
          <w:rFonts w:hint="default" w:ascii="Times New Roman" w:hAnsi="Times New Roman" w:cs="Times New Roman"/>
          <w:color w:val="000000"/>
          <w:sz w:val="24"/>
          <w:szCs w:val="24"/>
          <w:highlight w:val="none"/>
        </w:rPr>
        <w:t>4</w:t>
      </w:r>
      <w:r>
        <w:rPr>
          <w:rFonts w:hint="default" w:ascii="Times New Roman" w:hAnsi="Times New Roman" w:cs="Times New Roman"/>
          <w:color w:val="000000"/>
          <w:sz w:val="24"/>
          <w:szCs w:val="24"/>
          <w:highlight w:val="none"/>
          <w:lang w:val="en-US" w:eastAsia="zh-CN"/>
        </w:rPr>
        <w:t>-1</w:t>
      </w:r>
      <w:r>
        <w:rPr>
          <w:rFonts w:hint="default" w:ascii="Times New Roman" w:hAnsi="Times New Roman" w:cs="Times New Roman"/>
          <w:color w:val="000000"/>
          <w:sz w:val="24"/>
          <w:szCs w:val="24"/>
          <w:highlight w:val="none"/>
        </w:rPr>
        <w:t xml:space="preserve"> 环境空气质量评价标准</w:t>
      </w:r>
    </w:p>
    <w:tbl>
      <w:tblPr>
        <w:tblStyle w:val="39"/>
        <w:tblW w:w="4994"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118"/>
        <w:gridCol w:w="1813"/>
        <w:gridCol w:w="790"/>
        <w:gridCol w:w="1025"/>
        <w:gridCol w:w="3050"/>
      </w:tblGrid>
      <w:tr w14:paraId="0BF24CE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tcBorders>
              <w:tl2br w:val="nil"/>
              <w:tr2bl w:val="nil"/>
            </w:tcBorders>
            <w:noWrap w:val="0"/>
            <w:vAlign w:val="center"/>
          </w:tcPr>
          <w:p w14:paraId="09210610">
            <w:pPr>
              <w:autoSpaceDE/>
              <w:autoSpaceDN/>
              <w:spacing w:before="0" w:after="0" w:line="240" w:lineRule="auto"/>
              <w:ind w:left="0" w:firstLine="0"/>
              <w:jc w:val="center"/>
              <w:rPr>
                <w:rFonts w:hint="default" w:ascii="Times New Roman" w:hAnsi="Times New Roman" w:cs="Times New Roman"/>
                <w:b/>
                <w:bCs/>
                <w:color w:val="000000"/>
                <w:sz w:val="21"/>
                <w:szCs w:val="21"/>
                <w:highlight w:val="none"/>
              </w:rPr>
            </w:pPr>
            <w:r>
              <w:rPr>
                <w:rFonts w:hint="default" w:ascii="Times New Roman" w:hAnsi="Times New Roman" w:cs="Times New Roman"/>
                <w:b/>
                <w:bCs/>
                <w:color w:val="000000"/>
                <w:sz w:val="21"/>
                <w:szCs w:val="21"/>
                <w:highlight w:val="none"/>
              </w:rPr>
              <w:t>序号</w:t>
            </w:r>
          </w:p>
        </w:tc>
        <w:tc>
          <w:tcPr>
            <w:tcW w:w="657" w:type="pct"/>
            <w:tcBorders>
              <w:tl2br w:val="nil"/>
              <w:tr2bl w:val="nil"/>
            </w:tcBorders>
            <w:noWrap w:val="0"/>
            <w:vAlign w:val="center"/>
          </w:tcPr>
          <w:p w14:paraId="7B1C57B9">
            <w:pPr>
              <w:autoSpaceDE/>
              <w:autoSpaceDN/>
              <w:spacing w:before="0" w:after="0" w:line="240" w:lineRule="auto"/>
              <w:ind w:left="0" w:firstLine="0"/>
              <w:jc w:val="center"/>
              <w:rPr>
                <w:rFonts w:hint="default" w:ascii="Times New Roman" w:hAnsi="Times New Roman" w:cs="Times New Roman"/>
                <w:b/>
                <w:bCs/>
                <w:color w:val="000000"/>
                <w:sz w:val="21"/>
                <w:szCs w:val="21"/>
                <w:highlight w:val="none"/>
              </w:rPr>
            </w:pPr>
            <w:r>
              <w:rPr>
                <w:rFonts w:hint="default" w:ascii="Times New Roman" w:hAnsi="Times New Roman" w:cs="Times New Roman"/>
                <w:b/>
                <w:bCs/>
                <w:color w:val="000000"/>
                <w:sz w:val="21"/>
                <w:szCs w:val="21"/>
                <w:highlight w:val="none"/>
              </w:rPr>
              <w:t>评价因子</w:t>
            </w:r>
          </w:p>
        </w:tc>
        <w:tc>
          <w:tcPr>
            <w:tcW w:w="1065" w:type="pct"/>
            <w:tcBorders>
              <w:tl2br w:val="nil"/>
              <w:tr2bl w:val="nil"/>
            </w:tcBorders>
            <w:noWrap w:val="0"/>
            <w:vAlign w:val="center"/>
          </w:tcPr>
          <w:p w14:paraId="2F5E3D20">
            <w:pPr>
              <w:autoSpaceDE/>
              <w:autoSpaceDN/>
              <w:spacing w:before="0" w:after="0" w:line="240" w:lineRule="auto"/>
              <w:ind w:left="0" w:firstLine="0"/>
              <w:jc w:val="center"/>
              <w:rPr>
                <w:rFonts w:hint="default" w:ascii="Times New Roman" w:hAnsi="Times New Roman" w:cs="Times New Roman"/>
                <w:b/>
                <w:bCs/>
                <w:color w:val="000000"/>
                <w:sz w:val="21"/>
                <w:szCs w:val="21"/>
                <w:highlight w:val="none"/>
              </w:rPr>
            </w:pPr>
            <w:r>
              <w:rPr>
                <w:rFonts w:hint="default" w:ascii="Times New Roman" w:hAnsi="Times New Roman" w:cs="Times New Roman"/>
                <w:b/>
                <w:bCs/>
                <w:color w:val="000000"/>
                <w:sz w:val="21"/>
                <w:szCs w:val="21"/>
                <w:highlight w:val="none"/>
              </w:rPr>
              <w:t>取值时间</w:t>
            </w:r>
          </w:p>
        </w:tc>
        <w:tc>
          <w:tcPr>
            <w:tcW w:w="464" w:type="pct"/>
            <w:tcBorders>
              <w:tl2br w:val="nil"/>
              <w:tr2bl w:val="nil"/>
            </w:tcBorders>
            <w:noWrap w:val="0"/>
            <w:vAlign w:val="center"/>
          </w:tcPr>
          <w:p w14:paraId="123EF5F1">
            <w:pPr>
              <w:autoSpaceDE/>
              <w:autoSpaceDN/>
              <w:spacing w:before="0" w:after="0" w:line="240" w:lineRule="auto"/>
              <w:ind w:left="0" w:firstLine="0"/>
              <w:jc w:val="center"/>
              <w:rPr>
                <w:rFonts w:hint="default" w:ascii="Times New Roman" w:hAnsi="Times New Roman" w:cs="Times New Roman"/>
                <w:b/>
                <w:bCs/>
                <w:color w:val="000000"/>
                <w:sz w:val="21"/>
                <w:szCs w:val="21"/>
                <w:highlight w:val="none"/>
              </w:rPr>
            </w:pPr>
            <w:r>
              <w:rPr>
                <w:rFonts w:hint="default" w:ascii="Times New Roman" w:hAnsi="Times New Roman" w:cs="Times New Roman"/>
                <w:b/>
                <w:bCs/>
                <w:color w:val="000000"/>
                <w:sz w:val="21"/>
                <w:szCs w:val="21"/>
                <w:highlight w:val="none"/>
              </w:rPr>
              <w:t>单位</w:t>
            </w:r>
          </w:p>
        </w:tc>
        <w:tc>
          <w:tcPr>
            <w:tcW w:w="602" w:type="pct"/>
            <w:tcBorders>
              <w:tl2br w:val="nil"/>
              <w:tr2bl w:val="nil"/>
            </w:tcBorders>
            <w:noWrap w:val="0"/>
            <w:vAlign w:val="center"/>
          </w:tcPr>
          <w:p w14:paraId="5E683497">
            <w:pPr>
              <w:autoSpaceDE/>
              <w:autoSpaceDN/>
              <w:spacing w:before="0" w:after="0" w:line="240" w:lineRule="auto"/>
              <w:ind w:left="0" w:firstLine="0"/>
              <w:jc w:val="center"/>
              <w:rPr>
                <w:rFonts w:hint="default" w:ascii="Times New Roman" w:hAnsi="Times New Roman" w:cs="Times New Roman"/>
                <w:b/>
                <w:bCs/>
                <w:color w:val="000000"/>
                <w:sz w:val="21"/>
                <w:szCs w:val="21"/>
                <w:highlight w:val="none"/>
              </w:rPr>
            </w:pPr>
            <w:r>
              <w:rPr>
                <w:rFonts w:hint="default" w:ascii="Times New Roman" w:hAnsi="Times New Roman" w:cs="Times New Roman"/>
                <w:b/>
                <w:bCs/>
                <w:color w:val="000000"/>
                <w:sz w:val="21"/>
                <w:szCs w:val="21"/>
                <w:highlight w:val="none"/>
              </w:rPr>
              <w:t>浓度限值</w:t>
            </w:r>
          </w:p>
        </w:tc>
        <w:tc>
          <w:tcPr>
            <w:tcW w:w="1792" w:type="pct"/>
            <w:tcBorders>
              <w:tl2br w:val="nil"/>
              <w:tr2bl w:val="nil"/>
            </w:tcBorders>
            <w:noWrap w:val="0"/>
            <w:vAlign w:val="center"/>
          </w:tcPr>
          <w:p w14:paraId="0CDF4F65">
            <w:pPr>
              <w:autoSpaceDE/>
              <w:autoSpaceDN/>
              <w:spacing w:before="0" w:after="0" w:line="240" w:lineRule="auto"/>
              <w:ind w:left="0" w:firstLine="0"/>
              <w:jc w:val="center"/>
              <w:rPr>
                <w:rFonts w:hint="default" w:ascii="Times New Roman" w:hAnsi="Times New Roman" w:cs="Times New Roman"/>
                <w:b/>
                <w:bCs/>
                <w:color w:val="000000"/>
                <w:sz w:val="21"/>
                <w:szCs w:val="21"/>
                <w:highlight w:val="none"/>
              </w:rPr>
            </w:pPr>
            <w:r>
              <w:rPr>
                <w:rFonts w:hint="default" w:ascii="Times New Roman" w:hAnsi="Times New Roman" w:cs="Times New Roman"/>
                <w:b/>
                <w:bCs/>
                <w:color w:val="000000"/>
                <w:sz w:val="21"/>
                <w:szCs w:val="21"/>
                <w:highlight w:val="none"/>
              </w:rPr>
              <w:t>标准</w:t>
            </w:r>
          </w:p>
        </w:tc>
      </w:tr>
      <w:tr w14:paraId="41CF549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restart"/>
            <w:tcBorders>
              <w:tl2br w:val="nil"/>
              <w:tr2bl w:val="nil"/>
            </w:tcBorders>
            <w:noWrap w:val="0"/>
            <w:vAlign w:val="center"/>
          </w:tcPr>
          <w:p w14:paraId="504A8241">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w:t>
            </w:r>
          </w:p>
        </w:tc>
        <w:tc>
          <w:tcPr>
            <w:tcW w:w="657" w:type="pct"/>
            <w:vMerge w:val="restart"/>
            <w:tcBorders>
              <w:tl2br w:val="nil"/>
              <w:tr2bl w:val="nil"/>
            </w:tcBorders>
            <w:noWrap w:val="0"/>
            <w:vAlign w:val="center"/>
          </w:tcPr>
          <w:p w14:paraId="74314FC2">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SO</w:t>
            </w:r>
            <w:r>
              <w:rPr>
                <w:rFonts w:hint="default" w:ascii="Times New Roman" w:hAnsi="Times New Roman" w:cs="Times New Roman"/>
                <w:color w:val="000000"/>
                <w:sz w:val="21"/>
                <w:szCs w:val="21"/>
                <w:highlight w:val="none"/>
                <w:vertAlign w:val="subscript"/>
              </w:rPr>
              <w:t>2</w:t>
            </w:r>
          </w:p>
        </w:tc>
        <w:tc>
          <w:tcPr>
            <w:tcW w:w="1065" w:type="pct"/>
            <w:tcBorders>
              <w:tl2br w:val="nil"/>
              <w:tr2bl w:val="nil"/>
            </w:tcBorders>
            <w:noWrap w:val="0"/>
            <w:vAlign w:val="center"/>
          </w:tcPr>
          <w:p w14:paraId="21196C51">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年平均</w:t>
            </w:r>
          </w:p>
        </w:tc>
        <w:tc>
          <w:tcPr>
            <w:tcW w:w="464" w:type="pct"/>
            <w:vMerge w:val="restart"/>
            <w:tcBorders>
              <w:tl2br w:val="nil"/>
              <w:tr2bl w:val="nil"/>
            </w:tcBorders>
            <w:noWrap w:val="0"/>
            <w:vAlign w:val="center"/>
          </w:tcPr>
          <w:p w14:paraId="2893AA95">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µg/m</w:t>
            </w:r>
            <w:r>
              <w:rPr>
                <w:rFonts w:hint="default" w:ascii="Times New Roman" w:hAnsi="Times New Roman" w:cs="Times New Roman"/>
                <w:color w:val="000000"/>
                <w:sz w:val="21"/>
                <w:szCs w:val="21"/>
                <w:highlight w:val="none"/>
                <w:vertAlign w:val="superscript"/>
              </w:rPr>
              <w:t>3</w:t>
            </w:r>
          </w:p>
        </w:tc>
        <w:tc>
          <w:tcPr>
            <w:tcW w:w="602" w:type="pct"/>
            <w:tcBorders>
              <w:tl2br w:val="nil"/>
              <w:tr2bl w:val="nil"/>
            </w:tcBorders>
            <w:noWrap w:val="0"/>
            <w:vAlign w:val="center"/>
          </w:tcPr>
          <w:p w14:paraId="395C5632">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60</w:t>
            </w:r>
          </w:p>
        </w:tc>
        <w:tc>
          <w:tcPr>
            <w:tcW w:w="1792" w:type="pct"/>
            <w:vMerge w:val="restart"/>
            <w:tcBorders>
              <w:tl2br w:val="nil"/>
              <w:tr2bl w:val="nil"/>
            </w:tcBorders>
            <w:noWrap w:val="0"/>
            <w:vAlign w:val="center"/>
          </w:tcPr>
          <w:p w14:paraId="6ED0167D">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《环境空气质量标准》（GB3095-2026）中表1过渡阶段二级标准</w:t>
            </w:r>
          </w:p>
        </w:tc>
      </w:tr>
      <w:tr w14:paraId="550030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2F583B8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57" w:type="pct"/>
            <w:vMerge w:val="continue"/>
            <w:tcBorders>
              <w:tl2br w:val="nil"/>
              <w:tr2bl w:val="nil"/>
            </w:tcBorders>
            <w:noWrap w:val="0"/>
            <w:vAlign w:val="center"/>
          </w:tcPr>
          <w:p w14:paraId="799B79D8">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1065" w:type="pct"/>
            <w:tcBorders>
              <w:tl2br w:val="nil"/>
              <w:tr2bl w:val="nil"/>
            </w:tcBorders>
            <w:noWrap w:val="0"/>
            <w:vAlign w:val="center"/>
          </w:tcPr>
          <w:p w14:paraId="0D07C8A9">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24小时平均</w:t>
            </w:r>
          </w:p>
        </w:tc>
        <w:tc>
          <w:tcPr>
            <w:tcW w:w="464" w:type="pct"/>
            <w:vMerge w:val="continue"/>
            <w:tcBorders>
              <w:tl2br w:val="nil"/>
              <w:tr2bl w:val="nil"/>
            </w:tcBorders>
            <w:noWrap w:val="0"/>
            <w:vAlign w:val="center"/>
          </w:tcPr>
          <w:p w14:paraId="119B8A3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noWrap w:val="0"/>
            <w:vAlign w:val="center"/>
          </w:tcPr>
          <w:p w14:paraId="4F29EDE9">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150</w:t>
            </w:r>
          </w:p>
        </w:tc>
        <w:tc>
          <w:tcPr>
            <w:tcW w:w="1792" w:type="pct"/>
            <w:vMerge w:val="continue"/>
            <w:tcBorders>
              <w:tl2br w:val="nil"/>
              <w:tr2bl w:val="nil"/>
            </w:tcBorders>
            <w:noWrap w:val="0"/>
            <w:vAlign w:val="center"/>
          </w:tcPr>
          <w:p w14:paraId="380D3979">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0ECCC2E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21300643">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57" w:type="pct"/>
            <w:vMerge w:val="continue"/>
            <w:tcBorders>
              <w:tl2br w:val="nil"/>
              <w:tr2bl w:val="nil"/>
            </w:tcBorders>
            <w:noWrap w:val="0"/>
            <w:vAlign w:val="center"/>
          </w:tcPr>
          <w:p w14:paraId="2F55938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1065" w:type="pct"/>
            <w:tcBorders>
              <w:tl2br w:val="nil"/>
              <w:tr2bl w:val="nil"/>
            </w:tcBorders>
            <w:noWrap w:val="0"/>
            <w:vAlign w:val="center"/>
          </w:tcPr>
          <w:p w14:paraId="17D97A7B">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1小时平均</w:t>
            </w:r>
          </w:p>
        </w:tc>
        <w:tc>
          <w:tcPr>
            <w:tcW w:w="464" w:type="pct"/>
            <w:vMerge w:val="continue"/>
            <w:tcBorders>
              <w:tl2br w:val="nil"/>
              <w:tr2bl w:val="nil"/>
            </w:tcBorders>
            <w:noWrap w:val="0"/>
            <w:vAlign w:val="center"/>
          </w:tcPr>
          <w:p w14:paraId="6D751E35">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noWrap w:val="0"/>
            <w:vAlign w:val="center"/>
          </w:tcPr>
          <w:p w14:paraId="08989118">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500</w:t>
            </w:r>
          </w:p>
        </w:tc>
        <w:tc>
          <w:tcPr>
            <w:tcW w:w="1792" w:type="pct"/>
            <w:vMerge w:val="continue"/>
            <w:tcBorders>
              <w:tl2br w:val="nil"/>
              <w:tr2bl w:val="nil"/>
            </w:tcBorders>
            <w:noWrap w:val="0"/>
            <w:vAlign w:val="center"/>
          </w:tcPr>
          <w:p w14:paraId="4C23DB61">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6D92F0B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restart"/>
            <w:tcBorders>
              <w:tl2br w:val="nil"/>
              <w:tr2bl w:val="nil"/>
            </w:tcBorders>
            <w:noWrap w:val="0"/>
            <w:vAlign w:val="center"/>
          </w:tcPr>
          <w:p w14:paraId="52A75C51">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w:t>
            </w:r>
          </w:p>
        </w:tc>
        <w:tc>
          <w:tcPr>
            <w:tcW w:w="657" w:type="pct"/>
            <w:vMerge w:val="restart"/>
            <w:tcBorders>
              <w:tl2br w:val="nil"/>
              <w:tr2bl w:val="nil"/>
            </w:tcBorders>
            <w:noWrap w:val="0"/>
            <w:vAlign w:val="center"/>
          </w:tcPr>
          <w:p w14:paraId="7FF1BA16">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NO</w:t>
            </w:r>
            <w:r>
              <w:rPr>
                <w:rFonts w:hint="default" w:ascii="Times New Roman" w:hAnsi="Times New Roman" w:cs="Times New Roman"/>
                <w:color w:val="000000"/>
                <w:sz w:val="21"/>
                <w:szCs w:val="21"/>
                <w:highlight w:val="none"/>
                <w:vertAlign w:val="subscript"/>
              </w:rPr>
              <w:t>2</w:t>
            </w:r>
          </w:p>
        </w:tc>
        <w:tc>
          <w:tcPr>
            <w:tcW w:w="1065" w:type="pct"/>
            <w:tcBorders>
              <w:tl2br w:val="nil"/>
              <w:tr2bl w:val="nil"/>
            </w:tcBorders>
            <w:noWrap w:val="0"/>
            <w:vAlign w:val="center"/>
          </w:tcPr>
          <w:p w14:paraId="6468AA5C">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年平均</w:t>
            </w:r>
          </w:p>
        </w:tc>
        <w:tc>
          <w:tcPr>
            <w:tcW w:w="464" w:type="pct"/>
            <w:vMerge w:val="restart"/>
            <w:tcBorders>
              <w:tl2br w:val="nil"/>
              <w:tr2bl w:val="nil"/>
            </w:tcBorders>
            <w:noWrap w:val="0"/>
            <w:vAlign w:val="center"/>
          </w:tcPr>
          <w:p w14:paraId="2BB9E072">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µg/m</w:t>
            </w:r>
            <w:r>
              <w:rPr>
                <w:rFonts w:hint="default" w:ascii="Times New Roman" w:hAnsi="Times New Roman" w:cs="Times New Roman"/>
                <w:color w:val="000000"/>
                <w:sz w:val="21"/>
                <w:szCs w:val="21"/>
                <w:highlight w:val="none"/>
                <w:vertAlign w:val="superscript"/>
              </w:rPr>
              <w:t>3</w:t>
            </w:r>
          </w:p>
        </w:tc>
        <w:tc>
          <w:tcPr>
            <w:tcW w:w="602" w:type="pct"/>
            <w:tcBorders>
              <w:tl2br w:val="nil"/>
              <w:tr2bl w:val="nil"/>
            </w:tcBorders>
            <w:noWrap w:val="0"/>
            <w:vAlign w:val="center"/>
          </w:tcPr>
          <w:p w14:paraId="75EC0F72">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40</w:t>
            </w:r>
          </w:p>
        </w:tc>
        <w:tc>
          <w:tcPr>
            <w:tcW w:w="1792" w:type="pct"/>
            <w:vMerge w:val="continue"/>
            <w:tcBorders>
              <w:tl2br w:val="nil"/>
              <w:tr2bl w:val="nil"/>
            </w:tcBorders>
            <w:noWrap w:val="0"/>
            <w:vAlign w:val="center"/>
          </w:tcPr>
          <w:p w14:paraId="7E627007">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3DB53F2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34CB7E8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57" w:type="pct"/>
            <w:vMerge w:val="continue"/>
            <w:tcBorders>
              <w:tl2br w:val="nil"/>
              <w:tr2bl w:val="nil"/>
            </w:tcBorders>
            <w:noWrap w:val="0"/>
            <w:vAlign w:val="center"/>
          </w:tcPr>
          <w:p w14:paraId="55A11BA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1065" w:type="pct"/>
            <w:tcBorders>
              <w:tl2br w:val="nil"/>
              <w:tr2bl w:val="nil"/>
            </w:tcBorders>
            <w:noWrap w:val="0"/>
            <w:vAlign w:val="center"/>
          </w:tcPr>
          <w:p w14:paraId="4DA764B5">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24小时平均</w:t>
            </w:r>
          </w:p>
        </w:tc>
        <w:tc>
          <w:tcPr>
            <w:tcW w:w="464" w:type="pct"/>
            <w:vMerge w:val="continue"/>
            <w:tcBorders>
              <w:tl2br w:val="nil"/>
              <w:tr2bl w:val="nil"/>
            </w:tcBorders>
            <w:noWrap w:val="0"/>
            <w:vAlign w:val="center"/>
          </w:tcPr>
          <w:p w14:paraId="225F9041">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noWrap w:val="0"/>
            <w:vAlign w:val="center"/>
          </w:tcPr>
          <w:p w14:paraId="287DF4BA">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80</w:t>
            </w:r>
          </w:p>
        </w:tc>
        <w:tc>
          <w:tcPr>
            <w:tcW w:w="1792" w:type="pct"/>
            <w:vMerge w:val="continue"/>
            <w:tcBorders>
              <w:tl2br w:val="nil"/>
              <w:tr2bl w:val="nil"/>
            </w:tcBorders>
            <w:noWrap w:val="0"/>
            <w:vAlign w:val="center"/>
          </w:tcPr>
          <w:p w14:paraId="3D296E8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3C0B335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3D7E4119">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57" w:type="pct"/>
            <w:vMerge w:val="continue"/>
            <w:tcBorders>
              <w:tl2br w:val="nil"/>
              <w:tr2bl w:val="nil"/>
            </w:tcBorders>
            <w:noWrap w:val="0"/>
            <w:vAlign w:val="center"/>
          </w:tcPr>
          <w:p w14:paraId="5DFF3969">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1065" w:type="pct"/>
            <w:tcBorders>
              <w:tl2br w:val="nil"/>
              <w:tr2bl w:val="nil"/>
            </w:tcBorders>
            <w:noWrap w:val="0"/>
            <w:vAlign w:val="center"/>
          </w:tcPr>
          <w:p w14:paraId="03125969">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1小时平均</w:t>
            </w:r>
          </w:p>
        </w:tc>
        <w:tc>
          <w:tcPr>
            <w:tcW w:w="464" w:type="pct"/>
            <w:vMerge w:val="continue"/>
            <w:tcBorders>
              <w:tl2br w:val="nil"/>
              <w:tr2bl w:val="nil"/>
            </w:tcBorders>
            <w:noWrap w:val="0"/>
            <w:vAlign w:val="center"/>
          </w:tcPr>
          <w:p w14:paraId="5FE4119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noWrap w:val="0"/>
            <w:vAlign w:val="center"/>
          </w:tcPr>
          <w:p w14:paraId="1E9CEBAC">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200</w:t>
            </w:r>
          </w:p>
        </w:tc>
        <w:tc>
          <w:tcPr>
            <w:tcW w:w="1792" w:type="pct"/>
            <w:vMerge w:val="continue"/>
            <w:tcBorders>
              <w:tl2br w:val="nil"/>
              <w:tr2bl w:val="nil"/>
            </w:tcBorders>
            <w:noWrap w:val="0"/>
            <w:vAlign w:val="center"/>
          </w:tcPr>
          <w:p w14:paraId="57F2A237">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2F8E52B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restart"/>
            <w:tcBorders>
              <w:tl2br w:val="nil"/>
              <w:tr2bl w:val="nil"/>
            </w:tcBorders>
            <w:noWrap w:val="0"/>
            <w:vAlign w:val="center"/>
          </w:tcPr>
          <w:p w14:paraId="7369089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3</w:t>
            </w:r>
          </w:p>
        </w:tc>
        <w:tc>
          <w:tcPr>
            <w:tcW w:w="657" w:type="pct"/>
            <w:vMerge w:val="restart"/>
            <w:tcBorders>
              <w:tl2br w:val="nil"/>
              <w:tr2bl w:val="nil"/>
            </w:tcBorders>
            <w:noWrap w:val="0"/>
            <w:vAlign w:val="center"/>
          </w:tcPr>
          <w:p w14:paraId="71DA623D">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CO</w:t>
            </w:r>
          </w:p>
        </w:tc>
        <w:tc>
          <w:tcPr>
            <w:tcW w:w="1065" w:type="pct"/>
            <w:tcBorders>
              <w:tl2br w:val="nil"/>
              <w:tr2bl w:val="nil"/>
            </w:tcBorders>
            <w:noWrap w:val="0"/>
            <w:vAlign w:val="center"/>
          </w:tcPr>
          <w:p w14:paraId="0ECA5A9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24小时平均</w:t>
            </w:r>
          </w:p>
        </w:tc>
        <w:tc>
          <w:tcPr>
            <w:tcW w:w="464" w:type="pct"/>
            <w:vMerge w:val="restart"/>
            <w:tcBorders>
              <w:tl2br w:val="nil"/>
              <w:tr2bl w:val="nil"/>
            </w:tcBorders>
            <w:noWrap w:val="0"/>
            <w:vAlign w:val="center"/>
          </w:tcPr>
          <w:p w14:paraId="40096BAA">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mg/m</w:t>
            </w:r>
            <w:r>
              <w:rPr>
                <w:rFonts w:hint="default" w:ascii="Times New Roman" w:hAnsi="Times New Roman" w:cs="Times New Roman"/>
                <w:color w:val="000000"/>
                <w:sz w:val="21"/>
                <w:szCs w:val="21"/>
                <w:highlight w:val="none"/>
                <w:vertAlign w:val="superscript"/>
              </w:rPr>
              <w:t>3</w:t>
            </w:r>
          </w:p>
        </w:tc>
        <w:tc>
          <w:tcPr>
            <w:tcW w:w="602" w:type="pct"/>
            <w:tcBorders>
              <w:tl2br w:val="nil"/>
              <w:tr2bl w:val="nil"/>
            </w:tcBorders>
            <w:noWrap w:val="0"/>
            <w:vAlign w:val="center"/>
          </w:tcPr>
          <w:p w14:paraId="6646296C">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4</w:t>
            </w:r>
          </w:p>
        </w:tc>
        <w:tc>
          <w:tcPr>
            <w:tcW w:w="1792" w:type="pct"/>
            <w:vMerge w:val="continue"/>
            <w:tcBorders>
              <w:tl2br w:val="nil"/>
              <w:tr2bl w:val="nil"/>
            </w:tcBorders>
            <w:noWrap w:val="0"/>
            <w:vAlign w:val="center"/>
          </w:tcPr>
          <w:p w14:paraId="7B2166B3">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2D240B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7FC6245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57" w:type="pct"/>
            <w:vMerge w:val="continue"/>
            <w:tcBorders>
              <w:tl2br w:val="nil"/>
              <w:tr2bl w:val="nil"/>
            </w:tcBorders>
            <w:noWrap w:val="0"/>
            <w:vAlign w:val="center"/>
          </w:tcPr>
          <w:p w14:paraId="2956379B">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1065" w:type="pct"/>
            <w:tcBorders>
              <w:tl2br w:val="nil"/>
              <w:tr2bl w:val="nil"/>
            </w:tcBorders>
            <w:noWrap w:val="0"/>
            <w:vAlign w:val="center"/>
          </w:tcPr>
          <w:p w14:paraId="22CC1996">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1小时平均</w:t>
            </w:r>
          </w:p>
        </w:tc>
        <w:tc>
          <w:tcPr>
            <w:tcW w:w="464" w:type="pct"/>
            <w:vMerge w:val="continue"/>
            <w:tcBorders>
              <w:tl2br w:val="nil"/>
              <w:tr2bl w:val="nil"/>
            </w:tcBorders>
            <w:noWrap w:val="0"/>
            <w:vAlign w:val="center"/>
          </w:tcPr>
          <w:p w14:paraId="3ABB11B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noWrap w:val="0"/>
            <w:vAlign w:val="center"/>
          </w:tcPr>
          <w:p w14:paraId="11CA0B9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10</w:t>
            </w:r>
          </w:p>
        </w:tc>
        <w:tc>
          <w:tcPr>
            <w:tcW w:w="1792" w:type="pct"/>
            <w:vMerge w:val="continue"/>
            <w:tcBorders>
              <w:tl2br w:val="nil"/>
              <w:tr2bl w:val="nil"/>
            </w:tcBorders>
            <w:noWrap w:val="0"/>
            <w:vAlign w:val="center"/>
          </w:tcPr>
          <w:p w14:paraId="74363B7C">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38F237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restart"/>
            <w:tcBorders>
              <w:tl2br w:val="nil"/>
              <w:tr2bl w:val="nil"/>
            </w:tcBorders>
            <w:noWrap w:val="0"/>
            <w:vAlign w:val="center"/>
          </w:tcPr>
          <w:p w14:paraId="4759C012">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4</w:t>
            </w:r>
          </w:p>
        </w:tc>
        <w:tc>
          <w:tcPr>
            <w:tcW w:w="657" w:type="pct"/>
            <w:vMerge w:val="restart"/>
            <w:tcBorders>
              <w:tl2br w:val="nil"/>
              <w:tr2bl w:val="nil"/>
            </w:tcBorders>
            <w:noWrap w:val="0"/>
            <w:vAlign w:val="center"/>
          </w:tcPr>
          <w:p w14:paraId="37235887">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O</w:t>
            </w:r>
            <w:r>
              <w:rPr>
                <w:rFonts w:hint="default" w:ascii="Times New Roman" w:hAnsi="Times New Roman" w:cs="Times New Roman"/>
                <w:color w:val="000000"/>
                <w:sz w:val="21"/>
                <w:szCs w:val="21"/>
                <w:highlight w:val="none"/>
                <w:vertAlign w:val="subscript"/>
              </w:rPr>
              <w:t>3</w:t>
            </w:r>
          </w:p>
        </w:tc>
        <w:tc>
          <w:tcPr>
            <w:tcW w:w="1065" w:type="pct"/>
            <w:tcBorders>
              <w:tl2br w:val="nil"/>
              <w:tr2bl w:val="nil"/>
            </w:tcBorders>
            <w:noWrap w:val="0"/>
            <w:vAlign w:val="center"/>
          </w:tcPr>
          <w:p w14:paraId="492E0636">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日最大8小时平均</w:t>
            </w:r>
          </w:p>
        </w:tc>
        <w:tc>
          <w:tcPr>
            <w:tcW w:w="464" w:type="pct"/>
            <w:vMerge w:val="restart"/>
            <w:tcBorders>
              <w:tl2br w:val="nil"/>
              <w:tr2bl w:val="nil"/>
            </w:tcBorders>
            <w:noWrap w:val="0"/>
            <w:vAlign w:val="center"/>
          </w:tcPr>
          <w:p w14:paraId="7EB155ED">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µg/m</w:t>
            </w:r>
            <w:r>
              <w:rPr>
                <w:rFonts w:hint="default" w:ascii="Times New Roman" w:hAnsi="Times New Roman" w:cs="Times New Roman"/>
                <w:color w:val="000000"/>
                <w:sz w:val="21"/>
                <w:szCs w:val="21"/>
                <w:highlight w:val="none"/>
                <w:vertAlign w:val="superscript"/>
              </w:rPr>
              <w:t>3</w:t>
            </w:r>
          </w:p>
        </w:tc>
        <w:tc>
          <w:tcPr>
            <w:tcW w:w="602" w:type="pct"/>
            <w:tcBorders>
              <w:tl2br w:val="nil"/>
              <w:tr2bl w:val="nil"/>
            </w:tcBorders>
            <w:noWrap w:val="0"/>
            <w:vAlign w:val="center"/>
          </w:tcPr>
          <w:p w14:paraId="331D811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160</w:t>
            </w:r>
          </w:p>
        </w:tc>
        <w:tc>
          <w:tcPr>
            <w:tcW w:w="1792" w:type="pct"/>
            <w:vMerge w:val="continue"/>
            <w:tcBorders>
              <w:tl2br w:val="nil"/>
              <w:tr2bl w:val="nil"/>
            </w:tcBorders>
            <w:noWrap w:val="0"/>
            <w:vAlign w:val="center"/>
          </w:tcPr>
          <w:p w14:paraId="06756713">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52DBCB6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2BF94BA8">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57" w:type="pct"/>
            <w:vMerge w:val="continue"/>
            <w:tcBorders>
              <w:tl2br w:val="nil"/>
              <w:tr2bl w:val="nil"/>
            </w:tcBorders>
            <w:noWrap w:val="0"/>
            <w:vAlign w:val="center"/>
          </w:tcPr>
          <w:p w14:paraId="60C6A3A7">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1065" w:type="pct"/>
            <w:tcBorders>
              <w:tl2br w:val="nil"/>
              <w:tr2bl w:val="nil"/>
            </w:tcBorders>
            <w:noWrap w:val="0"/>
            <w:vAlign w:val="center"/>
          </w:tcPr>
          <w:p w14:paraId="4C4D94FB">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1小时平均</w:t>
            </w:r>
          </w:p>
        </w:tc>
        <w:tc>
          <w:tcPr>
            <w:tcW w:w="464" w:type="pct"/>
            <w:vMerge w:val="continue"/>
            <w:tcBorders>
              <w:tl2br w:val="nil"/>
              <w:tr2bl w:val="nil"/>
            </w:tcBorders>
            <w:noWrap w:val="0"/>
            <w:vAlign w:val="center"/>
          </w:tcPr>
          <w:p w14:paraId="35CA2405">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noWrap w:val="0"/>
            <w:vAlign w:val="center"/>
          </w:tcPr>
          <w:p w14:paraId="47DF0AD9">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200</w:t>
            </w:r>
          </w:p>
        </w:tc>
        <w:tc>
          <w:tcPr>
            <w:tcW w:w="1792" w:type="pct"/>
            <w:vMerge w:val="continue"/>
            <w:tcBorders>
              <w:tl2br w:val="nil"/>
              <w:tr2bl w:val="nil"/>
            </w:tcBorders>
            <w:noWrap w:val="0"/>
            <w:vAlign w:val="center"/>
          </w:tcPr>
          <w:p w14:paraId="2719FE97">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3231548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restart"/>
            <w:tcBorders>
              <w:tl2br w:val="nil"/>
              <w:tr2bl w:val="nil"/>
            </w:tcBorders>
            <w:noWrap w:val="0"/>
            <w:vAlign w:val="center"/>
          </w:tcPr>
          <w:p w14:paraId="2171712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5</w:t>
            </w:r>
          </w:p>
        </w:tc>
        <w:tc>
          <w:tcPr>
            <w:tcW w:w="657" w:type="pct"/>
            <w:vMerge w:val="restart"/>
            <w:tcBorders>
              <w:tl2br w:val="nil"/>
              <w:tr2bl w:val="nil"/>
            </w:tcBorders>
            <w:noWrap w:val="0"/>
            <w:vAlign w:val="center"/>
          </w:tcPr>
          <w:p w14:paraId="34652B18">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PM</w:t>
            </w:r>
            <w:r>
              <w:rPr>
                <w:rFonts w:hint="default" w:ascii="Times New Roman" w:hAnsi="Times New Roman" w:cs="Times New Roman"/>
                <w:color w:val="000000"/>
                <w:sz w:val="21"/>
                <w:szCs w:val="21"/>
                <w:highlight w:val="none"/>
                <w:vertAlign w:val="subscript"/>
              </w:rPr>
              <w:t>10</w:t>
            </w:r>
          </w:p>
        </w:tc>
        <w:tc>
          <w:tcPr>
            <w:tcW w:w="1065" w:type="pct"/>
            <w:tcBorders>
              <w:tl2br w:val="nil"/>
              <w:tr2bl w:val="nil"/>
            </w:tcBorders>
            <w:noWrap w:val="0"/>
            <w:vAlign w:val="center"/>
          </w:tcPr>
          <w:p w14:paraId="2299C128">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年平均</w:t>
            </w:r>
          </w:p>
        </w:tc>
        <w:tc>
          <w:tcPr>
            <w:tcW w:w="464" w:type="pct"/>
            <w:vMerge w:val="restart"/>
            <w:tcBorders>
              <w:tl2br w:val="nil"/>
              <w:tr2bl w:val="nil"/>
            </w:tcBorders>
            <w:noWrap w:val="0"/>
            <w:vAlign w:val="center"/>
          </w:tcPr>
          <w:p w14:paraId="1C2C2BE7">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µg/m</w:t>
            </w:r>
            <w:r>
              <w:rPr>
                <w:rFonts w:hint="default" w:ascii="Times New Roman" w:hAnsi="Times New Roman" w:cs="Times New Roman"/>
                <w:color w:val="000000"/>
                <w:sz w:val="21"/>
                <w:szCs w:val="21"/>
                <w:highlight w:val="none"/>
                <w:vertAlign w:val="superscript"/>
              </w:rPr>
              <w:t>3</w:t>
            </w:r>
          </w:p>
        </w:tc>
        <w:tc>
          <w:tcPr>
            <w:tcW w:w="602" w:type="pct"/>
            <w:tcBorders>
              <w:tl2br w:val="nil"/>
              <w:tr2bl w:val="nil"/>
            </w:tcBorders>
            <w:noWrap w:val="0"/>
            <w:vAlign w:val="center"/>
          </w:tcPr>
          <w:p w14:paraId="2C3D87B1">
            <w:pPr>
              <w:autoSpaceDE/>
              <w:autoSpaceDN/>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60</w:t>
            </w:r>
          </w:p>
        </w:tc>
        <w:tc>
          <w:tcPr>
            <w:tcW w:w="1792" w:type="pct"/>
            <w:vMerge w:val="continue"/>
            <w:tcBorders>
              <w:tl2br w:val="nil"/>
              <w:tr2bl w:val="nil"/>
            </w:tcBorders>
            <w:noWrap w:val="0"/>
            <w:vAlign w:val="center"/>
          </w:tcPr>
          <w:p w14:paraId="2E052C79">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3190D82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38C5F73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57" w:type="pct"/>
            <w:vMerge w:val="continue"/>
            <w:tcBorders>
              <w:tl2br w:val="nil"/>
              <w:tr2bl w:val="nil"/>
            </w:tcBorders>
            <w:noWrap w:val="0"/>
            <w:vAlign w:val="center"/>
          </w:tcPr>
          <w:p w14:paraId="5B5A3291">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1065" w:type="pct"/>
            <w:tcBorders>
              <w:tl2br w:val="nil"/>
              <w:tr2bl w:val="nil"/>
            </w:tcBorders>
            <w:noWrap w:val="0"/>
            <w:vAlign w:val="center"/>
          </w:tcPr>
          <w:p w14:paraId="1242FD1D">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24小时平均</w:t>
            </w:r>
          </w:p>
        </w:tc>
        <w:tc>
          <w:tcPr>
            <w:tcW w:w="464" w:type="pct"/>
            <w:vMerge w:val="continue"/>
            <w:tcBorders>
              <w:tl2br w:val="nil"/>
              <w:tr2bl w:val="nil"/>
            </w:tcBorders>
            <w:noWrap w:val="0"/>
            <w:vAlign w:val="center"/>
          </w:tcPr>
          <w:p w14:paraId="05FC95F3">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noWrap w:val="0"/>
            <w:vAlign w:val="center"/>
          </w:tcPr>
          <w:p w14:paraId="107E162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1</w:t>
            </w:r>
            <w:r>
              <w:rPr>
                <w:rFonts w:hint="eastAsia" w:cs="Times New Roman"/>
                <w:color w:val="000000"/>
                <w:sz w:val="21"/>
                <w:szCs w:val="21"/>
                <w:highlight w:val="none"/>
                <w:lang w:val="en-US" w:eastAsia="zh-CN"/>
              </w:rPr>
              <w:t>2</w:t>
            </w:r>
            <w:r>
              <w:rPr>
                <w:rFonts w:hint="default" w:ascii="Times New Roman" w:hAnsi="Times New Roman" w:cs="Times New Roman"/>
                <w:color w:val="000000"/>
                <w:sz w:val="21"/>
                <w:szCs w:val="21"/>
                <w:highlight w:val="none"/>
              </w:rPr>
              <w:t>0</w:t>
            </w:r>
          </w:p>
        </w:tc>
        <w:tc>
          <w:tcPr>
            <w:tcW w:w="1792" w:type="pct"/>
            <w:vMerge w:val="continue"/>
            <w:tcBorders>
              <w:tl2br w:val="nil"/>
              <w:tr2bl w:val="nil"/>
            </w:tcBorders>
            <w:noWrap w:val="0"/>
            <w:vAlign w:val="center"/>
          </w:tcPr>
          <w:p w14:paraId="3ED979C8">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0E00EC2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restart"/>
            <w:tcBorders>
              <w:tl2br w:val="nil"/>
              <w:tr2bl w:val="nil"/>
            </w:tcBorders>
            <w:noWrap w:val="0"/>
            <w:vAlign w:val="center"/>
          </w:tcPr>
          <w:p w14:paraId="618D52AC">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6</w:t>
            </w:r>
          </w:p>
        </w:tc>
        <w:tc>
          <w:tcPr>
            <w:tcW w:w="657" w:type="pct"/>
            <w:vMerge w:val="restart"/>
            <w:tcBorders>
              <w:tl2br w:val="nil"/>
              <w:tr2bl w:val="nil"/>
            </w:tcBorders>
            <w:noWrap w:val="0"/>
            <w:vAlign w:val="center"/>
          </w:tcPr>
          <w:p w14:paraId="2494204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PM</w:t>
            </w:r>
            <w:r>
              <w:rPr>
                <w:rFonts w:hint="default" w:ascii="Times New Roman" w:hAnsi="Times New Roman" w:cs="Times New Roman"/>
                <w:color w:val="000000"/>
                <w:sz w:val="21"/>
                <w:szCs w:val="21"/>
                <w:highlight w:val="none"/>
                <w:vertAlign w:val="subscript"/>
              </w:rPr>
              <w:t>2.5</w:t>
            </w:r>
          </w:p>
        </w:tc>
        <w:tc>
          <w:tcPr>
            <w:tcW w:w="1065" w:type="pct"/>
            <w:tcBorders>
              <w:tl2br w:val="nil"/>
              <w:tr2bl w:val="nil"/>
            </w:tcBorders>
            <w:noWrap w:val="0"/>
            <w:vAlign w:val="center"/>
          </w:tcPr>
          <w:p w14:paraId="75B74809">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年平均</w:t>
            </w:r>
          </w:p>
        </w:tc>
        <w:tc>
          <w:tcPr>
            <w:tcW w:w="464" w:type="pct"/>
            <w:vMerge w:val="restart"/>
            <w:tcBorders>
              <w:tl2br w:val="nil"/>
              <w:tr2bl w:val="nil"/>
            </w:tcBorders>
            <w:noWrap w:val="0"/>
            <w:vAlign w:val="center"/>
          </w:tcPr>
          <w:p w14:paraId="20E99D2D">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µg/m</w:t>
            </w:r>
            <w:r>
              <w:rPr>
                <w:rFonts w:hint="default" w:ascii="Times New Roman" w:hAnsi="Times New Roman" w:cs="Times New Roman"/>
                <w:color w:val="000000"/>
                <w:sz w:val="21"/>
                <w:szCs w:val="21"/>
                <w:highlight w:val="none"/>
                <w:vertAlign w:val="superscript"/>
              </w:rPr>
              <w:t>3</w:t>
            </w:r>
          </w:p>
        </w:tc>
        <w:tc>
          <w:tcPr>
            <w:tcW w:w="602" w:type="pct"/>
            <w:tcBorders>
              <w:tl2br w:val="nil"/>
              <w:tr2bl w:val="nil"/>
            </w:tcBorders>
            <w:noWrap w:val="0"/>
            <w:vAlign w:val="center"/>
          </w:tcPr>
          <w:p w14:paraId="244D2E5D">
            <w:pPr>
              <w:autoSpaceDE/>
              <w:autoSpaceDN/>
              <w:spacing w:before="0" w:after="0" w:line="240" w:lineRule="auto"/>
              <w:ind w:left="0" w:firstLine="0"/>
              <w:jc w:val="center"/>
              <w:rPr>
                <w:rFonts w:hint="eastAsia"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rPr>
              <w:t>3</w:t>
            </w:r>
            <w:r>
              <w:rPr>
                <w:rFonts w:hint="eastAsia" w:cs="Times New Roman"/>
                <w:color w:val="000000"/>
                <w:sz w:val="21"/>
                <w:szCs w:val="21"/>
                <w:highlight w:val="none"/>
                <w:lang w:val="en-US" w:eastAsia="zh-CN"/>
              </w:rPr>
              <w:t>0</w:t>
            </w:r>
          </w:p>
        </w:tc>
        <w:tc>
          <w:tcPr>
            <w:tcW w:w="1792" w:type="pct"/>
            <w:vMerge w:val="continue"/>
            <w:tcBorders>
              <w:tl2br w:val="nil"/>
              <w:tr2bl w:val="nil"/>
            </w:tcBorders>
            <w:noWrap w:val="0"/>
            <w:vAlign w:val="center"/>
          </w:tcPr>
          <w:p w14:paraId="68E784DB">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362DEB9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0B4F9BF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57" w:type="pct"/>
            <w:vMerge w:val="continue"/>
            <w:tcBorders>
              <w:tl2br w:val="nil"/>
              <w:tr2bl w:val="nil"/>
            </w:tcBorders>
            <w:noWrap w:val="0"/>
            <w:vAlign w:val="center"/>
          </w:tcPr>
          <w:p w14:paraId="26141634">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1065" w:type="pct"/>
            <w:tcBorders>
              <w:tl2br w:val="nil"/>
              <w:tr2bl w:val="nil"/>
            </w:tcBorders>
            <w:noWrap w:val="0"/>
            <w:vAlign w:val="center"/>
          </w:tcPr>
          <w:p w14:paraId="0B89D55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24小时平均</w:t>
            </w:r>
          </w:p>
        </w:tc>
        <w:tc>
          <w:tcPr>
            <w:tcW w:w="464" w:type="pct"/>
            <w:vMerge w:val="continue"/>
            <w:tcBorders>
              <w:tl2br w:val="nil"/>
              <w:tr2bl w:val="nil"/>
            </w:tcBorders>
            <w:noWrap w:val="0"/>
            <w:vAlign w:val="center"/>
          </w:tcPr>
          <w:p w14:paraId="11287AF0">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noWrap w:val="0"/>
            <w:vAlign w:val="center"/>
          </w:tcPr>
          <w:p w14:paraId="2F574B58">
            <w:pPr>
              <w:autoSpaceDE/>
              <w:autoSpaceDN/>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60</w:t>
            </w:r>
          </w:p>
        </w:tc>
        <w:tc>
          <w:tcPr>
            <w:tcW w:w="1792" w:type="pct"/>
            <w:vMerge w:val="continue"/>
            <w:tcBorders>
              <w:tl2br w:val="nil"/>
              <w:tr2bl w:val="nil"/>
            </w:tcBorders>
            <w:noWrap w:val="0"/>
            <w:vAlign w:val="center"/>
          </w:tcPr>
          <w:p w14:paraId="090E3A2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612F20A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restart"/>
            <w:tcBorders>
              <w:tl2br w:val="nil"/>
              <w:tr2bl w:val="nil"/>
            </w:tcBorders>
            <w:noWrap w:val="0"/>
            <w:vAlign w:val="center"/>
          </w:tcPr>
          <w:p w14:paraId="3F0B7DC0">
            <w:pPr>
              <w:autoSpaceDE/>
              <w:autoSpaceDN/>
              <w:spacing w:before="0" w:after="0" w:line="240" w:lineRule="auto"/>
              <w:ind w:left="0" w:firstLine="0"/>
              <w:jc w:val="center"/>
              <w:rPr>
                <w:rFonts w:hint="eastAsia"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7</w:t>
            </w:r>
          </w:p>
        </w:tc>
        <w:tc>
          <w:tcPr>
            <w:tcW w:w="657" w:type="pct"/>
            <w:vMerge w:val="restart"/>
            <w:tcBorders>
              <w:tl2br w:val="nil"/>
              <w:tr2bl w:val="nil"/>
            </w:tcBorders>
            <w:shd w:val="clear" w:color="auto" w:fill="auto"/>
            <w:noWrap w:val="0"/>
            <w:vAlign w:val="center"/>
          </w:tcPr>
          <w:p w14:paraId="3486F413">
            <w:pPr>
              <w:autoSpaceDE/>
              <w:autoSpaceDN/>
              <w:spacing w:before="0" w:after="0" w:line="240" w:lineRule="auto"/>
              <w:ind w:left="0" w:leftChars="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b w:val="0"/>
                <w:bCs w:val="0"/>
                <w:color w:val="000000"/>
                <w:sz w:val="21"/>
                <w:szCs w:val="18"/>
                <w:highlight w:val="none"/>
                <w:u w:val="none"/>
                <w:lang w:val="en-US" w:eastAsia="zh-CN"/>
              </w:rPr>
              <w:t>NO</w:t>
            </w:r>
            <w:r>
              <w:rPr>
                <w:rFonts w:hint="eastAsia" w:ascii="Times New Roman" w:hAnsi="Times New Roman" w:cs="Times New Roman"/>
                <w:b w:val="0"/>
                <w:bCs w:val="0"/>
                <w:color w:val="000000"/>
                <w:sz w:val="21"/>
                <w:szCs w:val="18"/>
                <w:highlight w:val="none"/>
                <w:u w:val="none"/>
                <w:vertAlign w:val="subscript"/>
                <w:lang w:val="en-US" w:eastAsia="zh-CN"/>
              </w:rPr>
              <w:t>x</w:t>
            </w:r>
          </w:p>
        </w:tc>
        <w:tc>
          <w:tcPr>
            <w:tcW w:w="1065" w:type="pct"/>
            <w:tcBorders>
              <w:tl2br w:val="nil"/>
              <w:tr2bl w:val="nil"/>
            </w:tcBorders>
            <w:shd w:val="clear" w:color="auto" w:fill="auto"/>
            <w:noWrap w:val="0"/>
            <w:vAlign w:val="center"/>
          </w:tcPr>
          <w:p w14:paraId="29230C74">
            <w:pPr>
              <w:autoSpaceDE/>
              <w:autoSpaceDN/>
              <w:spacing w:before="0" w:after="0" w:line="240" w:lineRule="auto"/>
              <w:ind w:left="0" w:leftChars="0" w:firstLine="0" w:firstLineChars="0"/>
              <w:jc w:val="center"/>
              <w:rPr>
                <w:rFonts w:hint="default" w:ascii="Times New Roman" w:hAnsi="Times New Roman" w:eastAsia="宋体" w:cs="Times New Roman"/>
                <w:color w:val="000000"/>
                <w:sz w:val="21"/>
                <w:szCs w:val="18"/>
                <w:highlight w:val="none"/>
                <w:lang w:val="en-US" w:eastAsia="zh-CN" w:bidi="ar-SA"/>
              </w:rPr>
            </w:pPr>
            <w:r>
              <w:rPr>
                <w:rFonts w:hint="default" w:ascii="Times New Roman" w:hAnsi="Times New Roman" w:cs="Times New Roman"/>
                <w:color w:val="000000"/>
                <w:sz w:val="21"/>
                <w:szCs w:val="18"/>
                <w:highlight w:val="none"/>
              </w:rPr>
              <w:t>年平均</w:t>
            </w:r>
          </w:p>
        </w:tc>
        <w:tc>
          <w:tcPr>
            <w:tcW w:w="464" w:type="pct"/>
            <w:vMerge w:val="restart"/>
            <w:tcBorders>
              <w:tl2br w:val="nil"/>
              <w:tr2bl w:val="nil"/>
            </w:tcBorders>
            <w:noWrap w:val="0"/>
            <w:vAlign w:val="center"/>
          </w:tcPr>
          <w:p w14:paraId="23A85358">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µg/m</w:t>
            </w:r>
            <w:r>
              <w:rPr>
                <w:rFonts w:hint="default" w:ascii="Times New Roman" w:hAnsi="Times New Roman" w:cs="Times New Roman"/>
                <w:color w:val="000000"/>
                <w:sz w:val="21"/>
                <w:szCs w:val="21"/>
                <w:highlight w:val="none"/>
                <w:vertAlign w:val="superscript"/>
              </w:rPr>
              <w:t>3</w:t>
            </w:r>
          </w:p>
        </w:tc>
        <w:tc>
          <w:tcPr>
            <w:tcW w:w="602" w:type="pct"/>
            <w:tcBorders>
              <w:tl2br w:val="nil"/>
              <w:tr2bl w:val="nil"/>
            </w:tcBorders>
            <w:shd w:val="clear" w:color="auto" w:fill="auto"/>
            <w:noWrap w:val="0"/>
            <w:vAlign w:val="center"/>
          </w:tcPr>
          <w:p w14:paraId="35A4AFE2">
            <w:pPr>
              <w:autoSpaceDE/>
              <w:autoSpaceDN/>
              <w:spacing w:before="0" w:after="0" w:line="240" w:lineRule="auto"/>
              <w:ind w:left="0" w:leftChars="0" w:firstLine="0" w:firstLineChars="0"/>
              <w:jc w:val="center"/>
              <w:rPr>
                <w:rFonts w:hint="default" w:ascii="Times New Roman" w:hAnsi="Times New Roman" w:eastAsia="宋体" w:cs="Times New Roman"/>
                <w:b w:val="0"/>
                <w:bCs w:val="0"/>
                <w:color w:val="000000"/>
                <w:sz w:val="21"/>
                <w:szCs w:val="18"/>
                <w:highlight w:val="none"/>
                <w:u w:val="none"/>
                <w:lang w:val="en-US" w:eastAsia="zh-CN" w:bidi="ar-SA"/>
              </w:rPr>
            </w:pPr>
            <w:r>
              <w:rPr>
                <w:rFonts w:hint="eastAsia" w:cs="Times New Roman"/>
                <w:b w:val="0"/>
                <w:bCs w:val="0"/>
                <w:color w:val="000000"/>
                <w:sz w:val="21"/>
                <w:szCs w:val="18"/>
                <w:highlight w:val="none"/>
                <w:u w:val="none"/>
                <w:lang w:val="en-US" w:eastAsia="zh-CN"/>
              </w:rPr>
              <w:t>50</w:t>
            </w:r>
          </w:p>
        </w:tc>
        <w:tc>
          <w:tcPr>
            <w:tcW w:w="1792" w:type="pct"/>
            <w:vMerge w:val="restart"/>
            <w:tcBorders>
              <w:tl2br w:val="nil"/>
              <w:tr2bl w:val="nil"/>
            </w:tcBorders>
            <w:noWrap w:val="0"/>
            <w:vAlign w:val="center"/>
          </w:tcPr>
          <w:p w14:paraId="2B0449D4">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《环境空气质量标准》（GB3095-2026）中表</w:t>
            </w:r>
            <w:r>
              <w:rPr>
                <w:rFonts w:hint="eastAsia" w:cs="Times New Roman"/>
                <w:color w:val="000000"/>
                <w:sz w:val="21"/>
                <w:szCs w:val="21"/>
                <w:highlight w:val="none"/>
                <w:lang w:val="en-US" w:eastAsia="zh-CN"/>
              </w:rPr>
              <w:t>2</w:t>
            </w:r>
            <w:r>
              <w:rPr>
                <w:rFonts w:hint="default" w:ascii="Times New Roman" w:hAnsi="Times New Roman" w:cs="Times New Roman"/>
                <w:color w:val="000000"/>
                <w:sz w:val="21"/>
                <w:szCs w:val="21"/>
                <w:highlight w:val="none"/>
              </w:rPr>
              <w:t>过渡阶段二级标准</w:t>
            </w:r>
          </w:p>
        </w:tc>
      </w:tr>
      <w:tr w14:paraId="688C330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52242460">
            <w:pPr>
              <w:autoSpaceDE/>
              <w:autoSpaceDN/>
              <w:spacing w:before="0" w:after="0" w:line="240" w:lineRule="auto"/>
              <w:ind w:left="0" w:firstLine="0"/>
              <w:jc w:val="center"/>
              <w:rPr>
                <w:rFonts w:hint="eastAsia" w:cs="Times New Roman"/>
                <w:color w:val="000000"/>
                <w:sz w:val="21"/>
                <w:szCs w:val="21"/>
                <w:highlight w:val="none"/>
                <w:lang w:val="en-US" w:eastAsia="zh-CN"/>
              </w:rPr>
            </w:pPr>
          </w:p>
        </w:tc>
        <w:tc>
          <w:tcPr>
            <w:tcW w:w="657" w:type="pct"/>
            <w:vMerge w:val="continue"/>
            <w:tcBorders>
              <w:tl2br w:val="nil"/>
              <w:tr2bl w:val="nil"/>
            </w:tcBorders>
            <w:noWrap w:val="0"/>
            <w:vAlign w:val="center"/>
          </w:tcPr>
          <w:p w14:paraId="28F4E154">
            <w:pPr>
              <w:autoSpaceDE/>
              <w:autoSpaceDN/>
              <w:spacing w:before="0" w:after="0" w:line="240" w:lineRule="auto"/>
              <w:ind w:left="0" w:firstLine="0"/>
              <w:jc w:val="center"/>
              <w:rPr>
                <w:rFonts w:hint="eastAsia" w:cs="Times New Roman"/>
                <w:color w:val="000000"/>
                <w:sz w:val="21"/>
                <w:szCs w:val="21"/>
                <w:highlight w:val="none"/>
                <w:lang w:val="en-US" w:eastAsia="zh-CN"/>
              </w:rPr>
            </w:pPr>
          </w:p>
        </w:tc>
        <w:tc>
          <w:tcPr>
            <w:tcW w:w="1065" w:type="pct"/>
            <w:tcBorders>
              <w:tl2br w:val="nil"/>
              <w:tr2bl w:val="nil"/>
            </w:tcBorders>
            <w:shd w:val="clear" w:color="auto" w:fill="auto"/>
            <w:noWrap w:val="0"/>
            <w:vAlign w:val="center"/>
          </w:tcPr>
          <w:p w14:paraId="4524413B">
            <w:pPr>
              <w:autoSpaceDE/>
              <w:autoSpaceDN/>
              <w:spacing w:before="0" w:after="0" w:line="240" w:lineRule="auto"/>
              <w:ind w:left="0" w:leftChars="0" w:firstLine="0" w:firstLineChars="0"/>
              <w:jc w:val="center"/>
              <w:rPr>
                <w:rFonts w:hint="default" w:ascii="Times New Roman" w:hAnsi="Times New Roman" w:eastAsia="宋体" w:cs="Times New Roman"/>
                <w:color w:val="000000"/>
                <w:sz w:val="21"/>
                <w:szCs w:val="18"/>
                <w:highlight w:val="none"/>
                <w:lang w:val="en-US" w:eastAsia="zh-CN" w:bidi="ar-SA"/>
              </w:rPr>
            </w:pPr>
            <w:r>
              <w:rPr>
                <w:rFonts w:hint="default" w:ascii="Times New Roman" w:hAnsi="Times New Roman" w:cs="Times New Roman"/>
                <w:color w:val="000000"/>
                <w:sz w:val="21"/>
                <w:szCs w:val="18"/>
                <w:highlight w:val="none"/>
              </w:rPr>
              <w:t>24小时平均</w:t>
            </w:r>
          </w:p>
        </w:tc>
        <w:tc>
          <w:tcPr>
            <w:tcW w:w="464" w:type="pct"/>
            <w:vMerge w:val="continue"/>
            <w:tcBorders>
              <w:tl2br w:val="nil"/>
              <w:tr2bl w:val="nil"/>
            </w:tcBorders>
            <w:noWrap w:val="0"/>
            <w:vAlign w:val="center"/>
          </w:tcPr>
          <w:p w14:paraId="0466EE90">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shd w:val="clear" w:color="auto" w:fill="auto"/>
            <w:noWrap w:val="0"/>
            <w:vAlign w:val="center"/>
          </w:tcPr>
          <w:p w14:paraId="7B8A83D3">
            <w:pPr>
              <w:autoSpaceDE/>
              <w:autoSpaceDN/>
              <w:spacing w:before="0" w:after="0" w:line="240" w:lineRule="auto"/>
              <w:ind w:left="0" w:leftChars="0" w:firstLine="0" w:firstLineChars="0"/>
              <w:jc w:val="center"/>
              <w:rPr>
                <w:rFonts w:hint="eastAsia" w:ascii="Times New Roman" w:hAnsi="Times New Roman" w:eastAsia="宋体" w:cs="Times New Roman"/>
                <w:b w:val="0"/>
                <w:bCs w:val="0"/>
                <w:color w:val="000000"/>
                <w:sz w:val="21"/>
                <w:szCs w:val="18"/>
                <w:highlight w:val="none"/>
                <w:u w:val="none"/>
                <w:lang w:val="en-US" w:eastAsia="zh-CN" w:bidi="ar-SA"/>
              </w:rPr>
            </w:pPr>
            <w:r>
              <w:rPr>
                <w:rFonts w:hint="eastAsia" w:cs="Times New Roman"/>
                <w:b w:val="0"/>
                <w:bCs w:val="0"/>
                <w:color w:val="000000"/>
                <w:sz w:val="21"/>
                <w:szCs w:val="18"/>
                <w:highlight w:val="none"/>
                <w:u w:val="none"/>
                <w:lang w:val="en-US" w:eastAsia="zh-CN"/>
              </w:rPr>
              <w:t>100</w:t>
            </w:r>
          </w:p>
        </w:tc>
        <w:tc>
          <w:tcPr>
            <w:tcW w:w="1792" w:type="pct"/>
            <w:vMerge w:val="continue"/>
            <w:tcBorders>
              <w:tl2br w:val="nil"/>
              <w:tr2bl w:val="nil"/>
            </w:tcBorders>
            <w:noWrap w:val="0"/>
            <w:vAlign w:val="center"/>
          </w:tcPr>
          <w:p w14:paraId="5F72FB9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7F083F7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672D6BC0">
            <w:pPr>
              <w:autoSpaceDE/>
              <w:autoSpaceDN/>
              <w:spacing w:before="0" w:after="0" w:line="240" w:lineRule="auto"/>
              <w:ind w:left="0" w:firstLine="0"/>
              <w:jc w:val="center"/>
              <w:rPr>
                <w:rFonts w:hint="eastAsia" w:cs="Times New Roman"/>
                <w:color w:val="000000"/>
                <w:sz w:val="21"/>
                <w:szCs w:val="21"/>
                <w:highlight w:val="none"/>
                <w:lang w:val="en-US" w:eastAsia="zh-CN"/>
              </w:rPr>
            </w:pPr>
          </w:p>
        </w:tc>
        <w:tc>
          <w:tcPr>
            <w:tcW w:w="657" w:type="pct"/>
            <w:vMerge w:val="continue"/>
            <w:tcBorders>
              <w:tl2br w:val="nil"/>
              <w:tr2bl w:val="nil"/>
            </w:tcBorders>
            <w:noWrap w:val="0"/>
            <w:vAlign w:val="center"/>
          </w:tcPr>
          <w:p w14:paraId="4AA2E258">
            <w:pPr>
              <w:autoSpaceDE/>
              <w:autoSpaceDN/>
              <w:spacing w:before="0" w:after="0" w:line="240" w:lineRule="auto"/>
              <w:ind w:left="0" w:firstLine="0"/>
              <w:jc w:val="center"/>
              <w:rPr>
                <w:rFonts w:hint="eastAsia" w:cs="Times New Roman"/>
                <w:color w:val="000000"/>
                <w:sz w:val="21"/>
                <w:szCs w:val="21"/>
                <w:highlight w:val="none"/>
                <w:lang w:val="en-US" w:eastAsia="zh-CN"/>
              </w:rPr>
            </w:pPr>
          </w:p>
        </w:tc>
        <w:tc>
          <w:tcPr>
            <w:tcW w:w="1065" w:type="pct"/>
            <w:tcBorders>
              <w:tl2br w:val="nil"/>
              <w:tr2bl w:val="nil"/>
            </w:tcBorders>
            <w:shd w:val="clear" w:color="auto" w:fill="auto"/>
            <w:noWrap w:val="0"/>
            <w:vAlign w:val="center"/>
          </w:tcPr>
          <w:p w14:paraId="599FF672">
            <w:pPr>
              <w:autoSpaceDE/>
              <w:autoSpaceDN/>
              <w:spacing w:before="0" w:after="0" w:line="240" w:lineRule="auto"/>
              <w:ind w:left="0" w:leftChars="0" w:firstLine="0" w:firstLineChars="0"/>
              <w:jc w:val="center"/>
              <w:rPr>
                <w:rFonts w:hint="default" w:ascii="Times New Roman" w:hAnsi="Times New Roman" w:eastAsia="宋体" w:cs="Times New Roman"/>
                <w:color w:val="000000"/>
                <w:sz w:val="21"/>
                <w:szCs w:val="18"/>
                <w:highlight w:val="none"/>
                <w:lang w:val="en-US" w:eastAsia="zh-CN" w:bidi="ar-SA"/>
              </w:rPr>
            </w:pPr>
            <w:r>
              <w:rPr>
                <w:rFonts w:hint="default" w:ascii="Times New Roman" w:hAnsi="Times New Roman" w:cs="Times New Roman"/>
                <w:color w:val="000000"/>
                <w:sz w:val="21"/>
                <w:szCs w:val="18"/>
                <w:highlight w:val="none"/>
              </w:rPr>
              <w:t>1小时平均</w:t>
            </w:r>
          </w:p>
        </w:tc>
        <w:tc>
          <w:tcPr>
            <w:tcW w:w="464" w:type="pct"/>
            <w:vMerge w:val="continue"/>
            <w:tcBorders>
              <w:tl2br w:val="nil"/>
              <w:tr2bl w:val="nil"/>
            </w:tcBorders>
            <w:noWrap w:val="0"/>
            <w:vAlign w:val="center"/>
          </w:tcPr>
          <w:p w14:paraId="035BC5AC">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shd w:val="clear" w:color="auto" w:fill="auto"/>
            <w:noWrap w:val="0"/>
            <w:vAlign w:val="center"/>
          </w:tcPr>
          <w:p w14:paraId="54757C1A">
            <w:pPr>
              <w:autoSpaceDE/>
              <w:autoSpaceDN/>
              <w:spacing w:before="0" w:after="0" w:line="240" w:lineRule="auto"/>
              <w:ind w:left="0" w:leftChars="0" w:firstLine="0" w:firstLineChars="0"/>
              <w:jc w:val="center"/>
              <w:rPr>
                <w:rFonts w:hint="eastAsia" w:ascii="Times New Roman" w:hAnsi="Times New Roman" w:eastAsia="宋体" w:cs="Times New Roman"/>
                <w:b w:val="0"/>
                <w:bCs w:val="0"/>
                <w:color w:val="000000"/>
                <w:sz w:val="21"/>
                <w:szCs w:val="18"/>
                <w:highlight w:val="none"/>
                <w:u w:val="none"/>
                <w:lang w:val="en-US" w:eastAsia="zh-CN" w:bidi="ar-SA"/>
              </w:rPr>
            </w:pPr>
            <w:r>
              <w:rPr>
                <w:rFonts w:hint="eastAsia" w:cs="Times New Roman"/>
                <w:b w:val="0"/>
                <w:bCs w:val="0"/>
                <w:color w:val="000000"/>
                <w:sz w:val="21"/>
                <w:szCs w:val="18"/>
                <w:highlight w:val="none"/>
                <w:u w:val="none"/>
                <w:lang w:val="en-US" w:eastAsia="zh-CN"/>
              </w:rPr>
              <w:t>250</w:t>
            </w:r>
          </w:p>
        </w:tc>
        <w:tc>
          <w:tcPr>
            <w:tcW w:w="1792" w:type="pct"/>
            <w:vMerge w:val="continue"/>
            <w:tcBorders>
              <w:tl2br w:val="nil"/>
              <w:tr2bl w:val="nil"/>
            </w:tcBorders>
            <w:noWrap w:val="0"/>
            <w:vAlign w:val="center"/>
          </w:tcPr>
          <w:p w14:paraId="3DB710DC">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3B82C22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restart"/>
            <w:tcBorders>
              <w:tl2br w:val="nil"/>
              <w:tr2bl w:val="nil"/>
            </w:tcBorders>
            <w:noWrap w:val="0"/>
            <w:vAlign w:val="center"/>
          </w:tcPr>
          <w:p w14:paraId="441F45A2">
            <w:pPr>
              <w:autoSpaceDE/>
              <w:autoSpaceDN/>
              <w:spacing w:before="0" w:after="0" w:line="240" w:lineRule="auto"/>
              <w:ind w:left="0" w:firstLine="0"/>
              <w:jc w:val="center"/>
              <w:rPr>
                <w:rFonts w:hint="default" w:cs="Times New Roman"/>
                <w:color w:val="000000"/>
                <w:sz w:val="21"/>
                <w:szCs w:val="21"/>
                <w:highlight w:val="none"/>
                <w:lang w:val="en-US" w:eastAsia="zh-CN"/>
              </w:rPr>
            </w:pPr>
            <w:r>
              <w:rPr>
                <w:rFonts w:hint="eastAsia" w:cs="Times New Roman"/>
                <w:color w:val="000000"/>
                <w:sz w:val="21"/>
                <w:szCs w:val="21"/>
                <w:highlight w:val="none"/>
                <w:lang w:val="en-US" w:eastAsia="zh-CN"/>
              </w:rPr>
              <w:t>8</w:t>
            </w:r>
          </w:p>
        </w:tc>
        <w:tc>
          <w:tcPr>
            <w:tcW w:w="657" w:type="pct"/>
            <w:vMerge w:val="restart"/>
            <w:tcBorders>
              <w:tl2br w:val="nil"/>
              <w:tr2bl w:val="nil"/>
            </w:tcBorders>
            <w:noWrap w:val="0"/>
            <w:vAlign w:val="center"/>
          </w:tcPr>
          <w:p w14:paraId="5C2D8E10">
            <w:pPr>
              <w:autoSpaceDE/>
              <w:autoSpaceDN/>
              <w:spacing w:before="0" w:after="0" w:line="240" w:lineRule="auto"/>
              <w:ind w:left="0" w:firstLine="0"/>
              <w:jc w:val="center"/>
              <w:rPr>
                <w:rFonts w:hint="eastAsia" w:cs="Times New Roman"/>
                <w:color w:val="000000"/>
                <w:sz w:val="21"/>
                <w:szCs w:val="21"/>
                <w:highlight w:val="none"/>
                <w:lang w:val="en-US" w:eastAsia="zh-CN"/>
              </w:rPr>
            </w:pPr>
            <w:r>
              <w:rPr>
                <w:rFonts w:hint="eastAsia" w:cs="Times New Roman"/>
                <w:color w:val="000000"/>
                <w:sz w:val="21"/>
                <w:szCs w:val="21"/>
                <w:highlight w:val="none"/>
                <w:lang w:val="en-US" w:eastAsia="zh-CN"/>
              </w:rPr>
              <w:t>TSP</w:t>
            </w:r>
          </w:p>
        </w:tc>
        <w:tc>
          <w:tcPr>
            <w:tcW w:w="1065" w:type="pct"/>
            <w:tcBorders>
              <w:tl2br w:val="nil"/>
              <w:tr2bl w:val="nil"/>
            </w:tcBorders>
            <w:shd w:val="clear" w:color="auto" w:fill="auto"/>
            <w:noWrap w:val="0"/>
            <w:vAlign w:val="center"/>
          </w:tcPr>
          <w:p w14:paraId="05D5117A">
            <w:pPr>
              <w:autoSpaceDE/>
              <w:autoSpaceDN/>
              <w:spacing w:before="0" w:after="0" w:line="240" w:lineRule="auto"/>
              <w:ind w:left="0" w:leftChars="0" w:firstLine="0" w:firstLineChars="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年平均</w:t>
            </w:r>
          </w:p>
        </w:tc>
        <w:tc>
          <w:tcPr>
            <w:tcW w:w="464" w:type="pct"/>
            <w:vMerge w:val="restart"/>
            <w:tcBorders>
              <w:tl2br w:val="nil"/>
              <w:tr2bl w:val="nil"/>
            </w:tcBorders>
            <w:noWrap w:val="0"/>
            <w:vAlign w:val="center"/>
          </w:tcPr>
          <w:p w14:paraId="5FF7D4CF">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r>
              <w:rPr>
                <w:rFonts w:hint="default" w:ascii="Times New Roman" w:hAnsi="Times New Roman" w:cs="Times New Roman"/>
                <w:color w:val="000000"/>
                <w:sz w:val="21"/>
                <w:szCs w:val="21"/>
                <w:highlight w:val="none"/>
              </w:rPr>
              <w:t>µg/m</w:t>
            </w:r>
            <w:r>
              <w:rPr>
                <w:rFonts w:hint="default" w:ascii="Times New Roman" w:hAnsi="Times New Roman" w:cs="Times New Roman"/>
                <w:color w:val="000000"/>
                <w:sz w:val="21"/>
                <w:szCs w:val="21"/>
                <w:highlight w:val="none"/>
                <w:vertAlign w:val="superscript"/>
              </w:rPr>
              <w:t>3</w:t>
            </w:r>
          </w:p>
        </w:tc>
        <w:tc>
          <w:tcPr>
            <w:tcW w:w="602" w:type="pct"/>
            <w:tcBorders>
              <w:tl2br w:val="nil"/>
              <w:tr2bl w:val="nil"/>
            </w:tcBorders>
            <w:noWrap w:val="0"/>
            <w:vAlign w:val="center"/>
          </w:tcPr>
          <w:p w14:paraId="53515765">
            <w:pPr>
              <w:autoSpaceDE/>
              <w:autoSpaceDN/>
              <w:spacing w:before="0" w:after="0" w:line="240" w:lineRule="auto"/>
              <w:ind w:left="0" w:firstLine="0"/>
              <w:jc w:val="center"/>
              <w:rPr>
                <w:rFonts w:hint="eastAsia" w:cs="Times New Roman"/>
                <w:color w:val="000000"/>
                <w:sz w:val="21"/>
                <w:szCs w:val="21"/>
                <w:highlight w:val="none"/>
                <w:lang w:val="en-US" w:eastAsia="zh-CN"/>
              </w:rPr>
            </w:pPr>
            <w:r>
              <w:rPr>
                <w:rFonts w:hint="eastAsia" w:cs="Times New Roman"/>
                <w:color w:val="000000"/>
                <w:sz w:val="21"/>
                <w:szCs w:val="21"/>
                <w:highlight w:val="none"/>
                <w:lang w:val="en-US" w:eastAsia="zh-CN"/>
              </w:rPr>
              <w:t>200</w:t>
            </w:r>
          </w:p>
        </w:tc>
        <w:tc>
          <w:tcPr>
            <w:tcW w:w="1792" w:type="pct"/>
            <w:vMerge w:val="continue"/>
            <w:tcBorders>
              <w:tl2br w:val="nil"/>
              <w:tr2bl w:val="nil"/>
            </w:tcBorders>
            <w:noWrap w:val="0"/>
            <w:vAlign w:val="center"/>
          </w:tcPr>
          <w:p w14:paraId="059609D8">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74AD350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vMerge w:val="continue"/>
            <w:tcBorders>
              <w:tl2br w:val="nil"/>
              <w:tr2bl w:val="nil"/>
            </w:tcBorders>
            <w:noWrap w:val="0"/>
            <w:vAlign w:val="center"/>
          </w:tcPr>
          <w:p w14:paraId="5BB2AEDE">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57" w:type="pct"/>
            <w:vMerge w:val="continue"/>
            <w:tcBorders>
              <w:tl2br w:val="nil"/>
              <w:tr2bl w:val="nil"/>
            </w:tcBorders>
            <w:noWrap w:val="0"/>
            <w:vAlign w:val="center"/>
          </w:tcPr>
          <w:p w14:paraId="1F269111">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1065" w:type="pct"/>
            <w:tcBorders>
              <w:tl2br w:val="nil"/>
              <w:tr2bl w:val="nil"/>
            </w:tcBorders>
            <w:shd w:val="clear" w:color="auto" w:fill="auto"/>
            <w:noWrap w:val="0"/>
            <w:vAlign w:val="center"/>
          </w:tcPr>
          <w:p w14:paraId="59443B94">
            <w:pPr>
              <w:autoSpaceDE/>
              <w:autoSpaceDN/>
              <w:spacing w:before="0" w:after="0" w:line="240" w:lineRule="auto"/>
              <w:ind w:left="0" w:leftChars="0" w:firstLine="0" w:firstLineChars="0"/>
              <w:jc w:val="center"/>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cs="Times New Roman"/>
                <w:color w:val="000000"/>
                <w:sz w:val="21"/>
                <w:szCs w:val="21"/>
                <w:highlight w:val="none"/>
              </w:rPr>
              <w:t>24小时平均</w:t>
            </w:r>
          </w:p>
        </w:tc>
        <w:tc>
          <w:tcPr>
            <w:tcW w:w="464" w:type="pct"/>
            <w:vMerge w:val="continue"/>
            <w:tcBorders>
              <w:tl2br w:val="nil"/>
              <w:tr2bl w:val="nil"/>
            </w:tcBorders>
            <w:noWrap w:val="0"/>
            <w:vAlign w:val="center"/>
          </w:tcPr>
          <w:p w14:paraId="6FED22C4">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c>
          <w:tcPr>
            <w:tcW w:w="602" w:type="pct"/>
            <w:tcBorders>
              <w:tl2br w:val="nil"/>
              <w:tr2bl w:val="nil"/>
            </w:tcBorders>
            <w:noWrap w:val="0"/>
            <w:vAlign w:val="center"/>
          </w:tcPr>
          <w:p w14:paraId="6D97A893">
            <w:pPr>
              <w:autoSpaceDE/>
              <w:autoSpaceDN/>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300</w:t>
            </w:r>
          </w:p>
        </w:tc>
        <w:tc>
          <w:tcPr>
            <w:tcW w:w="1792" w:type="pct"/>
            <w:vMerge w:val="continue"/>
            <w:tcBorders>
              <w:tl2br w:val="nil"/>
              <w:tr2bl w:val="nil"/>
            </w:tcBorders>
            <w:noWrap w:val="0"/>
            <w:vAlign w:val="center"/>
          </w:tcPr>
          <w:p w14:paraId="024BD61D">
            <w:pPr>
              <w:autoSpaceDE/>
              <w:autoSpaceDN/>
              <w:spacing w:before="0" w:after="0" w:line="240" w:lineRule="auto"/>
              <w:ind w:left="0" w:firstLine="0"/>
              <w:jc w:val="center"/>
              <w:rPr>
                <w:rFonts w:hint="default" w:ascii="Times New Roman" w:hAnsi="Times New Roman" w:cs="Times New Roman"/>
                <w:color w:val="000000"/>
                <w:sz w:val="21"/>
                <w:szCs w:val="21"/>
                <w:highlight w:val="none"/>
              </w:rPr>
            </w:pPr>
          </w:p>
        </w:tc>
      </w:tr>
      <w:tr w14:paraId="5F06C2B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7" w:type="pct"/>
            <w:tcBorders>
              <w:tl2br w:val="nil"/>
              <w:tr2bl w:val="nil"/>
            </w:tcBorders>
            <w:noWrap w:val="0"/>
            <w:vAlign w:val="center"/>
          </w:tcPr>
          <w:p w14:paraId="2655CF92">
            <w:pPr>
              <w:autoSpaceDE/>
              <w:autoSpaceDN/>
              <w:spacing w:before="0" w:after="0" w:line="240" w:lineRule="auto"/>
              <w:ind w:left="0" w:firstLine="0"/>
              <w:jc w:val="center"/>
              <w:rPr>
                <w:rFonts w:hint="eastAsia" w:ascii="Times New Roman" w:hAnsi="Times New Roman" w:eastAsia="宋体" w:cs="Times New Roman"/>
                <w:color w:val="000000"/>
                <w:sz w:val="21"/>
                <w:szCs w:val="21"/>
                <w:highlight w:val="none"/>
                <w:lang w:val="en-US" w:eastAsia="zh-CN"/>
              </w:rPr>
            </w:pPr>
            <w:r>
              <w:rPr>
                <w:rFonts w:hint="eastAsia" w:cs="Times New Roman"/>
                <w:color w:val="000000"/>
                <w:sz w:val="21"/>
                <w:szCs w:val="21"/>
                <w:highlight w:val="none"/>
                <w:lang w:val="en-US" w:eastAsia="zh-CN"/>
              </w:rPr>
              <w:t>9</w:t>
            </w:r>
          </w:p>
        </w:tc>
        <w:tc>
          <w:tcPr>
            <w:tcW w:w="657" w:type="pct"/>
            <w:tcBorders>
              <w:tl2br w:val="nil"/>
              <w:tr2bl w:val="nil"/>
            </w:tcBorders>
            <w:shd w:val="clear" w:color="auto" w:fill="auto"/>
            <w:noWrap w:val="0"/>
            <w:vAlign w:val="center"/>
          </w:tcPr>
          <w:p w14:paraId="59077654">
            <w:pPr>
              <w:autoSpaceDE/>
              <w:autoSpaceDN/>
              <w:spacing w:before="0" w:after="0" w:line="240" w:lineRule="auto"/>
              <w:ind w:left="0" w:leftChars="0" w:firstLine="0" w:firstLineChars="0"/>
              <w:jc w:val="center"/>
              <w:rPr>
                <w:rFonts w:hint="default" w:ascii="Times New Roman" w:hAnsi="Times New Roman" w:eastAsia="宋体" w:cs="Times New Roman"/>
                <w:b w:val="0"/>
                <w:bCs w:val="0"/>
                <w:color w:val="000000"/>
                <w:sz w:val="21"/>
                <w:szCs w:val="18"/>
                <w:highlight w:val="none"/>
                <w:u w:val="none"/>
                <w:lang w:val="en-US" w:eastAsia="zh-CN" w:bidi="ar-SA"/>
              </w:rPr>
            </w:pPr>
            <w:r>
              <w:rPr>
                <w:rFonts w:hint="default" w:ascii="Times New Roman" w:hAnsi="Times New Roman" w:cs="Times New Roman"/>
                <w:b w:val="0"/>
                <w:bCs w:val="0"/>
                <w:color w:val="000000"/>
                <w:sz w:val="21"/>
                <w:szCs w:val="18"/>
                <w:highlight w:val="none"/>
                <w:u w:val="none"/>
                <w:lang w:val="en-US" w:eastAsia="zh-CN"/>
              </w:rPr>
              <w:t>NH</w:t>
            </w:r>
            <w:r>
              <w:rPr>
                <w:rFonts w:hint="default" w:ascii="Times New Roman" w:hAnsi="Times New Roman" w:cs="Times New Roman"/>
                <w:b w:val="0"/>
                <w:bCs w:val="0"/>
                <w:color w:val="000000"/>
                <w:sz w:val="21"/>
                <w:szCs w:val="18"/>
                <w:highlight w:val="none"/>
                <w:u w:val="none"/>
                <w:vertAlign w:val="subscript"/>
                <w:lang w:val="en-US" w:eastAsia="zh-CN"/>
              </w:rPr>
              <w:t>3</w:t>
            </w:r>
          </w:p>
        </w:tc>
        <w:tc>
          <w:tcPr>
            <w:tcW w:w="1065" w:type="pct"/>
            <w:tcBorders>
              <w:tl2br w:val="nil"/>
              <w:tr2bl w:val="nil"/>
            </w:tcBorders>
            <w:shd w:val="clear" w:color="auto" w:fill="auto"/>
            <w:noWrap w:val="0"/>
            <w:vAlign w:val="center"/>
          </w:tcPr>
          <w:p w14:paraId="49911C7A">
            <w:pPr>
              <w:autoSpaceDE/>
              <w:autoSpaceDN/>
              <w:spacing w:before="0" w:after="0" w:line="240" w:lineRule="auto"/>
              <w:ind w:left="0" w:leftChars="0" w:firstLine="0" w:firstLineChars="0"/>
              <w:jc w:val="center"/>
              <w:rPr>
                <w:rFonts w:hint="default" w:ascii="Times New Roman" w:hAnsi="Times New Roman" w:eastAsia="宋体" w:cs="Times New Roman"/>
                <w:b w:val="0"/>
                <w:bCs w:val="0"/>
                <w:color w:val="000000"/>
                <w:sz w:val="21"/>
                <w:szCs w:val="18"/>
                <w:highlight w:val="none"/>
                <w:u w:val="none"/>
                <w:lang w:val="en-US" w:eastAsia="zh-CN" w:bidi="ar-SA"/>
              </w:rPr>
            </w:pPr>
            <w:r>
              <w:rPr>
                <w:rFonts w:hint="default" w:ascii="Times New Roman" w:hAnsi="Times New Roman" w:cs="Times New Roman"/>
                <w:b w:val="0"/>
                <w:bCs w:val="0"/>
                <w:color w:val="000000"/>
                <w:sz w:val="21"/>
                <w:szCs w:val="18"/>
                <w:highlight w:val="none"/>
                <w:u w:val="none"/>
                <w:lang w:val="en-US" w:eastAsia="zh-CN"/>
              </w:rPr>
              <w:t>1小时平均</w:t>
            </w:r>
          </w:p>
        </w:tc>
        <w:tc>
          <w:tcPr>
            <w:tcW w:w="464" w:type="pct"/>
            <w:tcBorders>
              <w:tl2br w:val="nil"/>
              <w:tr2bl w:val="nil"/>
            </w:tcBorders>
            <w:shd w:val="clear" w:color="auto" w:fill="auto"/>
            <w:noWrap w:val="0"/>
            <w:vAlign w:val="center"/>
          </w:tcPr>
          <w:p w14:paraId="0F84D7D0">
            <w:pPr>
              <w:autoSpaceDE/>
              <w:autoSpaceDN/>
              <w:spacing w:before="0" w:after="0" w:line="240" w:lineRule="auto"/>
              <w:ind w:left="0" w:leftChars="0" w:firstLine="0" w:firstLineChars="0"/>
              <w:jc w:val="center"/>
              <w:rPr>
                <w:rFonts w:hint="default" w:ascii="Times New Roman" w:hAnsi="Times New Roman" w:eastAsia="宋体" w:cs="Times New Roman"/>
                <w:b w:val="0"/>
                <w:bCs w:val="0"/>
                <w:color w:val="000000"/>
                <w:sz w:val="21"/>
                <w:szCs w:val="18"/>
                <w:highlight w:val="none"/>
                <w:u w:val="none"/>
                <w:lang w:val="en-US" w:eastAsia="zh-CN" w:bidi="ar-SA"/>
              </w:rPr>
            </w:pPr>
            <w:r>
              <w:rPr>
                <w:rFonts w:hint="default" w:ascii="Times New Roman" w:hAnsi="Times New Roman" w:cs="Times New Roman"/>
                <w:b w:val="0"/>
                <w:bCs w:val="0"/>
                <w:color w:val="000000"/>
                <w:sz w:val="21"/>
                <w:szCs w:val="18"/>
                <w:highlight w:val="none"/>
                <w:u w:val="none"/>
              </w:rPr>
              <w:t>µg/m</w:t>
            </w:r>
            <w:r>
              <w:rPr>
                <w:rFonts w:hint="default" w:ascii="Times New Roman" w:hAnsi="Times New Roman" w:cs="Times New Roman"/>
                <w:b w:val="0"/>
                <w:bCs w:val="0"/>
                <w:color w:val="000000"/>
                <w:sz w:val="21"/>
                <w:szCs w:val="18"/>
                <w:highlight w:val="none"/>
                <w:u w:val="none"/>
                <w:vertAlign w:val="superscript"/>
              </w:rPr>
              <w:t>3</w:t>
            </w:r>
          </w:p>
        </w:tc>
        <w:tc>
          <w:tcPr>
            <w:tcW w:w="602" w:type="pct"/>
            <w:tcBorders>
              <w:tl2br w:val="nil"/>
              <w:tr2bl w:val="nil"/>
            </w:tcBorders>
            <w:shd w:val="clear" w:color="auto" w:fill="auto"/>
            <w:noWrap w:val="0"/>
            <w:vAlign w:val="center"/>
          </w:tcPr>
          <w:p w14:paraId="3A2127F3">
            <w:pPr>
              <w:autoSpaceDE/>
              <w:autoSpaceDN/>
              <w:spacing w:before="0" w:after="0" w:line="240" w:lineRule="auto"/>
              <w:ind w:left="0" w:leftChars="0" w:firstLine="0" w:firstLineChars="0"/>
              <w:jc w:val="center"/>
              <w:rPr>
                <w:rFonts w:hint="default" w:ascii="Times New Roman" w:hAnsi="Times New Roman" w:eastAsia="宋体" w:cs="Times New Roman"/>
                <w:b w:val="0"/>
                <w:bCs w:val="0"/>
                <w:color w:val="000000"/>
                <w:sz w:val="21"/>
                <w:szCs w:val="18"/>
                <w:highlight w:val="none"/>
                <w:u w:val="none"/>
                <w:lang w:val="en-US" w:eastAsia="zh-CN" w:bidi="ar-SA"/>
              </w:rPr>
            </w:pPr>
            <w:r>
              <w:rPr>
                <w:rFonts w:hint="default" w:ascii="Times New Roman" w:hAnsi="Times New Roman" w:cs="Times New Roman"/>
                <w:b w:val="0"/>
                <w:bCs w:val="0"/>
                <w:color w:val="000000"/>
                <w:sz w:val="21"/>
                <w:szCs w:val="18"/>
                <w:highlight w:val="none"/>
                <w:u w:val="none"/>
                <w:lang w:val="en-US" w:eastAsia="zh-CN"/>
              </w:rPr>
              <w:t>200</w:t>
            </w:r>
          </w:p>
        </w:tc>
        <w:tc>
          <w:tcPr>
            <w:tcW w:w="1792" w:type="pct"/>
            <w:tcBorders>
              <w:tl2br w:val="nil"/>
              <w:tr2bl w:val="nil"/>
            </w:tcBorders>
            <w:shd w:val="clear" w:color="auto" w:fill="auto"/>
            <w:noWrap w:val="0"/>
            <w:vAlign w:val="center"/>
          </w:tcPr>
          <w:p w14:paraId="4D8D5086">
            <w:pPr>
              <w:autoSpaceDE/>
              <w:autoSpaceDN/>
              <w:spacing w:before="0" w:after="0" w:line="240" w:lineRule="auto"/>
              <w:ind w:left="0" w:leftChars="0" w:firstLine="0" w:firstLineChars="0"/>
              <w:jc w:val="center"/>
              <w:rPr>
                <w:rFonts w:hint="default" w:ascii="Times New Roman" w:hAnsi="Times New Roman" w:eastAsia="宋体" w:cs="Times New Roman"/>
                <w:b w:val="0"/>
                <w:bCs w:val="0"/>
                <w:color w:val="000000"/>
                <w:sz w:val="21"/>
                <w:szCs w:val="18"/>
                <w:highlight w:val="none"/>
                <w:u w:val="none"/>
                <w:lang w:val="en-US" w:eastAsia="zh-CN" w:bidi="ar-SA"/>
              </w:rPr>
            </w:pPr>
            <w:r>
              <w:rPr>
                <w:rFonts w:hint="default" w:ascii="Times New Roman" w:hAnsi="Times New Roman" w:cs="Times New Roman"/>
                <w:b w:val="0"/>
                <w:bCs w:val="0"/>
                <w:color w:val="000000"/>
                <w:sz w:val="21"/>
                <w:szCs w:val="18"/>
                <w:highlight w:val="none"/>
                <w:u w:val="none"/>
                <w:lang w:eastAsia="zh-CN"/>
              </w:rPr>
              <w:t>《</w:t>
            </w:r>
            <w:r>
              <w:rPr>
                <w:rFonts w:hint="default" w:ascii="Times New Roman" w:hAnsi="Times New Roman" w:cs="Times New Roman"/>
                <w:b w:val="0"/>
                <w:bCs w:val="0"/>
                <w:color w:val="000000"/>
                <w:sz w:val="21"/>
                <w:szCs w:val="18"/>
                <w:highlight w:val="none"/>
                <w:u w:val="none"/>
                <w:lang w:val="en-US" w:eastAsia="zh-CN"/>
              </w:rPr>
              <w:t>环境影响评价技术导则 大气环境</w:t>
            </w:r>
            <w:r>
              <w:rPr>
                <w:rFonts w:hint="default" w:ascii="Times New Roman" w:hAnsi="Times New Roman" w:cs="Times New Roman"/>
                <w:b w:val="0"/>
                <w:bCs w:val="0"/>
                <w:color w:val="000000"/>
                <w:sz w:val="21"/>
                <w:szCs w:val="18"/>
                <w:highlight w:val="none"/>
                <w:u w:val="none"/>
                <w:lang w:eastAsia="zh-CN"/>
              </w:rPr>
              <w:t>》（</w:t>
            </w:r>
            <w:r>
              <w:rPr>
                <w:rFonts w:hint="default" w:ascii="Times New Roman" w:hAnsi="Times New Roman" w:cs="Times New Roman"/>
                <w:b w:val="0"/>
                <w:bCs w:val="0"/>
                <w:color w:val="000000"/>
                <w:sz w:val="21"/>
                <w:szCs w:val="18"/>
                <w:highlight w:val="none"/>
                <w:u w:val="none"/>
                <w:lang w:val="en-US" w:eastAsia="zh-CN"/>
              </w:rPr>
              <w:t>HJ2.2-2018</w:t>
            </w:r>
            <w:r>
              <w:rPr>
                <w:rFonts w:hint="default" w:ascii="Times New Roman" w:hAnsi="Times New Roman" w:cs="Times New Roman"/>
                <w:b w:val="0"/>
                <w:bCs w:val="0"/>
                <w:color w:val="000000"/>
                <w:sz w:val="21"/>
                <w:szCs w:val="18"/>
                <w:highlight w:val="none"/>
                <w:u w:val="none"/>
                <w:lang w:eastAsia="zh-CN"/>
              </w:rPr>
              <w:t>）</w:t>
            </w:r>
            <w:r>
              <w:rPr>
                <w:rFonts w:hint="default" w:ascii="Times New Roman" w:hAnsi="Times New Roman" w:cs="Times New Roman"/>
                <w:b w:val="0"/>
                <w:bCs w:val="0"/>
                <w:color w:val="000000"/>
                <w:sz w:val="21"/>
                <w:szCs w:val="18"/>
                <w:highlight w:val="none"/>
                <w:u w:val="none"/>
                <w:lang w:val="en-US" w:eastAsia="zh-CN"/>
              </w:rPr>
              <w:t>附录D</w:t>
            </w:r>
          </w:p>
        </w:tc>
      </w:tr>
    </w:tbl>
    <w:p w14:paraId="07877BED">
      <w:pPr>
        <w:pStyle w:val="6"/>
        <w:spacing w:before="120" w:beforeLines="50"/>
        <w:rPr>
          <w:rFonts w:hint="default" w:ascii="Times New Roman" w:hAnsi="Times New Roman" w:cs="Times New Roman"/>
        </w:rPr>
      </w:pPr>
      <w:r>
        <w:rPr>
          <w:rFonts w:hint="default" w:ascii="Times New Roman" w:hAnsi="Times New Roman" w:cs="Times New Roman"/>
        </w:rPr>
        <w:t>（2）地下水质量标准</w:t>
      </w:r>
    </w:p>
    <w:p w14:paraId="73A9F6E8">
      <w:pPr>
        <w:pStyle w:val="6"/>
        <w:rPr>
          <w:rFonts w:hint="default" w:ascii="Times New Roman" w:hAnsi="Times New Roman" w:cs="Times New Roman"/>
        </w:rPr>
      </w:pPr>
      <w:r>
        <w:rPr>
          <w:rFonts w:hint="default" w:ascii="Times New Roman" w:hAnsi="Times New Roman" w:cs="Times New Roman"/>
        </w:rPr>
        <w:t>地下水执行《地下水质量标准》（GB/T14848-2017）Ⅲ类标准，见</w:t>
      </w:r>
      <w:r>
        <w:rPr>
          <w:rFonts w:hint="default" w:ascii="Times New Roman" w:hAnsi="Times New Roman" w:cs="Times New Roman"/>
        </w:rPr>
        <w:fldChar w:fldCharType="begin"/>
      </w:r>
      <w:r>
        <w:rPr>
          <w:rFonts w:hint="default" w:ascii="Times New Roman" w:hAnsi="Times New Roman" w:cs="Times New Roman"/>
        </w:rPr>
        <w:instrText xml:space="preserve"> REF _Ref81931638 \h  \* MERGEFORMAT </w:instrText>
      </w:r>
      <w:r>
        <w:rPr>
          <w:rFonts w:hint="default" w:ascii="Times New Roman" w:hAnsi="Times New Roman" w:cs="Times New Roman"/>
        </w:rPr>
        <w:fldChar w:fldCharType="separate"/>
      </w:r>
      <w:r>
        <w:rPr>
          <w:rFonts w:hint="default" w:ascii="Times New Roman" w:hAnsi="Times New Roman" w:cs="Times New Roman"/>
        </w:rPr>
        <w:t>表</w:t>
      </w:r>
      <w:r>
        <w:rPr>
          <w:rFonts w:hint="eastAsia" w:cs="Times New Roman"/>
          <w:lang w:val="en-US" w:eastAsia="zh-CN"/>
        </w:rPr>
        <w:t>2.4-</w:t>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rPr>
        <w:t>。</w:t>
      </w:r>
    </w:p>
    <w:p w14:paraId="5A720AE1">
      <w:pPr>
        <w:pStyle w:val="203"/>
        <w:keepNext w:val="0"/>
        <w:keepLines w:val="0"/>
        <w:pageBreakBefore w:val="0"/>
        <w:widowControl w:val="0"/>
        <w:kinsoku/>
        <w:wordWrap/>
        <w:overflowPunct/>
        <w:topLinePunct w:val="0"/>
        <w:autoSpaceDE/>
        <w:autoSpaceDN/>
        <w:bidi w:val="0"/>
        <w:adjustRightInd w:val="0"/>
        <w:snapToGrid w:val="0"/>
        <w:spacing w:before="0" w:beforeLines="0" w:line="240" w:lineRule="auto"/>
        <w:textAlignment w:val="auto"/>
        <w:rPr>
          <w:rFonts w:hint="default" w:ascii="Times New Roman" w:hAnsi="Times New Roman" w:cs="Times New Roman"/>
          <w:b/>
          <w:bCs/>
        </w:rPr>
      </w:pPr>
      <w:bookmarkStart w:id="45" w:name="_Ref81931638"/>
      <w:r>
        <w:rPr>
          <w:rFonts w:hint="default" w:ascii="Times New Roman" w:hAnsi="Times New Roman" w:cs="Times New Roman"/>
          <w:b/>
          <w:bCs/>
        </w:rPr>
        <w:t>表</w:t>
      </w:r>
      <w:bookmarkEnd w:id="45"/>
      <w:r>
        <w:rPr>
          <w:rFonts w:hint="eastAsia" w:cs="Times New Roman"/>
          <w:b/>
          <w:bCs/>
          <w:lang w:val="en-US" w:eastAsia="zh-CN"/>
        </w:rPr>
        <w:t>2.4-</w:t>
      </w:r>
      <w:r>
        <w:rPr>
          <w:rFonts w:hint="default" w:ascii="Times New Roman" w:hAnsi="Times New Roman" w:cs="Times New Roman"/>
          <w:b/>
          <w:bCs/>
          <w:lang w:val="en-US" w:eastAsia="zh-CN"/>
        </w:rPr>
        <w:t>2</w:t>
      </w:r>
      <w:r>
        <w:rPr>
          <w:rFonts w:hint="default" w:ascii="Times New Roman" w:hAnsi="Times New Roman" w:cs="Times New Roman"/>
          <w:b/>
          <w:bCs/>
        </w:rPr>
        <w:t xml:space="preserve"> 地下水监测项目标准限值</w:t>
      </w:r>
    </w:p>
    <w:tbl>
      <w:tblPr>
        <w:tblStyle w:val="204"/>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3326"/>
        <w:gridCol w:w="3292"/>
        <w:gridCol w:w="1183"/>
      </w:tblGrid>
      <w:tr w14:paraId="40CC9E4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420" w:type="pct"/>
            <w:tcBorders>
              <w:tl2br w:val="nil"/>
              <w:tr2bl w:val="nil"/>
            </w:tcBorders>
            <w:vAlign w:val="center"/>
          </w:tcPr>
          <w:p w14:paraId="64184974">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1953" w:type="pct"/>
            <w:tcBorders>
              <w:tl2br w:val="nil"/>
              <w:tr2bl w:val="nil"/>
            </w:tcBorders>
            <w:vAlign w:val="center"/>
          </w:tcPr>
          <w:p w14:paraId="12C6E0AD">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检测项目</w:t>
            </w:r>
          </w:p>
        </w:tc>
        <w:tc>
          <w:tcPr>
            <w:tcW w:w="1933" w:type="pct"/>
            <w:tcBorders>
              <w:tl2br w:val="nil"/>
              <w:tr2bl w:val="nil"/>
            </w:tcBorders>
            <w:vAlign w:val="center"/>
          </w:tcPr>
          <w:p w14:paraId="72A61826">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单位</w:t>
            </w:r>
          </w:p>
        </w:tc>
        <w:tc>
          <w:tcPr>
            <w:tcW w:w="694" w:type="pct"/>
            <w:tcBorders>
              <w:tl2br w:val="nil"/>
              <w:tr2bl w:val="nil"/>
            </w:tcBorders>
            <w:noWrap/>
            <w:vAlign w:val="center"/>
          </w:tcPr>
          <w:p w14:paraId="68F958B2">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Ⅲ类标准</w:t>
            </w:r>
          </w:p>
        </w:tc>
      </w:tr>
      <w:tr w14:paraId="3BA77EC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l2br w:val="nil"/>
              <w:tr2bl w:val="nil"/>
            </w:tcBorders>
            <w:vAlign w:val="center"/>
          </w:tcPr>
          <w:p w14:paraId="04E0B5B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一般化学指标</w:t>
            </w:r>
          </w:p>
        </w:tc>
      </w:tr>
      <w:tr w14:paraId="013C842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23B8521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953" w:type="pct"/>
            <w:tcBorders>
              <w:tl2br w:val="nil"/>
              <w:tr2bl w:val="nil"/>
            </w:tcBorders>
            <w:vAlign w:val="center"/>
          </w:tcPr>
          <w:p w14:paraId="7132317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pH</w:t>
            </w:r>
          </w:p>
        </w:tc>
        <w:tc>
          <w:tcPr>
            <w:tcW w:w="1933" w:type="pct"/>
            <w:tcBorders>
              <w:tl2br w:val="nil"/>
              <w:tr2bl w:val="nil"/>
            </w:tcBorders>
            <w:vAlign w:val="center"/>
          </w:tcPr>
          <w:p w14:paraId="2DA09EC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694" w:type="pct"/>
            <w:tcBorders>
              <w:tl2br w:val="nil"/>
              <w:tr2bl w:val="nil"/>
            </w:tcBorders>
            <w:noWrap/>
            <w:vAlign w:val="center"/>
          </w:tcPr>
          <w:p w14:paraId="05F7747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6.5-8.5</w:t>
            </w:r>
          </w:p>
        </w:tc>
      </w:tr>
      <w:tr w14:paraId="601FA6C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09A5999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1953" w:type="pct"/>
            <w:tcBorders>
              <w:tl2br w:val="nil"/>
              <w:tr2bl w:val="nil"/>
            </w:tcBorders>
            <w:vAlign w:val="center"/>
          </w:tcPr>
          <w:p w14:paraId="3102FBA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色度</w:t>
            </w:r>
          </w:p>
        </w:tc>
        <w:tc>
          <w:tcPr>
            <w:tcW w:w="1933" w:type="pct"/>
            <w:tcBorders>
              <w:tl2br w:val="nil"/>
              <w:tr2bl w:val="nil"/>
            </w:tcBorders>
            <w:vAlign w:val="center"/>
          </w:tcPr>
          <w:p w14:paraId="5A7CC59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(铂钴色度单位)</w:t>
            </w:r>
          </w:p>
        </w:tc>
        <w:tc>
          <w:tcPr>
            <w:tcW w:w="694" w:type="pct"/>
            <w:tcBorders>
              <w:tl2br w:val="nil"/>
              <w:tr2bl w:val="nil"/>
            </w:tcBorders>
            <w:noWrap/>
            <w:vAlign w:val="center"/>
          </w:tcPr>
          <w:p w14:paraId="7FB50F7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w:t>
            </w:r>
          </w:p>
        </w:tc>
      </w:tr>
      <w:tr w14:paraId="5A25219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394D995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1953" w:type="pct"/>
            <w:tcBorders>
              <w:tl2br w:val="nil"/>
              <w:tr2bl w:val="nil"/>
            </w:tcBorders>
            <w:vAlign w:val="center"/>
          </w:tcPr>
          <w:p w14:paraId="70FFE31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嗅和味</w:t>
            </w:r>
          </w:p>
        </w:tc>
        <w:tc>
          <w:tcPr>
            <w:tcW w:w="1933" w:type="pct"/>
            <w:tcBorders>
              <w:tl2br w:val="nil"/>
              <w:tr2bl w:val="nil"/>
            </w:tcBorders>
            <w:vAlign w:val="center"/>
          </w:tcPr>
          <w:p w14:paraId="23B8A0D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694" w:type="pct"/>
            <w:tcBorders>
              <w:tl2br w:val="nil"/>
              <w:tr2bl w:val="nil"/>
            </w:tcBorders>
            <w:noWrap/>
            <w:vAlign w:val="center"/>
          </w:tcPr>
          <w:p w14:paraId="7CFEE85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无</w:t>
            </w:r>
          </w:p>
        </w:tc>
      </w:tr>
      <w:tr w14:paraId="6274883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5D863D4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1953" w:type="pct"/>
            <w:tcBorders>
              <w:tl2br w:val="nil"/>
              <w:tr2bl w:val="nil"/>
            </w:tcBorders>
            <w:vAlign w:val="center"/>
          </w:tcPr>
          <w:p w14:paraId="01E89E3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浑浊度</w:t>
            </w:r>
          </w:p>
        </w:tc>
        <w:tc>
          <w:tcPr>
            <w:tcW w:w="1933" w:type="pct"/>
            <w:tcBorders>
              <w:tl2br w:val="nil"/>
              <w:tr2bl w:val="nil"/>
            </w:tcBorders>
            <w:vAlign w:val="center"/>
          </w:tcPr>
          <w:p w14:paraId="540A4EE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NTU</w:t>
            </w:r>
          </w:p>
        </w:tc>
        <w:tc>
          <w:tcPr>
            <w:tcW w:w="694" w:type="pct"/>
            <w:tcBorders>
              <w:tl2br w:val="nil"/>
              <w:tr2bl w:val="nil"/>
            </w:tcBorders>
            <w:noWrap/>
            <w:vAlign w:val="center"/>
          </w:tcPr>
          <w:p w14:paraId="2A8243E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r>
      <w:tr w14:paraId="4CEDB0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2B9A1A1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c>
          <w:tcPr>
            <w:tcW w:w="1953" w:type="pct"/>
            <w:tcBorders>
              <w:tl2br w:val="nil"/>
              <w:tr2bl w:val="nil"/>
            </w:tcBorders>
            <w:vAlign w:val="center"/>
          </w:tcPr>
          <w:p w14:paraId="51E6DC9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肉眼可见物</w:t>
            </w:r>
          </w:p>
        </w:tc>
        <w:tc>
          <w:tcPr>
            <w:tcW w:w="1933" w:type="pct"/>
            <w:tcBorders>
              <w:tl2br w:val="nil"/>
              <w:tr2bl w:val="nil"/>
            </w:tcBorders>
            <w:vAlign w:val="center"/>
          </w:tcPr>
          <w:p w14:paraId="20A93B3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694" w:type="pct"/>
            <w:tcBorders>
              <w:tl2br w:val="nil"/>
              <w:tr2bl w:val="nil"/>
            </w:tcBorders>
            <w:noWrap/>
            <w:vAlign w:val="center"/>
          </w:tcPr>
          <w:p w14:paraId="1752575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无</w:t>
            </w:r>
          </w:p>
        </w:tc>
      </w:tr>
      <w:tr w14:paraId="1A02C0A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5587977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w:t>
            </w:r>
          </w:p>
        </w:tc>
        <w:tc>
          <w:tcPr>
            <w:tcW w:w="1953" w:type="pct"/>
            <w:tcBorders>
              <w:tl2br w:val="nil"/>
              <w:tr2bl w:val="nil"/>
            </w:tcBorders>
            <w:vAlign w:val="center"/>
          </w:tcPr>
          <w:p w14:paraId="4DCAD20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总硬度(以CaCO3计)</w:t>
            </w:r>
          </w:p>
        </w:tc>
        <w:tc>
          <w:tcPr>
            <w:tcW w:w="1933" w:type="pct"/>
            <w:tcBorders>
              <w:tl2br w:val="nil"/>
              <w:tr2bl w:val="nil"/>
            </w:tcBorders>
            <w:vAlign w:val="center"/>
          </w:tcPr>
          <w:p w14:paraId="78E72A0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5745560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≤450</w:t>
            </w:r>
          </w:p>
        </w:tc>
      </w:tr>
      <w:tr w14:paraId="003A146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76A6C77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w:t>
            </w:r>
          </w:p>
        </w:tc>
        <w:tc>
          <w:tcPr>
            <w:tcW w:w="1953" w:type="pct"/>
            <w:tcBorders>
              <w:tl2br w:val="nil"/>
              <w:tr2bl w:val="nil"/>
            </w:tcBorders>
            <w:vAlign w:val="center"/>
          </w:tcPr>
          <w:p w14:paraId="77404FB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溶解性总固体</w:t>
            </w:r>
          </w:p>
        </w:tc>
        <w:tc>
          <w:tcPr>
            <w:tcW w:w="1933" w:type="pct"/>
            <w:tcBorders>
              <w:tl2br w:val="nil"/>
              <w:tr2bl w:val="nil"/>
            </w:tcBorders>
            <w:vAlign w:val="center"/>
          </w:tcPr>
          <w:p w14:paraId="7940088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28953C6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≤1000</w:t>
            </w:r>
          </w:p>
        </w:tc>
      </w:tr>
      <w:tr w14:paraId="67FE9AE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4F2D91F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953" w:type="pct"/>
            <w:tcBorders>
              <w:tl2br w:val="nil"/>
              <w:tr2bl w:val="nil"/>
            </w:tcBorders>
            <w:vAlign w:val="center"/>
          </w:tcPr>
          <w:p w14:paraId="2246068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硫酸盐</w:t>
            </w:r>
          </w:p>
        </w:tc>
        <w:tc>
          <w:tcPr>
            <w:tcW w:w="1933" w:type="pct"/>
            <w:tcBorders>
              <w:tl2br w:val="nil"/>
              <w:tr2bl w:val="nil"/>
            </w:tcBorders>
            <w:vAlign w:val="center"/>
          </w:tcPr>
          <w:p w14:paraId="73744D3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4FC231D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≤250</w:t>
            </w:r>
          </w:p>
        </w:tc>
      </w:tr>
      <w:tr w14:paraId="7FD0C3F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2D89B10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w:t>
            </w:r>
          </w:p>
        </w:tc>
        <w:tc>
          <w:tcPr>
            <w:tcW w:w="1953" w:type="pct"/>
            <w:tcBorders>
              <w:tl2br w:val="nil"/>
              <w:tr2bl w:val="nil"/>
            </w:tcBorders>
            <w:vAlign w:val="center"/>
          </w:tcPr>
          <w:p w14:paraId="1658AE2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氯化物</w:t>
            </w:r>
          </w:p>
        </w:tc>
        <w:tc>
          <w:tcPr>
            <w:tcW w:w="1933" w:type="pct"/>
            <w:tcBorders>
              <w:tl2br w:val="nil"/>
              <w:tr2bl w:val="nil"/>
            </w:tcBorders>
            <w:vAlign w:val="center"/>
          </w:tcPr>
          <w:p w14:paraId="631E2E3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17DFCD3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≤250</w:t>
            </w:r>
          </w:p>
        </w:tc>
      </w:tr>
      <w:tr w14:paraId="48A910B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06FBE1A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w:t>
            </w:r>
          </w:p>
        </w:tc>
        <w:tc>
          <w:tcPr>
            <w:tcW w:w="1953" w:type="pct"/>
            <w:tcBorders>
              <w:tl2br w:val="nil"/>
              <w:tr2bl w:val="nil"/>
            </w:tcBorders>
            <w:vAlign w:val="center"/>
          </w:tcPr>
          <w:p w14:paraId="080BCF2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铁</w:t>
            </w:r>
          </w:p>
        </w:tc>
        <w:tc>
          <w:tcPr>
            <w:tcW w:w="1933" w:type="pct"/>
            <w:tcBorders>
              <w:tl2br w:val="nil"/>
              <w:tr2bl w:val="nil"/>
            </w:tcBorders>
            <w:vAlign w:val="center"/>
          </w:tcPr>
          <w:p w14:paraId="4816FA1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34840B0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≤0.3</w:t>
            </w:r>
          </w:p>
        </w:tc>
      </w:tr>
      <w:tr w14:paraId="0BB163F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18F34D9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w:t>
            </w:r>
          </w:p>
        </w:tc>
        <w:tc>
          <w:tcPr>
            <w:tcW w:w="1953" w:type="pct"/>
            <w:tcBorders>
              <w:tl2br w:val="nil"/>
              <w:tr2bl w:val="nil"/>
            </w:tcBorders>
            <w:vAlign w:val="center"/>
          </w:tcPr>
          <w:p w14:paraId="48F57A0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锰</w:t>
            </w:r>
          </w:p>
        </w:tc>
        <w:tc>
          <w:tcPr>
            <w:tcW w:w="1933" w:type="pct"/>
            <w:tcBorders>
              <w:tl2br w:val="nil"/>
              <w:tr2bl w:val="nil"/>
            </w:tcBorders>
            <w:vAlign w:val="center"/>
          </w:tcPr>
          <w:p w14:paraId="0C56E09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7BF1F0D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≤0.10</w:t>
            </w:r>
          </w:p>
        </w:tc>
      </w:tr>
      <w:tr w14:paraId="0D5B38F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2F54B7F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w:t>
            </w:r>
          </w:p>
        </w:tc>
        <w:tc>
          <w:tcPr>
            <w:tcW w:w="1953" w:type="pct"/>
            <w:tcBorders>
              <w:tl2br w:val="nil"/>
              <w:tr2bl w:val="nil"/>
            </w:tcBorders>
            <w:vAlign w:val="center"/>
          </w:tcPr>
          <w:p w14:paraId="6021A81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铜</w:t>
            </w:r>
          </w:p>
        </w:tc>
        <w:tc>
          <w:tcPr>
            <w:tcW w:w="1933" w:type="pct"/>
            <w:tcBorders>
              <w:tl2br w:val="nil"/>
              <w:tr2bl w:val="nil"/>
            </w:tcBorders>
            <w:vAlign w:val="center"/>
          </w:tcPr>
          <w:p w14:paraId="063B3B4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295DC4F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≤1.00</w:t>
            </w:r>
          </w:p>
        </w:tc>
      </w:tr>
      <w:tr w14:paraId="26D21C4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7FA421E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13</w:t>
            </w:r>
          </w:p>
        </w:tc>
        <w:tc>
          <w:tcPr>
            <w:tcW w:w="1953" w:type="pct"/>
            <w:tcBorders>
              <w:tl2br w:val="nil"/>
              <w:tr2bl w:val="nil"/>
            </w:tcBorders>
            <w:vAlign w:val="center"/>
          </w:tcPr>
          <w:p w14:paraId="56B5AF8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锌</w:t>
            </w:r>
          </w:p>
        </w:tc>
        <w:tc>
          <w:tcPr>
            <w:tcW w:w="1933" w:type="pct"/>
            <w:tcBorders>
              <w:tl2br w:val="nil"/>
              <w:tr2bl w:val="nil"/>
            </w:tcBorders>
            <w:vAlign w:val="center"/>
          </w:tcPr>
          <w:p w14:paraId="131AA2D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7FE59D5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≤1.00</w:t>
            </w:r>
          </w:p>
        </w:tc>
      </w:tr>
      <w:tr w14:paraId="144F286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659290A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14</w:t>
            </w:r>
          </w:p>
        </w:tc>
        <w:tc>
          <w:tcPr>
            <w:tcW w:w="1953" w:type="pct"/>
            <w:tcBorders>
              <w:tl2br w:val="nil"/>
              <w:tr2bl w:val="nil"/>
            </w:tcBorders>
            <w:vAlign w:val="center"/>
          </w:tcPr>
          <w:p w14:paraId="42C4227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铝</w:t>
            </w:r>
          </w:p>
        </w:tc>
        <w:tc>
          <w:tcPr>
            <w:tcW w:w="1933" w:type="pct"/>
            <w:tcBorders>
              <w:tl2br w:val="nil"/>
              <w:tr2bl w:val="nil"/>
            </w:tcBorders>
            <w:vAlign w:val="center"/>
          </w:tcPr>
          <w:p w14:paraId="796C351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473D436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≤0.20</w:t>
            </w:r>
          </w:p>
        </w:tc>
      </w:tr>
      <w:tr w14:paraId="547D9FC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3BCCA49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w:t>
            </w:r>
          </w:p>
        </w:tc>
        <w:tc>
          <w:tcPr>
            <w:tcW w:w="1953" w:type="pct"/>
            <w:tcBorders>
              <w:tl2br w:val="nil"/>
              <w:tr2bl w:val="nil"/>
            </w:tcBorders>
            <w:vAlign w:val="center"/>
          </w:tcPr>
          <w:p w14:paraId="34D249A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挥发性酚类（以苯酚计）</w:t>
            </w:r>
          </w:p>
        </w:tc>
        <w:tc>
          <w:tcPr>
            <w:tcW w:w="1933" w:type="pct"/>
            <w:tcBorders>
              <w:tl2br w:val="nil"/>
              <w:tr2bl w:val="nil"/>
            </w:tcBorders>
            <w:vAlign w:val="center"/>
          </w:tcPr>
          <w:p w14:paraId="025FA87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2ACEA43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≤0.002</w:t>
            </w:r>
          </w:p>
        </w:tc>
      </w:tr>
      <w:tr w14:paraId="7BD7124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72686E8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w:t>
            </w:r>
          </w:p>
        </w:tc>
        <w:tc>
          <w:tcPr>
            <w:tcW w:w="1953" w:type="pct"/>
            <w:tcBorders>
              <w:tl2br w:val="nil"/>
              <w:tr2bl w:val="nil"/>
            </w:tcBorders>
            <w:vAlign w:val="center"/>
          </w:tcPr>
          <w:p w14:paraId="2B66642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阴离子表面活性剂</w:t>
            </w:r>
          </w:p>
        </w:tc>
        <w:tc>
          <w:tcPr>
            <w:tcW w:w="1933" w:type="pct"/>
            <w:tcBorders>
              <w:tl2br w:val="nil"/>
              <w:tr2bl w:val="nil"/>
            </w:tcBorders>
            <w:vAlign w:val="center"/>
          </w:tcPr>
          <w:p w14:paraId="121CFDE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7D45DA5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≤0.3</w:t>
            </w:r>
          </w:p>
        </w:tc>
      </w:tr>
      <w:tr w14:paraId="7D7C7D8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04E413D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17</w:t>
            </w:r>
          </w:p>
        </w:tc>
        <w:tc>
          <w:tcPr>
            <w:tcW w:w="1953" w:type="pct"/>
            <w:tcBorders>
              <w:tl2br w:val="nil"/>
              <w:tr2bl w:val="nil"/>
            </w:tcBorders>
            <w:vAlign w:val="center"/>
          </w:tcPr>
          <w:p w14:paraId="3CD9086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耗氧量（COD</w:t>
            </w:r>
            <w:r>
              <w:rPr>
                <w:rFonts w:hint="default" w:ascii="Times New Roman" w:hAnsi="Times New Roman" w:cs="Times New Roman"/>
                <w:color w:val="000000" w:themeColor="text1"/>
                <w:sz w:val="21"/>
                <w:szCs w:val="21"/>
                <w:vertAlign w:val="subscript"/>
                <w14:textFill>
                  <w14:solidFill>
                    <w14:schemeClr w14:val="tx1"/>
                  </w14:solidFill>
                </w14:textFill>
              </w:rPr>
              <w:t>Mn</w:t>
            </w:r>
            <w:r>
              <w:rPr>
                <w:rFonts w:hint="default" w:ascii="Times New Roman" w:hAnsi="Times New Roman" w:cs="Times New Roman"/>
                <w:color w:val="000000" w:themeColor="text1"/>
                <w:sz w:val="21"/>
                <w:szCs w:val="21"/>
                <w14:textFill>
                  <w14:solidFill>
                    <w14:schemeClr w14:val="tx1"/>
                  </w14:solidFill>
                </w14:textFill>
              </w:rPr>
              <w:t>法，以O</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计）</w:t>
            </w:r>
          </w:p>
        </w:tc>
        <w:tc>
          <w:tcPr>
            <w:tcW w:w="1933" w:type="pct"/>
            <w:tcBorders>
              <w:tl2br w:val="nil"/>
              <w:tr2bl w:val="nil"/>
            </w:tcBorders>
            <w:vAlign w:val="center"/>
          </w:tcPr>
          <w:p w14:paraId="6D250CB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4165E7D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≤3.0</w:t>
            </w:r>
          </w:p>
        </w:tc>
      </w:tr>
      <w:tr w14:paraId="4973F4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2BE843A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18</w:t>
            </w:r>
          </w:p>
        </w:tc>
        <w:tc>
          <w:tcPr>
            <w:tcW w:w="1953" w:type="pct"/>
            <w:tcBorders>
              <w:tl2br w:val="nil"/>
              <w:tr2bl w:val="nil"/>
            </w:tcBorders>
            <w:vAlign w:val="center"/>
          </w:tcPr>
          <w:p w14:paraId="08789D6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氨氮（以N计）</w:t>
            </w:r>
          </w:p>
        </w:tc>
        <w:tc>
          <w:tcPr>
            <w:tcW w:w="1933" w:type="pct"/>
            <w:tcBorders>
              <w:tl2br w:val="nil"/>
              <w:tr2bl w:val="nil"/>
            </w:tcBorders>
            <w:vAlign w:val="center"/>
          </w:tcPr>
          <w:p w14:paraId="163B980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0743A74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≤0.50</w:t>
            </w:r>
          </w:p>
        </w:tc>
      </w:tr>
      <w:tr w14:paraId="29E9F68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008713A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19</w:t>
            </w:r>
          </w:p>
        </w:tc>
        <w:tc>
          <w:tcPr>
            <w:tcW w:w="1953" w:type="pct"/>
            <w:tcBorders>
              <w:tl2br w:val="nil"/>
              <w:tr2bl w:val="nil"/>
            </w:tcBorders>
            <w:vAlign w:val="center"/>
          </w:tcPr>
          <w:p w14:paraId="590A411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硫化物</w:t>
            </w:r>
          </w:p>
        </w:tc>
        <w:tc>
          <w:tcPr>
            <w:tcW w:w="1933" w:type="pct"/>
            <w:tcBorders>
              <w:tl2br w:val="nil"/>
              <w:tr2bl w:val="nil"/>
            </w:tcBorders>
            <w:vAlign w:val="center"/>
          </w:tcPr>
          <w:p w14:paraId="7970E60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vAlign w:val="center"/>
          </w:tcPr>
          <w:p w14:paraId="7B348BF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≤0.02</w:t>
            </w:r>
          </w:p>
        </w:tc>
      </w:tr>
      <w:tr w14:paraId="1B1EA0D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0FA30EE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p>
        </w:tc>
        <w:tc>
          <w:tcPr>
            <w:tcW w:w="1953" w:type="pct"/>
            <w:tcBorders>
              <w:tl2br w:val="nil"/>
              <w:tr2bl w:val="nil"/>
            </w:tcBorders>
            <w:vAlign w:val="center"/>
          </w:tcPr>
          <w:p w14:paraId="7D80864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钠</w:t>
            </w:r>
          </w:p>
        </w:tc>
        <w:tc>
          <w:tcPr>
            <w:tcW w:w="1933" w:type="pct"/>
            <w:tcBorders>
              <w:tl2br w:val="nil"/>
              <w:tr2bl w:val="nil"/>
            </w:tcBorders>
            <w:vAlign w:val="center"/>
          </w:tcPr>
          <w:p w14:paraId="46ACD02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vAlign w:val="center"/>
          </w:tcPr>
          <w:p w14:paraId="6EBB1B9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≤200</w:t>
            </w:r>
          </w:p>
        </w:tc>
      </w:tr>
      <w:tr w14:paraId="6CBBA23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l2br w:val="nil"/>
              <w:tr2bl w:val="nil"/>
            </w:tcBorders>
            <w:vAlign w:val="center"/>
          </w:tcPr>
          <w:p w14:paraId="010D0D1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微生物指标</w:t>
            </w:r>
          </w:p>
        </w:tc>
      </w:tr>
      <w:tr w14:paraId="2B0536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754AEBA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21</w:t>
            </w:r>
          </w:p>
        </w:tc>
        <w:tc>
          <w:tcPr>
            <w:tcW w:w="1953" w:type="pct"/>
            <w:tcBorders>
              <w:tl2br w:val="nil"/>
              <w:tr2bl w:val="nil"/>
            </w:tcBorders>
            <w:vAlign w:val="center"/>
          </w:tcPr>
          <w:p w14:paraId="56402D2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总大肠菌群</w:t>
            </w:r>
          </w:p>
        </w:tc>
        <w:tc>
          <w:tcPr>
            <w:tcW w:w="1933" w:type="pct"/>
            <w:tcBorders>
              <w:tl2br w:val="nil"/>
              <w:tr2bl w:val="nil"/>
            </w:tcBorders>
            <w:vAlign w:val="center"/>
          </w:tcPr>
          <w:p w14:paraId="771215C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MPNb/100mL或CFU°/100mL</w:t>
            </w:r>
          </w:p>
        </w:tc>
        <w:tc>
          <w:tcPr>
            <w:tcW w:w="694" w:type="pct"/>
            <w:tcBorders>
              <w:tl2br w:val="nil"/>
              <w:tr2bl w:val="nil"/>
            </w:tcBorders>
            <w:vAlign w:val="center"/>
          </w:tcPr>
          <w:p w14:paraId="0BD9510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≤3.0</w:t>
            </w:r>
          </w:p>
        </w:tc>
      </w:tr>
      <w:tr w14:paraId="19F7671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0203143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22</w:t>
            </w:r>
          </w:p>
        </w:tc>
        <w:tc>
          <w:tcPr>
            <w:tcW w:w="1953" w:type="pct"/>
            <w:tcBorders>
              <w:tl2br w:val="nil"/>
              <w:tr2bl w:val="nil"/>
            </w:tcBorders>
            <w:vAlign w:val="center"/>
          </w:tcPr>
          <w:p w14:paraId="4B2BE6B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菌落总数</w:t>
            </w:r>
          </w:p>
        </w:tc>
        <w:tc>
          <w:tcPr>
            <w:tcW w:w="1933" w:type="pct"/>
            <w:tcBorders>
              <w:tl2br w:val="nil"/>
              <w:tr2bl w:val="nil"/>
            </w:tcBorders>
            <w:vAlign w:val="center"/>
          </w:tcPr>
          <w:p w14:paraId="6E3FA93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CFU/mL</w:t>
            </w:r>
          </w:p>
        </w:tc>
        <w:tc>
          <w:tcPr>
            <w:tcW w:w="694" w:type="pct"/>
            <w:tcBorders>
              <w:tl2br w:val="nil"/>
              <w:tr2bl w:val="nil"/>
            </w:tcBorders>
            <w:vAlign w:val="center"/>
          </w:tcPr>
          <w:p w14:paraId="1B4AA70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≤100</w:t>
            </w:r>
          </w:p>
        </w:tc>
      </w:tr>
      <w:tr w14:paraId="2C53BCF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l2br w:val="nil"/>
              <w:tr2bl w:val="nil"/>
            </w:tcBorders>
            <w:vAlign w:val="center"/>
          </w:tcPr>
          <w:p w14:paraId="433A3D7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毒理学指标</w:t>
            </w:r>
          </w:p>
        </w:tc>
      </w:tr>
      <w:tr w14:paraId="2FAF90E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238624C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23</w:t>
            </w:r>
          </w:p>
        </w:tc>
        <w:tc>
          <w:tcPr>
            <w:tcW w:w="1953" w:type="pct"/>
            <w:tcBorders>
              <w:tl2br w:val="nil"/>
              <w:tr2bl w:val="nil"/>
            </w:tcBorders>
            <w:vAlign w:val="center"/>
          </w:tcPr>
          <w:p w14:paraId="6C3EC61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亚硝酸盐氮（以N计）</w:t>
            </w:r>
          </w:p>
        </w:tc>
        <w:tc>
          <w:tcPr>
            <w:tcW w:w="1933" w:type="pct"/>
            <w:tcBorders>
              <w:tl2br w:val="nil"/>
              <w:tr2bl w:val="nil"/>
            </w:tcBorders>
            <w:vAlign w:val="center"/>
          </w:tcPr>
          <w:p w14:paraId="3F41E5E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vAlign w:val="center"/>
          </w:tcPr>
          <w:p w14:paraId="5E1D937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≤1.00</w:t>
            </w:r>
          </w:p>
        </w:tc>
      </w:tr>
      <w:tr w14:paraId="2F9AF75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7D55CE3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w:t>
            </w:r>
          </w:p>
        </w:tc>
        <w:tc>
          <w:tcPr>
            <w:tcW w:w="1953" w:type="pct"/>
            <w:tcBorders>
              <w:tl2br w:val="nil"/>
              <w:tr2bl w:val="nil"/>
            </w:tcBorders>
            <w:vAlign w:val="center"/>
          </w:tcPr>
          <w:p w14:paraId="5FD61DC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硝酸盐氮（以N计）</w:t>
            </w:r>
          </w:p>
        </w:tc>
        <w:tc>
          <w:tcPr>
            <w:tcW w:w="1933" w:type="pct"/>
            <w:tcBorders>
              <w:tl2br w:val="nil"/>
              <w:tr2bl w:val="nil"/>
            </w:tcBorders>
            <w:vAlign w:val="center"/>
          </w:tcPr>
          <w:p w14:paraId="3442364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vAlign w:val="center"/>
          </w:tcPr>
          <w:p w14:paraId="6B296F2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≤20.0</w:t>
            </w:r>
          </w:p>
        </w:tc>
      </w:tr>
      <w:tr w14:paraId="16761EA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670F0D3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25</w:t>
            </w:r>
          </w:p>
        </w:tc>
        <w:tc>
          <w:tcPr>
            <w:tcW w:w="1953" w:type="pct"/>
            <w:tcBorders>
              <w:tl2br w:val="nil"/>
              <w:tr2bl w:val="nil"/>
            </w:tcBorders>
            <w:vAlign w:val="center"/>
          </w:tcPr>
          <w:p w14:paraId="477B87B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氰化物</w:t>
            </w:r>
          </w:p>
        </w:tc>
        <w:tc>
          <w:tcPr>
            <w:tcW w:w="1933" w:type="pct"/>
            <w:tcBorders>
              <w:tl2br w:val="nil"/>
              <w:tr2bl w:val="nil"/>
            </w:tcBorders>
            <w:vAlign w:val="center"/>
          </w:tcPr>
          <w:p w14:paraId="69127E4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vAlign w:val="center"/>
          </w:tcPr>
          <w:p w14:paraId="05833AD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≤0.05</w:t>
            </w:r>
          </w:p>
        </w:tc>
      </w:tr>
      <w:tr w14:paraId="574670F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4C82DBD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26</w:t>
            </w:r>
          </w:p>
        </w:tc>
        <w:tc>
          <w:tcPr>
            <w:tcW w:w="1953" w:type="pct"/>
            <w:tcBorders>
              <w:tl2br w:val="nil"/>
              <w:tr2bl w:val="nil"/>
            </w:tcBorders>
            <w:vAlign w:val="center"/>
          </w:tcPr>
          <w:p w14:paraId="5339760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氟化物</w:t>
            </w:r>
          </w:p>
        </w:tc>
        <w:tc>
          <w:tcPr>
            <w:tcW w:w="1933" w:type="pct"/>
            <w:tcBorders>
              <w:tl2br w:val="nil"/>
              <w:tr2bl w:val="nil"/>
            </w:tcBorders>
            <w:vAlign w:val="center"/>
          </w:tcPr>
          <w:p w14:paraId="5E7245C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60EBF5E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w:t>
            </w:r>
          </w:p>
        </w:tc>
      </w:tr>
      <w:tr w14:paraId="769F15A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4469AFB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27</w:t>
            </w:r>
          </w:p>
        </w:tc>
        <w:tc>
          <w:tcPr>
            <w:tcW w:w="1953" w:type="pct"/>
            <w:tcBorders>
              <w:tl2br w:val="nil"/>
              <w:tr2bl w:val="nil"/>
            </w:tcBorders>
            <w:vAlign w:val="center"/>
          </w:tcPr>
          <w:p w14:paraId="2585F6F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汞</w:t>
            </w:r>
          </w:p>
        </w:tc>
        <w:tc>
          <w:tcPr>
            <w:tcW w:w="1933" w:type="pct"/>
            <w:tcBorders>
              <w:tl2br w:val="nil"/>
              <w:tr2bl w:val="nil"/>
            </w:tcBorders>
            <w:vAlign w:val="center"/>
          </w:tcPr>
          <w:p w14:paraId="1F60172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4465209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≤0.001</w:t>
            </w:r>
          </w:p>
        </w:tc>
      </w:tr>
      <w:tr w14:paraId="510D762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500E32E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28</w:t>
            </w:r>
          </w:p>
        </w:tc>
        <w:tc>
          <w:tcPr>
            <w:tcW w:w="1953" w:type="pct"/>
            <w:tcBorders>
              <w:tl2br w:val="nil"/>
              <w:tr2bl w:val="nil"/>
            </w:tcBorders>
            <w:vAlign w:val="center"/>
          </w:tcPr>
          <w:p w14:paraId="4BC3D1B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砷</w:t>
            </w:r>
          </w:p>
        </w:tc>
        <w:tc>
          <w:tcPr>
            <w:tcW w:w="1933" w:type="pct"/>
            <w:tcBorders>
              <w:tl2br w:val="nil"/>
              <w:tr2bl w:val="nil"/>
            </w:tcBorders>
            <w:vAlign w:val="center"/>
          </w:tcPr>
          <w:p w14:paraId="32510E6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6AA1823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≤0.01</w:t>
            </w:r>
          </w:p>
        </w:tc>
      </w:tr>
      <w:tr w14:paraId="473FAE0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0C7AD83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29</w:t>
            </w:r>
          </w:p>
        </w:tc>
        <w:tc>
          <w:tcPr>
            <w:tcW w:w="1953" w:type="pct"/>
            <w:tcBorders>
              <w:tl2br w:val="nil"/>
              <w:tr2bl w:val="nil"/>
            </w:tcBorders>
            <w:vAlign w:val="center"/>
          </w:tcPr>
          <w:p w14:paraId="5FC671B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硒</w:t>
            </w:r>
          </w:p>
        </w:tc>
        <w:tc>
          <w:tcPr>
            <w:tcW w:w="1933" w:type="pct"/>
            <w:tcBorders>
              <w:tl2br w:val="nil"/>
              <w:tr2bl w:val="nil"/>
            </w:tcBorders>
            <w:vAlign w:val="center"/>
          </w:tcPr>
          <w:p w14:paraId="5B05D70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0A179F1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≤0.01</w:t>
            </w:r>
          </w:p>
        </w:tc>
      </w:tr>
      <w:tr w14:paraId="250239D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7104B0A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30</w:t>
            </w:r>
          </w:p>
        </w:tc>
        <w:tc>
          <w:tcPr>
            <w:tcW w:w="1953" w:type="pct"/>
            <w:tcBorders>
              <w:tl2br w:val="nil"/>
              <w:tr2bl w:val="nil"/>
            </w:tcBorders>
            <w:vAlign w:val="center"/>
          </w:tcPr>
          <w:p w14:paraId="5BFA4D5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镉</w:t>
            </w:r>
          </w:p>
        </w:tc>
        <w:tc>
          <w:tcPr>
            <w:tcW w:w="1933" w:type="pct"/>
            <w:tcBorders>
              <w:tl2br w:val="nil"/>
              <w:tr2bl w:val="nil"/>
            </w:tcBorders>
            <w:vAlign w:val="center"/>
          </w:tcPr>
          <w:p w14:paraId="2C75C58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3D273AA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≤0.005</w:t>
            </w:r>
          </w:p>
        </w:tc>
      </w:tr>
      <w:tr w14:paraId="20E5BE4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6171BBC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31</w:t>
            </w:r>
          </w:p>
        </w:tc>
        <w:tc>
          <w:tcPr>
            <w:tcW w:w="1953" w:type="pct"/>
            <w:tcBorders>
              <w:tl2br w:val="nil"/>
              <w:tr2bl w:val="nil"/>
            </w:tcBorders>
            <w:vAlign w:val="center"/>
          </w:tcPr>
          <w:p w14:paraId="633DB6D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铅</w:t>
            </w:r>
          </w:p>
        </w:tc>
        <w:tc>
          <w:tcPr>
            <w:tcW w:w="1933" w:type="pct"/>
            <w:tcBorders>
              <w:tl2br w:val="nil"/>
              <w:tr2bl w:val="nil"/>
            </w:tcBorders>
            <w:vAlign w:val="center"/>
          </w:tcPr>
          <w:p w14:paraId="519CC92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06DE801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≤0.01</w:t>
            </w:r>
          </w:p>
        </w:tc>
      </w:tr>
      <w:tr w14:paraId="15C4262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28C1E9F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32</w:t>
            </w:r>
          </w:p>
        </w:tc>
        <w:tc>
          <w:tcPr>
            <w:tcW w:w="1953" w:type="pct"/>
            <w:tcBorders>
              <w:tl2br w:val="nil"/>
              <w:tr2bl w:val="nil"/>
            </w:tcBorders>
            <w:vAlign w:val="center"/>
          </w:tcPr>
          <w:p w14:paraId="323A3ED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铬（六价）</w:t>
            </w:r>
          </w:p>
        </w:tc>
        <w:tc>
          <w:tcPr>
            <w:tcW w:w="1933" w:type="pct"/>
            <w:tcBorders>
              <w:tl2br w:val="nil"/>
              <w:tr2bl w:val="nil"/>
            </w:tcBorders>
            <w:vAlign w:val="center"/>
          </w:tcPr>
          <w:p w14:paraId="7F8A87B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008552B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≤0.05</w:t>
            </w:r>
          </w:p>
        </w:tc>
      </w:tr>
      <w:tr w14:paraId="7A1CB55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4"/>
            <w:tcBorders>
              <w:tl2br w:val="nil"/>
              <w:tr2bl w:val="nil"/>
            </w:tcBorders>
            <w:vAlign w:val="center"/>
          </w:tcPr>
          <w:p w14:paraId="20F88BE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非常规指标</w:t>
            </w:r>
          </w:p>
        </w:tc>
      </w:tr>
      <w:tr w14:paraId="01FDC73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3A65893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33</w:t>
            </w:r>
          </w:p>
        </w:tc>
        <w:tc>
          <w:tcPr>
            <w:tcW w:w="1953" w:type="pct"/>
            <w:tcBorders>
              <w:tl2br w:val="nil"/>
              <w:tr2bl w:val="nil"/>
            </w:tcBorders>
            <w:vAlign w:val="center"/>
          </w:tcPr>
          <w:p w14:paraId="644D9A2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镍</w:t>
            </w:r>
          </w:p>
        </w:tc>
        <w:tc>
          <w:tcPr>
            <w:tcW w:w="1933" w:type="pct"/>
            <w:tcBorders>
              <w:tl2br w:val="nil"/>
              <w:tr2bl w:val="nil"/>
            </w:tcBorders>
            <w:vAlign w:val="center"/>
          </w:tcPr>
          <w:p w14:paraId="101EE91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0CDFD51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≤0.02</w:t>
            </w:r>
          </w:p>
        </w:tc>
      </w:tr>
      <w:tr w14:paraId="621652C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7FD155B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34</w:t>
            </w:r>
          </w:p>
        </w:tc>
        <w:tc>
          <w:tcPr>
            <w:tcW w:w="1953" w:type="pct"/>
            <w:tcBorders>
              <w:tl2br w:val="nil"/>
              <w:tr2bl w:val="nil"/>
            </w:tcBorders>
            <w:vAlign w:val="center"/>
          </w:tcPr>
          <w:p w14:paraId="1CD300B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钴</w:t>
            </w:r>
          </w:p>
        </w:tc>
        <w:tc>
          <w:tcPr>
            <w:tcW w:w="1933" w:type="pct"/>
            <w:tcBorders>
              <w:tl2br w:val="nil"/>
              <w:tr2bl w:val="nil"/>
            </w:tcBorders>
            <w:vAlign w:val="center"/>
          </w:tcPr>
          <w:p w14:paraId="65CE465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356E433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≤0.05</w:t>
            </w:r>
          </w:p>
        </w:tc>
      </w:tr>
      <w:tr w14:paraId="5C78CEC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0" w:type="pct"/>
            <w:tcBorders>
              <w:tl2br w:val="nil"/>
              <w:tr2bl w:val="nil"/>
            </w:tcBorders>
            <w:vAlign w:val="center"/>
          </w:tcPr>
          <w:p w14:paraId="0D71768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35</w:t>
            </w:r>
          </w:p>
        </w:tc>
        <w:tc>
          <w:tcPr>
            <w:tcW w:w="1953" w:type="pct"/>
            <w:tcBorders>
              <w:tl2br w:val="nil"/>
              <w:tr2bl w:val="nil"/>
            </w:tcBorders>
            <w:vAlign w:val="center"/>
          </w:tcPr>
          <w:p w14:paraId="54DDE12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钡</w:t>
            </w:r>
          </w:p>
        </w:tc>
        <w:tc>
          <w:tcPr>
            <w:tcW w:w="1933" w:type="pct"/>
            <w:tcBorders>
              <w:tl2br w:val="nil"/>
              <w:tr2bl w:val="nil"/>
            </w:tcBorders>
            <w:vAlign w:val="center"/>
          </w:tcPr>
          <w:p w14:paraId="5F137E8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mg/L</w:t>
            </w:r>
          </w:p>
        </w:tc>
        <w:tc>
          <w:tcPr>
            <w:tcW w:w="694" w:type="pct"/>
            <w:tcBorders>
              <w:tl2br w:val="nil"/>
              <w:tr2bl w:val="nil"/>
            </w:tcBorders>
            <w:noWrap/>
            <w:vAlign w:val="center"/>
          </w:tcPr>
          <w:p w14:paraId="09E976A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≤0.70</w:t>
            </w:r>
          </w:p>
        </w:tc>
      </w:tr>
    </w:tbl>
    <w:p w14:paraId="21A2D09D">
      <w:pPr>
        <w:pStyle w:val="6"/>
        <w:spacing w:before="120" w:beforeLines="50"/>
        <w:rPr>
          <w:rFonts w:hint="default" w:ascii="Times New Roman" w:hAnsi="Times New Roman" w:cs="Times New Roman"/>
        </w:rPr>
      </w:pPr>
      <w:r>
        <w:rPr>
          <w:rFonts w:hint="default" w:ascii="Times New Roman" w:hAnsi="Times New Roman" w:cs="Times New Roman"/>
        </w:rPr>
        <w:t>（3）声环境质量标准</w:t>
      </w:r>
    </w:p>
    <w:p w14:paraId="7E29E2B6">
      <w:pPr>
        <w:pStyle w:val="6"/>
        <w:rPr>
          <w:rFonts w:hint="default" w:ascii="Times New Roman" w:hAnsi="Times New Roman" w:cs="Times New Roman"/>
        </w:rPr>
      </w:pPr>
      <w:r>
        <w:rPr>
          <w:rFonts w:hint="default" w:ascii="Times New Roman" w:hAnsi="Times New Roman" w:cs="Times New Roman"/>
        </w:rPr>
        <w:t>声环境质量执行《声环境质量标准》（</w:t>
      </w:r>
      <w:r>
        <w:rPr>
          <w:rFonts w:hint="default" w:ascii="Times New Roman" w:hAnsi="Times New Roman" w:eastAsia="Times New Roman" w:cs="Times New Roman"/>
          <w:spacing w:val="-1"/>
        </w:rPr>
        <w:t>GB3096-2008</w:t>
      </w:r>
      <w:r>
        <w:rPr>
          <w:rFonts w:hint="default" w:ascii="Times New Roman" w:hAnsi="Times New Roman" w:cs="Times New Roman"/>
        </w:rPr>
        <w:t>）</w:t>
      </w:r>
      <w:r>
        <w:rPr>
          <w:rFonts w:hint="default" w:ascii="Times New Roman" w:hAnsi="Times New Roman" w:cs="Times New Roman" w:eastAsiaTheme="minorEastAsia"/>
          <w:spacing w:val="-1"/>
        </w:rPr>
        <w:t>3</w:t>
      </w:r>
      <w:r>
        <w:rPr>
          <w:rFonts w:hint="default" w:ascii="Times New Roman" w:hAnsi="Times New Roman" w:cs="Times New Roman"/>
          <w:spacing w:val="-1"/>
        </w:rPr>
        <w:t>类标准，即昼间</w:t>
      </w:r>
      <w:r>
        <w:rPr>
          <w:rFonts w:hint="default" w:ascii="Times New Roman" w:hAnsi="Times New Roman" w:eastAsia="Times New Roman" w:cs="Times New Roman"/>
          <w:spacing w:val="-1"/>
        </w:rPr>
        <w:t>6</w:t>
      </w:r>
      <w:r>
        <w:rPr>
          <w:rFonts w:hint="default" w:ascii="Times New Roman" w:hAnsi="Times New Roman" w:cs="Times New Roman" w:eastAsiaTheme="minorEastAsia"/>
          <w:spacing w:val="-1"/>
        </w:rPr>
        <w:t>5</w:t>
      </w:r>
      <w:r>
        <w:rPr>
          <w:rFonts w:hint="default" w:ascii="Times New Roman" w:hAnsi="Times New Roman" w:eastAsia="Times New Roman" w:cs="Times New Roman"/>
          <w:spacing w:val="-1"/>
        </w:rPr>
        <w:t>dB</w:t>
      </w:r>
      <w:r>
        <w:rPr>
          <w:rFonts w:hint="default" w:ascii="Times New Roman" w:hAnsi="Times New Roman" w:cs="Times New Roman"/>
          <w:spacing w:val="-1"/>
        </w:rPr>
        <w:t>（A），夜间</w:t>
      </w:r>
      <w:r>
        <w:rPr>
          <w:rFonts w:hint="default" w:ascii="Times New Roman" w:hAnsi="Times New Roman" w:eastAsia="Times New Roman" w:cs="Times New Roman"/>
          <w:spacing w:val="-1"/>
        </w:rPr>
        <w:t>5</w:t>
      </w:r>
      <w:r>
        <w:rPr>
          <w:rFonts w:hint="default" w:ascii="Times New Roman" w:hAnsi="Times New Roman" w:cs="Times New Roman" w:eastAsiaTheme="minorEastAsia"/>
          <w:spacing w:val="-1"/>
        </w:rPr>
        <w:t>5</w:t>
      </w:r>
      <w:r>
        <w:rPr>
          <w:rFonts w:hint="default" w:ascii="Times New Roman" w:hAnsi="Times New Roman" w:eastAsia="Times New Roman" w:cs="Times New Roman"/>
          <w:spacing w:val="-1"/>
        </w:rPr>
        <w:t>dB</w:t>
      </w:r>
      <w:r>
        <w:rPr>
          <w:rFonts w:hint="default" w:ascii="Times New Roman" w:hAnsi="Times New Roman" w:cs="Times New Roman"/>
          <w:spacing w:val="-1"/>
        </w:rPr>
        <w:t>（A）。</w:t>
      </w:r>
    </w:p>
    <w:p w14:paraId="27EB4B7E">
      <w:pPr>
        <w:pStyle w:val="6"/>
        <w:rPr>
          <w:rFonts w:hint="default" w:ascii="Times New Roman" w:hAnsi="Times New Roman" w:cs="Times New Roman"/>
        </w:rPr>
      </w:pPr>
      <w:r>
        <w:rPr>
          <w:rFonts w:hint="default" w:ascii="Times New Roman" w:hAnsi="Times New Roman" w:cs="Times New Roman"/>
        </w:rPr>
        <w:t>（4）土壤环境质量标准</w:t>
      </w:r>
    </w:p>
    <w:p w14:paraId="08BBDF7E">
      <w:pPr>
        <w:pStyle w:val="6"/>
        <w:rPr>
          <w:rFonts w:hint="default" w:ascii="Times New Roman" w:hAnsi="Times New Roman" w:cs="Times New Roman"/>
          <w:highlight w:val="yellow"/>
        </w:rPr>
      </w:pPr>
      <w:r>
        <w:rPr>
          <w:rFonts w:hint="default" w:ascii="Times New Roman" w:hAnsi="Times New Roman" w:cs="Times New Roman"/>
        </w:rPr>
        <w:t>本项目厂区内用地类别为工业用地，</w:t>
      </w:r>
      <w:r>
        <w:rPr>
          <w:rFonts w:hint="default" w:ascii="Times New Roman" w:hAnsi="Times New Roman" w:cs="Times New Roman"/>
          <w:highlight w:val="none"/>
          <w:lang w:val="en-US" w:eastAsia="zh-CN"/>
        </w:rPr>
        <w:t>占地范围内</w:t>
      </w:r>
      <w:r>
        <w:rPr>
          <w:rFonts w:hint="default" w:ascii="Times New Roman" w:hAnsi="Times New Roman" w:eastAsia="宋体" w:cs="Times New Roman"/>
          <w:highlight w:val="none"/>
        </w:rPr>
        <w:t>执行《土壤环境质量</w:t>
      </w:r>
      <w:r>
        <w:rPr>
          <w:rFonts w:hint="default" w:ascii="Times New Roman" w:hAnsi="Times New Roman" w:cs="Times New Roman"/>
          <w:highlight w:val="none"/>
          <w:lang w:val="en-US" w:eastAsia="zh-CN"/>
        </w:rPr>
        <w:t xml:space="preserve"> </w:t>
      </w:r>
      <w:r>
        <w:rPr>
          <w:rFonts w:hint="default" w:ascii="Times New Roman" w:hAnsi="Times New Roman" w:eastAsia="宋体" w:cs="Times New Roman"/>
          <w:highlight w:val="none"/>
        </w:rPr>
        <w:t>建设用地土壤污染风险管控标准》（试行）（GB36600</w:t>
      </w:r>
      <w:r>
        <w:rPr>
          <w:rFonts w:hint="default" w:ascii="Times New Roman" w:hAnsi="Times New Roman" w:eastAsia="宋体" w:cs="Times New Roman"/>
          <w:highlight w:val="none"/>
          <w:lang w:val="en-US" w:eastAsia="zh-CN"/>
        </w:rPr>
        <w:t>-</w:t>
      </w:r>
      <w:r>
        <w:rPr>
          <w:rFonts w:hint="default" w:ascii="Times New Roman" w:hAnsi="Times New Roman" w:eastAsia="宋体" w:cs="Times New Roman"/>
          <w:highlight w:val="none"/>
        </w:rPr>
        <w:t>2018）</w:t>
      </w:r>
      <w:r>
        <w:rPr>
          <w:rFonts w:hint="default" w:ascii="Times New Roman" w:hAnsi="Times New Roman" w:cs="Times New Roman"/>
          <w:highlight w:val="none"/>
          <w:lang w:eastAsia="zh-CN"/>
        </w:rPr>
        <w:t>，</w:t>
      </w:r>
      <w:r>
        <w:rPr>
          <w:rFonts w:hint="default" w:ascii="Times New Roman" w:hAnsi="Times New Roman" w:cs="Times New Roman"/>
          <w:spacing w:val="-1"/>
          <w:highlight w:val="none"/>
        </w:rPr>
        <w:t>见</w:t>
      </w:r>
      <w:r>
        <w:rPr>
          <w:rFonts w:hint="default" w:ascii="Times New Roman" w:hAnsi="Times New Roman" w:cs="Times New Roman"/>
          <w:spacing w:val="-1"/>
          <w:highlight w:val="none"/>
        </w:rPr>
        <w:fldChar w:fldCharType="begin"/>
      </w:r>
      <w:r>
        <w:rPr>
          <w:rFonts w:hint="default" w:ascii="Times New Roman" w:hAnsi="Times New Roman" w:cs="Times New Roman"/>
          <w:spacing w:val="-1"/>
          <w:highlight w:val="none"/>
        </w:rPr>
        <w:instrText xml:space="preserve"> REF _Ref7346476 \h  \* MERGEFORMAT </w:instrText>
      </w:r>
      <w:r>
        <w:rPr>
          <w:rFonts w:hint="default" w:ascii="Times New Roman" w:hAnsi="Times New Roman" w:cs="Times New Roman"/>
          <w:spacing w:val="-1"/>
          <w:highlight w:val="none"/>
        </w:rPr>
        <w:fldChar w:fldCharType="separate"/>
      </w:r>
      <w:r>
        <w:rPr>
          <w:rFonts w:hint="default" w:ascii="Times New Roman" w:hAnsi="Times New Roman" w:cs="Times New Roman"/>
          <w:highlight w:val="none"/>
        </w:rPr>
        <w:t>表2.4</w:t>
      </w:r>
      <w:r>
        <w:rPr>
          <w:rFonts w:hint="default" w:ascii="Times New Roman" w:hAnsi="Times New Roman" w:cs="Times New Roman"/>
          <w:highlight w:val="none"/>
        </w:rPr>
        <w:noBreakHyphen/>
      </w:r>
      <w:r>
        <w:rPr>
          <w:rFonts w:hint="default" w:ascii="Times New Roman" w:hAnsi="Times New Roman" w:cs="Times New Roman"/>
          <w:highlight w:val="none"/>
          <w:lang w:val="en-US" w:eastAsia="zh-CN"/>
        </w:rPr>
        <w:t>3</w:t>
      </w:r>
      <w:r>
        <w:rPr>
          <w:rFonts w:hint="default" w:ascii="Times New Roman" w:hAnsi="Times New Roman" w:cs="Times New Roman"/>
          <w:spacing w:val="-1"/>
          <w:highlight w:val="none"/>
        </w:rPr>
        <w:fldChar w:fldCharType="end"/>
      </w:r>
      <w:r>
        <w:rPr>
          <w:rFonts w:hint="default" w:ascii="Times New Roman" w:hAnsi="Times New Roman" w:cs="Times New Roman"/>
          <w:spacing w:val="-1"/>
          <w:highlight w:val="none"/>
        </w:rPr>
        <w:t>。</w:t>
      </w:r>
    </w:p>
    <w:p w14:paraId="2A799986">
      <w:pPr>
        <w:pStyle w:val="203"/>
        <w:keepNext w:val="0"/>
        <w:keepLines w:val="0"/>
        <w:pageBreakBefore w:val="0"/>
        <w:widowControl w:val="0"/>
        <w:kinsoku/>
        <w:wordWrap/>
        <w:overflowPunct/>
        <w:topLinePunct w:val="0"/>
        <w:autoSpaceDE/>
        <w:autoSpaceDN/>
        <w:bidi w:val="0"/>
        <w:adjustRightInd w:val="0"/>
        <w:snapToGrid w:val="0"/>
        <w:spacing w:before="0" w:beforeLines="0"/>
        <w:jc w:val="right"/>
        <w:textAlignment w:val="auto"/>
        <w:rPr>
          <w:rFonts w:hint="default" w:ascii="Times New Roman" w:hAnsi="Times New Roman" w:cs="Times New Roman"/>
          <w:b/>
          <w:bCs/>
        </w:rPr>
      </w:pPr>
      <w:bookmarkStart w:id="46" w:name="_Ref7346476"/>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2.4</w:t>
      </w:r>
      <w:r>
        <w:rPr>
          <w:rFonts w:hint="default" w:ascii="Times New Roman" w:hAnsi="Times New Roman" w:cs="Times New Roman"/>
          <w:b/>
          <w:bCs/>
        </w:rPr>
        <w:fldChar w:fldCharType="end"/>
      </w:r>
      <w:bookmarkEnd w:id="46"/>
      <w:r>
        <w:rPr>
          <w:rFonts w:hint="default" w:ascii="Times New Roman" w:hAnsi="Times New Roman" w:cs="Times New Roman"/>
          <w:b/>
          <w:bCs/>
          <w:lang w:val="en-US" w:eastAsia="zh-CN"/>
        </w:rPr>
        <w:t>-3</w:t>
      </w:r>
      <w:r>
        <w:rPr>
          <w:rFonts w:hint="default" w:ascii="Times New Roman" w:hAnsi="Times New Roman" w:cs="Times New Roman"/>
          <w:b/>
          <w:bCs/>
        </w:rPr>
        <w:t xml:space="preserve"> 建设用地土壤环境质量标准         单位：mg/kg</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2557"/>
        <w:gridCol w:w="1635"/>
        <w:gridCol w:w="1851"/>
        <w:gridCol w:w="1862"/>
      </w:tblGrid>
      <w:tr w14:paraId="6307A91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59" w:type="pct"/>
            <w:tcBorders>
              <w:tl2br w:val="nil"/>
              <w:tr2bl w:val="nil"/>
            </w:tcBorders>
            <w:vAlign w:val="center"/>
          </w:tcPr>
          <w:p w14:paraId="16037EBA">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1501" w:type="pct"/>
            <w:tcBorders>
              <w:tl2br w:val="nil"/>
              <w:tr2bl w:val="nil"/>
            </w:tcBorders>
            <w:shd w:val="clear" w:color="auto" w:fill="auto"/>
            <w:vAlign w:val="center"/>
          </w:tcPr>
          <w:p w14:paraId="1F215F44">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污染物项目</w:t>
            </w:r>
          </w:p>
        </w:tc>
        <w:tc>
          <w:tcPr>
            <w:tcW w:w="960" w:type="pct"/>
            <w:tcBorders>
              <w:tl2br w:val="nil"/>
              <w:tr2bl w:val="nil"/>
            </w:tcBorders>
            <w:vAlign w:val="center"/>
          </w:tcPr>
          <w:p w14:paraId="5E50884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CAS编号</w:t>
            </w:r>
          </w:p>
        </w:tc>
        <w:tc>
          <w:tcPr>
            <w:tcW w:w="1087" w:type="pct"/>
            <w:tcBorders>
              <w:tl2br w:val="nil"/>
              <w:tr2bl w:val="nil"/>
            </w:tcBorders>
            <w:vAlign w:val="center"/>
          </w:tcPr>
          <w:p w14:paraId="5289A838">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第一类用地筛选值</w:t>
            </w:r>
          </w:p>
        </w:tc>
        <w:tc>
          <w:tcPr>
            <w:tcW w:w="1090" w:type="pct"/>
            <w:tcBorders>
              <w:tl2br w:val="nil"/>
              <w:tr2bl w:val="nil"/>
            </w:tcBorders>
            <w:shd w:val="clear" w:color="auto" w:fill="auto"/>
            <w:vAlign w:val="center"/>
          </w:tcPr>
          <w:p w14:paraId="060759AB">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第二类用地筛选值</w:t>
            </w:r>
          </w:p>
        </w:tc>
      </w:tr>
      <w:tr w14:paraId="0964C73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14:paraId="37EFE65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重金属和无机物</w:t>
            </w:r>
          </w:p>
        </w:tc>
      </w:tr>
      <w:tr w14:paraId="6FB737A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7A3C400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501" w:type="pct"/>
            <w:tcBorders>
              <w:tl2br w:val="nil"/>
              <w:tr2bl w:val="nil"/>
            </w:tcBorders>
            <w:shd w:val="clear" w:color="auto" w:fill="auto"/>
            <w:vAlign w:val="center"/>
          </w:tcPr>
          <w:p w14:paraId="7470663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砷</w:t>
            </w:r>
          </w:p>
        </w:tc>
        <w:tc>
          <w:tcPr>
            <w:tcW w:w="960" w:type="pct"/>
            <w:tcBorders>
              <w:tl2br w:val="nil"/>
              <w:tr2bl w:val="nil"/>
            </w:tcBorders>
            <w:vAlign w:val="center"/>
          </w:tcPr>
          <w:p w14:paraId="170D3B2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7440-38-2</w:t>
            </w:r>
          </w:p>
        </w:tc>
        <w:tc>
          <w:tcPr>
            <w:tcW w:w="1087" w:type="pct"/>
            <w:tcBorders>
              <w:tl2br w:val="nil"/>
              <w:tr2bl w:val="nil"/>
            </w:tcBorders>
            <w:vAlign w:val="center"/>
          </w:tcPr>
          <w:p w14:paraId="71A2D01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p>
        </w:tc>
        <w:tc>
          <w:tcPr>
            <w:tcW w:w="1090" w:type="pct"/>
            <w:tcBorders>
              <w:tl2br w:val="nil"/>
              <w:tr2bl w:val="nil"/>
            </w:tcBorders>
            <w:shd w:val="clear" w:color="auto" w:fill="auto"/>
            <w:vAlign w:val="center"/>
          </w:tcPr>
          <w:p w14:paraId="0E15A71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60</w:t>
            </w:r>
          </w:p>
        </w:tc>
      </w:tr>
      <w:tr w14:paraId="7CAFF01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62DFD56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1501" w:type="pct"/>
            <w:tcBorders>
              <w:tl2br w:val="nil"/>
              <w:tr2bl w:val="nil"/>
            </w:tcBorders>
            <w:shd w:val="clear" w:color="auto" w:fill="auto"/>
            <w:vAlign w:val="center"/>
          </w:tcPr>
          <w:p w14:paraId="400A4CB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镉</w:t>
            </w:r>
          </w:p>
        </w:tc>
        <w:tc>
          <w:tcPr>
            <w:tcW w:w="960" w:type="pct"/>
            <w:tcBorders>
              <w:tl2br w:val="nil"/>
              <w:tr2bl w:val="nil"/>
            </w:tcBorders>
            <w:vAlign w:val="center"/>
          </w:tcPr>
          <w:p w14:paraId="662F190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7440-43-9</w:t>
            </w:r>
          </w:p>
        </w:tc>
        <w:tc>
          <w:tcPr>
            <w:tcW w:w="1087" w:type="pct"/>
            <w:tcBorders>
              <w:tl2br w:val="nil"/>
              <w:tr2bl w:val="nil"/>
            </w:tcBorders>
            <w:vAlign w:val="center"/>
          </w:tcPr>
          <w:p w14:paraId="37E0BD2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p>
        </w:tc>
        <w:tc>
          <w:tcPr>
            <w:tcW w:w="1090" w:type="pct"/>
            <w:tcBorders>
              <w:tl2br w:val="nil"/>
              <w:tr2bl w:val="nil"/>
            </w:tcBorders>
            <w:shd w:val="clear" w:color="auto" w:fill="auto"/>
            <w:vAlign w:val="center"/>
          </w:tcPr>
          <w:p w14:paraId="43C521D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65</w:t>
            </w:r>
          </w:p>
        </w:tc>
      </w:tr>
      <w:tr w14:paraId="78BF8CF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0499E0D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1501" w:type="pct"/>
            <w:tcBorders>
              <w:tl2br w:val="nil"/>
              <w:tr2bl w:val="nil"/>
            </w:tcBorders>
            <w:shd w:val="clear" w:color="auto" w:fill="auto"/>
            <w:vAlign w:val="center"/>
          </w:tcPr>
          <w:p w14:paraId="1E54881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铬（六价）</w:t>
            </w:r>
          </w:p>
        </w:tc>
        <w:tc>
          <w:tcPr>
            <w:tcW w:w="960" w:type="pct"/>
            <w:tcBorders>
              <w:tl2br w:val="nil"/>
              <w:tr2bl w:val="nil"/>
            </w:tcBorders>
            <w:vAlign w:val="center"/>
          </w:tcPr>
          <w:p w14:paraId="2BF5428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18540-29-9</w:t>
            </w:r>
          </w:p>
        </w:tc>
        <w:tc>
          <w:tcPr>
            <w:tcW w:w="1087" w:type="pct"/>
            <w:tcBorders>
              <w:tl2br w:val="nil"/>
              <w:tr2bl w:val="nil"/>
            </w:tcBorders>
            <w:vAlign w:val="center"/>
          </w:tcPr>
          <w:p w14:paraId="7B06180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3.0</w:t>
            </w:r>
          </w:p>
        </w:tc>
        <w:tc>
          <w:tcPr>
            <w:tcW w:w="1090" w:type="pct"/>
            <w:tcBorders>
              <w:tl2br w:val="nil"/>
              <w:tr2bl w:val="nil"/>
            </w:tcBorders>
            <w:shd w:val="clear" w:color="auto" w:fill="auto"/>
            <w:vAlign w:val="center"/>
          </w:tcPr>
          <w:p w14:paraId="33D475F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5.7</w:t>
            </w:r>
          </w:p>
        </w:tc>
      </w:tr>
      <w:tr w14:paraId="1D8202A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67904EC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1501" w:type="pct"/>
            <w:tcBorders>
              <w:tl2br w:val="nil"/>
              <w:tr2bl w:val="nil"/>
            </w:tcBorders>
            <w:shd w:val="clear" w:color="auto" w:fill="auto"/>
            <w:vAlign w:val="center"/>
          </w:tcPr>
          <w:p w14:paraId="262A066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铜</w:t>
            </w:r>
          </w:p>
        </w:tc>
        <w:tc>
          <w:tcPr>
            <w:tcW w:w="960" w:type="pct"/>
            <w:tcBorders>
              <w:tl2br w:val="nil"/>
              <w:tr2bl w:val="nil"/>
            </w:tcBorders>
            <w:vAlign w:val="center"/>
          </w:tcPr>
          <w:p w14:paraId="3543568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7440-50-8</w:t>
            </w:r>
          </w:p>
        </w:tc>
        <w:tc>
          <w:tcPr>
            <w:tcW w:w="1087" w:type="pct"/>
            <w:tcBorders>
              <w:tl2br w:val="nil"/>
              <w:tr2bl w:val="nil"/>
            </w:tcBorders>
            <w:vAlign w:val="center"/>
          </w:tcPr>
          <w:p w14:paraId="735C82F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2000</w:t>
            </w:r>
          </w:p>
        </w:tc>
        <w:tc>
          <w:tcPr>
            <w:tcW w:w="1090" w:type="pct"/>
            <w:tcBorders>
              <w:tl2br w:val="nil"/>
              <w:tr2bl w:val="nil"/>
            </w:tcBorders>
            <w:shd w:val="clear" w:color="auto" w:fill="auto"/>
            <w:vAlign w:val="center"/>
          </w:tcPr>
          <w:p w14:paraId="3F182CF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18000</w:t>
            </w:r>
          </w:p>
        </w:tc>
      </w:tr>
      <w:tr w14:paraId="678D3C2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1FABC0D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c>
          <w:tcPr>
            <w:tcW w:w="1501" w:type="pct"/>
            <w:tcBorders>
              <w:tl2br w:val="nil"/>
              <w:tr2bl w:val="nil"/>
            </w:tcBorders>
            <w:shd w:val="clear" w:color="auto" w:fill="auto"/>
            <w:vAlign w:val="center"/>
          </w:tcPr>
          <w:p w14:paraId="1B11D69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铅</w:t>
            </w:r>
          </w:p>
        </w:tc>
        <w:tc>
          <w:tcPr>
            <w:tcW w:w="960" w:type="pct"/>
            <w:tcBorders>
              <w:tl2br w:val="nil"/>
              <w:tr2bl w:val="nil"/>
            </w:tcBorders>
            <w:vAlign w:val="center"/>
          </w:tcPr>
          <w:p w14:paraId="16623A9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7439-92-1</w:t>
            </w:r>
          </w:p>
        </w:tc>
        <w:tc>
          <w:tcPr>
            <w:tcW w:w="1087" w:type="pct"/>
            <w:tcBorders>
              <w:tl2br w:val="nil"/>
              <w:tr2bl w:val="nil"/>
            </w:tcBorders>
            <w:vAlign w:val="center"/>
          </w:tcPr>
          <w:p w14:paraId="516DB31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400</w:t>
            </w:r>
          </w:p>
        </w:tc>
        <w:tc>
          <w:tcPr>
            <w:tcW w:w="1090" w:type="pct"/>
            <w:tcBorders>
              <w:tl2br w:val="nil"/>
              <w:tr2bl w:val="nil"/>
            </w:tcBorders>
            <w:shd w:val="clear" w:color="auto" w:fill="auto"/>
            <w:vAlign w:val="center"/>
          </w:tcPr>
          <w:p w14:paraId="787CD1E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800</w:t>
            </w:r>
          </w:p>
        </w:tc>
      </w:tr>
      <w:tr w14:paraId="4DC0EE6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30493E5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w:t>
            </w:r>
          </w:p>
        </w:tc>
        <w:tc>
          <w:tcPr>
            <w:tcW w:w="1501" w:type="pct"/>
            <w:tcBorders>
              <w:tl2br w:val="nil"/>
              <w:tr2bl w:val="nil"/>
            </w:tcBorders>
            <w:shd w:val="clear" w:color="auto" w:fill="auto"/>
            <w:vAlign w:val="center"/>
          </w:tcPr>
          <w:p w14:paraId="04E8925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汞</w:t>
            </w:r>
          </w:p>
        </w:tc>
        <w:tc>
          <w:tcPr>
            <w:tcW w:w="960" w:type="pct"/>
            <w:tcBorders>
              <w:tl2br w:val="nil"/>
              <w:tr2bl w:val="nil"/>
            </w:tcBorders>
            <w:vAlign w:val="center"/>
          </w:tcPr>
          <w:p w14:paraId="69425F6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7439-97-6</w:t>
            </w:r>
          </w:p>
        </w:tc>
        <w:tc>
          <w:tcPr>
            <w:tcW w:w="1087" w:type="pct"/>
            <w:tcBorders>
              <w:tl2br w:val="nil"/>
              <w:tr2bl w:val="nil"/>
            </w:tcBorders>
            <w:vAlign w:val="center"/>
          </w:tcPr>
          <w:p w14:paraId="3251F54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090" w:type="pct"/>
            <w:tcBorders>
              <w:tl2br w:val="nil"/>
              <w:tr2bl w:val="nil"/>
            </w:tcBorders>
            <w:shd w:val="clear" w:color="auto" w:fill="auto"/>
            <w:vAlign w:val="center"/>
          </w:tcPr>
          <w:p w14:paraId="0D3BE4B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38</w:t>
            </w:r>
          </w:p>
        </w:tc>
      </w:tr>
      <w:tr w14:paraId="6EE9F01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7D85F32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w:t>
            </w:r>
          </w:p>
        </w:tc>
        <w:tc>
          <w:tcPr>
            <w:tcW w:w="1501" w:type="pct"/>
            <w:tcBorders>
              <w:tl2br w:val="nil"/>
              <w:tr2bl w:val="nil"/>
            </w:tcBorders>
            <w:shd w:val="clear" w:color="auto" w:fill="auto"/>
            <w:vAlign w:val="center"/>
          </w:tcPr>
          <w:p w14:paraId="16CDF8E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镍</w:t>
            </w:r>
          </w:p>
        </w:tc>
        <w:tc>
          <w:tcPr>
            <w:tcW w:w="960" w:type="pct"/>
            <w:tcBorders>
              <w:tl2br w:val="nil"/>
              <w:tr2bl w:val="nil"/>
            </w:tcBorders>
            <w:vAlign w:val="center"/>
          </w:tcPr>
          <w:p w14:paraId="76D3B3A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7440-02-0</w:t>
            </w:r>
          </w:p>
        </w:tc>
        <w:tc>
          <w:tcPr>
            <w:tcW w:w="1087" w:type="pct"/>
            <w:tcBorders>
              <w:tl2br w:val="nil"/>
              <w:tr2bl w:val="nil"/>
            </w:tcBorders>
            <w:vAlign w:val="center"/>
          </w:tcPr>
          <w:p w14:paraId="32A0DF4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150</w:t>
            </w:r>
          </w:p>
        </w:tc>
        <w:tc>
          <w:tcPr>
            <w:tcW w:w="1090" w:type="pct"/>
            <w:tcBorders>
              <w:tl2br w:val="nil"/>
              <w:tr2bl w:val="nil"/>
            </w:tcBorders>
            <w:shd w:val="clear" w:color="auto" w:fill="auto"/>
            <w:vAlign w:val="center"/>
          </w:tcPr>
          <w:p w14:paraId="60A32C5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900</w:t>
            </w:r>
          </w:p>
        </w:tc>
      </w:tr>
      <w:tr w14:paraId="529C5F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14:paraId="1FAD337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挥发性有机物</w:t>
            </w:r>
          </w:p>
        </w:tc>
      </w:tr>
      <w:tr w14:paraId="7344C59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540B9A9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p>
        </w:tc>
        <w:tc>
          <w:tcPr>
            <w:tcW w:w="1501" w:type="pct"/>
            <w:tcBorders>
              <w:tl2br w:val="nil"/>
              <w:tr2bl w:val="nil"/>
            </w:tcBorders>
            <w:shd w:val="clear" w:color="auto" w:fill="auto"/>
            <w:vAlign w:val="center"/>
          </w:tcPr>
          <w:p w14:paraId="5C35726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四氯化碳</w:t>
            </w:r>
          </w:p>
        </w:tc>
        <w:tc>
          <w:tcPr>
            <w:tcW w:w="960" w:type="pct"/>
            <w:tcBorders>
              <w:tl2br w:val="nil"/>
              <w:tr2bl w:val="nil"/>
            </w:tcBorders>
            <w:vAlign w:val="center"/>
          </w:tcPr>
          <w:p w14:paraId="0973EA4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56-23-5</w:t>
            </w:r>
          </w:p>
        </w:tc>
        <w:tc>
          <w:tcPr>
            <w:tcW w:w="1087" w:type="pct"/>
            <w:tcBorders>
              <w:tl2br w:val="nil"/>
              <w:tr2bl w:val="nil"/>
            </w:tcBorders>
            <w:vAlign w:val="center"/>
          </w:tcPr>
          <w:p w14:paraId="3EEFC3D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0.9</w:t>
            </w:r>
          </w:p>
        </w:tc>
        <w:tc>
          <w:tcPr>
            <w:tcW w:w="1090" w:type="pct"/>
            <w:tcBorders>
              <w:tl2br w:val="nil"/>
              <w:tr2bl w:val="nil"/>
            </w:tcBorders>
            <w:shd w:val="clear" w:color="auto" w:fill="auto"/>
            <w:vAlign w:val="center"/>
          </w:tcPr>
          <w:p w14:paraId="0F3805D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2.8</w:t>
            </w:r>
          </w:p>
        </w:tc>
      </w:tr>
      <w:tr w14:paraId="3B27441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305C624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w:t>
            </w:r>
          </w:p>
        </w:tc>
        <w:tc>
          <w:tcPr>
            <w:tcW w:w="1501" w:type="pct"/>
            <w:tcBorders>
              <w:tl2br w:val="nil"/>
              <w:tr2bl w:val="nil"/>
            </w:tcBorders>
            <w:shd w:val="clear" w:color="auto" w:fill="auto"/>
            <w:vAlign w:val="center"/>
          </w:tcPr>
          <w:p w14:paraId="633341E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氯仿</w:t>
            </w:r>
          </w:p>
        </w:tc>
        <w:tc>
          <w:tcPr>
            <w:tcW w:w="960" w:type="pct"/>
            <w:tcBorders>
              <w:tl2br w:val="nil"/>
              <w:tr2bl w:val="nil"/>
            </w:tcBorders>
            <w:vAlign w:val="center"/>
          </w:tcPr>
          <w:p w14:paraId="4073AA9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67-66-3</w:t>
            </w:r>
          </w:p>
        </w:tc>
        <w:tc>
          <w:tcPr>
            <w:tcW w:w="1087" w:type="pct"/>
            <w:tcBorders>
              <w:tl2br w:val="nil"/>
              <w:tr2bl w:val="nil"/>
            </w:tcBorders>
            <w:vAlign w:val="center"/>
          </w:tcPr>
          <w:p w14:paraId="3063FF6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0.3</w:t>
            </w:r>
          </w:p>
        </w:tc>
        <w:tc>
          <w:tcPr>
            <w:tcW w:w="1090" w:type="pct"/>
            <w:tcBorders>
              <w:tl2br w:val="nil"/>
              <w:tr2bl w:val="nil"/>
            </w:tcBorders>
            <w:shd w:val="clear" w:color="auto" w:fill="auto"/>
            <w:vAlign w:val="center"/>
          </w:tcPr>
          <w:p w14:paraId="0749F42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0.9</w:t>
            </w:r>
          </w:p>
        </w:tc>
      </w:tr>
      <w:tr w14:paraId="42A32A0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6C6B353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w:t>
            </w:r>
          </w:p>
        </w:tc>
        <w:tc>
          <w:tcPr>
            <w:tcW w:w="1501" w:type="pct"/>
            <w:tcBorders>
              <w:tl2br w:val="nil"/>
              <w:tr2bl w:val="nil"/>
            </w:tcBorders>
            <w:shd w:val="clear" w:color="auto" w:fill="auto"/>
            <w:vAlign w:val="center"/>
          </w:tcPr>
          <w:p w14:paraId="67E54E2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氯甲烷</w:t>
            </w:r>
          </w:p>
        </w:tc>
        <w:tc>
          <w:tcPr>
            <w:tcW w:w="960" w:type="pct"/>
            <w:tcBorders>
              <w:tl2br w:val="nil"/>
              <w:tr2bl w:val="nil"/>
            </w:tcBorders>
            <w:vAlign w:val="center"/>
          </w:tcPr>
          <w:p w14:paraId="62F5146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74-87-3</w:t>
            </w:r>
          </w:p>
        </w:tc>
        <w:tc>
          <w:tcPr>
            <w:tcW w:w="1087" w:type="pct"/>
            <w:tcBorders>
              <w:tl2br w:val="nil"/>
              <w:tr2bl w:val="nil"/>
            </w:tcBorders>
            <w:vAlign w:val="center"/>
          </w:tcPr>
          <w:p w14:paraId="6F1C772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w:t>
            </w:r>
          </w:p>
        </w:tc>
        <w:tc>
          <w:tcPr>
            <w:tcW w:w="1090" w:type="pct"/>
            <w:tcBorders>
              <w:tl2br w:val="nil"/>
              <w:tr2bl w:val="nil"/>
            </w:tcBorders>
            <w:shd w:val="clear" w:color="auto" w:fill="auto"/>
            <w:vAlign w:val="center"/>
          </w:tcPr>
          <w:p w14:paraId="3213F4C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37</w:t>
            </w:r>
          </w:p>
        </w:tc>
      </w:tr>
      <w:tr w14:paraId="68293CB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089001F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w:t>
            </w:r>
          </w:p>
        </w:tc>
        <w:tc>
          <w:tcPr>
            <w:tcW w:w="1501" w:type="pct"/>
            <w:tcBorders>
              <w:tl2br w:val="nil"/>
              <w:tr2bl w:val="nil"/>
            </w:tcBorders>
            <w:shd w:val="clear" w:color="auto" w:fill="auto"/>
            <w:vAlign w:val="center"/>
          </w:tcPr>
          <w:p w14:paraId="17A76B9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1，1-二氯乙烷</w:t>
            </w:r>
          </w:p>
        </w:tc>
        <w:tc>
          <w:tcPr>
            <w:tcW w:w="960" w:type="pct"/>
            <w:tcBorders>
              <w:tl2br w:val="nil"/>
              <w:tr2bl w:val="nil"/>
            </w:tcBorders>
            <w:vAlign w:val="center"/>
          </w:tcPr>
          <w:p w14:paraId="0CD869E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75-34-3</w:t>
            </w:r>
          </w:p>
        </w:tc>
        <w:tc>
          <w:tcPr>
            <w:tcW w:w="1087" w:type="pct"/>
            <w:tcBorders>
              <w:tl2br w:val="nil"/>
              <w:tr2bl w:val="nil"/>
            </w:tcBorders>
            <w:vAlign w:val="center"/>
          </w:tcPr>
          <w:p w14:paraId="6563DD7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1090" w:type="pct"/>
            <w:tcBorders>
              <w:tl2br w:val="nil"/>
              <w:tr2bl w:val="nil"/>
            </w:tcBorders>
            <w:shd w:val="clear" w:color="auto" w:fill="auto"/>
            <w:vAlign w:val="center"/>
          </w:tcPr>
          <w:p w14:paraId="4335206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w:t>
            </w:r>
          </w:p>
        </w:tc>
      </w:tr>
      <w:tr w14:paraId="785FB81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110B8A9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w:t>
            </w:r>
          </w:p>
        </w:tc>
        <w:tc>
          <w:tcPr>
            <w:tcW w:w="1501" w:type="pct"/>
            <w:tcBorders>
              <w:tl2br w:val="nil"/>
              <w:tr2bl w:val="nil"/>
            </w:tcBorders>
            <w:shd w:val="clear" w:color="auto" w:fill="auto"/>
            <w:vAlign w:val="center"/>
          </w:tcPr>
          <w:p w14:paraId="02D035E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1，2-二氯乙烷</w:t>
            </w:r>
          </w:p>
        </w:tc>
        <w:tc>
          <w:tcPr>
            <w:tcW w:w="960" w:type="pct"/>
            <w:tcBorders>
              <w:tl2br w:val="nil"/>
              <w:tr2bl w:val="nil"/>
            </w:tcBorders>
            <w:vAlign w:val="center"/>
          </w:tcPr>
          <w:p w14:paraId="08B05BC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107-06-2</w:t>
            </w:r>
          </w:p>
        </w:tc>
        <w:tc>
          <w:tcPr>
            <w:tcW w:w="1087" w:type="pct"/>
            <w:tcBorders>
              <w:tl2br w:val="nil"/>
              <w:tr2bl w:val="nil"/>
            </w:tcBorders>
            <w:vAlign w:val="center"/>
          </w:tcPr>
          <w:p w14:paraId="70BD7CA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0.52</w:t>
            </w:r>
          </w:p>
        </w:tc>
        <w:tc>
          <w:tcPr>
            <w:tcW w:w="1090" w:type="pct"/>
            <w:tcBorders>
              <w:tl2br w:val="nil"/>
              <w:tr2bl w:val="nil"/>
            </w:tcBorders>
            <w:shd w:val="clear" w:color="auto" w:fill="auto"/>
            <w:vAlign w:val="center"/>
          </w:tcPr>
          <w:p w14:paraId="30639BE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r>
      <w:tr w14:paraId="3A9565D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0B27254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13</w:t>
            </w:r>
          </w:p>
        </w:tc>
        <w:tc>
          <w:tcPr>
            <w:tcW w:w="1501" w:type="pct"/>
            <w:tcBorders>
              <w:tl2br w:val="nil"/>
              <w:tr2bl w:val="nil"/>
            </w:tcBorders>
            <w:shd w:val="clear" w:color="auto" w:fill="auto"/>
            <w:vAlign w:val="center"/>
          </w:tcPr>
          <w:p w14:paraId="77CDC84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1，1-二氯乙烯</w:t>
            </w:r>
          </w:p>
        </w:tc>
        <w:tc>
          <w:tcPr>
            <w:tcW w:w="960" w:type="pct"/>
            <w:tcBorders>
              <w:tl2br w:val="nil"/>
              <w:tr2bl w:val="nil"/>
            </w:tcBorders>
            <w:vAlign w:val="center"/>
          </w:tcPr>
          <w:p w14:paraId="2C88D0B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75-35-4</w:t>
            </w:r>
          </w:p>
        </w:tc>
        <w:tc>
          <w:tcPr>
            <w:tcW w:w="1087" w:type="pct"/>
            <w:tcBorders>
              <w:tl2br w:val="nil"/>
              <w:tr2bl w:val="nil"/>
            </w:tcBorders>
            <w:vAlign w:val="center"/>
          </w:tcPr>
          <w:p w14:paraId="17BCBC3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w:t>
            </w:r>
          </w:p>
        </w:tc>
        <w:tc>
          <w:tcPr>
            <w:tcW w:w="1090" w:type="pct"/>
            <w:tcBorders>
              <w:tl2br w:val="nil"/>
              <w:tr2bl w:val="nil"/>
            </w:tcBorders>
            <w:shd w:val="clear" w:color="auto" w:fill="auto"/>
            <w:vAlign w:val="center"/>
          </w:tcPr>
          <w:p w14:paraId="3E8CCCB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w:t>
            </w:r>
          </w:p>
        </w:tc>
      </w:tr>
      <w:tr w14:paraId="41D8999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106FA94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14</w:t>
            </w:r>
          </w:p>
        </w:tc>
        <w:tc>
          <w:tcPr>
            <w:tcW w:w="1501" w:type="pct"/>
            <w:tcBorders>
              <w:tl2br w:val="nil"/>
              <w:tr2bl w:val="nil"/>
            </w:tcBorders>
            <w:shd w:val="clear" w:color="auto" w:fill="auto"/>
            <w:vAlign w:val="center"/>
          </w:tcPr>
          <w:p w14:paraId="26BE55B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顺-1，2-二氯乙烯</w:t>
            </w:r>
          </w:p>
        </w:tc>
        <w:tc>
          <w:tcPr>
            <w:tcW w:w="960" w:type="pct"/>
            <w:tcBorders>
              <w:tl2br w:val="nil"/>
              <w:tr2bl w:val="nil"/>
            </w:tcBorders>
            <w:vAlign w:val="center"/>
          </w:tcPr>
          <w:p w14:paraId="6EEB6BE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156-59-2</w:t>
            </w:r>
          </w:p>
        </w:tc>
        <w:tc>
          <w:tcPr>
            <w:tcW w:w="1087" w:type="pct"/>
            <w:tcBorders>
              <w:tl2br w:val="nil"/>
              <w:tr2bl w:val="nil"/>
            </w:tcBorders>
            <w:vAlign w:val="center"/>
          </w:tcPr>
          <w:p w14:paraId="5896702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w:t>
            </w:r>
          </w:p>
        </w:tc>
        <w:tc>
          <w:tcPr>
            <w:tcW w:w="1090" w:type="pct"/>
            <w:tcBorders>
              <w:tl2br w:val="nil"/>
              <w:tr2bl w:val="nil"/>
            </w:tcBorders>
            <w:shd w:val="clear" w:color="auto" w:fill="auto"/>
            <w:vAlign w:val="center"/>
          </w:tcPr>
          <w:p w14:paraId="1E58704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596</w:t>
            </w:r>
          </w:p>
        </w:tc>
      </w:tr>
      <w:tr w14:paraId="5BFABBA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2D89972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w:t>
            </w:r>
          </w:p>
        </w:tc>
        <w:tc>
          <w:tcPr>
            <w:tcW w:w="1501" w:type="pct"/>
            <w:tcBorders>
              <w:tl2br w:val="nil"/>
              <w:tr2bl w:val="nil"/>
            </w:tcBorders>
            <w:shd w:val="clear" w:color="auto" w:fill="auto"/>
            <w:vAlign w:val="center"/>
          </w:tcPr>
          <w:p w14:paraId="1279078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反-1，2-二氯乙烯</w:t>
            </w:r>
          </w:p>
        </w:tc>
        <w:tc>
          <w:tcPr>
            <w:tcW w:w="960" w:type="pct"/>
            <w:tcBorders>
              <w:tl2br w:val="nil"/>
              <w:tr2bl w:val="nil"/>
            </w:tcBorders>
            <w:vAlign w:val="center"/>
          </w:tcPr>
          <w:p w14:paraId="482223F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156-60-5</w:t>
            </w:r>
          </w:p>
        </w:tc>
        <w:tc>
          <w:tcPr>
            <w:tcW w:w="1087" w:type="pct"/>
            <w:tcBorders>
              <w:tl2br w:val="nil"/>
              <w:tr2bl w:val="nil"/>
            </w:tcBorders>
            <w:vAlign w:val="center"/>
          </w:tcPr>
          <w:p w14:paraId="60CA08A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w:t>
            </w:r>
          </w:p>
        </w:tc>
        <w:tc>
          <w:tcPr>
            <w:tcW w:w="1090" w:type="pct"/>
            <w:tcBorders>
              <w:tl2br w:val="nil"/>
              <w:tr2bl w:val="nil"/>
            </w:tcBorders>
            <w:shd w:val="clear" w:color="auto" w:fill="auto"/>
            <w:vAlign w:val="center"/>
          </w:tcPr>
          <w:p w14:paraId="41BBC82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54</w:t>
            </w:r>
          </w:p>
        </w:tc>
      </w:tr>
      <w:tr w14:paraId="620F7B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3CFD47E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w:t>
            </w:r>
          </w:p>
        </w:tc>
        <w:tc>
          <w:tcPr>
            <w:tcW w:w="1501" w:type="pct"/>
            <w:tcBorders>
              <w:tl2br w:val="nil"/>
              <w:tr2bl w:val="nil"/>
            </w:tcBorders>
            <w:shd w:val="clear" w:color="auto" w:fill="auto"/>
            <w:vAlign w:val="center"/>
          </w:tcPr>
          <w:p w14:paraId="5BBBA9F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二氯甲烷</w:t>
            </w:r>
          </w:p>
        </w:tc>
        <w:tc>
          <w:tcPr>
            <w:tcW w:w="960" w:type="pct"/>
            <w:tcBorders>
              <w:tl2br w:val="nil"/>
              <w:tr2bl w:val="nil"/>
            </w:tcBorders>
            <w:vAlign w:val="center"/>
          </w:tcPr>
          <w:p w14:paraId="4974C5D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75-09-2</w:t>
            </w:r>
          </w:p>
        </w:tc>
        <w:tc>
          <w:tcPr>
            <w:tcW w:w="1087" w:type="pct"/>
            <w:tcBorders>
              <w:tl2br w:val="nil"/>
              <w:tr2bl w:val="nil"/>
            </w:tcBorders>
            <w:vAlign w:val="center"/>
          </w:tcPr>
          <w:p w14:paraId="1FD6CA2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94</w:t>
            </w:r>
          </w:p>
        </w:tc>
        <w:tc>
          <w:tcPr>
            <w:tcW w:w="1090" w:type="pct"/>
            <w:tcBorders>
              <w:tl2br w:val="nil"/>
              <w:tr2bl w:val="nil"/>
            </w:tcBorders>
            <w:shd w:val="clear" w:color="auto" w:fill="auto"/>
            <w:vAlign w:val="center"/>
          </w:tcPr>
          <w:p w14:paraId="0E154BF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616</w:t>
            </w:r>
          </w:p>
        </w:tc>
      </w:tr>
      <w:tr w14:paraId="476EE6E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0709546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17</w:t>
            </w:r>
          </w:p>
        </w:tc>
        <w:tc>
          <w:tcPr>
            <w:tcW w:w="1501" w:type="pct"/>
            <w:tcBorders>
              <w:tl2br w:val="nil"/>
              <w:tr2bl w:val="nil"/>
            </w:tcBorders>
            <w:shd w:val="clear" w:color="auto" w:fill="auto"/>
            <w:vAlign w:val="center"/>
          </w:tcPr>
          <w:p w14:paraId="0BF6B24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1，2-二氯丙烷</w:t>
            </w:r>
          </w:p>
        </w:tc>
        <w:tc>
          <w:tcPr>
            <w:tcW w:w="960" w:type="pct"/>
            <w:tcBorders>
              <w:tl2br w:val="nil"/>
              <w:tr2bl w:val="nil"/>
            </w:tcBorders>
            <w:vAlign w:val="center"/>
          </w:tcPr>
          <w:p w14:paraId="1221371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78-87-5</w:t>
            </w:r>
          </w:p>
        </w:tc>
        <w:tc>
          <w:tcPr>
            <w:tcW w:w="1087" w:type="pct"/>
            <w:tcBorders>
              <w:tl2br w:val="nil"/>
              <w:tr2bl w:val="nil"/>
            </w:tcBorders>
            <w:vAlign w:val="center"/>
          </w:tcPr>
          <w:p w14:paraId="1F4C22A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090" w:type="pct"/>
            <w:tcBorders>
              <w:tl2br w:val="nil"/>
              <w:tr2bl w:val="nil"/>
            </w:tcBorders>
            <w:shd w:val="clear" w:color="auto" w:fill="auto"/>
            <w:vAlign w:val="center"/>
          </w:tcPr>
          <w:p w14:paraId="46DA800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r>
      <w:tr w14:paraId="1BFE5A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049C517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18</w:t>
            </w:r>
          </w:p>
        </w:tc>
        <w:tc>
          <w:tcPr>
            <w:tcW w:w="1501" w:type="pct"/>
            <w:tcBorders>
              <w:tl2br w:val="nil"/>
              <w:tr2bl w:val="nil"/>
            </w:tcBorders>
            <w:shd w:val="clear" w:color="auto" w:fill="auto"/>
            <w:vAlign w:val="center"/>
          </w:tcPr>
          <w:p w14:paraId="7BEEAC4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1，1，1，2-四氯乙烷</w:t>
            </w:r>
          </w:p>
        </w:tc>
        <w:tc>
          <w:tcPr>
            <w:tcW w:w="960" w:type="pct"/>
            <w:tcBorders>
              <w:tl2br w:val="nil"/>
              <w:tr2bl w:val="nil"/>
            </w:tcBorders>
            <w:vAlign w:val="center"/>
          </w:tcPr>
          <w:p w14:paraId="0E55174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630-20-6</w:t>
            </w:r>
          </w:p>
        </w:tc>
        <w:tc>
          <w:tcPr>
            <w:tcW w:w="1087" w:type="pct"/>
            <w:tcBorders>
              <w:tl2br w:val="nil"/>
              <w:tr2bl w:val="nil"/>
            </w:tcBorders>
            <w:vAlign w:val="center"/>
          </w:tcPr>
          <w:p w14:paraId="716A209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2.6</w:t>
            </w:r>
          </w:p>
        </w:tc>
        <w:tc>
          <w:tcPr>
            <w:tcW w:w="1090" w:type="pct"/>
            <w:tcBorders>
              <w:tl2br w:val="nil"/>
              <w:tr2bl w:val="nil"/>
            </w:tcBorders>
            <w:shd w:val="clear" w:color="auto" w:fill="auto"/>
            <w:vAlign w:val="center"/>
          </w:tcPr>
          <w:p w14:paraId="0F71CE2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w:t>
            </w:r>
          </w:p>
        </w:tc>
      </w:tr>
      <w:tr w14:paraId="1244934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07EC548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19</w:t>
            </w:r>
          </w:p>
        </w:tc>
        <w:tc>
          <w:tcPr>
            <w:tcW w:w="1501" w:type="pct"/>
            <w:tcBorders>
              <w:tl2br w:val="nil"/>
              <w:tr2bl w:val="nil"/>
            </w:tcBorders>
            <w:shd w:val="clear" w:color="auto" w:fill="auto"/>
            <w:vAlign w:val="center"/>
          </w:tcPr>
          <w:p w14:paraId="1072FA7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1，1，2，2-四氯乙烷</w:t>
            </w:r>
          </w:p>
        </w:tc>
        <w:tc>
          <w:tcPr>
            <w:tcW w:w="960" w:type="pct"/>
            <w:tcBorders>
              <w:tl2br w:val="nil"/>
              <w:tr2bl w:val="nil"/>
            </w:tcBorders>
            <w:vAlign w:val="center"/>
          </w:tcPr>
          <w:p w14:paraId="2600392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79-34-5</w:t>
            </w:r>
          </w:p>
        </w:tc>
        <w:tc>
          <w:tcPr>
            <w:tcW w:w="1087" w:type="pct"/>
            <w:tcBorders>
              <w:tl2br w:val="nil"/>
              <w:tr2bl w:val="nil"/>
            </w:tcBorders>
            <w:vAlign w:val="center"/>
          </w:tcPr>
          <w:p w14:paraId="719E037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w:t>
            </w:r>
          </w:p>
        </w:tc>
        <w:tc>
          <w:tcPr>
            <w:tcW w:w="1090" w:type="pct"/>
            <w:tcBorders>
              <w:tl2br w:val="nil"/>
              <w:tr2bl w:val="nil"/>
            </w:tcBorders>
            <w:shd w:val="clear" w:color="auto" w:fill="auto"/>
            <w:vAlign w:val="center"/>
          </w:tcPr>
          <w:p w14:paraId="55F77B5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6.8</w:t>
            </w:r>
          </w:p>
        </w:tc>
      </w:tr>
      <w:tr w14:paraId="6DCC570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6BD3B5C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p>
        </w:tc>
        <w:tc>
          <w:tcPr>
            <w:tcW w:w="1501" w:type="pct"/>
            <w:tcBorders>
              <w:tl2br w:val="nil"/>
              <w:tr2bl w:val="nil"/>
            </w:tcBorders>
            <w:shd w:val="clear" w:color="auto" w:fill="auto"/>
            <w:vAlign w:val="center"/>
          </w:tcPr>
          <w:p w14:paraId="33F0A39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四氯乙烯</w:t>
            </w:r>
          </w:p>
        </w:tc>
        <w:tc>
          <w:tcPr>
            <w:tcW w:w="960" w:type="pct"/>
            <w:tcBorders>
              <w:tl2br w:val="nil"/>
              <w:tr2bl w:val="nil"/>
            </w:tcBorders>
            <w:vAlign w:val="center"/>
          </w:tcPr>
          <w:p w14:paraId="31C01EF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127-18-4</w:t>
            </w:r>
          </w:p>
        </w:tc>
        <w:tc>
          <w:tcPr>
            <w:tcW w:w="1087" w:type="pct"/>
            <w:tcBorders>
              <w:tl2br w:val="nil"/>
              <w:tr2bl w:val="nil"/>
            </w:tcBorders>
            <w:vAlign w:val="center"/>
          </w:tcPr>
          <w:p w14:paraId="3271888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w:t>
            </w:r>
          </w:p>
        </w:tc>
        <w:tc>
          <w:tcPr>
            <w:tcW w:w="1090" w:type="pct"/>
            <w:tcBorders>
              <w:tl2br w:val="nil"/>
              <w:tr2bl w:val="nil"/>
            </w:tcBorders>
            <w:shd w:val="clear" w:color="auto" w:fill="auto"/>
            <w:vAlign w:val="center"/>
          </w:tcPr>
          <w:p w14:paraId="489095B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53</w:t>
            </w:r>
          </w:p>
        </w:tc>
      </w:tr>
      <w:tr w14:paraId="305FB51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5334C28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21</w:t>
            </w:r>
          </w:p>
        </w:tc>
        <w:tc>
          <w:tcPr>
            <w:tcW w:w="1501" w:type="pct"/>
            <w:tcBorders>
              <w:tl2br w:val="nil"/>
              <w:tr2bl w:val="nil"/>
            </w:tcBorders>
            <w:shd w:val="clear" w:color="auto" w:fill="auto"/>
            <w:vAlign w:val="center"/>
          </w:tcPr>
          <w:p w14:paraId="2A17740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1，1，1-三氯乙烷</w:t>
            </w:r>
          </w:p>
        </w:tc>
        <w:tc>
          <w:tcPr>
            <w:tcW w:w="960" w:type="pct"/>
            <w:tcBorders>
              <w:tl2br w:val="nil"/>
              <w:tr2bl w:val="nil"/>
            </w:tcBorders>
            <w:vAlign w:val="center"/>
          </w:tcPr>
          <w:p w14:paraId="60CC341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71-55-6</w:t>
            </w:r>
          </w:p>
        </w:tc>
        <w:tc>
          <w:tcPr>
            <w:tcW w:w="1087" w:type="pct"/>
            <w:tcBorders>
              <w:tl2br w:val="nil"/>
              <w:tr2bl w:val="nil"/>
            </w:tcBorders>
            <w:vAlign w:val="center"/>
          </w:tcPr>
          <w:p w14:paraId="14F6817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701</w:t>
            </w:r>
          </w:p>
        </w:tc>
        <w:tc>
          <w:tcPr>
            <w:tcW w:w="1090" w:type="pct"/>
            <w:tcBorders>
              <w:tl2br w:val="nil"/>
              <w:tr2bl w:val="nil"/>
            </w:tcBorders>
            <w:shd w:val="clear" w:color="auto" w:fill="auto"/>
            <w:vAlign w:val="center"/>
          </w:tcPr>
          <w:p w14:paraId="4FD16D6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840</w:t>
            </w:r>
          </w:p>
        </w:tc>
      </w:tr>
      <w:tr w14:paraId="0F4EF35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62B3A3B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22</w:t>
            </w:r>
          </w:p>
        </w:tc>
        <w:tc>
          <w:tcPr>
            <w:tcW w:w="1501" w:type="pct"/>
            <w:tcBorders>
              <w:tl2br w:val="nil"/>
              <w:tr2bl w:val="nil"/>
            </w:tcBorders>
            <w:shd w:val="clear" w:color="auto" w:fill="auto"/>
            <w:vAlign w:val="center"/>
          </w:tcPr>
          <w:p w14:paraId="209CE50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1，1，2-三氯乙烷</w:t>
            </w:r>
          </w:p>
        </w:tc>
        <w:tc>
          <w:tcPr>
            <w:tcW w:w="960" w:type="pct"/>
            <w:tcBorders>
              <w:tl2br w:val="nil"/>
              <w:tr2bl w:val="nil"/>
            </w:tcBorders>
            <w:vAlign w:val="center"/>
          </w:tcPr>
          <w:p w14:paraId="3E0AD17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79-00-5</w:t>
            </w:r>
          </w:p>
        </w:tc>
        <w:tc>
          <w:tcPr>
            <w:tcW w:w="1087" w:type="pct"/>
            <w:tcBorders>
              <w:tl2br w:val="nil"/>
              <w:tr2bl w:val="nil"/>
            </w:tcBorders>
            <w:vAlign w:val="center"/>
          </w:tcPr>
          <w:p w14:paraId="4012F4E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0.6</w:t>
            </w:r>
          </w:p>
        </w:tc>
        <w:tc>
          <w:tcPr>
            <w:tcW w:w="1090" w:type="pct"/>
            <w:tcBorders>
              <w:tl2br w:val="nil"/>
              <w:tr2bl w:val="nil"/>
            </w:tcBorders>
            <w:shd w:val="clear" w:color="auto" w:fill="auto"/>
            <w:vAlign w:val="center"/>
          </w:tcPr>
          <w:p w14:paraId="324B56D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2.8</w:t>
            </w:r>
          </w:p>
        </w:tc>
      </w:tr>
      <w:tr w14:paraId="3C10B7F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62D9E86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23</w:t>
            </w:r>
          </w:p>
        </w:tc>
        <w:tc>
          <w:tcPr>
            <w:tcW w:w="1501" w:type="pct"/>
            <w:tcBorders>
              <w:tl2br w:val="nil"/>
              <w:tr2bl w:val="nil"/>
            </w:tcBorders>
            <w:shd w:val="clear" w:color="auto" w:fill="auto"/>
            <w:vAlign w:val="center"/>
          </w:tcPr>
          <w:p w14:paraId="5CB6BB0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三氯乙烯</w:t>
            </w:r>
          </w:p>
        </w:tc>
        <w:tc>
          <w:tcPr>
            <w:tcW w:w="960" w:type="pct"/>
            <w:tcBorders>
              <w:tl2br w:val="nil"/>
              <w:tr2bl w:val="nil"/>
            </w:tcBorders>
            <w:vAlign w:val="center"/>
          </w:tcPr>
          <w:p w14:paraId="6931A0B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79-01-6</w:t>
            </w:r>
          </w:p>
        </w:tc>
        <w:tc>
          <w:tcPr>
            <w:tcW w:w="1087" w:type="pct"/>
            <w:tcBorders>
              <w:tl2br w:val="nil"/>
              <w:tr2bl w:val="nil"/>
            </w:tcBorders>
            <w:vAlign w:val="center"/>
          </w:tcPr>
          <w:p w14:paraId="2FEF1D3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0.7</w:t>
            </w:r>
          </w:p>
        </w:tc>
        <w:tc>
          <w:tcPr>
            <w:tcW w:w="1090" w:type="pct"/>
            <w:tcBorders>
              <w:tl2br w:val="nil"/>
              <w:tr2bl w:val="nil"/>
            </w:tcBorders>
            <w:shd w:val="clear" w:color="auto" w:fill="auto"/>
            <w:vAlign w:val="center"/>
          </w:tcPr>
          <w:p w14:paraId="033FA7B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2.8</w:t>
            </w:r>
          </w:p>
        </w:tc>
      </w:tr>
      <w:tr w14:paraId="116DE37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686E854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w:t>
            </w:r>
          </w:p>
        </w:tc>
        <w:tc>
          <w:tcPr>
            <w:tcW w:w="1501" w:type="pct"/>
            <w:tcBorders>
              <w:tl2br w:val="nil"/>
              <w:tr2bl w:val="nil"/>
            </w:tcBorders>
            <w:shd w:val="clear" w:color="auto" w:fill="auto"/>
            <w:vAlign w:val="center"/>
          </w:tcPr>
          <w:p w14:paraId="72FCD48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1，2，3-三氯丙烷</w:t>
            </w:r>
          </w:p>
        </w:tc>
        <w:tc>
          <w:tcPr>
            <w:tcW w:w="960" w:type="pct"/>
            <w:tcBorders>
              <w:tl2br w:val="nil"/>
              <w:tr2bl w:val="nil"/>
            </w:tcBorders>
            <w:vAlign w:val="center"/>
          </w:tcPr>
          <w:p w14:paraId="68714A8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96-18-4</w:t>
            </w:r>
          </w:p>
        </w:tc>
        <w:tc>
          <w:tcPr>
            <w:tcW w:w="1087" w:type="pct"/>
            <w:tcBorders>
              <w:tl2br w:val="nil"/>
              <w:tr2bl w:val="nil"/>
            </w:tcBorders>
            <w:vAlign w:val="center"/>
          </w:tcPr>
          <w:p w14:paraId="5D450C0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0.05</w:t>
            </w:r>
          </w:p>
        </w:tc>
        <w:tc>
          <w:tcPr>
            <w:tcW w:w="1090" w:type="pct"/>
            <w:tcBorders>
              <w:tl2br w:val="nil"/>
              <w:tr2bl w:val="nil"/>
            </w:tcBorders>
            <w:shd w:val="clear" w:color="auto" w:fill="auto"/>
            <w:vAlign w:val="center"/>
          </w:tcPr>
          <w:p w14:paraId="3CEAA94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0.5</w:t>
            </w:r>
          </w:p>
        </w:tc>
      </w:tr>
      <w:tr w14:paraId="4F9FDB8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3FBCF73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25</w:t>
            </w:r>
          </w:p>
        </w:tc>
        <w:tc>
          <w:tcPr>
            <w:tcW w:w="1501" w:type="pct"/>
            <w:tcBorders>
              <w:tl2br w:val="nil"/>
              <w:tr2bl w:val="nil"/>
            </w:tcBorders>
            <w:shd w:val="clear" w:color="auto" w:fill="auto"/>
            <w:vAlign w:val="center"/>
          </w:tcPr>
          <w:p w14:paraId="4F64094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氯乙烯</w:t>
            </w:r>
          </w:p>
        </w:tc>
        <w:tc>
          <w:tcPr>
            <w:tcW w:w="960" w:type="pct"/>
            <w:tcBorders>
              <w:tl2br w:val="nil"/>
              <w:tr2bl w:val="nil"/>
            </w:tcBorders>
            <w:vAlign w:val="center"/>
          </w:tcPr>
          <w:p w14:paraId="4BC42FD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75-01-4</w:t>
            </w:r>
          </w:p>
        </w:tc>
        <w:tc>
          <w:tcPr>
            <w:tcW w:w="1087" w:type="pct"/>
            <w:tcBorders>
              <w:tl2br w:val="nil"/>
              <w:tr2bl w:val="nil"/>
            </w:tcBorders>
            <w:vAlign w:val="center"/>
          </w:tcPr>
          <w:p w14:paraId="406C6FE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0.12</w:t>
            </w:r>
          </w:p>
        </w:tc>
        <w:tc>
          <w:tcPr>
            <w:tcW w:w="1090" w:type="pct"/>
            <w:tcBorders>
              <w:tl2br w:val="nil"/>
              <w:tr2bl w:val="nil"/>
            </w:tcBorders>
            <w:shd w:val="clear" w:color="auto" w:fill="auto"/>
            <w:vAlign w:val="center"/>
          </w:tcPr>
          <w:p w14:paraId="1B0CA84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0.43</w:t>
            </w:r>
          </w:p>
        </w:tc>
      </w:tr>
      <w:tr w14:paraId="023DD67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42B64F1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26</w:t>
            </w:r>
          </w:p>
        </w:tc>
        <w:tc>
          <w:tcPr>
            <w:tcW w:w="1501" w:type="pct"/>
            <w:tcBorders>
              <w:tl2br w:val="nil"/>
              <w:tr2bl w:val="nil"/>
            </w:tcBorders>
            <w:shd w:val="clear" w:color="auto" w:fill="auto"/>
            <w:vAlign w:val="center"/>
          </w:tcPr>
          <w:p w14:paraId="67051F4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苯</w:t>
            </w:r>
          </w:p>
        </w:tc>
        <w:tc>
          <w:tcPr>
            <w:tcW w:w="960" w:type="pct"/>
            <w:tcBorders>
              <w:tl2br w:val="nil"/>
              <w:tr2bl w:val="nil"/>
            </w:tcBorders>
            <w:vAlign w:val="center"/>
          </w:tcPr>
          <w:p w14:paraId="4A8D3B7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71-43-2</w:t>
            </w:r>
          </w:p>
        </w:tc>
        <w:tc>
          <w:tcPr>
            <w:tcW w:w="1087" w:type="pct"/>
            <w:tcBorders>
              <w:tl2br w:val="nil"/>
              <w:tr2bl w:val="nil"/>
            </w:tcBorders>
            <w:vAlign w:val="center"/>
          </w:tcPr>
          <w:p w14:paraId="272FDE5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1090" w:type="pct"/>
            <w:tcBorders>
              <w:tl2br w:val="nil"/>
              <w:tr2bl w:val="nil"/>
            </w:tcBorders>
            <w:shd w:val="clear" w:color="auto" w:fill="auto"/>
            <w:vAlign w:val="center"/>
          </w:tcPr>
          <w:p w14:paraId="72715E5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r>
      <w:tr w14:paraId="665FAC4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1958CA5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27</w:t>
            </w:r>
          </w:p>
        </w:tc>
        <w:tc>
          <w:tcPr>
            <w:tcW w:w="1501" w:type="pct"/>
            <w:tcBorders>
              <w:tl2br w:val="nil"/>
              <w:tr2bl w:val="nil"/>
            </w:tcBorders>
            <w:shd w:val="clear" w:color="auto" w:fill="auto"/>
            <w:vAlign w:val="center"/>
          </w:tcPr>
          <w:p w14:paraId="7E56B61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氯苯</w:t>
            </w:r>
          </w:p>
        </w:tc>
        <w:tc>
          <w:tcPr>
            <w:tcW w:w="960" w:type="pct"/>
            <w:tcBorders>
              <w:tl2br w:val="nil"/>
              <w:tr2bl w:val="nil"/>
            </w:tcBorders>
            <w:vAlign w:val="center"/>
          </w:tcPr>
          <w:p w14:paraId="5F95267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108-90-7</w:t>
            </w:r>
          </w:p>
        </w:tc>
        <w:tc>
          <w:tcPr>
            <w:tcW w:w="1087" w:type="pct"/>
            <w:tcBorders>
              <w:tl2br w:val="nil"/>
              <w:tr2bl w:val="nil"/>
            </w:tcBorders>
            <w:vAlign w:val="center"/>
          </w:tcPr>
          <w:p w14:paraId="77F26CD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68</w:t>
            </w:r>
          </w:p>
        </w:tc>
        <w:tc>
          <w:tcPr>
            <w:tcW w:w="1090" w:type="pct"/>
            <w:tcBorders>
              <w:tl2br w:val="nil"/>
              <w:tr2bl w:val="nil"/>
            </w:tcBorders>
            <w:shd w:val="clear" w:color="auto" w:fill="auto"/>
            <w:vAlign w:val="center"/>
          </w:tcPr>
          <w:p w14:paraId="2A464F5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270</w:t>
            </w:r>
          </w:p>
        </w:tc>
      </w:tr>
      <w:tr w14:paraId="4A61E66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7F61058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28</w:t>
            </w:r>
          </w:p>
        </w:tc>
        <w:tc>
          <w:tcPr>
            <w:tcW w:w="1501" w:type="pct"/>
            <w:tcBorders>
              <w:tl2br w:val="nil"/>
              <w:tr2bl w:val="nil"/>
            </w:tcBorders>
            <w:shd w:val="clear" w:color="auto" w:fill="auto"/>
            <w:vAlign w:val="center"/>
          </w:tcPr>
          <w:p w14:paraId="481E98F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1，2-二氯苯</w:t>
            </w:r>
          </w:p>
        </w:tc>
        <w:tc>
          <w:tcPr>
            <w:tcW w:w="960" w:type="pct"/>
            <w:tcBorders>
              <w:tl2br w:val="nil"/>
              <w:tr2bl w:val="nil"/>
            </w:tcBorders>
            <w:vAlign w:val="center"/>
          </w:tcPr>
          <w:p w14:paraId="58DEEBC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95-50-1</w:t>
            </w:r>
          </w:p>
        </w:tc>
        <w:tc>
          <w:tcPr>
            <w:tcW w:w="1087" w:type="pct"/>
            <w:tcBorders>
              <w:tl2br w:val="nil"/>
              <w:tr2bl w:val="nil"/>
            </w:tcBorders>
            <w:vAlign w:val="center"/>
          </w:tcPr>
          <w:p w14:paraId="7B075BD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560</w:t>
            </w:r>
          </w:p>
        </w:tc>
        <w:tc>
          <w:tcPr>
            <w:tcW w:w="1090" w:type="pct"/>
            <w:tcBorders>
              <w:tl2br w:val="nil"/>
              <w:tr2bl w:val="nil"/>
            </w:tcBorders>
            <w:shd w:val="clear" w:color="auto" w:fill="auto"/>
            <w:vAlign w:val="center"/>
          </w:tcPr>
          <w:p w14:paraId="645C778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560</w:t>
            </w:r>
          </w:p>
        </w:tc>
      </w:tr>
      <w:tr w14:paraId="769D9BD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28D018D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29</w:t>
            </w:r>
          </w:p>
        </w:tc>
        <w:tc>
          <w:tcPr>
            <w:tcW w:w="1501" w:type="pct"/>
            <w:tcBorders>
              <w:tl2br w:val="nil"/>
              <w:tr2bl w:val="nil"/>
            </w:tcBorders>
            <w:shd w:val="clear" w:color="auto" w:fill="auto"/>
            <w:vAlign w:val="center"/>
          </w:tcPr>
          <w:p w14:paraId="5256B94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1，4-二氯苯</w:t>
            </w:r>
          </w:p>
        </w:tc>
        <w:tc>
          <w:tcPr>
            <w:tcW w:w="960" w:type="pct"/>
            <w:tcBorders>
              <w:tl2br w:val="nil"/>
              <w:tr2bl w:val="nil"/>
            </w:tcBorders>
            <w:vAlign w:val="center"/>
          </w:tcPr>
          <w:p w14:paraId="640E3D8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106-46-7</w:t>
            </w:r>
          </w:p>
        </w:tc>
        <w:tc>
          <w:tcPr>
            <w:tcW w:w="1087" w:type="pct"/>
            <w:tcBorders>
              <w:tl2br w:val="nil"/>
              <w:tr2bl w:val="nil"/>
            </w:tcBorders>
            <w:vAlign w:val="center"/>
          </w:tcPr>
          <w:p w14:paraId="115AECA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5.6</w:t>
            </w:r>
          </w:p>
        </w:tc>
        <w:tc>
          <w:tcPr>
            <w:tcW w:w="1090" w:type="pct"/>
            <w:tcBorders>
              <w:tl2br w:val="nil"/>
              <w:tr2bl w:val="nil"/>
            </w:tcBorders>
            <w:shd w:val="clear" w:color="auto" w:fill="auto"/>
            <w:vAlign w:val="center"/>
          </w:tcPr>
          <w:p w14:paraId="6835E4F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w:t>
            </w:r>
          </w:p>
        </w:tc>
      </w:tr>
      <w:tr w14:paraId="0CD852B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1770653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30</w:t>
            </w:r>
          </w:p>
        </w:tc>
        <w:tc>
          <w:tcPr>
            <w:tcW w:w="1501" w:type="pct"/>
            <w:tcBorders>
              <w:tl2br w:val="nil"/>
              <w:tr2bl w:val="nil"/>
            </w:tcBorders>
            <w:shd w:val="clear" w:color="auto" w:fill="auto"/>
            <w:vAlign w:val="center"/>
          </w:tcPr>
          <w:p w14:paraId="4DE7CE3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乙苯</w:t>
            </w:r>
          </w:p>
        </w:tc>
        <w:tc>
          <w:tcPr>
            <w:tcW w:w="960" w:type="pct"/>
            <w:tcBorders>
              <w:tl2br w:val="nil"/>
              <w:tr2bl w:val="nil"/>
            </w:tcBorders>
            <w:vAlign w:val="center"/>
          </w:tcPr>
          <w:p w14:paraId="50DEE8A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100-41-4</w:t>
            </w:r>
          </w:p>
        </w:tc>
        <w:tc>
          <w:tcPr>
            <w:tcW w:w="1087" w:type="pct"/>
            <w:tcBorders>
              <w:tl2br w:val="nil"/>
              <w:tr2bl w:val="nil"/>
            </w:tcBorders>
            <w:vAlign w:val="center"/>
          </w:tcPr>
          <w:p w14:paraId="12900BE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w:t>
            </w:r>
          </w:p>
        </w:tc>
        <w:tc>
          <w:tcPr>
            <w:tcW w:w="1090" w:type="pct"/>
            <w:tcBorders>
              <w:tl2br w:val="nil"/>
              <w:tr2bl w:val="nil"/>
            </w:tcBorders>
            <w:shd w:val="clear" w:color="auto" w:fill="auto"/>
            <w:vAlign w:val="center"/>
          </w:tcPr>
          <w:p w14:paraId="3B24C64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28</w:t>
            </w:r>
          </w:p>
        </w:tc>
      </w:tr>
      <w:tr w14:paraId="3577E74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61E9E8A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31</w:t>
            </w:r>
          </w:p>
        </w:tc>
        <w:tc>
          <w:tcPr>
            <w:tcW w:w="1501" w:type="pct"/>
            <w:tcBorders>
              <w:tl2br w:val="nil"/>
              <w:tr2bl w:val="nil"/>
            </w:tcBorders>
            <w:shd w:val="clear" w:color="auto" w:fill="auto"/>
            <w:vAlign w:val="center"/>
          </w:tcPr>
          <w:p w14:paraId="65904FD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苯乙烯</w:t>
            </w:r>
          </w:p>
        </w:tc>
        <w:tc>
          <w:tcPr>
            <w:tcW w:w="960" w:type="pct"/>
            <w:tcBorders>
              <w:tl2br w:val="nil"/>
              <w:tr2bl w:val="nil"/>
            </w:tcBorders>
            <w:vAlign w:val="center"/>
          </w:tcPr>
          <w:p w14:paraId="6C55171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100-42-5</w:t>
            </w:r>
          </w:p>
        </w:tc>
        <w:tc>
          <w:tcPr>
            <w:tcW w:w="1087" w:type="pct"/>
            <w:tcBorders>
              <w:tl2br w:val="nil"/>
              <w:tr2bl w:val="nil"/>
            </w:tcBorders>
            <w:vAlign w:val="center"/>
          </w:tcPr>
          <w:p w14:paraId="1763E1F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1290</w:t>
            </w:r>
          </w:p>
        </w:tc>
        <w:tc>
          <w:tcPr>
            <w:tcW w:w="1090" w:type="pct"/>
            <w:tcBorders>
              <w:tl2br w:val="nil"/>
              <w:tr2bl w:val="nil"/>
            </w:tcBorders>
            <w:shd w:val="clear" w:color="auto" w:fill="auto"/>
            <w:vAlign w:val="center"/>
          </w:tcPr>
          <w:p w14:paraId="6DDF958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1290</w:t>
            </w:r>
          </w:p>
        </w:tc>
      </w:tr>
      <w:tr w14:paraId="5F870F1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53F0989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32</w:t>
            </w:r>
          </w:p>
        </w:tc>
        <w:tc>
          <w:tcPr>
            <w:tcW w:w="1501" w:type="pct"/>
            <w:tcBorders>
              <w:tl2br w:val="nil"/>
              <w:tr2bl w:val="nil"/>
            </w:tcBorders>
            <w:shd w:val="clear" w:color="auto" w:fill="auto"/>
            <w:vAlign w:val="center"/>
          </w:tcPr>
          <w:p w14:paraId="501A8DC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甲苯</w:t>
            </w:r>
          </w:p>
        </w:tc>
        <w:tc>
          <w:tcPr>
            <w:tcW w:w="960" w:type="pct"/>
            <w:tcBorders>
              <w:tl2br w:val="nil"/>
              <w:tr2bl w:val="nil"/>
            </w:tcBorders>
            <w:vAlign w:val="center"/>
          </w:tcPr>
          <w:p w14:paraId="25BD081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108-88-3</w:t>
            </w:r>
          </w:p>
        </w:tc>
        <w:tc>
          <w:tcPr>
            <w:tcW w:w="1087" w:type="pct"/>
            <w:tcBorders>
              <w:tl2br w:val="nil"/>
              <w:tr2bl w:val="nil"/>
            </w:tcBorders>
            <w:vAlign w:val="center"/>
          </w:tcPr>
          <w:p w14:paraId="5FEC588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1200</w:t>
            </w:r>
          </w:p>
        </w:tc>
        <w:tc>
          <w:tcPr>
            <w:tcW w:w="1090" w:type="pct"/>
            <w:tcBorders>
              <w:tl2br w:val="nil"/>
              <w:tr2bl w:val="nil"/>
            </w:tcBorders>
            <w:shd w:val="clear" w:color="auto" w:fill="auto"/>
            <w:vAlign w:val="center"/>
          </w:tcPr>
          <w:p w14:paraId="090D551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1200</w:t>
            </w:r>
          </w:p>
        </w:tc>
      </w:tr>
      <w:tr w14:paraId="6908E38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5B5B42E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33</w:t>
            </w:r>
          </w:p>
        </w:tc>
        <w:tc>
          <w:tcPr>
            <w:tcW w:w="1501" w:type="pct"/>
            <w:tcBorders>
              <w:tl2br w:val="nil"/>
              <w:tr2bl w:val="nil"/>
            </w:tcBorders>
            <w:shd w:val="clear" w:color="auto" w:fill="auto"/>
            <w:vAlign w:val="center"/>
          </w:tcPr>
          <w:p w14:paraId="57230F7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间二甲苯+对二甲苯</w:t>
            </w:r>
          </w:p>
        </w:tc>
        <w:tc>
          <w:tcPr>
            <w:tcW w:w="960" w:type="pct"/>
            <w:tcBorders>
              <w:tl2br w:val="nil"/>
              <w:tr2bl w:val="nil"/>
            </w:tcBorders>
            <w:vAlign w:val="center"/>
          </w:tcPr>
          <w:p w14:paraId="7715C0E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108-38-3，106-42-3</w:t>
            </w:r>
          </w:p>
        </w:tc>
        <w:tc>
          <w:tcPr>
            <w:tcW w:w="1087" w:type="pct"/>
            <w:tcBorders>
              <w:tl2br w:val="nil"/>
              <w:tr2bl w:val="nil"/>
            </w:tcBorders>
            <w:vAlign w:val="center"/>
          </w:tcPr>
          <w:p w14:paraId="1896CC0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163</w:t>
            </w:r>
          </w:p>
        </w:tc>
        <w:tc>
          <w:tcPr>
            <w:tcW w:w="1090" w:type="pct"/>
            <w:tcBorders>
              <w:tl2br w:val="nil"/>
              <w:tr2bl w:val="nil"/>
            </w:tcBorders>
            <w:shd w:val="clear" w:color="auto" w:fill="auto"/>
            <w:vAlign w:val="center"/>
          </w:tcPr>
          <w:p w14:paraId="6C1E7F5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570</w:t>
            </w:r>
          </w:p>
        </w:tc>
      </w:tr>
      <w:tr w14:paraId="6F5840E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150EB79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34</w:t>
            </w:r>
          </w:p>
        </w:tc>
        <w:tc>
          <w:tcPr>
            <w:tcW w:w="1501" w:type="pct"/>
            <w:tcBorders>
              <w:tl2br w:val="nil"/>
              <w:tr2bl w:val="nil"/>
            </w:tcBorders>
            <w:shd w:val="clear" w:color="auto" w:fill="auto"/>
            <w:vAlign w:val="center"/>
          </w:tcPr>
          <w:p w14:paraId="70A6297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邻二甲苯</w:t>
            </w:r>
          </w:p>
        </w:tc>
        <w:tc>
          <w:tcPr>
            <w:tcW w:w="960" w:type="pct"/>
            <w:tcBorders>
              <w:tl2br w:val="nil"/>
              <w:tr2bl w:val="nil"/>
            </w:tcBorders>
            <w:vAlign w:val="center"/>
          </w:tcPr>
          <w:p w14:paraId="3191C5F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95-47-6</w:t>
            </w:r>
          </w:p>
        </w:tc>
        <w:tc>
          <w:tcPr>
            <w:tcW w:w="1087" w:type="pct"/>
            <w:tcBorders>
              <w:tl2br w:val="nil"/>
              <w:tr2bl w:val="nil"/>
            </w:tcBorders>
            <w:vAlign w:val="center"/>
          </w:tcPr>
          <w:p w14:paraId="4064B22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222</w:t>
            </w:r>
          </w:p>
        </w:tc>
        <w:tc>
          <w:tcPr>
            <w:tcW w:w="1090" w:type="pct"/>
            <w:tcBorders>
              <w:tl2br w:val="nil"/>
              <w:tr2bl w:val="nil"/>
            </w:tcBorders>
            <w:shd w:val="clear" w:color="auto" w:fill="auto"/>
            <w:vAlign w:val="center"/>
          </w:tcPr>
          <w:p w14:paraId="7213740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640</w:t>
            </w:r>
          </w:p>
        </w:tc>
      </w:tr>
      <w:tr w14:paraId="40C908A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14:paraId="27BE0B6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半挥发性有机物</w:t>
            </w:r>
          </w:p>
        </w:tc>
      </w:tr>
      <w:tr w14:paraId="761BFD6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7B5E918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35</w:t>
            </w:r>
          </w:p>
        </w:tc>
        <w:tc>
          <w:tcPr>
            <w:tcW w:w="1501" w:type="pct"/>
            <w:tcBorders>
              <w:tl2br w:val="nil"/>
              <w:tr2bl w:val="nil"/>
            </w:tcBorders>
            <w:shd w:val="clear" w:color="auto" w:fill="auto"/>
            <w:vAlign w:val="center"/>
          </w:tcPr>
          <w:p w14:paraId="760239E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硝基苯</w:t>
            </w:r>
          </w:p>
        </w:tc>
        <w:tc>
          <w:tcPr>
            <w:tcW w:w="960" w:type="pct"/>
            <w:tcBorders>
              <w:tl2br w:val="nil"/>
              <w:tr2bl w:val="nil"/>
            </w:tcBorders>
            <w:vAlign w:val="center"/>
          </w:tcPr>
          <w:p w14:paraId="4E74BDA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98-95-3</w:t>
            </w:r>
          </w:p>
        </w:tc>
        <w:tc>
          <w:tcPr>
            <w:tcW w:w="1087" w:type="pct"/>
            <w:tcBorders>
              <w:tl2br w:val="nil"/>
              <w:tr2bl w:val="nil"/>
            </w:tcBorders>
            <w:vAlign w:val="center"/>
          </w:tcPr>
          <w:p w14:paraId="6F9D261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34</w:t>
            </w:r>
          </w:p>
        </w:tc>
        <w:tc>
          <w:tcPr>
            <w:tcW w:w="1090" w:type="pct"/>
            <w:tcBorders>
              <w:tl2br w:val="nil"/>
              <w:tr2bl w:val="nil"/>
            </w:tcBorders>
            <w:shd w:val="clear" w:color="auto" w:fill="auto"/>
            <w:vAlign w:val="center"/>
          </w:tcPr>
          <w:p w14:paraId="7ACBC39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76</w:t>
            </w:r>
          </w:p>
        </w:tc>
      </w:tr>
      <w:tr w14:paraId="51B4F2B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2AD642F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36</w:t>
            </w:r>
          </w:p>
        </w:tc>
        <w:tc>
          <w:tcPr>
            <w:tcW w:w="1501" w:type="pct"/>
            <w:tcBorders>
              <w:tl2br w:val="nil"/>
              <w:tr2bl w:val="nil"/>
            </w:tcBorders>
            <w:shd w:val="clear" w:color="auto" w:fill="auto"/>
            <w:vAlign w:val="center"/>
          </w:tcPr>
          <w:p w14:paraId="78D508F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苯胺</w:t>
            </w:r>
          </w:p>
        </w:tc>
        <w:tc>
          <w:tcPr>
            <w:tcW w:w="960" w:type="pct"/>
            <w:tcBorders>
              <w:tl2br w:val="nil"/>
              <w:tr2bl w:val="nil"/>
            </w:tcBorders>
            <w:vAlign w:val="center"/>
          </w:tcPr>
          <w:p w14:paraId="1FC63E9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62-53-3</w:t>
            </w:r>
          </w:p>
        </w:tc>
        <w:tc>
          <w:tcPr>
            <w:tcW w:w="1087" w:type="pct"/>
            <w:tcBorders>
              <w:tl2br w:val="nil"/>
              <w:tr2bl w:val="nil"/>
            </w:tcBorders>
            <w:vAlign w:val="center"/>
          </w:tcPr>
          <w:p w14:paraId="135B930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92</w:t>
            </w:r>
          </w:p>
        </w:tc>
        <w:tc>
          <w:tcPr>
            <w:tcW w:w="1090" w:type="pct"/>
            <w:tcBorders>
              <w:tl2br w:val="nil"/>
              <w:tr2bl w:val="nil"/>
            </w:tcBorders>
            <w:shd w:val="clear" w:color="auto" w:fill="auto"/>
            <w:vAlign w:val="center"/>
          </w:tcPr>
          <w:p w14:paraId="3B233BA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260</w:t>
            </w:r>
          </w:p>
        </w:tc>
      </w:tr>
      <w:tr w14:paraId="34201C3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25CFA63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37</w:t>
            </w:r>
          </w:p>
        </w:tc>
        <w:tc>
          <w:tcPr>
            <w:tcW w:w="1501" w:type="pct"/>
            <w:tcBorders>
              <w:tl2br w:val="nil"/>
              <w:tr2bl w:val="nil"/>
            </w:tcBorders>
            <w:shd w:val="clear" w:color="auto" w:fill="auto"/>
            <w:vAlign w:val="center"/>
          </w:tcPr>
          <w:p w14:paraId="2A28D9C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2-氯酚</w:t>
            </w:r>
          </w:p>
        </w:tc>
        <w:tc>
          <w:tcPr>
            <w:tcW w:w="960" w:type="pct"/>
            <w:tcBorders>
              <w:tl2br w:val="nil"/>
              <w:tr2bl w:val="nil"/>
            </w:tcBorders>
            <w:vAlign w:val="center"/>
          </w:tcPr>
          <w:p w14:paraId="7C38B2C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95-57-8</w:t>
            </w:r>
          </w:p>
        </w:tc>
        <w:tc>
          <w:tcPr>
            <w:tcW w:w="1087" w:type="pct"/>
            <w:tcBorders>
              <w:tl2br w:val="nil"/>
              <w:tr2bl w:val="nil"/>
            </w:tcBorders>
            <w:vAlign w:val="center"/>
          </w:tcPr>
          <w:p w14:paraId="262ED78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250</w:t>
            </w:r>
          </w:p>
        </w:tc>
        <w:tc>
          <w:tcPr>
            <w:tcW w:w="1090" w:type="pct"/>
            <w:tcBorders>
              <w:tl2br w:val="nil"/>
              <w:tr2bl w:val="nil"/>
            </w:tcBorders>
            <w:shd w:val="clear" w:color="auto" w:fill="auto"/>
            <w:vAlign w:val="center"/>
          </w:tcPr>
          <w:p w14:paraId="6E0E42A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2256</w:t>
            </w:r>
          </w:p>
        </w:tc>
      </w:tr>
      <w:tr w14:paraId="6819467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4EE76D7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38</w:t>
            </w:r>
          </w:p>
        </w:tc>
        <w:tc>
          <w:tcPr>
            <w:tcW w:w="1501" w:type="pct"/>
            <w:tcBorders>
              <w:tl2br w:val="nil"/>
              <w:tr2bl w:val="nil"/>
            </w:tcBorders>
            <w:shd w:val="clear" w:color="auto" w:fill="auto"/>
            <w:vAlign w:val="center"/>
          </w:tcPr>
          <w:p w14:paraId="1F5FD90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苯并[a]蒽</w:t>
            </w:r>
          </w:p>
        </w:tc>
        <w:tc>
          <w:tcPr>
            <w:tcW w:w="960" w:type="pct"/>
            <w:tcBorders>
              <w:tl2br w:val="nil"/>
              <w:tr2bl w:val="nil"/>
            </w:tcBorders>
            <w:vAlign w:val="center"/>
          </w:tcPr>
          <w:p w14:paraId="3B16D1F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56-55-3</w:t>
            </w:r>
          </w:p>
        </w:tc>
        <w:tc>
          <w:tcPr>
            <w:tcW w:w="1087" w:type="pct"/>
            <w:tcBorders>
              <w:tl2br w:val="nil"/>
              <w:tr2bl w:val="nil"/>
            </w:tcBorders>
            <w:vAlign w:val="center"/>
          </w:tcPr>
          <w:p w14:paraId="7581CF7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5.5</w:t>
            </w:r>
          </w:p>
        </w:tc>
        <w:tc>
          <w:tcPr>
            <w:tcW w:w="1090" w:type="pct"/>
            <w:tcBorders>
              <w:tl2br w:val="nil"/>
              <w:tr2bl w:val="nil"/>
            </w:tcBorders>
            <w:shd w:val="clear" w:color="auto" w:fill="auto"/>
            <w:vAlign w:val="center"/>
          </w:tcPr>
          <w:p w14:paraId="0FFFEC4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w:t>
            </w:r>
          </w:p>
        </w:tc>
      </w:tr>
      <w:tr w14:paraId="1D0373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2CB17D8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39</w:t>
            </w:r>
          </w:p>
        </w:tc>
        <w:tc>
          <w:tcPr>
            <w:tcW w:w="1501" w:type="pct"/>
            <w:tcBorders>
              <w:tl2br w:val="nil"/>
              <w:tr2bl w:val="nil"/>
            </w:tcBorders>
            <w:shd w:val="clear" w:color="auto" w:fill="auto"/>
            <w:vAlign w:val="center"/>
          </w:tcPr>
          <w:p w14:paraId="302886C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苯并[a]芘</w:t>
            </w:r>
          </w:p>
        </w:tc>
        <w:tc>
          <w:tcPr>
            <w:tcW w:w="960" w:type="pct"/>
            <w:tcBorders>
              <w:tl2br w:val="nil"/>
              <w:tr2bl w:val="nil"/>
            </w:tcBorders>
            <w:vAlign w:val="center"/>
          </w:tcPr>
          <w:p w14:paraId="1DC7034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50-32-8</w:t>
            </w:r>
          </w:p>
        </w:tc>
        <w:tc>
          <w:tcPr>
            <w:tcW w:w="1087" w:type="pct"/>
            <w:tcBorders>
              <w:tl2br w:val="nil"/>
              <w:tr2bl w:val="nil"/>
            </w:tcBorders>
            <w:vAlign w:val="center"/>
          </w:tcPr>
          <w:p w14:paraId="76D611E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0.55</w:t>
            </w:r>
          </w:p>
        </w:tc>
        <w:tc>
          <w:tcPr>
            <w:tcW w:w="1090" w:type="pct"/>
            <w:tcBorders>
              <w:tl2br w:val="nil"/>
              <w:tr2bl w:val="nil"/>
            </w:tcBorders>
            <w:shd w:val="clear" w:color="auto" w:fill="auto"/>
            <w:vAlign w:val="center"/>
          </w:tcPr>
          <w:p w14:paraId="0D7A044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w:t>
            </w:r>
          </w:p>
        </w:tc>
      </w:tr>
      <w:tr w14:paraId="3EFE4C9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286F458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40</w:t>
            </w:r>
          </w:p>
        </w:tc>
        <w:tc>
          <w:tcPr>
            <w:tcW w:w="1501" w:type="pct"/>
            <w:tcBorders>
              <w:tl2br w:val="nil"/>
              <w:tr2bl w:val="nil"/>
            </w:tcBorders>
            <w:shd w:val="clear" w:color="auto" w:fill="auto"/>
            <w:vAlign w:val="center"/>
          </w:tcPr>
          <w:p w14:paraId="4FCB49B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苯并[b]荧蒽</w:t>
            </w:r>
          </w:p>
        </w:tc>
        <w:tc>
          <w:tcPr>
            <w:tcW w:w="960" w:type="pct"/>
            <w:tcBorders>
              <w:tl2br w:val="nil"/>
              <w:tr2bl w:val="nil"/>
            </w:tcBorders>
            <w:vAlign w:val="center"/>
          </w:tcPr>
          <w:p w14:paraId="44D722F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205-99-2</w:t>
            </w:r>
          </w:p>
        </w:tc>
        <w:tc>
          <w:tcPr>
            <w:tcW w:w="1087" w:type="pct"/>
            <w:tcBorders>
              <w:tl2br w:val="nil"/>
              <w:tr2bl w:val="nil"/>
            </w:tcBorders>
            <w:vAlign w:val="center"/>
          </w:tcPr>
          <w:p w14:paraId="0C64DD0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5.5</w:t>
            </w:r>
          </w:p>
        </w:tc>
        <w:tc>
          <w:tcPr>
            <w:tcW w:w="1090" w:type="pct"/>
            <w:tcBorders>
              <w:tl2br w:val="nil"/>
              <w:tr2bl w:val="nil"/>
            </w:tcBorders>
            <w:shd w:val="clear" w:color="auto" w:fill="auto"/>
            <w:vAlign w:val="center"/>
          </w:tcPr>
          <w:p w14:paraId="148149F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w:t>
            </w:r>
          </w:p>
        </w:tc>
      </w:tr>
      <w:tr w14:paraId="29FB8B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3CCCEC8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41</w:t>
            </w:r>
          </w:p>
        </w:tc>
        <w:tc>
          <w:tcPr>
            <w:tcW w:w="1501" w:type="pct"/>
            <w:tcBorders>
              <w:tl2br w:val="nil"/>
              <w:tr2bl w:val="nil"/>
            </w:tcBorders>
            <w:shd w:val="clear" w:color="auto" w:fill="auto"/>
            <w:vAlign w:val="center"/>
          </w:tcPr>
          <w:p w14:paraId="1C9A252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苯并[k]荧蒽</w:t>
            </w:r>
          </w:p>
        </w:tc>
        <w:tc>
          <w:tcPr>
            <w:tcW w:w="960" w:type="pct"/>
            <w:tcBorders>
              <w:tl2br w:val="nil"/>
              <w:tr2bl w:val="nil"/>
            </w:tcBorders>
            <w:vAlign w:val="center"/>
          </w:tcPr>
          <w:p w14:paraId="608FE83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207-08-9</w:t>
            </w:r>
          </w:p>
        </w:tc>
        <w:tc>
          <w:tcPr>
            <w:tcW w:w="1087" w:type="pct"/>
            <w:tcBorders>
              <w:tl2br w:val="nil"/>
              <w:tr2bl w:val="nil"/>
            </w:tcBorders>
            <w:vAlign w:val="center"/>
          </w:tcPr>
          <w:p w14:paraId="0BCB5AE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55</w:t>
            </w:r>
          </w:p>
        </w:tc>
        <w:tc>
          <w:tcPr>
            <w:tcW w:w="1090" w:type="pct"/>
            <w:tcBorders>
              <w:tl2br w:val="nil"/>
              <w:tr2bl w:val="nil"/>
            </w:tcBorders>
            <w:shd w:val="clear" w:color="auto" w:fill="auto"/>
            <w:vAlign w:val="center"/>
          </w:tcPr>
          <w:p w14:paraId="136BCF4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151</w:t>
            </w:r>
          </w:p>
        </w:tc>
      </w:tr>
      <w:tr w14:paraId="28E09B7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322248A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42</w:t>
            </w:r>
          </w:p>
        </w:tc>
        <w:tc>
          <w:tcPr>
            <w:tcW w:w="1501" w:type="pct"/>
            <w:tcBorders>
              <w:tl2br w:val="nil"/>
              <w:tr2bl w:val="nil"/>
            </w:tcBorders>
            <w:shd w:val="clear" w:color="auto" w:fill="auto"/>
            <w:vAlign w:val="center"/>
          </w:tcPr>
          <w:p w14:paraId="684AAC4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䓛</w:t>
            </w:r>
          </w:p>
        </w:tc>
        <w:tc>
          <w:tcPr>
            <w:tcW w:w="960" w:type="pct"/>
            <w:tcBorders>
              <w:tl2br w:val="nil"/>
              <w:tr2bl w:val="nil"/>
            </w:tcBorders>
            <w:vAlign w:val="center"/>
          </w:tcPr>
          <w:p w14:paraId="13C0DA3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218-01-9</w:t>
            </w:r>
          </w:p>
        </w:tc>
        <w:tc>
          <w:tcPr>
            <w:tcW w:w="1087" w:type="pct"/>
            <w:tcBorders>
              <w:tl2br w:val="nil"/>
              <w:tr2bl w:val="nil"/>
            </w:tcBorders>
            <w:vAlign w:val="center"/>
          </w:tcPr>
          <w:p w14:paraId="687F69E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490</w:t>
            </w:r>
          </w:p>
        </w:tc>
        <w:tc>
          <w:tcPr>
            <w:tcW w:w="1090" w:type="pct"/>
            <w:tcBorders>
              <w:tl2br w:val="nil"/>
              <w:tr2bl w:val="nil"/>
            </w:tcBorders>
            <w:shd w:val="clear" w:color="auto" w:fill="auto"/>
            <w:vAlign w:val="center"/>
          </w:tcPr>
          <w:p w14:paraId="7B0FD16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1293</w:t>
            </w:r>
          </w:p>
        </w:tc>
      </w:tr>
      <w:tr w14:paraId="6920787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4BB89EE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43</w:t>
            </w:r>
          </w:p>
        </w:tc>
        <w:tc>
          <w:tcPr>
            <w:tcW w:w="1501" w:type="pct"/>
            <w:tcBorders>
              <w:tl2br w:val="nil"/>
              <w:tr2bl w:val="nil"/>
            </w:tcBorders>
            <w:shd w:val="clear" w:color="auto" w:fill="auto"/>
            <w:vAlign w:val="center"/>
          </w:tcPr>
          <w:p w14:paraId="04B52E7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二苯并[a，h]蒽</w:t>
            </w:r>
          </w:p>
        </w:tc>
        <w:tc>
          <w:tcPr>
            <w:tcW w:w="960" w:type="pct"/>
            <w:tcBorders>
              <w:tl2br w:val="nil"/>
              <w:tr2bl w:val="nil"/>
            </w:tcBorders>
            <w:vAlign w:val="center"/>
          </w:tcPr>
          <w:p w14:paraId="35C401D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53-70-3</w:t>
            </w:r>
          </w:p>
        </w:tc>
        <w:tc>
          <w:tcPr>
            <w:tcW w:w="1087" w:type="pct"/>
            <w:tcBorders>
              <w:tl2br w:val="nil"/>
              <w:tr2bl w:val="nil"/>
            </w:tcBorders>
            <w:vAlign w:val="center"/>
          </w:tcPr>
          <w:p w14:paraId="3B88607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0.55</w:t>
            </w:r>
          </w:p>
        </w:tc>
        <w:tc>
          <w:tcPr>
            <w:tcW w:w="1090" w:type="pct"/>
            <w:tcBorders>
              <w:tl2br w:val="nil"/>
              <w:tr2bl w:val="nil"/>
            </w:tcBorders>
            <w:shd w:val="clear" w:color="auto" w:fill="auto"/>
            <w:vAlign w:val="center"/>
          </w:tcPr>
          <w:p w14:paraId="79E88AC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w:t>
            </w:r>
          </w:p>
        </w:tc>
      </w:tr>
      <w:tr w14:paraId="3D86D90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1DBB33D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w:t>
            </w:r>
          </w:p>
        </w:tc>
        <w:tc>
          <w:tcPr>
            <w:tcW w:w="1501" w:type="pct"/>
            <w:tcBorders>
              <w:tl2br w:val="nil"/>
              <w:tr2bl w:val="nil"/>
            </w:tcBorders>
            <w:shd w:val="clear" w:color="auto" w:fill="auto"/>
            <w:vAlign w:val="center"/>
          </w:tcPr>
          <w:p w14:paraId="31C0B68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茚并[1，2，3-cd]芘</w:t>
            </w:r>
          </w:p>
        </w:tc>
        <w:tc>
          <w:tcPr>
            <w:tcW w:w="960" w:type="pct"/>
            <w:tcBorders>
              <w:tl2br w:val="nil"/>
              <w:tr2bl w:val="nil"/>
            </w:tcBorders>
            <w:vAlign w:val="center"/>
          </w:tcPr>
          <w:p w14:paraId="4927BA8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193-39-5</w:t>
            </w:r>
          </w:p>
        </w:tc>
        <w:tc>
          <w:tcPr>
            <w:tcW w:w="1087" w:type="pct"/>
            <w:tcBorders>
              <w:tl2br w:val="nil"/>
              <w:tr2bl w:val="nil"/>
            </w:tcBorders>
            <w:vAlign w:val="center"/>
          </w:tcPr>
          <w:p w14:paraId="142AAFB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55</w:t>
            </w:r>
          </w:p>
        </w:tc>
        <w:tc>
          <w:tcPr>
            <w:tcW w:w="1090" w:type="pct"/>
            <w:tcBorders>
              <w:tl2br w:val="nil"/>
              <w:tr2bl w:val="nil"/>
            </w:tcBorders>
            <w:shd w:val="clear" w:color="auto" w:fill="auto"/>
            <w:vAlign w:val="center"/>
          </w:tcPr>
          <w:p w14:paraId="44A3086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w:t>
            </w:r>
          </w:p>
        </w:tc>
      </w:tr>
      <w:tr w14:paraId="5FBA118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tcBorders>
              <w:tl2br w:val="nil"/>
              <w:tr2bl w:val="nil"/>
            </w:tcBorders>
            <w:vAlign w:val="center"/>
          </w:tcPr>
          <w:p w14:paraId="7940811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w:t>
            </w:r>
          </w:p>
        </w:tc>
        <w:tc>
          <w:tcPr>
            <w:tcW w:w="1501" w:type="pct"/>
            <w:tcBorders>
              <w:tl2br w:val="nil"/>
              <w:tr2bl w:val="nil"/>
            </w:tcBorders>
            <w:shd w:val="clear" w:color="auto" w:fill="auto"/>
            <w:vAlign w:val="center"/>
          </w:tcPr>
          <w:p w14:paraId="3AA514E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萘</w:t>
            </w:r>
          </w:p>
        </w:tc>
        <w:tc>
          <w:tcPr>
            <w:tcW w:w="960" w:type="pct"/>
            <w:tcBorders>
              <w:tl2br w:val="nil"/>
              <w:tr2bl w:val="nil"/>
            </w:tcBorders>
            <w:vAlign w:val="center"/>
          </w:tcPr>
          <w:p w14:paraId="6A1F37E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91-20-3</w:t>
            </w:r>
          </w:p>
        </w:tc>
        <w:tc>
          <w:tcPr>
            <w:tcW w:w="1087" w:type="pct"/>
            <w:tcBorders>
              <w:tl2br w:val="nil"/>
              <w:tr2bl w:val="nil"/>
            </w:tcBorders>
            <w:vAlign w:val="center"/>
          </w:tcPr>
          <w:p w14:paraId="4AAFB6C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25</w:t>
            </w:r>
          </w:p>
        </w:tc>
        <w:tc>
          <w:tcPr>
            <w:tcW w:w="1090" w:type="pct"/>
            <w:tcBorders>
              <w:tl2br w:val="nil"/>
              <w:tr2bl w:val="nil"/>
            </w:tcBorders>
            <w:shd w:val="clear" w:color="auto" w:fill="auto"/>
            <w:vAlign w:val="center"/>
          </w:tcPr>
          <w:p w14:paraId="520332A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70</w:t>
            </w:r>
          </w:p>
        </w:tc>
      </w:tr>
    </w:tbl>
    <w:p w14:paraId="6AC20AFB">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2.4.2污染物排放标准</w:t>
      </w:r>
    </w:p>
    <w:p w14:paraId="447BDC41">
      <w:pPr>
        <w:pStyle w:val="6"/>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rPr>
        <w:t>1）废气</w:t>
      </w:r>
    </w:p>
    <w:p w14:paraId="5EBD7E9E">
      <w:pPr>
        <w:pStyle w:val="6"/>
        <w:rPr>
          <w:rFonts w:hint="default" w:ascii="Times New Roman" w:hAnsi="Times New Roman" w:cs="Times New Roman"/>
        </w:rPr>
      </w:pPr>
      <w:r>
        <w:rPr>
          <w:rFonts w:hint="default" w:ascii="Times New Roman" w:hAnsi="Times New Roman" w:cs="Times New Roman"/>
          <w:highlight w:val="none"/>
        </w:rPr>
        <w:t>根据《水泥窑协同处置固体废物污染控制标准》（GB30485-2013）中7.1规定，利用水泥窑协同处置固体废物时，水泥窑及窑尾余热利用系统排气筒大气污染物中颗粒物、SO</w:t>
      </w:r>
      <w:r>
        <w:rPr>
          <w:rFonts w:hint="default" w:ascii="Times New Roman" w:hAnsi="Times New Roman" w:cs="Times New Roman"/>
          <w:highlight w:val="none"/>
          <w:vertAlign w:val="subscript"/>
        </w:rPr>
        <w:t>2</w:t>
      </w:r>
      <w:r>
        <w:rPr>
          <w:rFonts w:hint="default" w:ascii="Times New Roman" w:hAnsi="Times New Roman" w:cs="Times New Roman"/>
          <w:highlight w:val="none"/>
        </w:rPr>
        <w:t>、NO</w:t>
      </w:r>
      <w:r>
        <w:rPr>
          <w:rFonts w:hint="default" w:ascii="Times New Roman" w:hAnsi="Times New Roman" w:cs="Times New Roman"/>
          <w:highlight w:val="none"/>
          <w:vertAlign w:val="subscript"/>
        </w:rPr>
        <w:t>x</w:t>
      </w:r>
      <w:r>
        <w:rPr>
          <w:rFonts w:hint="default" w:ascii="Times New Roman" w:hAnsi="Times New Roman" w:cs="Times New Roman"/>
          <w:highlight w:val="none"/>
        </w:rPr>
        <w:t>和</w:t>
      </w:r>
      <w:r>
        <w:rPr>
          <w:rFonts w:hint="eastAsia" w:cs="Times New Roman"/>
          <w:highlight w:val="none"/>
          <w:lang w:val="en-US" w:eastAsia="zh-CN"/>
        </w:rPr>
        <w:t>氨</w:t>
      </w:r>
      <w:r>
        <w:rPr>
          <w:rFonts w:hint="default" w:ascii="Times New Roman" w:hAnsi="Times New Roman" w:cs="Times New Roman"/>
          <w:highlight w:val="none"/>
        </w:rPr>
        <w:t>的排放限值按《水泥工业大气污染物排放标准》（GB4915-2013）（含2025年修改单）中</w:t>
      </w:r>
      <w:r>
        <w:rPr>
          <w:rFonts w:hint="eastAsia" w:cs="Times New Roman"/>
          <w:highlight w:val="none"/>
          <w:lang w:val="en-US" w:eastAsia="zh-CN"/>
        </w:rPr>
        <w:t>的</w:t>
      </w:r>
      <w:r>
        <w:rPr>
          <w:rFonts w:hint="default" w:ascii="Times New Roman" w:hAnsi="Times New Roman" w:cs="Times New Roman"/>
          <w:highlight w:val="none"/>
        </w:rPr>
        <w:t>要求执行，</w:t>
      </w:r>
      <w:r>
        <w:rPr>
          <w:rFonts w:hint="eastAsia" w:cs="Times New Roman"/>
          <w:highlight w:val="none"/>
          <w:lang w:val="en-US" w:eastAsia="zh-CN"/>
        </w:rPr>
        <w:t>因此</w:t>
      </w:r>
      <w:r>
        <w:rPr>
          <w:rFonts w:hint="default" w:ascii="Times New Roman" w:hAnsi="Times New Roman" w:cs="Times New Roman"/>
          <w:highlight w:val="none"/>
        </w:rPr>
        <w:t>本项目窑尾烟气中颗粒物、SO</w:t>
      </w:r>
      <w:r>
        <w:rPr>
          <w:rFonts w:hint="default" w:ascii="Times New Roman" w:hAnsi="Times New Roman" w:cs="Times New Roman"/>
          <w:highlight w:val="none"/>
          <w:vertAlign w:val="subscript"/>
        </w:rPr>
        <w:t>2</w:t>
      </w:r>
      <w:r>
        <w:rPr>
          <w:rFonts w:hint="default" w:ascii="Times New Roman" w:hAnsi="Times New Roman" w:cs="Times New Roman"/>
          <w:highlight w:val="none"/>
        </w:rPr>
        <w:t>、NO</w:t>
      </w:r>
      <w:r>
        <w:rPr>
          <w:rFonts w:hint="default" w:ascii="Times New Roman" w:hAnsi="Times New Roman" w:cs="Times New Roman"/>
          <w:highlight w:val="none"/>
          <w:vertAlign w:val="subscript"/>
        </w:rPr>
        <w:t>x</w:t>
      </w:r>
      <w:r>
        <w:rPr>
          <w:rFonts w:hint="default" w:ascii="Times New Roman" w:hAnsi="Times New Roman" w:cs="Times New Roman"/>
          <w:highlight w:val="none"/>
        </w:rPr>
        <w:t>、</w:t>
      </w:r>
      <w:r>
        <w:rPr>
          <w:rFonts w:hint="eastAsia" w:cs="Times New Roman"/>
          <w:highlight w:val="none"/>
          <w:lang w:val="en-US" w:eastAsia="zh-CN"/>
        </w:rPr>
        <w:t>氨</w:t>
      </w:r>
      <w:r>
        <w:rPr>
          <w:rFonts w:hint="default" w:ascii="Times New Roman" w:hAnsi="Times New Roman" w:cs="Times New Roman"/>
          <w:highlight w:val="none"/>
        </w:rPr>
        <w:t>的排放执行《水泥工业大气污染物排放标准》（GB4915-2013）（含2025年修改单）中表1排放限值。</w:t>
      </w:r>
    </w:p>
    <w:p w14:paraId="5EDA217B">
      <w:pPr>
        <w:pStyle w:val="203"/>
        <w:keepNext w:val="0"/>
        <w:keepLines w:val="0"/>
        <w:pageBreakBefore w:val="0"/>
        <w:widowControl w:val="0"/>
        <w:kinsoku/>
        <w:wordWrap/>
        <w:overflowPunct/>
        <w:topLinePunct w:val="0"/>
        <w:autoSpaceDE/>
        <w:autoSpaceDN/>
        <w:bidi w:val="0"/>
        <w:adjustRightInd w:val="0"/>
        <w:snapToGrid w:val="0"/>
        <w:spacing w:before="0" w:beforeLines="0"/>
        <w:ind w:left="0" w:leftChars="0" w:right="0" w:rightChars="0" w:firstLine="0" w:firstLineChars="0"/>
        <w:jc w:val="center"/>
        <w:textAlignment w:val="auto"/>
        <w:rPr>
          <w:rFonts w:hint="default" w:ascii="Times New Roman" w:hAnsi="Times New Roman" w:eastAsia="宋体" w:cs="Times New Roman"/>
          <w:b/>
          <w:bCs/>
        </w:rPr>
      </w:pPr>
      <w:r>
        <w:rPr>
          <w:rFonts w:hint="default" w:ascii="Times New Roman" w:hAnsi="Times New Roman" w:eastAsia="宋体" w:cs="Times New Roman"/>
          <w:b/>
          <w:bCs/>
        </w:rPr>
        <w:t>表</w:t>
      </w: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STYLEREF 2 \s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2.4</w:t>
      </w:r>
      <w:r>
        <w:rPr>
          <w:rFonts w:hint="default" w:ascii="Times New Roman" w:hAnsi="Times New Roman" w:eastAsia="宋体" w:cs="Times New Roman"/>
          <w:b/>
          <w:bCs/>
        </w:rPr>
        <w:fldChar w:fldCharType="end"/>
      </w:r>
      <w:r>
        <w:rPr>
          <w:rFonts w:hint="default" w:ascii="Times New Roman" w:hAnsi="Times New Roman" w:cs="Times New Roman"/>
          <w:b/>
          <w:bCs/>
          <w:lang w:val="en-US" w:eastAsia="zh-CN"/>
        </w:rPr>
        <w:t xml:space="preserve">-4 </w:t>
      </w:r>
      <w:r>
        <w:rPr>
          <w:rFonts w:hint="default" w:ascii="Times New Roman" w:hAnsi="Times New Roman" w:eastAsia="宋体" w:cs="Times New Roman"/>
          <w:b/>
          <w:bCs/>
        </w:rPr>
        <w:t>依托工程水泥窑及窑尾余热利用系统大气污染物排放标准</w:t>
      </w:r>
    </w:p>
    <w:tbl>
      <w:tblPr>
        <w:tblStyle w:val="39"/>
        <w:tblW w:w="4999"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1497"/>
        <w:gridCol w:w="1104"/>
        <w:gridCol w:w="1509"/>
        <w:gridCol w:w="1499"/>
        <w:gridCol w:w="2265"/>
      </w:tblGrid>
      <w:tr w14:paraId="6CB9D24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8" w:hRule="atLeast"/>
          <w:tblHeader/>
          <w:jc w:val="center"/>
        </w:trPr>
        <w:tc>
          <w:tcPr>
            <w:tcW w:w="376" w:type="pct"/>
            <w:vMerge w:val="restart"/>
            <w:tcBorders>
              <w:tl2br w:val="nil"/>
              <w:tr2bl w:val="nil"/>
            </w:tcBorders>
            <w:vAlign w:val="center"/>
          </w:tcPr>
          <w:p w14:paraId="7143598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序号</w:t>
            </w:r>
          </w:p>
        </w:tc>
        <w:tc>
          <w:tcPr>
            <w:tcW w:w="879" w:type="pct"/>
            <w:vMerge w:val="restart"/>
            <w:tcBorders>
              <w:tl2br w:val="nil"/>
              <w:tr2bl w:val="nil"/>
            </w:tcBorders>
            <w:vAlign w:val="center"/>
          </w:tcPr>
          <w:p w14:paraId="3FCE74D2">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排放源</w:t>
            </w:r>
          </w:p>
        </w:tc>
        <w:tc>
          <w:tcPr>
            <w:tcW w:w="648" w:type="pct"/>
            <w:vMerge w:val="restart"/>
            <w:tcBorders>
              <w:tl2br w:val="nil"/>
              <w:tr2bl w:val="nil"/>
            </w:tcBorders>
            <w:vAlign w:val="center"/>
          </w:tcPr>
          <w:p w14:paraId="6E6481F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污染物</w:t>
            </w:r>
          </w:p>
        </w:tc>
        <w:tc>
          <w:tcPr>
            <w:tcW w:w="1766" w:type="pct"/>
            <w:gridSpan w:val="2"/>
            <w:tcBorders>
              <w:tl2br w:val="nil"/>
              <w:tr2bl w:val="nil"/>
            </w:tcBorders>
            <w:vAlign w:val="center"/>
          </w:tcPr>
          <w:p w14:paraId="20DACD3B">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最高排放限值</w:t>
            </w:r>
          </w:p>
        </w:tc>
        <w:tc>
          <w:tcPr>
            <w:tcW w:w="1329" w:type="pct"/>
            <w:vMerge w:val="restart"/>
            <w:tcBorders>
              <w:tl2br w:val="nil"/>
              <w:tr2bl w:val="nil"/>
            </w:tcBorders>
            <w:vAlign w:val="center"/>
          </w:tcPr>
          <w:p w14:paraId="0500048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标准来源</w:t>
            </w:r>
          </w:p>
        </w:tc>
      </w:tr>
      <w:tr w14:paraId="535D856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8" w:hRule="atLeast"/>
          <w:tblHeader/>
          <w:jc w:val="center"/>
        </w:trPr>
        <w:tc>
          <w:tcPr>
            <w:tcW w:w="376" w:type="pct"/>
            <w:vMerge w:val="continue"/>
            <w:tcBorders>
              <w:tl2br w:val="nil"/>
              <w:tr2bl w:val="nil"/>
            </w:tcBorders>
            <w:vAlign w:val="center"/>
          </w:tcPr>
          <w:p w14:paraId="2FC4F2F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879" w:type="pct"/>
            <w:vMerge w:val="continue"/>
            <w:tcBorders>
              <w:tl2br w:val="nil"/>
              <w:tr2bl w:val="nil"/>
            </w:tcBorders>
            <w:vAlign w:val="center"/>
          </w:tcPr>
          <w:p w14:paraId="31A8D8D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48" w:type="pct"/>
            <w:vMerge w:val="continue"/>
            <w:tcBorders>
              <w:tl2br w:val="nil"/>
              <w:tr2bl w:val="nil"/>
            </w:tcBorders>
            <w:vAlign w:val="center"/>
          </w:tcPr>
          <w:p w14:paraId="3593D9B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886" w:type="pct"/>
            <w:tcBorders>
              <w:tl2br w:val="nil"/>
              <w:tr2bl w:val="nil"/>
            </w:tcBorders>
            <w:vAlign w:val="center"/>
          </w:tcPr>
          <w:p w14:paraId="3C000B70">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浓度（mg/m</w:t>
            </w:r>
            <w:r>
              <w:rPr>
                <w:rFonts w:hint="default" w:ascii="Times New Roman" w:hAnsi="Times New Roman" w:cs="Times New Roman"/>
                <w:b/>
                <w:bCs/>
                <w:color w:val="000000" w:themeColor="text1"/>
                <w:sz w:val="21"/>
                <w:szCs w:val="18"/>
                <w:vertAlign w:val="superscript"/>
                <w14:textFill>
                  <w14:solidFill>
                    <w14:schemeClr w14:val="tx1"/>
                  </w14:solidFill>
                </w14:textFill>
              </w:rPr>
              <w:t>3</w:t>
            </w:r>
            <w:r>
              <w:rPr>
                <w:rFonts w:hint="default" w:ascii="Times New Roman" w:hAnsi="Times New Roman" w:cs="Times New Roman"/>
                <w:b/>
                <w:bCs/>
                <w:color w:val="000000" w:themeColor="text1"/>
                <w:sz w:val="21"/>
                <w:szCs w:val="18"/>
                <w14:textFill>
                  <w14:solidFill>
                    <w14:schemeClr w14:val="tx1"/>
                  </w14:solidFill>
                </w14:textFill>
              </w:rPr>
              <w:t>）</w:t>
            </w:r>
          </w:p>
        </w:tc>
        <w:tc>
          <w:tcPr>
            <w:tcW w:w="879" w:type="pct"/>
            <w:tcBorders>
              <w:tl2br w:val="nil"/>
              <w:tr2bl w:val="nil"/>
            </w:tcBorders>
            <w:vAlign w:val="center"/>
          </w:tcPr>
          <w:p w14:paraId="34A84340">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速率（kg/h）</w:t>
            </w:r>
          </w:p>
        </w:tc>
        <w:tc>
          <w:tcPr>
            <w:tcW w:w="1329" w:type="pct"/>
            <w:vMerge w:val="continue"/>
            <w:tcBorders>
              <w:tl2br w:val="nil"/>
              <w:tr2bl w:val="nil"/>
            </w:tcBorders>
            <w:vAlign w:val="center"/>
          </w:tcPr>
          <w:p w14:paraId="3628B96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1863128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76" w:type="pct"/>
            <w:tcBorders>
              <w:tl2br w:val="nil"/>
              <w:tr2bl w:val="nil"/>
            </w:tcBorders>
            <w:vAlign w:val="center"/>
          </w:tcPr>
          <w:p w14:paraId="45D28F5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w:t>
            </w:r>
          </w:p>
        </w:tc>
        <w:tc>
          <w:tcPr>
            <w:tcW w:w="879" w:type="pct"/>
            <w:vMerge w:val="restart"/>
            <w:tcBorders>
              <w:tl2br w:val="nil"/>
              <w:tr2bl w:val="nil"/>
            </w:tcBorders>
            <w:vAlign w:val="center"/>
          </w:tcPr>
          <w:p w14:paraId="39D2B44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水泥窑及窑尾余热利用系统排气筒（</w:t>
            </w:r>
            <w:r>
              <w:rPr>
                <w:rFonts w:hint="default" w:ascii="Times New Roman" w:hAnsi="Times New Roman" w:cs="Times New Roman"/>
                <w:color w:val="000000" w:themeColor="text1"/>
                <w:sz w:val="21"/>
                <w:szCs w:val="18"/>
                <w:lang w:val="en-US" w:eastAsia="zh-CN"/>
                <w14:textFill>
                  <w14:solidFill>
                    <w14:schemeClr w14:val="tx1"/>
                  </w14:solidFill>
                </w14:textFill>
              </w:rPr>
              <w:t>100</w:t>
            </w:r>
            <w:r>
              <w:rPr>
                <w:rFonts w:hint="default" w:ascii="Times New Roman" w:hAnsi="Times New Roman" w:cs="Times New Roman"/>
                <w:color w:val="000000" w:themeColor="text1"/>
                <w:sz w:val="21"/>
                <w:szCs w:val="18"/>
                <w14:textFill>
                  <w14:solidFill>
                    <w14:schemeClr w14:val="tx1"/>
                  </w14:solidFill>
                </w14:textFill>
              </w:rPr>
              <w:t>m）</w:t>
            </w:r>
          </w:p>
        </w:tc>
        <w:tc>
          <w:tcPr>
            <w:tcW w:w="648" w:type="pct"/>
            <w:tcBorders>
              <w:tl2br w:val="nil"/>
              <w:tr2bl w:val="nil"/>
            </w:tcBorders>
            <w:vAlign w:val="center"/>
          </w:tcPr>
          <w:p w14:paraId="635C062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颗粒物</w:t>
            </w:r>
          </w:p>
        </w:tc>
        <w:tc>
          <w:tcPr>
            <w:tcW w:w="886" w:type="pct"/>
            <w:tcBorders>
              <w:tl2br w:val="nil"/>
              <w:tr2bl w:val="nil"/>
            </w:tcBorders>
            <w:vAlign w:val="center"/>
          </w:tcPr>
          <w:p w14:paraId="5C64DCA2">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30</w:t>
            </w:r>
          </w:p>
        </w:tc>
        <w:tc>
          <w:tcPr>
            <w:tcW w:w="879" w:type="pct"/>
            <w:tcBorders>
              <w:tl2br w:val="nil"/>
              <w:tr2bl w:val="nil"/>
            </w:tcBorders>
            <w:vAlign w:val="center"/>
          </w:tcPr>
          <w:p w14:paraId="2471243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w:t>
            </w:r>
          </w:p>
        </w:tc>
        <w:tc>
          <w:tcPr>
            <w:tcW w:w="1329" w:type="pct"/>
            <w:vMerge w:val="restart"/>
            <w:tcBorders>
              <w:tl2br w:val="nil"/>
              <w:tr2bl w:val="nil"/>
            </w:tcBorders>
            <w:vAlign w:val="center"/>
          </w:tcPr>
          <w:p w14:paraId="23874B5E">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《水泥工业大气污染物排放标准》（GB4915-2013）（含2025年修改单）</w:t>
            </w:r>
            <w:r>
              <w:rPr>
                <w:rFonts w:hint="eastAsia" w:cs="Times New Roman"/>
                <w:color w:val="000000" w:themeColor="text1"/>
                <w:sz w:val="21"/>
                <w:szCs w:val="18"/>
                <w:lang w:val="en-US" w:eastAsia="zh-CN"/>
                <w14:textFill>
                  <w14:solidFill>
                    <w14:schemeClr w14:val="tx1"/>
                  </w14:solidFill>
                </w14:textFill>
              </w:rPr>
              <w:t>中</w:t>
            </w:r>
            <w:r>
              <w:rPr>
                <w:rFonts w:hint="default" w:ascii="Times New Roman" w:hAnsi="Times New Roman" w:cs="Times New Roman"/>
                <w:color w:val="000000" w:themeColor="text1"/>
                <w:sz w:val="21"/>
                <w:szCs w:val="18"/>
                <w14:textFill>
                  <w14:solidFill>
                    <w14:schemeClr w14:val="tx1"/>
                  </w14:solidFill>
                </w14:textFill>
              </w:rPr>
              <w:t>表</w:t>
            </w:r>
            <w:r>
              <w:rPr>
                <w:rFonts w:hint="eastAsia" w:cs="Times New Roman"/>
                <w:color w:val="000000" w:themeColor="text1"/>
                <w:sz w:val="21"/>
                <w:szCs w:val="18"/>
                <w:lang w:val="en-US" w:eastAsia="zh-CN"/>
                <w14:textFill>
                  <w14:solidFill>
                    <w14:schemeClr w14:val="tx1"/>
                  </w14:solidFill>
                </w14:textFill>
              </w:rPr>
              <w:t>1排放限值</w:t>
            </w:r>
          </w:p>
        </w:tc>
      </w:tr>
      <w:tr w14:paraId="7C14D66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76" w:type="pct"/>
            <w:tcBorders>
              <w:tl2br w:val="nil"/>
              <w:tr2bl w:val="nil"/>
            </w:tcBorders>
            <w:vAlign w:val="center"/>
          </w:tcPr>
          <w:p w14:paraId="2BCA22B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w:t>
            </w:r>
          </w:p>
        </w:tc>
        <w:tc>
          <w:tcPr>
            <w:tcW w:w="879" w:type="pct"/>
            <w:vMerge w:val="continue"/>
            <w:tcBorders>
              <w:tl2br w:val="nil"/>
              <w:tr2bl w:val="nil"/>
            </w:tcBorders>
            <w:vAlign w:val="center"/>
          </w:tcPr>
          <w:p w14:paraId="04A30C1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48" w:type="pct"/>
            <w:tcBorders>
              <w:tl2br w:val="nil"/>
              <w:tr2bl w:val="nil"/>
            </w:tcBorders>
            <w:vAlign w:val="center"/>
          </w:tcPr>
          <w:p w14:paraId="7E12C17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SO</w:t>
            </w:r>
            <w:r>
              <w:rPr>
                <w:rFonts w:hint="default" w:ascii="Times New Roman" w:hAnsi="Times New Roman" w:cs="Times New Roman"/>
                <w:color w:val="000000" w:themeColor="text1"/>
                <w:sz w:val="21"/>
                <w:szCs w:val="18"/>
                <w:vertAlign w:val="subscript"/>
                <w14:textFill>
                  <w14:solidFill>
                    <w14:schemeClr w14:val="tx1"/>
                  </w14:solidFill>
                </w14:textFill>
              </w:rPr>
              <w:t>2</w:t>
            </w:r>
          </w:p>
        </w:tc>
        <w:tc>
          <w:tcPr>
            <w:tcW w:w="886" w:type="pct"/>
            <w:tcBorders>
              <w:tl2br w:val="nil"/>
              <w:tr2bl w:val="nil"/>
            </w:tcBorders>
            <w:vAlign w:val="center"/>
          </w:tcPr>
          <w:p w14:paraId="3095C608">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200</w:t>
            </w:r>
          </w:p>
        </w:tc>
        <w:tc>
          <w:tcPr>
            <w:tcW w:w="879" w:type="pct"/>
            <w:tcBorders>
              <w:tl2br w:val="nil"/>
              <w:tr2bl w:val="nil"/>
            </w:tcBorders>
            <w:vAlign w:val="center"/>
          </w:tcPr>
          <w:p w14:paraId="7CDAF0D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w:t>
            </w:r>
          </w:p>
        </w:tc>
        <w:tc>
          <w:tcPr>
            <w:tcW w:w="1329" w:type="pct"/>
            <w:vMerge w:val="continue"/>
            <w:tcBorders>
              <w:tl2br w:val="nil"/>
              <w:tr2bl w:val="nil"/>
            </w:tcBorders>
            <w:vAlign w:val="center"/>
          </w:tcPr>
          <w:p w14:paraId="7656D42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62A61A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76" w:type="pct"/>
            <w:tcBorders>
              <w:tl2br w:val="nil"/>
              <w:tr2bl w:val="nil"/>
            </w:tcBorders>
            <w:vAlign w:val="center"/>
          </w:tcPr>
          <w:p w14:paraId="4672BE6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w:t>
            </w:r>
          </w:p>
        </w:tc>
        <w:tc>
          <w:tcPr>
            <w:tcW w:w="879" w:type="pct"/>
            <w:vMerge w:val="continue"/>
            <w:tcBorders>
              <w:tl2br w:val="nil"/>
              <w:tr2bl w:val="nil"/>
            </w:tcBorders>
            <w:vAlign w:val="center"/>
          </w:tcPr>
          <w:p w14:paraId="3AFE84A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48" w:type="pct"/>
            <w:tcBorders>
              <w:tl2br w:val="nil"/>
              <w:tr2bl w:val="nil"/>
            </w:tcBorders>
            <w:vAlign w:val="center"/>
          </w:tcPr>
          <w:p w14:paraId="5133C65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NO</w:t>
            </w:r>
            <w:r>
              <w:rPr>
                <w:rFonts w:hint="default" w:ascii="Times New Roman" w:hAnsi="Times New Roman" w:cs="Times New Roman"/>
                <w:color w:val="000000" w:themeColor="text1"/>
                <w:sz w:val="21"/>
                <w:szCs w:val="18"/>
                <w:vertAlign w:val="subscript"/>
                <w14:textFill>
                  <w14:solidFill>
                    <w14:schemeClr w14:val="tx1"/>
                  </w14:solidFill>
                </w14:textFill>
              </w:rPr>
              <w:t>x</w:t>
            </w:r>
          </w:p>
        </w:tc>
        <w:tc>
          <w:tcPr>
            <w:tcW w:w="886" w:type="pct"/>
            <w:tcBorders>
              <w:tl2br w:val="nil"/>
              <w:tr2bl w:val="nil"/>
            </w:tcBorders>
            <w:vAlign w:val="center"/>
          </w:tcPr>
          <w:p w14:paraId="4A4D0957">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400</w:t>
            </w:r>
          </w:p>
        </w:tc>
        <w:tc>
          <w:tcPr>
            <w:tcW w:w="879" w:type="pct"/>
            <w:tcBorders>
              <w:tl2br w:val="nil"/>
              <w:tr2bl w:val="nil"/>
            </w:tcBorders>
            <w:vAlign w:val="center"/>
          </w:tcPr>
          <w:p w14:paraId="086C339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w:t>
            </w:r>
          </w:p>
        </w:tc>
        <w:tc>
          <w:tcPr>
            <w:tcW w:w="1329" w:type="pct"/>
            <w:vMerge w:val="continue"/>
            <w:tcBorders>
              <w:tl2br w:val="nil"/>
              <w:tr2bl w:val="nil"/>
            </w:tcBorders>
            <w:vAlign w:val="center"/>
          </w:tcPr>
          <w:p w14:paraId="3A04BBD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5645C72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76" w:type="pct"/>
            <w:tcBorders>
              <w:tl2br w:val="nil"/>
              <w:tr2bl w:val="nil"/>
            </w:tcBorders>
            <w:vAlign w:val="center"/>
          </w:tcPr>
          <w:p w14:paraId="1943C40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w:t>
            </w:r>
          </w:p>
        </w:tc>
        <w:tc>
          <w:tcPr>
            <w:tcW w:w="879" w:type="pct"/>
            <w:vMerge w:val="continue"/>
            <w:tcBorders>
              <w:tl2br w:val="nil"/>
              <w:tr2bl w:val="nil"/>
            </w:tcBorders>
            <w:vAlign w:val="center"/>
          </w:tcPr>
          <w:p w14:paraId="57C48BB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48" w:type="pct"/>
            <w:tcBorders>
              <w:tl2br w:val="nil"/>
              <w:tr2bl w:val="nil"/>
            </w:tcBorders>
            <w:vAlign w:val="center"/>
          </w:tcPr>
          <w:p w14:paraId="2A320F9B">
            <w:pPr>
              <w:pStyle w:val="52"/>
              <w:spacing w:before="0" w:after="0" w:line="240" w:lineRule="auto"/>
              <w:ind w:left="0" w:firstLine="0"/>
              <w:rPr>
                <w:rFonts w:hint="eastAsia" w:ascii="Times New Roman" w:hAnsi="Times New Roman" w:eastAsia="宋体" w:cs="Times New Roman"/>
                <w:color w:val="000000" w:themeColor="text1"/>
                <w:sz w:val="21"/>
                <w:szCs w:val="18"/>
                <w:lang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氨</w:t>
            </w:r>
          </w:p>
        </w:tc>
        <w:tc>
          <w:tcPr>
            <w:tcW w:w="886" w:type="pct"/>
            <w:tcBorders>
              <w:tl2br w:val="nil"/>
              <w:tr2bl w:val="nil"/>
            </w:tcBorders>
            <w:vAlign w:val="center"/>
          </w:tcPr>
          <w:p w14:paraId="5D8D726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8</w:t>
            </w:r>
          </w:p>
        </w:tc>
        <w:tc>
          <w:tcPr>
            <w:tcW w:w="879" w:type="pct"/>
            <w:tcBorders>
              <w:tl2br w:val="nil"/>
              <w:tr2bl w:val="nil"/>
            </w:tcBorders>
            <w:vAlign w:val="center"/>
          </w:tcPr>
          <w:p w14:paraId="166A524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w:t>
            </w:r>
          </w:p>
        </w:tc>
        <w:tc>
          <w:tcPr>
            <w:tcW w:w="1329" w:type="pct"/>
            <w:vMerge w:val="continue"/>
            <w:tcBorders>
              <w:tl2br w:val="nil"/>
              <w:tr2bl w:val="nil"/>
            </w:tcBorders>
            <w:vAlign w:val="center"/>
          </w:tcPr>
          <w:p w14:paraId="07E4240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bl>
    <w:p w14:paraId="4DF6E582">
      <w:pPr>
        <w:pStyle w:val="203"/>
        <w:keepNext w:val="0"/>
        <w:keepLines w:val="0"/>
        <w:pageBreakBefore w:val="0"/>
        <w:widowControl w:val="0"/>
        <w:kinsoku/>
        <w:wordWrap/>
        <w:overflowPunct/>
        <w:topLinePunct w:val="0"/>
        <w:autoSpaceDE/>
        <w:autoSpaceDN/>
        <w:bidi w:val="0"/>
        <w:adjustRightInd w:val="0"/>
        <w:snapToGrid w:val="0"/>
        <w:spacing w:before="0" w:beforeLines="0"/>
        <w:ind w:left="0" w:leftChars="0" w:right="0" w:rightChars="0" w:firstLine="0" w:firstLineChars="0"/>
        <w:jc w:val="center"/>
        <w:textAlignment w:val="auto"/>
        <w:rPr>
          <w:rFonts w:hint="default" w:ascii="Times New Roman" w:hAnsi="Times New Roman" w:eastAsia="宋体" w:cs="Times New Roman"/>
          <w:b/>
          <w:bCs/>
        </w:rPr>
      </w:pPr>
      <w:bookmarkStart w:id="47" w:name="_Ref111291684"/>
      <w:r>
        <w:rPr>
          <w:rFonts w:hint="default" w:ascii="Times New Roman" w:hAnsi="Times New Roman" w:eastAsia="宋体" w:cs="Times New Roman"/>
          <w:b/>
          <w:bCs/>
        </w:rPr>
        <w:t>表</w:t>
      </w: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STYLEREF 2 \s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2.4</w:t>
      </w:r>
      <w:r>
        <w:rPr>
          <w:rFonts w:hint="default" w:ascii="Times New Roman" w:hAnsi="Times New Roman" w:eastAsia="宋体" w:cs="Times New Roman"/>
          <w:b/>
          <w:bCs/>
        </w:rPr>
        <w:fldChar w:fldCharType="end"/>
      </w:r>
      <w:bookmarkEnd w:id="47"/>
      <w:r>
        <w:rPr>
          <w:rFonts w:hint="default" w:ascii="Times New Roman" w:hAnsi="Times New Roman" w:cs="Times New Roman"/>
          <w:b/>
          <w:bCs/>
          <w:lang w:val="en-US" w:eastAsia="zh-CN"/>
        </w:rPr>
        <w:t>-5</w:t>
      </w:r>
      <w:r>
        <w:rPr>
          <w:rFonts w:hint="default" w:ascii="Times New Roman" w:hAnsi="Times New Roman" w:eastAsia="宋体" w:cs="Times New Roman"/>
          <w:b/>
          <w:bCs/>
        </w:rPr>
        <w:t xml:space="preserve"> 本项目大气污染物排放标准</w:t>
      </w:r>
    </w:p>
    <w:tbl>
      <w:tblPr>
        <w:tblStyle w:val="39"/>
        <w:tblW w:w="4999"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0"/>
        <w:gridCol w:w="1456"/>
        <w:gridCol w:w="952"/>
        <w:gridCol w:w="1676"/>
        <w:gridCol w:w="1497"/>
        <w:gridCol w:w="2543"/>
      </w:tblGrid>
      <w:tr w14:paraId="0B5CB7E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14" w:hRule="atLeast"/>
          <w:tblHeader/>
          <w:jc w:val="center"/>
        </w:trPr>
        <w:tc>
          <w:tcPr>
            <w:tcW w:w="229" w:type="pct"/>
            <w:vMerge w:val="restart"/>
            <w:tcBorders>
              <w:tl2br w:val="nil"/>
              <w:tr2bl w:val="nil"/>
            </w:tcBorders>
            <w:vAlign w:val="center"/>
          </w:tcPr>
          <w:p w14:paraId="4C216490">
            <w:pPr>
              <w:pStyle w:val="52"/>
              <w:spacing w:before="0" w:after="0" w:line="240" w:lineRule="auto"/>
              <w:ind w:left="0" w:firstLine="0"/>
              <w:rPr>
                <w:rFonts w:hint="default" w:ascii="Times New Roman" w:hAnsi="Times New Roman" w:cs="Times New Roman"/>
                <w:b/>
                <w:bCs/>
                <w:color w:val="000000" w:themeColor="text1"/>
                <w:sz w:val="21"/>
                <w:szCs w:val="18"/>
                <w:highlight w:val="none"/>
                <w14:textFill>
                  <w14:solidFill>
                    <w14:schemeClr w14:val="tx1"/>
                  </w14:solidFill>
                </w14:textFill>
              </w:rPr>
            </w:pPr>
            <w:r>
              <w:rPr>
                <w:rFonts w:hint="default" w:ascii="Times New Roman" w:hAnsi="Times New Roman" w:cs="Times New Roman"/>
                <w:b/>
                <w:bCs/>
                <w:color w:val="000000" w:themeColor="text1"/>
                <w:sz w:val="21"/>
                <w:szCs w:val="18"/>
                <w:highlight w:val="none"/>
                <w14:textFill>
                  <w14:solidFill>
                    <w14:schemeClr w14:val="tx1"/>
                  </w14:solidFill>
                </w14:textFill>
              </w:rPr>
              <w:t>序号</w:t>
            </w:r>
          </w:p>
        </w:tc>
        <w:tc>
          <w:tcPr>
            <w:tcW w:w="855" w:type="pct"/>
            <w:vMerge w:val="restart"/>
            <w:tcBorders>
              <w:tl2br w:val="nil"/>
              <w:tr2bl w:val="nil"/>
            </w:tcBorders>
            <w:vAlign w:val="center"/>
          </w:tcPr>
          <w:p w14:paraId="23569E3C">
            <w:pPr>
              <w:pStyle w:val="52"/>
              <w:spacing w:before="0" w:after="0" w:line="240" w:lineRule="auto"/>
              <w:ind w:left="0" w:firstLine="0"/>
              <w:rPr>
                <w:rFonts w:hint="default" w:ascii="Times New Roman" w:hAnsi="Times New Roman" w:cs="Times New Roman"/>
                <w:b/>
                <w:bCs/>
                <w:color w:val="000000" w:themeColor="text1"/>
                <w:sz w:val="21"/>
                <w:szCs w:val="18"/>
                <w:highlight w:val="none"/>
                <w14:textFill>
                  <w14:solidFill>
                    <w14:schemeClr w14:val="tx1"/>
                  </w14:solidFill>
                </w14:textFill>
              </w:rPr>
            </w:pPr>
            <w:r>
              <w:rPr>
                <w:rFonts w:hint="default" w:ascii="Times New Roman" w:hAnsi="Times New Roman" w:cs="Times New Roman"/>
                <w:b/>
                <w:bCs/>
                <w:color w:val="000000" w:themeColor="text1"/>
                <w:sz w:val="21"/>
                <w:szCs w:val="18"/>
                <w:highlight w:val="none"/>
                <w14:textFill>
                  <w14:solidFill>
                    <w14:schemeClr w14:val="tx1"/>
                  </w14:solidFill>
                </w14:textFill>
              </w:rPr>
              <w:t>排放源</w:t>
            </w:r>
          </w:p>
        </w:tc>
        <w:tc>
          <w:tcPr>
            <w:tcW w:w="558" w:type="pct"/>
            <w:vMerge w:val="restart"/>
            <w:tcBorders>
              <w:tl2br w:val="nil"/>
              <w:tr2bl w:val="nil"/>
            </w:tcBorders>
            <w:vAlign w:val="center"/>
          </w:tcPr>
          <w:p w14:paraId="277B9E37">
            <w:pPr>
              <w:pStyle w:val="52"/>
              <w:spacing w:before="0" w:after="0" w:line="240" w:lineRule="auto"/>
              <w:ind w:left="0" w:firstLine="0"/>
              <w:rPr>
                <w:rFonts w:hint="default" w:ascii="Times New Roman" w:hAnsi="Times New Roman" w:cs="Times New Roman"/>
                <w:b/>
                <w:bCs/>
                <w:color w:val="000000" w:themeColor="text1"/>
                <w:sz w:val="21"/>
                <w:szCs w:val="18"/>
                <w:highlight w:val="none"/>
                <w14:textFill>
                  <w14:solidFill>
                    <w14:schemeClr w14:val="tx1"/>
                  </w14:solidFill>
                </w14:textFill>
              </w:rPr>
            </w:pPr>
            <w:r>
              <w:rPr>
                <w:rFonts w:hint="default" w:ascii="Times New Roman" w:hAnsi="Times New Roman" w:cs="Times New Roman"/>
                <w:b/>
                <w:bCs/>
                <w:color w:val="000000" w:themeColor="text1"/>
                <w:sz w:val="21"/>
                <w:szCs w:val="18"/>
                <w:highlight w:val="none"/>
                <w14:textFill>
                  <w14:solidFill>
                    <w14:schemeClr w14:val="tx1"/>
                  </w14:solidFill>
                </w14:textFill>
              </w:rPr>
              <w:t>污染物</w:t>
            </w:r>
          </w:p>
        </w:tc>
        <w:tc>
          <w:tcPr>
            <w:tcW w:w="1863" w:type="pct"/>
            <w:gridSpan w:val="2"/>
            <w:tcBorders>
              <w:tl2br w:val="nil"/>
              <w:tr2bl w:val="nil"/>
            </w:tcBorders>
            <w:vAlign w:val="center"/>
          </w:tcPr>
          <w:p w14:paraId="13332A1A">
            <w:pPr>
              <w:pStyle w:val="52"/>
              <w:spacing w:before="0" w:after="0" w:line="240" w:lineRule="auto"/>
              <w:ind w:left="0" w:firstLine="0"/>
              <w:rPr>
                <w:rFonts w:hint="default" w:ascii="Times New Roman" w:hAnsi="Times New Roman" w:cs="Times New Roman"/>
                <w:b/>
                <w:bCs/>
                <w:color w:val="000000" w:themeColor="text1"/>
                <w:sz w:val="21"/>
                <w:szCs w:val="18"/>
                <w:highlight w:val="none"/>
                <w14:textFill>
                  <w14:solidFill>
                    <w14:schemeClr w14:val="tx1"/>
                  </w14:solidFill>
                </w14:textFill>
              </w:rPr>
            </w:pPr>
            <w:r>
              <w:rPr>
                <w:rFonts w:hint="default" w:ascii="Times New Roman" w:hAnsi="Times New Roman" w:cs="Times New Roman"/>
                <w:b/>
                <w:bCs/>
                <w:color w:val="000000" w:themeColor="text1"/>
                <w:sz w:val="21"/>
                <w:szCs w:val="18"/>
                <w:highlight w:val="none"/>
                <w14:textFill>
                  <w14:solidFill>
                    <w14:schemeClr w14:val="tx1"/>
                  </w14:solidFill>
                </w14:textFill>
              </w:rPr>
              <w:t>最高排放限值</w:t>
            </w:r>
          </w:p>
        </w:tc>
        <w:tc>
          <w:tcPr>
            <w:tcW w:w="1493" w:type="pct"/>
            <w:vMerge w:val="restart"/>
            <w:tcBorders>
              <w:tl2br w:val="nil"/>
              <w:tr2bl w:val="nil"/>
            </w:tcBorders>
            <w:vAlign w:val="center"/>
          </w:tcPr>
          <w:p w14:paraId="28EC6855">
            <w:pPr>
              <w:pStyle w:val="52"/>
              <w:spacing w:before="0" w:after="0" w:line="240" w:lineRule="auto"/>
              <w:ind w:left="0" w:firstLine="0"/>
              <w:rPr>
                <w:rFonts w:hint="default" w:ascii="Times New Roman" w:hAnsi="Times New Roman" w:cs="Times New Roman"/>
                <w:b/>
                <w:bCs/>
                <w:color w:val="000000" w:themeColor="text1"/>
                <w:sz w:val="21"/>
                <w:szCs w:val="18"/>
                <w:highlight w:val="none"/>
                <w14:textFill>
                  <w14:solidFill>
                    <w14:schemeClr w14:val="tx1"/>
                  </w14:solidFill>
                </w14:textFill>
              </w:rPr>
            </w:pPr>
            <w:r>
              <w:rPr>
                <w:rFonts w:hint="default" w:ascii="Times New Roman" w:hAnsi="Times New Roman" w:cs="Times New Roman"/>
                <w:b/>
                <w:bCs/>
                <w:color w:val="000000" w:themeColor="text1"/>
                <w:sz w:val="21"/>
                <w:szCs w:val="18"/>
                <w:highlight w:val="none"/>
                <w14:textFill>
                  <w14:solidFill>
                    <w14:schemeClr w14:val="tx1"/>
                  </w14:solidFill>
                </w14:textFill>
              </w:rPr>
              <w:t>标准来源</w:t>
            </w:r>
          </w:p>
        </w:tc>
      </w:tr>
      <w:tr w14:paraId="2D7850B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8" w:hRule="atLeast"/>
          <w:tblHeader/>
          <w:jc w:val="center"/>
        </w:trPr>
        <w:tc>
          <w:tcPr>
            <w:tcW w:w="229" w:type="pct"/>
            <w:vMerge w:val="continue"/>
            <w:tcBorders>
              <w:tl2br w:val="nil"/>
              <w:tr2bl w:val="nil"/>
            </w:tcBorders>
            <w:vAlign w:val="center"/>
          </w:tcPr>
          <w:p w14:paraId="6BB7F7FA">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p>
        </w:tc>
        <w:tc>
          <w:tcPr>
            <w:tcW w:w="855" w:type="pct"/>
            <w:vMerge w:val="continue"/>
            <w:tcBorders>
              <w:tl2br w:val="nil"/>
              <w:tr2bl w:val="nil"/>
            </w:tcBorders>
            <w:vAlign w:val="center"/>
          </w:tcPr>
          <w:p w14:paraId="3FC96627">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p>
        </w:tc>
        <w:tc>
          <w:tcPr>
            <w:tcW w:w="558" w:type="pct"/>
            <w:vMerge w:val="continue"/>
            <w:tcBorders>
              <w:tl2br w:val="nil"/>
              <w:tr2bl w:val="nil"/>
            </w:tcBorders>
            <w:vAlign w:val="center"/>
          </w:tcPr>
          <w:p w14:paraId="7A68B1FC">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p>
        </w:tc>
        <w:tc>
          <w:tcPr>
            <w:tcW w:w="983" w:type="pct"/>
            <w:tcBorders>
              <w:tl2br w:val="nil"/>
              <w:tr2bl w:val="nil"/>
            </w:tcBorders>
            <w:vAlign w:val="center"/>
          </w:tcPr>
          <w:p w14:paraId="5776E373">
            <w:pPr>
              <w:pStyle w:val="52"/>
              <w:spacing w:before="0" w:after="0" w:line="240" w:lineRule="auto"/>
              <w:ind w:left="0" w:firstLine="0"/>
              <w:rPr>
                <w:rFonts w:hint="default" w:ascii="Times New Roman" w:hAnsi="Times New Roman" w:cs="Times New Roman"/>
                <w:b/>
                <w:bCs/>
                <w:color w:val="000000" w:themeColor="text1"/>
                <w:sz w:val="21"/>
                <w:szCs w:val="18"/>
                <w:highlight w:val="none"/>
                <w14:textFill>
                  <w14:solidFill>
                    <w14:schemeClr w14:val="tx1"/>
                  </w14:solidFill>
                </w14:textFill>
              </w:rPr>
            </w:pPr>
            <w:r>
              <w:rPr>
                <w:rFonts w:hint="default" w:ascii="Times New Roman" w:hAnsi="Times New Roman" w:cs="Times New Roman"/>
                <w:b/>
                <w:bCs/>
                <w:color w:val="000000" w:themeColor="text1"/>
                <w:sz w:val="21"/>
                <w:szCs w:val="18"/>
                <w:highlight w:val="none"/>
                <w14:textFill>
                  <w14:solidFill>
                    <w14:schemeClr w14:val="tx1"/>
                  </w14:solidFill>
                </w14:textFill>
              </w:rPr>
              <w:t>浓度（mg/m</w:t>
            </w:r>
            <w:r>
              <w:rPr>
                <w:rFonts w:hint="default" w:ascii="Times New Roman" w:hAnsi="Times New Roman" w:cs="Times New Roman"/>
                <w:b/>
                <w:bCs/>
                <w:color w:val="000000" w:themeColor="text1"/>
                <w:sz w:val="21"/>
                <w:szCs w:val="18"/>
                <w:highlight w:val="none"/>
                <w:vertAlign w:val="superscript"/>
                <w14:textFill>
                  <w14:solidFill>
                    <w14:schemeClr w14:val="tx1"/>
                  </w14:solidFill>
                </w14:textFill>
              </w:rPr>
              <w:t>3</w:t>
            </w:r>
            <w:r>
              <w:rPr>
                <w:rFonts w:hint="default" w:ascii="Times New Roman" w:hAnsi="Times New Roman" w:cs="Times New Roman"/>
                <w:b/>
                <w:bCs/>
                <w:color w:val="000000" w:themeColor="text1"/>
                <w:sz w:val="21"/>
                <w:szCs w:val="18"/>
                <w:highlight w:val="none"/>
                <w14:textFill>
                  <w14:solidFill>
                    <w14:schemeClr w14:val="tx1"/>
                  </w14:solidFill>
                </w14:textFill>
              </w:rPr>
              <w:t>）</w:t>
            </w:r>
          </w:p>
        </w:tc>
        <w:tc>
          <w:tcPr>
            <w:tcW w:w="879" w:type="pct"/>
            <w:tcBorders>
              <w:tl2br w:val="nil"/>
              <w:tr2bl w:val="nil"/>
            </w:tcBorders>
            <w:vAlign w:val="center"/>
          </w:tcPr>
          <w:p w14:paraId="1FCB7C96">
            <w:pPr>
              <w:pStyle w:val="52"/>
              <w:spacing w:before="0" w:after="0" w:line="240" w:lineRule="auto"/>
              <w:ind w:left="0" w:firstLine="0"/>
              <w:rPr>
                <w:rFonts w:hint="default" w:ascii="Times New Roman" w:hAnsi="Times New Roman" w:cs="Times New Roman"/>
                <w:b/>
                <w:bCs/>
                <w:color w:val="000000" w:themeColor="text1"/>
                <w:sz w:val="21"/>
                <w:szCs w:val="18"/>
                <w:highlight w:val="none"/>
                <w14:textFill>
                  <w14:solidFill>
                    <w14:schemeClr w14:val="tx1"/>
                  </w14:solidFill>
                </w14:textFill>
              </w:rPr>
            </w:pPr>
            <w:r>
              <w:rPr>
                <w:rFonts w:hint="default" w:ascii="Times New Roman" w:hAnsi="Times New Roman" w:cs="Times New Roman"/>
                <w:b/>
                <w:bCs/>
                <w:color w:val="000000" w:themeColor="text1"/>
                <w:sz w:val="21"/>
                <w:szCs w:val="18"/>
                <w:highlight w:val="none"/>
                <w14:textFill>
                  <w14:solidFill>
                    <w14:schemeClr w14:val="tx1"/>
                  </w14:solidFill>
                </w14:textFill>
              </w:rPr>
              <w:t>速率（kg/h）</w:t>
            </w:r>
          </w:p>
        </w:tc>
        <w:tc>
          <w:tcPr>
            <w:tcW w:w="1493" w:type="pct"/>
            <w:vMerge w:val="continue"/>
            <w:tcBorders>
              <w:tl2br w:val="nil"/>
              <w:tr2bl w:val="nil"/>
            </w:tcBorders>
            <w:vAlign w:val="center"/>
          </w:tcPr>
          <w:p w14:paraId="0938BD62">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p>
        </w:tc>
      </w:tr>
      <w:tr w14:paraId="1D39C9B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9" w:type="pct"/>
            <w:tcBorders>
              <w:tl2br w:val="nil"/>
              <w:tr2bl w:val="nil"/>
            </w:tcBorders>
            <w:vAlign w:val="center"/>
          </w:tcPr>
          <w:p w14:paraId="4241FE9F">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1</w:t>
            </w:r>
          </w:p>
        </w:tc>
        <w:tc>
          <w:tcPr>
            <w:tcW w:w="855" w:type="pct"/>
            <w:vMerge w:val="restart"/>
            <w:tcBorders>
              <w:tl2br w:val="nil"/>
              <w:tr2bl w:val="nil"/>
            </w:tcBorders>
            <w:shd w:val="clear" w:color="auto" w:fill="auto"/>
            <w:vAlign w:val="center"/>
          </w:tcPr>
          <w:p w14:paraId="2CEA5550">
            <w:pPr>
              <w:pStyle w:val="52"/>
              <w:spacing w:before="0" w:after="0" w:line="240" w:lineRule="auto"/>
              <w:ind w:left="0" w:leftChars="0" w:firstLine="0" w:firstLineChars="0"/>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水泥窑及窑尾余热利用系统排气筒（</w:t>
            </w: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100</w:t>
            </w:r>
            <w:r>
              <w:rPr>
                <w:rFonts w:hint="default" w:ascii="Times New Roman" w:hAnsi="Times New Roman" w:cs="Times New Roman"/>
                <w:color w:val="000000" w:themeColor="text1"/>
                <w:sz w:val="21"/>
                <w:szCs w:val="18"/>
                <w:highlight w:val="none"/>
                <w14:textFill>
                  <w14:solidFill>
                    <w14:schemeClr w14:val="tx1"/>
                  </w14:solidFill>
                </w14:textFill>
              </w:rPr>
              <w:t>m）</w:t>
            </w:r>
          </w:p>
        </w:tc>
        <w:tc>
          <w:tcPr>
            <w:tcW w:w="558" w:type="pct"/>
            <w:tcBorders>
              <w:tl2br w:val="nil"/>
              <w:tr2bl w:val="nil"/>
            </w:tcBorders>
            <w:shd w:val="clear" w:color="auto" w:fill="auto"/>
            <w:vAlign w:val="center"/>
          </w:tcPr>
          <w:p w14:paraId="7E4F3BDF">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颗粒物</w:t>
            </w:r>
          </w:p>
        </w:tc>
        <w:tc>
          <w:tcPr>
            <w:tcW w:w="983" w:type="pct"/>
            <w:tcBorders>
              <w:tl2br w:val="nil"/>
              <w:tr2bl w:val="nil"/>
            </w:tcBorders>
            <w:shd w:val="clear" w:color="auto" w:fill="auto"/>
            <w:vAlign w:val="center"/>
          </w:tcPr>
          <w:p w14:paraId="3749B0E2">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30</w:t>
            </w:r>
          </w:p>
        </w:tc>
        <w:tc>
          <w:tcPr>
            <w:tcW w:w="879" w:type="pct"/>
            <w:tcBorders>
              <w:tl2br w:val="nil"/>
              <w:tr2bl w:val="nil"/>
            </w:tcBorders>
            <w:shd w:val="clear" w:color="auto" w:fill="auto"/>
            <w:vAlign w:val="center"/>
          </w:tcPr>
          <w:p w14:paraId="75E1FA87">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w:t>
            </w:r>
          </w:p>
        </w:tc>
        <w:tc>
          <w:tcPr>
            <w:tcW w:w="1493" w:type="pct"/>
            <w:vMerge w:val="restart"/>
            <w:tcBorders>
              <w:tl2br w:val="nil"/>
              <w:tr2bl w:val="nil"/>
            </w:tcBorders>
            <w:vAlign w:val="center"/>
          </w:tcPr>
          <w:p w14:paraId="6DDDC627">
            <w:pPr>
              <w:pStyle w:val="52"/>
              <w:spacing w:before="0" w:after="0" w:line="240" w:lineRule="auto"/>
              <w:ind w:left="0" w:firstLine="0"/>
              <w:rPr>
                <w:rFonts w:hint="eastAsia" w:ascii="Times New Roman" w:hAnsi="Times New Roman" w:eastAsia="宋体" w:cs="Times New Roman"/>
                <w:color w:val="000000" w:themeColor="text1"/>
                <w:sz w:val="21"/>
                <w:szCs w:val="18"/>
                <w:highlight w:val="none"/>
                <w:lang w:eastAsia="zh-CN"/>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《水泥工业大气污染物排放标准》（GB 4915-2013）（含2025年修改单）中表1排放限值</w:t>
            </w:r>
          </w:p>
        </w:tc>
      </w:tr>
      <w:tr w14:paraId="403C8A1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9" w:type="pct"/>
            <w:tcBorders>
              <w:tl2br w:val="nil"/>
              <w:tr2bl w:val="nil"/>
            </w:tcBorders>
            <w:vAlign w:val="center"/>
          </w:tcPr>
          <w:p w14:paraId="01014573">
            <w:pPr>
              <w:pStyle w:val="52"/>
              <w:spacing w:before="0" w:after="0" w:line="240" w:lineRule="auto"/>
              <w:ind w:left="0" w:firstLine="0"/>
              <w:rPr>
                <w:rFonts w:hint="default" w:ascii="Times New Roman" w:hAnsi="Times New Roman" w:eastAsia="宋体" w:cs="Times New Roman"/>
                <w:color w:val="000000" w:themeColor="text1"/>
                <w:sz w:val="21"/>
                <w:szCs w:val="18"/>
                <w:highlight w:val="none"/>
                <w:lang w:eastAsia="zh-CN"/>
                <w14:textFill>
                  <w14:solidFill>
                    <w14:schemeClr w14:val="tx1"/>
                  </w14:solidFill>
                </w14:textFill>
              </w:rPr>
            </w:pP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2</w:t>
            </w:r>
          </w:p>
        </w:tc>
        <w:tc>
          <w:tcPr>
            <w:tcW w:w="855" w:type="pct"/>
            <w:vMerge w:val="continue"/>
            <w:tcBorders>
              <w:tl2br w:val="nil"/>
              <w:tr2bl w:val="nil"/>
            </w:tcBorders>
            <w:vAlign w:val="center"/>
          </w:tcPr>
          <w:p w14:paraId="5F37A066">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p>
        </w:tc>
        <w:tc>
          <w:tcPr>
            <w:tcW w:w="558" w:type="pct"/>
            <w:tcBorders>
              <w:tl2br w:val="nil"/>
              <w:tr2bl w:val="nil"/>
            </w:tcBorders>
            <w:shd w:val="clear" w:color="auto" w:fill="auto"/>
            <w:vAlign w:val="center"/>
          </w:tcPr>
          <w:p w14:paraId="639DFEF7">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SO</w:t>
            </w:r>
            <w:r>
              <w:rPr>
                <w:rFonts w:hint="default" w:ascii="Times New Roman" w:hAnsi="Times New Roman" w:cs="Times New Roman"/>
                <w:color w:val="000000" w:themeColor="text1"/>
                <w:sz w:val="21"/>
                <w:szCs w:val="18"/>
                <w:highlight w:val="none"/>
                <w:vertAlign w:val="subscript"/>
                <w14:textFill>
                  <w14:solidFill>
                    <w14:schemeClr w14:val="tx1"/>
                  </w14:solidFill>
                </w14:textFill>
              </w:rPr>
              <w:t>2</w:t>
            </w:r>
          </w:p>
        </w:tc>
        <w:tc>
          <w:tcPr>
            <w:tcW w:w="983" w:type="pct"/>
            <w:tcBorders>
              <w:tl2br w:val="nil"/>
              <w:tr2bl w:val="nil"/>
            </w:tcBorders>
            <w:shd w:val="clear" w:color="auto" w:fill="auto"/>
            <w:vAlign w:val="center"/>
          </w:tcPr>
          <w:p w14:paraId="6DEC1A7B">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200</w:t>
            </w:r>
          </w:p>
        </w:tc>
        <w:tc>
          <w:tcPr>
            <w:tcW w:w="879" w:type="pct"/>
            <w:tcBorders>
              <w:tl2br w:val="nil"/>
              <w:tr2bl w:val="nil"/>
            </w:tcBorders>
            <w:shd w:val="clear" w:color="auto" w:fill="auto"/>
            <w:vAlign w:val="center"/>
          </w:tcPr>
          <w:p w14:paraId="7A0B9399">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w:t>
            </w:r>
          </w:p>
        </w:tc>
        <w:tc>
          <w:tcPr>
            <w:tcW w:w="1493" w:type="pct"/>
            <w:vMerge w:val="continue"/>
            <w:tcBorders>
              <w:tl2br w:val="nil"/>
              <w:tr2bl w:val="nil"/>
            </w:tcBorders>
            <w:vAlign w:val="center"/>
          </w:tcPr>
          <w:p w14:paraId="63089B86">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p>
        </w:tc>
      </w:tr>
      <w:tr w14:paraId="51909F9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9" w:type="pct"/>
            <w:tcBorders>
              <w:tl2br w:val="nil"/>
              <w:tr2bl w:val="nil"/>
            </w:tcBorders>
            <w:vAlign w:val="center"/>
          </w:tcPr>
          <w:p w14:paraId="2499CE0A">
            <w:pPr>
              <w:pStyle w:val="52"/>
              <w:spacing w:before="0" w:after="0" w:line="240" w:lineRule="auto"/>
              <w:ind w:left="0" w:firstLine="0"/>
              <w:rPr>
                <w:rFonts w:hint="default" w:ascii="Times New Roman" w:hAnsi="Times New Roman" w:eastAsia="宋体" w:cs="Times New Roman"/>
                <w:color w:val="000000" w:themeColor="text1"/>
                <w:sz w:val="21"/>
                <w:szCs w:val="18"/>
                <w:highlight w:val="yellow"/>
                <w:lang w:eastAsia="zh-CN"/>
                <w14:textFill>
                  <w14:solidFill>
                    <w14:schemeClr w14:val="tx1"/>
                  </w14:solidFill>
                </w14:textFill>
              </w:rPr>
            </w:pP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3</w:t>
            </w:r>
          </w:p>
        </w:tc>
        <w:tc>
          <w:tcPr>
            <w:tcW w:w="855" w:type="pct"/>
            <w:vMerge w:val="continue"/>
            <w:tcBorders>
              <w:tl2br w:val="nil"/>
              <w:tr2bl w:val="nil"/>
            </w:tcBorders>
            <w:vAlign w:val="center"/>
          </w:tcPr>
          <w:p w14:paraId="046FF3EE">
            <w:pPr>
              <w:pStyle w:val="52"/>
              <w:spacing w:before="0" w:after="0" w:line="240" w:lineRule="auto"/>
              <w:ind w:left="0" w:firstLine="0"/>
              <w:rPr>
                <w:rFonts w:hint="default" w:ascii="Times New Roman" w:hAnsi="Times New Roman" w:cs="Times New Roman"/>
                <w:color w:val="000000" w:themeColor="text1"/>
                <w:sz w:val="21"/>
                <w:szCs w:val="18"/>
                <w:highlight w:val="yellow"/>
                <w14:textFill>
                  <w14:solidFill>
                    <w14:schemeClr w14:val="tx1"/>
                  </w14:solidFill>
                </w14:textFill>
              </w:rPr>
            </w:pPr>
          </w:p>
        </w:tc>
        <w:tc>
          <w:tcPr>
            <w:tcW w:w="558" w:type="pct"/>
            <w:tcBorders>
              <w:tl2br w:val="nil"/>
              <w:tr2bl w:val="nil"/>
            </w:tcBorders>
            <w:shd w:val="clear" w:color="auto" w:fill="auto"/>
            <w:vAlign w:val="center"/>
          </w:tcPr>
          <w:p w14:paraId="50557A00">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NO</w:t>
            </w:r>
            <w:r>
              <w:rPr>
                <w:rFonts w:hint="default" w:ascii="Times New Roman" w:hAnsi="Times New Roman" w:cs="Times New Roman"/>
                <w:color w:val="000000" w:themeColor="text1"/>
                <w:sz w:val="21"/>
                <w:szCs w:val="18"/>
                <w:vertAlign w:val="subscript"/>
                <w14:textFill>
                  <w14:solidFill>
                    <w14:schemeClr w14:val="tx1"/>
                  </w14:solidFill>
                </w14:textFill>
              </w:rPr>
              <w:t>x</w:t>
            </w:r>
          </w:p>
        </w:tc>
        <w:tc>
          <w:tcPr>
            <w:tcW w:w="983" w:type="pct"/>
            <w:tcBorders>
              <w:tl2br w:val="nil"/>
              <w:tr2bl w:val="nil"/>
            </w:tcBorders>
            <w:shd w:val="clear" w:color="auto" w:fill="auto"/>
            <w:vAlign w:val="center"/>
          </w:tcPr>
          <w:p w14:paraId="77FEC76F">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400</w:t>
            </w:r>
          </w:p>
        </w:tc>
        <w:tc>
          <w:tcPr>
            <w:tcW w:w="879" w:type="pct"/>
            <w:tcBorders>
              <w:tl2br w:val="nil"/>
              <w:tr2bl w:val="nil"/>
            </w:tcBorders>
            <w:shd w:val="clear" w:color="auto" w:fill="auto"/>
            <w:vAlign w:val="center"/>
          </w:tcPr>
          <w:p w14:paraId="69E5165B">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w:t>
            </w:r>
          </w:p>
        </w:tc>
        <w:tc>
          <w:tcPr>
            <w:tcW w:w="1493" w:type="pct"/>
            <w:vMerge w:val="continue"/>
            <w:tcBorders>
              <w:tl2br w:val="nil"/>
              <w:tr2bl w:val="nil"/>
            </w:tcBorders>
            <w:vAlign w:val="center"/>
          </w:tcPr>
          <w:p w14:paraId="19DA4C72">
            <w:pPr>
              <w:pStyle w:val="52"/>
              <w:spacing w:before="0" w:after="0" w:line="240" w:lineRule="auto"/>
              <w:ind w:left="0" w:firstLine="0"/>
              <w:rPr>
                <w:rFonts w:hint="default" w:ascii="Times New Roman" w:hAnsi="Times New Roman" w:cs="Times New Roman"/>
                <w:color w:val="000000" w:themeColor="text1"/>
                <w:sz w:val="21"/>
                <w:szCs w:val="18"/>
                <w:highlight w:val="yellow"/>
                <w14:textFill>
                  <w14:solidFill>
                    <w14:schemeClr w14:val="tx1"/>
                  </w14:solidFill>
                </w14:textFill>
              </w:rPr>
            </w:pPr>
          </w:p>
        </w:tc>
      </w:tr>
      <w:tr w14:paraId="7338763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29" w:type="pct"/>
            <w:tcBorders>
              <w:tl2br w:val="nil"/>
              <w:tr2bl w:val="nil"/>
            </w:tcBorders>
            <w:vAlign w:val="center"/>
          </w:tcPr>
          <w:p w14:paraId="6921479A">
            <w:pPr>
              <w:pStyle w:val="52"/>
              <w:spacing w:before="0" w:after="0" w:line="240" w:lineRule="auto"/>
              <w:ind w:left="0" w:firstLine="0"/>
              <w:rPr>
                <w:rFonts w:hint="default" w:ascii="Times New Roman" w:hAnsi="Times New Roman" w:cs="Times New Roman"/>
                <w:color w:val="000000" w:themeColor="text1"/>
                <w:sz w:val="21"/>
                <w:szCs w:val="18"/>
                <w:highlight w:val="none"/>
                <w:lang w:val="en-US" w:eastAsia="zh-CN"/>
                <w14:textFill>
                  <w14:solidFill>
                    <w14:schemeClr w14:val="tx1"/>
                  </w14:solidFill>
                </w14:textFill>
              </w:rPr>
            </w:pPr>
            <w:r>
              <w:rPr>
                <w:rFonts w:hint="eastAsia" w:cs="Times New Roman"/>
                <w:color w:val="000000" w:themeColor="text1"/>
                <w:sz w:val="21"/>
                <w:szCs w:val="18"/>
                <w:highlight w:val="none"/>
                <w:lang w:val="en-US" w:eastAsia="zh-CN"/>
                <w14:textFill>
                  <w14:solidFill>
                    <w14:schemeClr w14:val="tx1"/>
                  </w14:solidFill>
                </w14:textFill>
              </w:rPr>
              <w:t>4</w:t>
            </w:r>
          </w:p>
        </w:tc>
        <w:tc>
          <w:tcPr>
            <w:tcW w:w="855" w:type="pct"/>
            <w:tcBorders>
              <w:tl2br w:val="nil"/>
              <w:tr2bl w:val="nil"/>
            </w:tcBorders>
            <w:vAlign w:val="center"/>
          </w:tcPr>
          <w:p w14:paraId="5195247A">
            <w:pPr>
              <w:pStyle w:val="52"/>
              <w:spacing w:before="0" w:after="0" w:line="240" w:lineRule="auto"/>
              <w:ind w:left="0" w:firstLine="0"/>
              <w:rPr>
                <w:rFonts w:hint="default" w:ascii="Times New Roman" w:hAnsi="Times New Roman" w:cs="Times New Roman"/>
                <w:color w:val="000000" w:themeColor="text1"/>
                <w:sz w:val="21"/>
                <w:szCs w:val="18"/>
                <w:highlight w:val="yellow"/>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预处理及输送装置排气筒</w:t>
            </w:r>
          </w:p>
        </w:tc>
        <w:tc>
          <w:tcPr>
            <w:tcW w:w="558" w:type="pct"/>
            <w:tcBorders>
              <w:tl2br w:val="nil"/>
              <w:tr2bl w:val="nil"/>
            </w:tcBorders>
            <w:shd w:val="clear" w:color="auto" w:fill="auto"/>
            <w:vAlign w:val="center"/>
          </w:tcPr>
          <w:p w14:paraId="5B6F8572">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颗粒物</w:t>
            </w:r>
          </w:p>
        </w:tc>
        <w:tc>
          <w:tcPr>
            <w:tcW w:w="983" w:type="pct"/>
            <w:tcBorders>
              <w:tl2br w:val="nil"/>
              <w:tr2bl w:val="nil"/>
            </w:tcBorders>
            <w:shd w:val="clear" w:color="auto" w:fill="auto"/>
            <w:vAlign w:val="center"/>
          </w:tcPr>
          <w:p w14:paraId="20E58C7C">
            <w:pPr>
              <w:pStyle w:val="52"/>
              <w:spacing w:before="0" w:after="0" w:line="240" w:lineRule="auto"/>
              <w:ind w:left="0" w:leftChars="0" w:firstLine="0" w:firstLineChars="0"/>
              <w:rPr>
                <w:rFonts w:hint="default" w:ascii="Times New Roman" w:hAnsi="Times New Roman" w:cs="Times New Roman"/>
                <w:color w:val="000000" w:themeColor="text1"/>
                <w:sz w:val="21"/>
                <w:szCs w:val="18"/>
                <w:lang w:val="en-US"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20</w:t>
            </w:r>
          </w:p>
        </w:tc>
        <w:tc>
          <w:tcPr>
            <w:tcW w:w="879" w:type="pct"/>
            <w:tcBorders>
              <w:tl2br w:val="nil"/>
              <w:tr2bl w:val="nil"/>
            </w:tcBorders>
            <w:shd w:val="clear" w:color="auto" w:fill="auto"/>
            <w:vAlign w:val="center"/>
          </w:tcPr>
          <w:p w14:paraId="36F51064">
            <w:pPr>
              <w:pStyle w:val="52"/>
              <w:spacing w:before="0" w:after="0" w:line="240" w:lineRule="auto"/>
              <w:ind w:left="0" w:leftChars="0" w:firstLine="0" w:firstLineChars="0"/>
              <w:rPr>
                <w:rFonts w:hint="eastAsia"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w:t>
            </w:r>
          </w:p>
        </w:tc>
        <w:tc>
          <w:tcPr>
            <w:tcW w:w="1493" w:type="pct"/>
            <w:vMerge w:val="continue"/>
            <w:tcBorders>
              <w:tl2br w:val="nil"/>
              <w:tr2bl w:val="nil"/>
            </w:tcBorders>
            <w:vAlign w:val="center"/>
          </w:tcPr>
          <w:p w14:paraId="66FC701A">
            <w:pPr>
              <w:pStyle w:val="52"/>
              <w:spacing w:before="0" w:after="0" w:line="240" w:lineRule="auto"/>
              <w:ind w:left="0" w:firstLine="0"/>
              <w:rPr>
                <w:rFonts w:hint="default" w:ascii="Times New Roman" w:hAnsi="Times New Roman" w:cs="Times New Roman"/>
                <w:color w:val="000000" w:themeColor="text1"/>
                <w:sz w:val="21"/>
                <w:szCs w:val="18"/>
                <w:highlight w:val="yellow"/>
                <w14:textFill>
                  <w14:solidFill>
                    <w14:schemeClr w14:val="tx1"/>
                  </w14:solidFill>
                </w14:textFill>
              </w:rPr>
            </w:pPr>
          </w:p>
        </w:tc>
      </w:tr>
    </w:tbl>
    <w:p w14:paraId="415D5B71">
      <w:pPr>
        <w:pStyle w:val="6"/>
        <w:spacing w:before="120" w:beforeLines="5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rPr>
        <w:t>2</w:t>
      </w:r>
      <w:r>
        <w:rPr>
          <w:rFonts w:hint="default" w:ascii="Times New Roman" w:hAnsi="Times New Roman" w:cs="Times New Roman"/>
        </w:rPr>
        <w:t>）噪声排放标准</w:t>
      </w:r>
    </w:p>
    <w:p w14:paraId="3589E3A8">
      <w:pPr>
        <w:pStyle w:val="6"/>
        <w:rPr>
          <w:rFonts w:hint="default" w:ascii="Times New Roman" w:hAnsi="Times New Roman" w:cs="Times New Roman"/>
        </w:rPr>
      </w:pPr>
      <w:r>
        <w:rPr>
          <w:rFonts w:hint="default" w:ascii="Times New Roman" w:hAnsi="Times New Roman" w:cs="Times New Roman"/>
        </w:rPr>
        <w:t>项目施工期噪声排放执行《建筑施工噪声排放标准》(GB12523-2025)；运营期噪声排放执行《工业企业厂界环境噪声排放标准》（GB12348-2008）中3类区环境噪声排放限值，具体标准限值详见</w:t>
      </w:r>
      <w:r>
        <w:rPr>
          <w:rFonts w:hint="default" w:ascii="Times New Roman" w:hAnsi="Times New Roman" w:cs="Times New Roman"/>
        </w:rPr>
        <w:fldChar w:fldCharType="begin"/>
      </w:r>
      <w:r>
        <w:rPr>
          <w:rFonts w:hint="default" w:ascii="Times New Roman" w:hAnsi="Times New Roman" w:cs="Times New Roman"/>
        </w:rPr>
        <w:instrText xml:space="preserve"> REF _Ref111292253 \h  \* MERGEFORMAT </w:instrText>
      </w:r>
      <w:r>
        <w:rPr>
          <w:rFonts w:hint="default" w:ascii="Times New Roman" w:hAnsi="Times New Roman" w:cs="Times New Roman"/>
        </w:rPr>
        <w:fldChar w:fldCharType="separate"/>
      </w:r>
      <w:r>
        <w:rPr>
          <w:rFonts w:hint="default" w:ascii="Times New Roman" w:hAnsi="Times New Roman" w:cs="Times New Roman"/>
        </w:rPr>
        <w:t>表2.4</w:t>
      </w:r>
      <w:r>
        <w:rPr>
          <w:rFonts w:hint="default" w:ascii="Times New Roman" w:hAnsi="Times New Roman" w:cs="Times New Roman"/>
        </w:rPr>
        <w:noBreakHyphen/>
      </w:r>
      <w:r>
        <w:rPr>
          <w:rFonts w:hint="default" w:ascii="Times New Roman" w:hAnsi="Times New Roman" w:cs="Times New Roman"/>
          <w:lang w:val="en-US" w:eastAsia="zh-CN"/>
        </w:rPr>
        <w:t>6</w:t>
      </w:r>
      <w:r>
        <w:rPr>
          <w:rFonts w:hint="default" w:ascii="Times New Roman" w:hAnsi="Times New Roman" w:cs="Times New Roman"/>
        </w:rPr>
        <w:fldChar w:fldCharType="end"/>
      </w:r>
      <w:r>
        <w:rPr>
          <w:rFonts w:hint="default" w:ascii="Times New Roman" w:hAnsi="Times New Roman" w:cs="Times New Roman"/>
        </w:rPr>
        <w:t>。</w:t>
      </w:r>
    </w:p>
    <w:p w14:paraId="05EF6333">
      <w:pPr>
        <w:pStyle w:val="203"/>
        <w:keepNext w:val="0"/>
        <w:keepLines w:val="0"/>
        <w:pageBreakBefore w:val="0"/>
        <w:widowControl w:val="0"/>
        <w:kinsoku/>
        <w:wordWrap/>
        <w:overflowPunct/>
        <w:topLinePunct w:val="0"/>
        <w:autoSpaceDE/>
        <w:autoSpaceDN/>
        <w:bidi w:val="0"/>
        <w:adjustRightInd w:val="0"/>
        <w:snapToGrid w:val="0"/>
        <w:spacing w:before="0" w:beforeLines="0"/>
        <w:ind w:left="0" w:leftChars="0" w:right="0" w:rightChars="0" w:firstLine="0" w:firstLineChars="0"/>
        <w:jc w:val="right"/>
        <w:textAlignment w:val="auto"/>
        <w:rPr>
          <w:rFonts w:hint="default" w:ascii="Times New Roman" w:hAnsi="Times New Roman" w:eastAsia="宋体" w:cs="Times New Roman"/>
          <w:b/>
          <w:bCs/>
        </w:rPr>
      </w:pPr>
      <w:bookmarkStart w:id="48" w:name="_Ref111292253"/>
      <w:r>
        <w:rPr>
          <w:rFonts w:hint="default" w:ascii="Times New Roman" w:hAnsi="Times New Roman" w:eastAsia="宋体" w:cs="Times New Roman"/>
          <w:b/>
          <w:bCs/>
        </w:rPr>
        <w:t>表</w:t>
      </w: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STYLEREF 2 \s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2.4</w:t>
      </w:r>
      <w:r>
        <w:rPr>
          <w:rFonts w:hint="default" w:ascii="Times New Roman" w:hAnsi="Times New Roman" w:eastAsia="宋体" w:cs="Times New Roman"/>
          <w:b/>
          <w:bCs/>
        </w:rPr>
        <w:fldChar w:fldCharType="end"/>
      </w:r>
      <w:bookmarkEnd w:id="48"/>
      <w:r>
        <w:rPr>
          <w:rFonts w:hint="default" w:ascii="Times New Roman" w:hAnsi="Times New Roman" w:cs="Times New Roman"/>
          <w:b/>
          <w:bCs/>
          <w:lang w:val="en-US" w:eastAsia="zh-CN"/>
        </w:rPr>
        <w:t>-6</w:t>
      </w:r>
      <w:r>
        <w:rPr>
          <w:rFonts w:hint="default" w:ascii="Times New Roman" w:hAnsi="Times New Roman" w:eastAsia="宋体" w:cs="Times New Roman"/>
          <w:b/>
          <w:bCs/>
        </w:rPr>
        <w:t xml:space="preserve"> 噪声排放标准一览表     </w:t>
      </w:r>
      <w:r>
        <w:rPr>
          <w:rFonts w:hint="default" w:ascii="Times New Roman" w:hAnsi="Times New Roman" w:eastAsia="宋体" w:cs="Times New Roman"/>
          <w:b/>
          <w:bCs/>
          <w:lang w:val="en-US" w:eastAsia="zh-CN"/>
        </w:rPr>
        <w:t xml:space="preserve">  </w:t>
      </w:r>
      <w:r>
        <w:rPr>
          <w:rFonts w:hint="default" w:ascii="Times New Roman" w:hAnsi="Times New Roman" w:eastAsia="宋体" w:cs="Times New Roman"/>
          <w:b/>
          <w:bCs/>
        </w:rPr>
        <w:t xml:space="preserve">    单位：dB（A）</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402"/>
        <w:gridCol w:w="2557"/>
        <w:gridCol w:w="2557"/>
      </w:tblGrid>
      <w:tr w14:paraId="30334B6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97" w:type="pct"/>
            <w:tcBorders>
              <w:tl2br w:val="nil"/>
              <w:tr2bl w:val="nil"/>
            </w:tcBorders>
            <w:vAlign w:val="center"/>
          </w:tcPr>
          <w:p w14:paraId="4BBD53B9">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时段</w:t>
            </w:r>
          </w:p>
        </w:tc>
        <w:tc>
          <w:tcPr>
            <w:tcW w:w="1501" w:type="pct"/>
            <w:tcBorders>
              <w:tl2br w:val="nil"/>
              <w:tr2bl w:val="nil"/>
            </w:tcBorders>
            <w:vAlign w:val="center"/>
          </w:tcPr>
          <w:p w14:paraId="3941C2E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昼间</w:t>
            </w:r>
          </w:p>
        </w:tc>
        <w:tc>
          <w:tcPr>
            <w:tcW w:w="1501" w:type="pct"/>
            <w:tcBorders>
              <w:tl2br w:val="nil"/>
              <w:tr2bl w:val="nil"/>
            </w:tcBorders>
            <w:vAlign w:val="center"/>
          </w:tcPr>
          <w:p w14:paraId="2ADE60C6">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夜间</w:t>
            </w:r>
          </w:p>
        </w:tc>
      </w:tr>
      <w:tr w14:paraId="1E3485A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97" w:type="pct"/>
            <w:tcBorders>
              <w:tl2br w:val="nil"/>
              <w:tr2bl w:val="nil"/>
            </w:tcBorders>
            <w:vAlign w:val="center"/>
          </w:tcPr>
          <w:p w14:paraId="3AE035C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施工期</w:t>
            </w:r>
          </w:p>
        </w:tc>
        <w:tc>
          <w:tcPr>
            <w:tcW w:w="1501" w:type="pct"/>
            <w:tcBorders>
              <w:tl2br w:val="nil"/>
              <w:tr2bl w:val="nil"/>
            </w:tcBorders>
            <w:vAlign w:val="center"/>
          </w:tcPr>
          <w:p w14:paraId="467B4C0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70</w:t>
            </w:r>
          </w:p>
        </w:tc>
        <w:tc>
          <w:tcPr>
            <w:tcW w:w="1501" w:type="pct"/>
            <w:tcBorders>
              <w:tl2br w:val="nil"/>
              <w:tr2bl w:val="nil"/>
            </w:tcBorders>
            <w:vAlign w:val="center"/>
          </w:tcPr>
          <w:p w14:paraId="0320D91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55</w:t>
            </w:r>
          </w:p>
        </w:tc>
      </w:tr>
      <w:tr w14:paraId="176E00E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997" w:type="pct"/>
            <w:tcBorders>
              <w:tl2br w:val="nil"/>
              <w:tr2bl w:val="nil"/>
            </w:tcBorders>
            <w:vAlign w:val="center"/>
          </w:tcPr>
          <w:p w14:paraId="5FF7D95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运营期</w:t>
            </w:r>
          </w:p>
        </w:tc>
        <w:tc>
          <w:tcPr>
            <w:tcW w:w="1501" w:type="pct"/>
            <w:tcBorders>
              <w:tl2br w:val="nil"/>
              <w:tr2bl w:val="nil"/>
            </w:tcBorders>
            <w:vAlign w:val="center"/>
          </w:tcPr>
          <w:p w14:paraId="4258E91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65</w:t>
            </w:r>
          </w:p>
        </w:tc>
        <w:tc>
          <w:tcPr>
            <w:tcW w:w="1501" w:type="pct"/>
            <w:tcBorders>
              <w:tl2br w:val="nil"/>
              <w:tr2bl w:val="nil"/>
            </w:tcBorders>
            <w:vAlign w:val="center"/>
          </w:tcPr>
          <w:p w14:paraId="67F404E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55</w:t>
            </w:r>
          </w:p>
        </w:tc>
      </w:tr>
    </w:tbl>
    <w:p w14:paraId="722604C5">
      <w:pPr>
        <w:pStyle w:val="6"/>
        <w:spacing w:before="120" w:beforeLines="50"/>
        <w:rPr>
          <w:rFonts w:hint="default" w:ascii="Times New Roman" w:hAnsi="Times New Roman" w:cs="Times New Roman"/>
        </w:rPr>
      </w:pPr>
      <w:r>
        <w:rPr>
          <w:rFonts w:hint="default" w:ascii="Times New Roman" w:hAnsi="Times New Roman" w:cs="Times New Roman"/>
        </w:rPr>
        <w:t>（</w:t>
      </w:r>
      <w:r>
        <w:rPr>
          <w:rFonts w:hint="default" w:ascii="Times New Roman" w:hAnsi="Times New Roman" w:cs="Times New Roman"/>
          <w:lang w:val="en-US" w:eastAsia="zh-CN"/>
        </w:rPr>
        <w:t>3</w:t>
      </w:r>
      <w:r>
        <w:rPr>
          <w:rFonts w:hint="default" w:ascii="Times New Roman" w:hAnsi="Times New Roman" w:cs="Times New Roman"/>
        </w:rPr>
        <w:t>）固体废物污染控制标准</w:t>
      </w:r>
    </w:p>
    <w:p w14:paraId="20229E54">
      <w:pPr>
        <w:spacing w:line="360" w:lineRule="auto"/>
        <w:ind w:firstLine="480" w:firstLineChars="200"/>
        <w:rPr>
          <w:rFonts w:hint="default" w:ascii="Times New Roman" w:hAnsi="Times New Roman" w:eastAsia="宋体" w:cs="Times New Roman"/>
          <w:sz w:val="24"/>
          <w:szCs w:val="24"/>
          <w:highlight w:val="none"/>
        </w:rPr>
      </w:pPr>
      <w:r>
        <w:rPr>
          <w:rFonts w:hint="default" w:ascii="Times New Roman" w:hAnsi="Times New Roman" w:cs="Times New Roman"/>
          <w:color w:val="000000"/>
          <w:sz w:val="24"/>
          <w:szCs w:val="24"/>
        </w:rPr>
        <w:t>危险废物执行</w:t>
      </w:r>
      <w:r>
        <w:rPr>
          <w:rFonts w:hint="default" w:ascii="Times New Roman" w:hAnsi="Times New Roman" w:cs="Times New Roman"/>
        </w:rPr>
        <w:t>《危险废物贮存污染控制标准》（GB18597-2023）、《水泥窑协同处置固体废物环境保护技术规范》（HJ662-2013）</w:t>
      </w:r>
      <w:r>
        <w:rPr>
          <w:rFonts w:hint="eastAsia" w:cs="Times New Roman"/>
          <w:lang w:val="en-US" w:eastAsia="zh-CN"/>
        </w:rPr>
        <w:t>中相关要求</w:t>
      </w:r>
      <w:r>
        <w:rPr>
          <w:rFonts w:hint="default" w:ascii="Times New Roman" w:hAnsi="Times New Roman" w:cs="Times New Roman"/>
        </w:rPr>
        <w:t>。</w:t>
      </w:r>
    </w:p>
    <w:p w14:paraId="1A879E14">
      <w:pPr>
        <w:pStyle w:val="3"/>
        <w:keepNext/>
        <w:keepLines/>
        <w:pageBreakBefore w:val="0"/>
        <w:widowControl/>
        <w:kinsoku/>
        <w:wordWrap/>
        <w:overflowPunct/>
        <w:topLinePunct w:val="0"/>
        <w:autoSpaceDE/>
        <w:autoSpaceDN/>
        <w:bidi w:val="0"/>
        <w:adjustRightInd/>
        <w:snapToGrid/>
        <w:spacing w:beforeLines="0" w:afterLines="0" w:line="360" w:lineRule="auto"/>
        <w:textAlignment w:val="auto"/>
        <w:rPr>
          <w:rFonts w:hint="default" w:ascii="Times New Roman" w:hAnsi="Times New Roman" w:eastAsia="宋体" w:cs="Times New Roman"/>
          <w:b/>
          <w:bCs w:val="0"/>
          <w:sz w:val="24"/>
          <w:szCs w:val="18"/>
          <w:highlight w:val="none"/>
        </w:rPr>
      </w:pPr>
      <w:bookmarkStart w:id="49" w:name="_Toc13500"/>
      <w:bookmarkStart w:id="50" w:name="_Toc31762"/>
      <w:bookmarkStart w:id="51" w:name="_Toc9868243"/>
      <w:bookmarkStart w:id="52" w:name="_Toc9314"/>
      <w:r>
        <w:rPr>
          <w:rFonts w:hint="default" w:ascii="Times New Roman" w:hAnsi="Times New Roman" w:eastAsia="宋体" w:cs="Times New Roman"/>
          <w:b/>
          <w:bCs w:val="0"/>
          <w:sz w:val="24"/>
          <w:szCs w:val="18"/>
          <w:highlight w:val="none"/>
        </w:rPr>
        <w:t>2.</w:t>
      </w:r>
      <w:r>
        <w:rPr>
          <w:rFonts w:hint="default" w:ascii="Times New Roman" w:hAnsi="Times New Roman" w:cs="Times New Roman"/>
          <w:b/>
          <w:bCs w:val="0"/>
          <w:sz w:val="24"/>
          <w:szCs w:val="18"/>
          <w:highlight w:val="none"/>
          <w:lang w:val="en-US" w:eastAsia="zh-CN"/>
        </w:rPr>
        <w:t>5</w:t>
      </w:r>
      <w:r>
        <w:rPr>
          <w:rFonts w:hint="default" w:ascii="Times New Roman" w:hAnsi="Times New Roman" w:eastAsia="宋体" w:cs="Times New Roman"/>
          <w:b/>
          <w:bCs w:val="0"/>
          <w:sz w:val="24"/>
          <w:szCs w:val="18"/>
          <w:highlight w:val="none"/>
        </w:rPr>
        <w:t>评价等级与重点</w:t>
      </w:r>
      <w:bookmarkEnd w:id="49"/>
      <w:bookmarkEnd w:id="50"/>
      <w:bookmarkEnd w:id="51"/>
      <w:bookmarkEnd w:id="52"/>
    </w:p>
    <w:p w14:paraId="20BBD3DC">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rPr>
        <w:t>2.</w:t>
      </w:r>
      <w:r>
        <w:rPr>
          <w:rFonts w:hint="default" w:ascii="Times New Roman" w:hAnsi="Times New Roman" w:cs="Times New Roman"/>
          <w:b/>
          <w:bCs w:val="0"/>
          <w:kern w:val="2"/>
          <w:sz w:val="24"/>
          <w:szCs w:val="24"/>
          <w:highlight w:val="none"/>
          <w:lang w:val="en-US" w:eastAsia="zh-CN"/>
        </w:rPr>
        <w:t>5</w:t>
      </w:r>
      <w:r>
        <w:rPr>
          <w:rFonts w:hint="default" w:ascii="Times New Roman" w:hAnsi="Times New Roman" w:eastAsia="宋体" w:cs="Times New Roman"/>
          <w:b/>
          <w:bCs w:val="0"/>
          <w:kern w:val="2"/>
          <w:sz w:val="24"/>
          <w:szCs w:val="24"/>
          <w:highlight w:val="none"/>
        </w:rPr>
        <w:t>.1评价工作等级</w:t>
      </w:r>
    </w:p>
    <w:p w14:paraId="56BD882B">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sz w:val="24"/>
          <w:szCs w:val="24"/>
          <w:highlight w:val="none"/>
        </w:rPr>
      </w:pPr>
      <w:r>
        <w:rPr>
          <w:rFonts w:hint="default" w:ascii="Times New Roman" w:hAnsi="Times New Roman" w:eastAsia="宋体" w:cs="Times New Roman"/>
          <w:b w:val="0"/>
          <w:bCs/>
          <w:sz w:val="24"/>
          <w:szCs w:val="24"/>
          <w:highlight w:val="none"/>
        </w:rPr>
        <w:t>（1）环境空气评价等级</w:t>
      </w:r>
    </w:p>
    <w:p w14:paraId="1CC82682">
      <w:pPr>
        <w:pageBreakBefore w:val="0"/>
        <w:kinsoku/>
        <w:wordWrap/>
        <w:overflowPunct/>
        <w:topLinePunct w:val="0"/>
        <w:autoSpaceDE/>
        <w:autoSpaceDN/>
        <w:bidi w:val="0"/>
        <w:adjustRightInd/>
        <w:spacing w:line="360" w:lineRule="auto"/>
        <w:ind w:firstLine="422" w:firstLineChars="176"/>
        <w:jc w:val="left"/>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val="en-US" w:eastAsia="zh-CN"/>
        </w:rPr>
        <w:t>①</w:t>
      </w:r>
      <w:r>
        <w:rPr>
          <w:rFonts w:hint="default" w:ascii="Times New Roman" w:hAnsi="Times New Roman" w:eastAsia="宋体" w:cs="Times New Roman"/>
          <w:b w:val="0"/>
          <w:bCs w:val="0"/>
          <w:sz w:val="24"/>
          <w:szCs w:val="24"/>
          <w:highlight w:val="none"/>
        </w:rPr>
        <w:t>大气环境影响评价工作等级的确定</w:t>
      </w:r>
    </w:p>
    <w:p w14:paraId="6FD37623">
      <w:pPr>
        <w:pageBreakBefore w:val="0"/>
        <w:kinsoku/>
        <w:wordWrap/>
        <w:overflowPunct/>
        <w:topLinePunct w:val="0"/>
        <w:autoSpaceDE/>
        <w:autoSpaceDN/>
        <w:bidi w:val="0"/>
        <w:adjustRightInd/>
        <w:spacing w:line="360" w:lineRule="auto"/>
        <w:ind w:firstLine="422" w:firstLineChars="176"/>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依据《环境影响评价技术导则</w:t>
      </w:r>
      <w:r>
        <w:rPr>
          <w:rFonts w:hint="default" w:ascii="Times New Roman" w:hAnsi="Times New Roman"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大气环境》(HJ2.2-2018)中5.3节工作等级的确定方法，结合项目工程分析结果，选择正常排放的主要污染物及排放参数，采用附录A推荐模型中的AERSCREEN模式计算项目污染源的最大环境影响，然后按评价工作分级判据进行分级。</w:t>
      </w:r>
    </w:p>
    <w:p w14:paraId="2BE8E50E">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a.</w:t>
      </w:r>
      <w:r>
        <w:rPr>
          <w:rFonts w:hint="default" w:ascii="Times New Roman" w:hAnsi="Times New Roman" w:eastAsia="宋体" w:cs="Times New Roman"/>
          <w:sz w:val="24"/>
          <w:szCs w:val="24"/>
          <w:highlight w:val="none"/>
        </w:rPr>
        <w:t>P</w:t>
      </w:r>
      <w:r>
        <w:rPr>
          <w:rFonts w:hint="default" w:ascii="Times New Roman" w:hAnsi="Times New Roman" w:eastAsia="宋体" w:cs="Times New Roman"/>
          <w:sz w:val="24"/>
          <w:szCs w:val="24"/>
          <w:highlight w:val="none"/>
          <w:vertAlign w:val="subscript"/>
        </w:rPr>
        <w:t>max</w:t>
      </w:r>
      <w:r>
        <w:rPr>
          <w:rFonts w:hint="default" w:ascii="Times New Roman" w:hAnsi="Times New Roman" w:eastAsia="宋体" w:cs="Times New Roman"/>
          <w:sz w:val="24"/>
          <w:szCs w:val="24"/>
          <w:highlight w:val="none"/>
        </w:rPr>
        <w:t>及D</w:t>
      </w:r>
      <w:r>
        <w:rPr>
          <w:rFonts w:hint="default" w:ascii="Times New Roman" w:hAnsi="Times New Roman" w:eastAsia="宋体" w:cs="Times New Roman"/>
          <w:sz w:val="24"/>
          <w:szCs w:val="24"/>
          <w:highlight w:val="none"/>
          <w:vertAlign w:val="subscript"/>
        </w:rPr>
        <w:t>10%</w:t>
      </w:r>
      <w:r>
        <w:rPr>
          <w:rFonts w:hint="default" w:ascii="Times New Roman" w:hAnsi="Times New Roman" w:eastAsia="宋体" w:cs="Times New Roman"/>
          <w:sz w:val="24"/>
          <w:szCs w:val="24"/>
          <w:highlight w:val="none"/>
        </w:rPr>
        <w:t>的确定</w:t>
      </w:r>
    </w:p>
    <w:p w14:paraId="2F89CF9B">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依据《环境影响评价技术导则 大气环境》(HJ2.2-2018)中最大地面浓度占标率Pi定义如下：</w:t>
      </w:r>
    </w:p>
    <w:p w14:paraId="7E2BE25A">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i/>
          <w:position w:val="-30"/>
          <w:sz w:val="24"/>
          <w:szCs w:val="24"/>
          <w:highlight w:val="none"/>
        </w:rPr>
        <w:object>
          <v:shape id="_x0000_i1025" o:spt="75" type="#_x0000_t75" style="height:34pt;width:80pt;" o:ole="t" filled="f" o:preferrelative="t" stroked="f" coordsize="21600,21600">
            <v:path/>
            <v:fill on="f" focussize="0,0"/>
            <v:stroke on="f"/>
            <v:imagedata r:id="rId10" o:title=""/>
            <o:lock v:ext="edit" aspectratio="t"/>
            <w10:wrap type="none"/>
            <w10:anchorlock/>
          </v:shape>
          <o:OLEObject Type="Embed" ProgID="Equation.KSEE3" ShapeID="_x0000_i1025" DrawAspect="Content" ObjectID="_1468075725" r:id="rId9">
            <o:LockedField>false</o:LockedField>
          </o:OLEObject>
        </w:object>
      </w:r>
    </w:p>
    <w:p w14:paraId="3724A3ED">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式中</w:t>
      </w:r>
      <w:r>
        <w:rPr>
          <w:rFonts w:hint="default" w:ascii="Times New Roman" w:hAnsi="Times New Roman" w:eastAsia="宋体" w:cs="Times New Roman"/>
          <w:sz w:val="24"/>
          <w:szCs w:val="24"/>
          <w:highlight w:val="none"/>
          <w:lang w:val="en-US" w:eastAsia="zh-CN"/>
        </w:rPr>
        <w:t>P</w:t>
      </w:r>
      <w:r>
        <w:rPr>
          <w:rFonts w:hint="default" w:ascii="Times New Roman" w:hAnsi="Times New Roman" w:eastAsia="宋体" w:cs="Times New Roman"/>
          <w:sz w:val="24"/>
          <w:szCs w:val="24"/>
          <w:highlight w:val="none"/>
          <w:vertAlign w:val="subscript"/>
          <w:lang w:val="en-US" w:eastAsia="zh-CN"/>
        </w:rPr>
        <w:t>i</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第i个污染物的最大地面空气质量浓度占标率，%；</w:t>
      </w:r>
      <w:r>
        <w:rPr>
          <w:rFonts w:hint="default" w:ascii="Times New Roman" w:hAnsi="Times New Roman" w:eastAsia="宋体" w:cs="Times New Roman"/>
          <w:sz w:val="24"/>
          <w:szCs w:val="24"/>
          <w:highlight w:val="none"/>
          <w:lang w:val="en-US" w:eastAsia="zh-CN"/>
        </w:rPr>
        <w:t>C</w:t>
      </w:r>
      <w:r>
        <w:rPr>
          <w:rFonts w:hint="default" w:ascii="Times New Roman" w:hAnsi="Times New Roman" w:eastAsia="宋体" w:cs="Times New Roman"/>
          <w:sz w:val="24"/>
          <w:szCs w:val="24"/>
          <w:highlight w:val="none"/>
          <w:vertAlign w:val="subscript"/>
          <w:lang w:val="en-US" w:eastAsia="zh-CN"/>
        </w:rPr>
        <w:t>i</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采用估算模型计算出的第i个污染物的最大1h地面空气质量浓度，μg/m</w:t>
      </w:r>
      <w:r>
        <w:rPr>
          <w:rFonts w:hint="default" w:ascii="Times New Roman" w:hAnsi="Times New Roman" w:eastAsia="宋体" w:cs="Times New Roman"/>
          <w:sz w:val="24"/>
          <w:szCs w:val="24"/>
          <w:highlight w:val="none"/>
          <w:vertAlign w:val="superscript"/>
        </w:rPr>
        <w:t>3</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C</w:t>
      </w:r>
      <w:r>
        <w:rPr>
          <w:rFonts w:hint="default" w:ascii="Times New Roman" w:hAnsi="Times New Roman" w:eastAsia="宋体" w:cs="Times New Roman"/>
          <w:sz w:val="24"/>
          <w:szCs w:val="24"/>
          <w:highlight w:val="none"/>
          <w:vertAlign w:val="subscript"/>
          <w:lang w:val="en-US" w:eastAsia="zh-CN"/>
        </w:rPr>
        <w:t>oi</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第i个污染物的环境空气质量浓度标准，μg/m</w:t>
      </w:r>
      <w:r>
        <w:rPr>
          <w:rFonts w:hint="default" w:ascii="Times New Roman" w:hAnsi="Times New Roman" w:eastAsia="宋体" w:cs="Times New Roman"/>
          <w:sz w:val="24"/>
          <w:szCs w:val="24"/>
          <w:highlight w:val="none"/>
          <w:vertAlign w:val="superscript"/>
        </w:rPr>
        <w:t>3</w:t>
      </w:r>
      <w:r>
        <w:rPr>
          <w:rFonts w:hint="default" w:ascii="Times New Roman" w:hAnsi="Times New Roman" w:eastAsia="宋体" w:cs="Times New Roman"/>
          <w:sz w:val="24"/>
          <w:szCs w:val="24"/>
          <w:highlight w:val="none"/>
        </w:rPr>
        <w:t>。</w:t>
      </w:r>
    </w:p>
    <w:p w14:paraId="5FF8A196">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b.</w:t>
      </w:r>
      <w:r>
        <w:rPr>
          <w:rFonts w:hint="default" w:ascii="Times New Roman" w:hAnsi="Times New Roman" w:eastAsia="宋体" w:cs="Times New Roman"/>
          <w:sz w:val="24"/>
          <w:szCs w:val="24"/>
          <w:highlight w:val="none"/>
        </w:rPr>
        <w:t>评价等级判别表</w:t>
      </w:r>
    </w:p>
    <w:p w14:paraId="5FAD3270">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评价等级按表</w:t>
      </w:r>
      <w:r>
        <w:rPr>
          <w:rFonts w:hint="default" w:ascii="Times New Roman" w:hAnsi="Times New Roman" w:eastAsia="宋体" w:cs="Times New Roman"/>
          <w:sz w:val="24"/>
          <w:szCs w:val="24"/>
          <w:highlight w:val="none"/>
          <w:lang w:val="en-US" w:eastAsia="zh-CN"/>
        </w:rPr>
        <w:t>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rPr>
        <w:t>的分级</w:t>
      </w:r>
      <w:r>
        <w:rPr>
          <w:rFonts w:hint="default" w:ascii="Times New Roman" w:hAnsi="Times New Roman" w:cs="Times New Roman"/>
          <w:sz w:val="24"/>
          <w:szCs w:val="24"/>
          <w:highlight w:val="none"/>
          <w:lang w:val="en-US" w:eastAsia="zh-CN"/>
        </w:rPr>
        <w:t>依据</w:t>
      </w:r>
      <w:r>
        <w:rPr>
          <w:rFonts w:hint="default" w:ascii="Times New Roman" w:hAnsi="Times New Roman" w:eastAsia="宋体" w:cs="Times New Roman"/>
          <w:sz w:val="24"/>
          <w:szCs w:val="24"/>
          <w:highlight w:val="none"/>
        </w:rPr>
        <w:t>进行划分</w:t>
      </w:r>
      <w:r>
        <w:rPr>
          <w:rFonts w:hint="default" w:ascii="Times New Roman" w:hAnsi="Times New Roman" w:cs="Times New Roman"/>
          <w:sz w:val="24"/>
          <w:szCs w:val="24"/>
          <w:highlight w:val="none"/>
          <w:lang w:eastAsia="zh-CN"/>
        </w:rPr>
        <w:t>。</w:t>
      </w:r>
    </w:p>
    <w:p w14:paraId="377AB7F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w:t>
      </w:r>
      <w:r>
        <w:rPr>
          <w:rFonts w:hint="default" w:ascii="Times New Roman" w:hAnsi="Times New Roman" w:eastAsia="宋体" w:cs="Times New Roman"/>
          <w:b/>
          <w:bCs/>
          <w:sz w:val="24"/>
          <w:szCs w:val="24"/>
          <w:highlight w:val="none"/>
          <w:lang w:val="en-US" w:eastAsia="zh-CN"/>
        </w:rPr>
        <w:t>2.</w:t>
      </w:r>
      <w:r>
        <w:rPr>
          <w:rFonts w:hint="default" w:ascii="Times New Roman" w:hAnsi="Times New Roman"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t xml:space="preserve"> 评价等级判别表</w:t>
      </w:r>
    </w:p>
    <w:tbl>
      <w:tblPr>
        <w:tblStyle w:val="40"/>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45"/>
        <w:gridCol w:w="4271"/>
      </w:tblGrid>
      <w:tr w14:paraId="2F00450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2492" w:type="pct"/>
            <w:tcBorders>
              <w:tl2br w:val="nil"/>
              <w:tr2bl w:val="nil"/>
            </w:tcBorders>
            <w:noWrap w:val="0"/>
            <w:vAlign w:val="center"/>
          </w:tcPr>
          <w:p w14:paraId="2BDC5A6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评价工作等级</w:t>
            </w:r>
          </w:p>
        </w:tc>
        <w:tc>
          <w:tcPr>
            <w:tcW w:w="2507" w:type="pct"/>
            <w:tcBorders>
              <w:tl2br w:val="nil"/>
              <w:tr2bl w:val="nil"/>
            </w:tcBorders>
            <w:noWrap w:val="0"/>
            <w:vAlign w:val="center"/>
          </w:tcPr>
          <w:p w14:paraId="17991FD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评价工作分级判据</w:t>
            </w:r>
          </w:p>
        </w:tc>
      </w:tr>
      <w:tr w14:paraId="4565995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2492" w:type="pct"/>
            <w:tcBorders>
              <w:tl2br w:val="nil"/>
              <w:tr2bl w:val="nil"/>
            </w:tcBorders>
            <w:noWrap w:val="0"/>
            <w:vAlign w:val="center"/>
          </w:tcPr>
          <w:p w14:paraId="4CACB5D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一级评价</w:t>
            </w:r>
          </w:p>
        </w:tc>
        <w:tc>
          <w:tcPr>
            <w:tcW w:w="2507" w:type="pct"/>
            <w:tcBorders>
              <w:tl2br w:val="nil"/>
              <w:tr2bl w:val="nil"/>
            </w:tcBorders>
            <w:noWrap w:val="0"/>
            <w:vAlign w:val="center"/>
          </w:tcPr>
          <w:p w14:paraId="002D1DE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P</w:t>
            </w:r>
            <w:r>
              <w:rPr>
                <w:rFonts w:hint="default" w:ascii="Times New Roman" w:hAnsi="Times New Roman" w:eastAsia="宋体" w:cs="Times New Roman"/>
                <w:sz w:val="21"/>
                <w:szCs w:val="21"/>
                <w:highlight w:val="none"/>
                <w:vertAlign w:val="subscript"/>
              </w:rPr>
              <w:t>max</w:t>
            </w:r>
            <w:r>
              <w:rPr>
                <w:rFonts w:hint="default" w:ascii="Times New Roman" w:hAnsi="Times New Roman" w:eastAsia="宋体" w:cs="Times New Roman"/>
                <w:sz w:val="21"/>
                <w:szCs w:val="21"/>
                <w:highlight w:val="none"/>
              </w:rPr>
              <w:t>≧10%</w:t>
            </w:r>
          </w:p>
        </w:tc>
      </w:tr>
      <w:tr w14:paraId="49BFA57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92" w:type="pct"/>
            <w:tcBorders>
              <w:tl2br w:val="nil"/>
              <w:tr2bl w:val="nil"/>
            </w:tcBorders>
            <w:noWrap w:val="0"/>
            <w:vAlign w:val="center"/>
          </w:tcPr>
          <w:p w14:paraId="5052CDB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二级评价</w:t>
            </w:r>
          </w:p>
        </w:tc>
        <w:tc>
          <w:tcPr>
            <w:tcW w:w="2507" w:type="pct"/>
            <w:tcBorders>
              <w:tl2br w:val="nil"/>
              <w:tr2bl w:val="nil"/>
            </w:tcBorders>
            <w:noWrap w:val="0"/>
            <w:vAlign w:val="center"/>
          </w:tcPr>
          <w:p w14:paraId="64869C9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1%≦P</w:t>
            </w:r>
            <w:r>
              <w:rPr>
                <w:rFonts w:hint="default" w:ascii="Times New Roman" w:hAnsi="Times New Roman" w:eastAsia="宋体" w:cs="Times New Roman"/>
                <w:sz w:val="21"/>
                <w:szCs w:val="21"/>
                <w:highlight w:val="none"/>
                <w:vertAlign w:val="subscript"/>
              </w:rPr>
              <w:t>max</w:t>
            </w:r>
            <w:r>
              <w:rPr>
                <w:rFonts w:hint="default" w:ascii="Times New Roman" w:hAnsi="Times New Roman" w:eastAsia="宋体" w:cs="Times New Roman"/>
                <w:sz w:val="21"/>
                <w:szCs w:val="21"/>
                <w:highlight w:val="none"/>
              </w:rPr>
              <w:t>&lt;10%</w:t>
            </w:r>
          </w:p>
        </w:tc>
      </w:tr>
      <w:tr w14:paraId="413BEAF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492" w:type="pct"/>
            <w:tcBorders>
              <w:tl2br w:val="nil"/>
              <w:tr2bl w:val="nil"/>
            </w:tcBorders>
            <w:noWrap w:val="0"/>
            <w:vAlign w:val="center"/>
          </w:tcPr>
          <w:p w14:paraId="6A1D52D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三级评价</w:t>
            </w:r>
          </w:p>
        </w:tc>
        <w:tc>
          <w:tcPr>
            <w:tcW w:w="2507" w:type="pct"/>
            <w:tcBorders>
              <w:tl2br w:val="nil"/>
              <w:tr2bl w:val="nil"/>
            </w:tcBorders>
            <w:noWrap w:val="0"/>
            <w:vAlign w:val="center"/>
          </w:tcPr>
          <w:p w14:paraId="6C4EEB3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P</w:t>
            </w:r>
            <w:r>
              <w:rPr>
                <w:rFonts w:hint="default" w:ascii="Times New Roman" w:hAnsi="Times New Roman" w:eastAsia="宋体" w:cs="Times New Roman"/>
                <w:sz w:val="21"/>
                <w:szCs w:val="21"/>
                <w:highlight w:val="none"/>
                <w:vertAlign w:val="subscript"/>
              </w:rPr>
              <w:t>max</w:t>
            </w:r>
            <w:r>
              <w:rPr>
                <w:rFonts w:hint="default" w:ascii="Times New Roman" w:hAnsi="Times New Roman" w:eastAsia="宋体" w:cs="Times New Roman"/>
                <w:sz w:val="21"/>
                <w:szCs w:val="21"/>
                <w:highlight w:val="none"/>
              </w:rPr>
              <w:t>&lt;1%</w:t>
            </w:r>
          </w:p>
        </w:tc>
      </w:tr>
    </w:tbl>
    <w:p w14:paraId="11A2FDD8">
      <w:pPr>
        <w:keepNext w:val="0"/>
        <w:keepLines w:val="0"/>
        <w:pageBreakBefore w:val="0"/>
        <w:widowControl/>
        <w:kinsoku/>
        <w:wordWrap/>
        <w:overflowPunct/>
        <w:topLinePunct w:val="0"/>
        <w:autoSpaceDE/>
        <w:autoSpaceDN/>
        <w:bidi w:val="0"/>
        <w:adjustRightInd/>
        <w:snapToGrid w:val="0"/>
        <w:spacing w:before="157" w:beforeLines="50"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c.</w:t>
      </w:r>
      <w:r>
        <w:rPr>
          <w:rFonts w:hint="default" w:ascii="Times New Roman" w:hAnsi="Times New Roman" w:eastAsia="宋体" w:cs="Times New Roman"/>
          <w:sz w:val="24"/>
          <w:szCs w:val="24"/>
          <w:highlight w:val="none"/>
        </w:rPr>
        <w:t>污染物评价标准</w:t>
      </w:r>
    </w:p>
    <w:p w14:paraId="77809709">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污染物评价标准和来源见表</w:t>
      </w:r>
      <w:r>
        <w:rPr>
          <w:rFonts w:hint="default" w:ascii="Times New Roman" w:hAnsi="Times New Roman" w:eastAsia="宋体" w:cs="Times New Roman"/>
          <w:sz w:val="24"/>
          <w:szCs w:val="24"/>
          <w:highlight w:val="none"/>
          <w:lang w:val="en-US" w:eastAsia="zh-CN"/>
        </w:rPr>
        <w:t>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w:t>
      </w:r>
    </w:p>
    <w:p w14:paraId="7630E77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w:t>
      </w:r>
      <w:r>
        <w:rPr>
          <w:rFonts w:hint="default" w:ascii="Times New Roman" w:hAnsi="Times New Roman" w:eastAsia="宋体" w:cs="Times New Roman"/>
          <w:b/>
          <w:bCs/>
          <w:sz w:val="24"/>
          <w:szCs w:val="24"/>
          <w:highlight w:val="none"/>
          <w:lang w:val="en-US" w:eastAsia="zh-CN"/>
        </w:rPr>
        <w:t>2.</w:t>
      </w:r>
      <w:r>
        <w:rPr>
          <w:rFonts w:hint="default" w:ascii="Times New Roman" w:hAnsi="Times New Roman"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rPr>
        <w:t xml:space="preserve"> 污染物评价标准</w:t>
      </w:r>
    </w:p>
    <w:tbl>
      <w:tblPr>
        <w:tblStyle w:val="39"/>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30"/>
        <w:gridCol w:w="1071"/>
        <w:gridCol w:w="1243"/>
        <w:gridCol w:w="1533"/>
        <w:gridCol w:w="3334"/>
      </w:tblGrid>
      <w:tr w14:paraId="6F548D2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781" w:type="pct"/>
            <w:tcBorders>
              <w:tl2br w:val="nil"/>
              <w:tr2bl w:val="nil"/>
            </w:tcBorders>
            <w:vAlign w:val="center"/>
          </w:tcPr>
          <w:p w14:paraId="6DEB251C">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eastAsia="宋体" w:cs="Times New Roman"/>
                <w:b/>
                <w:bCs/>
                <w:sz w:val="21"/>
                <w:szCs w:val="21"/>
              </w:rPr>
              <w:t>污染物名称</w:t>
            </w:r>
          </w:p>
        </w:tc>
        <w:tc>
          <w:tcPr>
            <w:tcW w:w="629" w:type="pct"/>
            <w:tcBorders>
              <w:tl2br w:val="nil"/>
              <w:tr2bl w:val="nil"/>
            </w:tcBorders>
            <w:vAlign w:val="center"/>
          </w:tcPr>
          <w:p w14:paraId="64DFAE41">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eastAsia="宋体" w:cs="Times New Roman"/>
                <w:b/>
                <w:bCs/>
                <w:sz w:val="21"/>
                <w:szCs w:val="21"/>
              </w:rPr>
              <w:t>功能区</w:t>
            </w:r>
          </w:p>
        </w:tc>
        <w:tc>
          <w:tcPr>
            <w:tcW w:w="730" w:type="pct"/>
            <w:tcBorders>
              <w:tl2br w:val="nil"/>
              <w:tr2bl w:val="nil"/>
            </w:tcBorders>
            <w:vAlign w:val="center"/>
          </w:tcPr>
          <w:p w14:paraId="303ADBD6">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eastAsia="宋体" w:cs="Times New Roman"/>
                <w:b/>
                <w:bCs/>
                <w:sz w:val="21"/>
                <w:szCs w:val="21"/>
              </w:rPr>
              <w:t>取值时间</w:t>
            </w:r>
          </w:p>
        </w:tc>
        <w:tc>
          <w:tcPr>
            <w:tcW w:w="900" w:type="pct"/>
            <w:tcBorders>
              <w:tl2br w:val="nil"/>
              <w:tr2bl w:val="nil"/>
            </w:tcBorders>
            <w:vAlign w:val="center"/>
          </w:tcPr>
          <w:p w14:paraId="47B1AF22">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eastAsia="宋体" w:cs="Times New Roman"/>
                <w:b/>
                <w:bCs/>
                <w:sz w:val="21"/>
                <w:szCs w:val="21"/>
              </w:rPr>
              <w:t>标准值(μg/m³)</w:t>
            </w:r>
          </w:p>
        </w:tc>
        <w:tc>
          <w:tcPr>
            <w:tcW w:w="1958" w:type="pct"/>
            <w:tcBorders>
              <w:tl2br w:val="nil"/>
              <w:tr2bl w:val="nil"/>
            </w:tcBorders>
            <w:vAlign w:val="center"/>
          </w:tcPr>
          <w:p w14:paraId="537D7AD1">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eastAsia="宋体" w:cs="Times New Roman"/>
                <w:b/>
                <w:bCs/>
                <w:sz w:val="21"/>
                <w:szCs w:val="21"/>
              </w:rPr>
              <w:t>标准来源</w:t>
            </w:r>
          </w:p>
        </w:tc>
      </w:tr>
      <w:tr w14:paraId="3E8029E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1" w:type="pct"/>
            <w:tcBorders>
              <w:tl2br w:val="nil"/>
              <w:tr2bl w:val="nil"/>
            </w:tcBorders>
            <w:vAlign w:val="center"/>
          </w:tcPr>
          <w:p w14:paraId="579E8FBE">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TSP</w:t>
            </w:r>
          </w:p>
        </w:tc>
        <w:tc>
          <w:tcPr>
            <w:tcW w:w="629" w:type="pct"/>
            <w:tcBorders>
              <w:tl2br w:val="nil"/>
              <w:tr2bl w:val="nil"/>
            </w:tcBorders>
            <w:vAlign w:val="center"/>
          </w:tcPr>
          <w:p w14:paraId="52004C05">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二类限区</w:t>
            </w:r>
          </w:p>
        </w:tc>
        <w:tc>
          <w:tcPr>
            <w:tcW w:w="730" w:type="pct"/>
            <w:tcBorders>
              <w:tl2br w:val="nil"/>
              <w:tr2bl w:val="nil"/>
            </w:tcBorders>
            <w:vAlign w:val="center"/>
          </w:tcPr>
          <w:p w14:paraId="67DF8E2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日均</w:t>
            </w:r>
          </w:p>
        </w:tc>
        <w:tc>
          <w:tcPr>
            <w:tcW w:w="900" w:type="pct"/>
            <w:tcBorders>
              <w:tl2br w:val="nil"/>
              <w:tr2bl w:val="nil"/>
            </w:tcBorders>
            <w:vAlign w:val="center"/>
          </w:tcPr>
          <w:p w14:paraId="57A21EB5">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300.0</w:t>
            </w:r>
          </w:p>
        </w:tc>
        <w:tc>
          <w:tcPr>
            <w:tcW w:w="1958" w:type="pct"/>
            <w:tcBorders>
              <w:tl2br w:val="nil"/>
              <w:tr2bl w:val="nil"/>
            </w:tcBorders>
            <w:vAlign w:val="center"/>
          </w:tcPr>
          <w:p w14:paraId="589FD297">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《环境空气质量标准》（GB3095-2026）中过渡阶段二级标准</w:t>
            </w:r>
          </w:p>
        </w:tc>
      </w:tr>
    </w:tbl>
    <w:p w14:paraId="6D5B67C7">
      <w:pPr>
        <w:keepNext w:val="0"/>
        <w:keepLines w:val="0"/>
        <w:pageBreakBefore w:val="0"/>
        <w:widowControl/>
        <w:kinsoku/>
        <w:wordWrap/>
        <w:overflowPunct/>
        <w:topLinePunct w:val="0"/>
        <w:autoSpaceDE/>
        <w:autoSpaceDN/>
        <w:bidi w:val="0"/>
        <w:adjustRightInd/>
        <w:snapToGrid w:val="0"/>
        <w:spacing w:before="157" w:beforeLines="50" w:line="360" w:lineRule="auto"/>
        <w:ind w:firstLine="482"/>
        <w:jc w:val="left"/>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val="en-US" w:eastAsia="zh-CN"/>
        </w:rPr>
        <w:t>②</w:t>
      </w:r>
      <w:r>
        <w:rPr>
          <w:rFonts w:hint="default" w:ascii="Times New Roman" w:hAnsi="Times New Roman" w:eastAsia="宋体" w:cs="Times New Roman"/>
          <w:b w:val="0"/>
          <w:bCs w:val="0"/>
          <w:sz w:val="24"/>
          <w:szCs w:val="24"/>
          <w:highlight w:val="none"/>
        </w:rPr>
        <w:t>污染源参数</w:t>
      </w:r>
    </w:p>
    <w:p w14:paraId="4D09849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highlight w:val="none"/>
        </w:rPr>
      </w:pPr>
      <w:r>
        <w:rPr>
          <w:rFonts w:hint="default" w:ascii="Times New Roman" w:hAnsi="Times New Roman" w:eastAsia="宋体" w:cs="Times New Roman"/>
          <w:b/>
          <w:bCs/>
          <w:sz w:val="24"/>
          <w:szCs w:val="24"/>
          <w:highlight w:val="none"/>
        </w:rPr>
        <w:t>表</w:t>
      </w:r>
      <w:r>
        <w:rPr>
          <w:rFonts w:hint="default" w:ascii="Times New Roman" w:hAnsi="Times New Roman" w:eastAsia="宋体" w:cs="Times New Roman"/>
          <w:b/>
          <w:bCs/>
          <w:sz w:val="24"/>
          <w:szCs w:val="24"/>
          <w:highlight w:val="none"/>
          <w:lang w:val="en-US" w:eastAsia="zh-CN"/>
        </w:rPr>
        <w:t>2.</w:t>
      </w:r>
      <w:r>
        <w:rPr>
          <w:rFonts w:hint="default" w:ascii="Times New Roman" w:hAnsi="Times New Roman"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-3</w:t>
      </w:r>
      <w:r>
        <w:rPr>
          <w:rFonts w:hint="default" w:ascii="Times New Roman" w:hAnsi="Times New Roman" w:eastAsia="宋体" w:cs="Times New Roman"/>
          <w:b/>
          <w:bCs/>
          <w:sz w:val="24"/>
          <w:szCs w:val="24"/>
          <w:highlight w:val="none"/>
        </w:rPr>
        <w:t xml:space="preserve"> 主要废气污染源参数一览表</w:t>
      </w:r>
    </w:p>
    <w:tbl>
      <w:tblPr>
        <w:tblStyle w:val="39"/>
        <w:tblW w:w="852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21"/>
        <w:gridCol w:w="1032"/>
        <w:gridCol w:w="982"/>
        <w:gridCol w:w="1100"/>
        <w:gridCol w:w="843"/>
        <w:gridCol w:w="714"/>
        <w:gridCol w:w="843"/>
        <w:gridCol w:w="821"/>
        <w:gridCol w:w="971"/>
      </w:tblGrid>
      <w:tr w14:paraId="1D2415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21" w:type="dxa"/>
            <w:vMerge w:val="restart"/>
            <w:tcBorders>
              <w:top w:val="single" w:color="auto" w:sz="12" w:space="0"/>
              <w:left w:val="nil"/>
              <w:bottom w:val="single" w:color="auto" w:sz="4" w:space="0"/>
              <w:right w:val="single" w:color="auto" w:sz="4" w:space="0"/>
            </w:tcBorders>
            <w:vAlign w:val="center"/>
          </w:tcPr>
          <w:p w14:paraId="0B2581A7">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污染源名称</w:t>
            </w:r>
          </w:p>
        </w:tc>
        <w:tc>
          <w:tcPr>
            <w:tcW w:w="2014" w:type="dxa"/>
            <w:gridSpan w:val="2"/>
            <w:tcBorders>
              <w:top w:val="single" w:color="auto" w:sz="12" w:space="0"/>
              <w:left w:val="single" w:color="auto" w:sz="4" w:space="0"/>
              <w:bottom w:val="single" w:color="auto" w:sz="4" w:space="0"/>
              <w:right w:val="single" w:color="auto" w:sz="4" w:space="0"/>
            </w:tcBorders>
            <w:vAlign w:val="center"/>
          </w:tcPr>
          <w:p w14:paraId="074B6AE8">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排气筒底部中心坐标(°)</w:t>
            </w:r>
          </w:p>
        </w:tc>
        <w:tc>
          <w:tcPr>
            <w:tcW w:w="1100" w:type="dxa"/>
            <w:vMerge w:val="restart"/>
            <w:tcBorders>
              <w:top w:val="single" w:color="auto" w:sz="12" w:space="0"/>
              <w:left w:val="single" w:color="auto" w:sz="4" w:space="0"/>
              <w:bottom w:val="single" w:color="auto" w:sz="4" w:space="0"/>
              <w:right w:val="single" w:color="auto" w:sz="4" w:space="0"/>
            </w:tcBorders>
            <w:vAlign w:val="center"/>
          </w:tcPr>
          <w:p w14:paraId="6A5AFF77">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排气筒底部海拔高度(m)</w:t>
            </w:r>
          </w:p>
        </w:tc>
        <w:tc>
          <w:tcPr>
            <w:tcW w:w="3221" w:type="dxa"/>
            <w:gridSpan w:val="4"/>
            <w:tcBorders>
              <w:top w:val="single" w:color="auto" w:sz="12" w:space="0"/>
              <w:left w:val="single" w:color="auto" w:sz="4" w:space="0"/>
              <w:bottom w:val="single" w:color="auto" w:sz="4" w:space="0"/>
              <w:right w:val="single" w:color="auto" w:sz="4" w:space="0"/>
            </w:tcBorders>
            <w:vAlign w:val="center"/>
          </w:tcPr>
          <w:p w14:paraId="4AECAFA4">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排气筒参数</w:t>
            </w:r>
          </w:p>
        </w:tc>
        <w:tc>
          <w:tcPr>
            <w:tcW w:w="971" w:type="dxa"/>
            <w:tcBorders>
              <w:top w:val="single" w:color="auto" w:sz="12" w:space="0"/>
              <w:left w:val="single" w:color="auto" w:sz="4" w:space="0"/>
              <w:bottom w:val="single" w:color="auto" w:sz="4" w:space="0"/>
              <w:right w:val="nil"/>
            </w:tcBorders>
            <w:vAlign w:val="center"/>
          </w:tcPr>
          <w:p w14:paraId="664C7A28">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污染物排放速率(kg/h)</w:t>
            </w:r>
          </w:p>
        </w:tc>
      </w:tr>
      <w:tr w14:paraId="56D0A9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1221" w:type="dxa"/>
            <w:vMerge w:val="continue"/>
            <w:tcBorders>
              <w:top w:val="single" w:color="auto" w:sz="4" w:space="0"/>
              <w:left w:val="nil"/>
              <w:bottom w:val="single" w:color="auto" w:sz="4" w:space="0"/>
              <w:right w:val="single" w:color="auto" w:sz="4" w:space="0"/>
            </w:tcBorders>
            <w:vAlign w:val="center"/>
          </w:tcPr>
          <w:p w14:paraId="44D3C8B1">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p>
        </w:tc>
        <w:tc>
          <w:tcPr>
            <w:tcW w:w="1032" w:type="dxa"/>
            <w:tcBorders>
              <w:top w:val="single" w:color="auto" w:sz="4" w:space="0"/>
              <w:left w:val="single" w:color="auto" w:sz="4" w:space="0"/>
              <w:bottom w:val="single" w:color="auto" w:sz="4" w:space="0"/>
              <w:right w:val="single" w:color="auto" w:sz="4" w:space="0"/>
            </w:tcBorders>
            <w:vAlign w:val="center"/>
          </w:tcPr>
          <w:p w14:paraId="1F50416C">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经度</w:t>
            </w:r>
          </w:p>
        </w:tc>
        <w:tc>
          <w:tcPr>
            <w:tcW w:w="982" w:type="dxa"/>
            <w:tcBorders>
              <w:top w:val="single" w:color="auto" w:sz="4" w:space="0"/>
              <w:left w:val="single" w:color="auto" w:sz="4" w:space="0"/>
              <w:bottom w:val="single" w:color="auto" w:sz="4" w:space="0"/>
              <w:right w:val="single" w:color="auto" w:sz="4" w:space="0"/>
            </w:tcBorders>
            <w:vAlign w:val="center"/>
          </w:tcPr>
          <w:p w14:paraId="40C558B2">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纬度</w:t>
            </w:r>
          </w:p>
        </w:tc>
        <w:tc>
          <w:tcPr>
            <w:tcW w:w="1100" w:type="dxa"/>
            <w:vMerge w:val="continue"/>
            <w:tcBorders>
              <w:top w:val="single" w:color="auto" w:sz="4" w:space="0"/>
              <w:left w:val="single" w:color="auto" w:sz="4" w:space="0"/>
              <w:bottom w:val="single" w:color="auto" w:sz="4" w:space="0"/>
              <w:right w:val="single" w:color="auto" w:sz="4" w:space="0"/>
            </w:tcBorders>
            <w:vAlign w:val="center"/>
          </w:tcPr>
          <w:p w14:paraId="6DEE0493">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p>
        </w:tc>
        <w:tc>
          <w:tcPr>
            <w:tcW w:w="843" w:type="dxa"/>
            <w:tcBorders>
              <w:top w:val="single" w:color="auto" w:sz="4" w:space="0"/>
              <w:left w:val="single" w:color="auto" w:sz="4" w:space="0"/>
              <w:bottom w:val="single" w:color="auto" w:sz="4" w:space="0"/>
              <w:right w:val="single" w:color="auto" w:sz="4" w:space="0"/>
            </w:tcBorders>
            <w:vAlign w:val="center"/>
          </w:tcPr>
          <w:p w14:paraId="05310C97">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高度(m)</w:t>
            </w:r>
          </w:p>
        </w:tc>
        <w:tc>
          <w:tcPr>
            <w:tcW w:w="714" w:type="dxa"/>
            <w:tcBorders>
              <w:top w:val="single" w:color="auto" w:sz="4" w:space="0"/>
              <w:left w:val="single" w:color="auto" w:sz="4" w:space="0"/>
              <w:bottom w:val="single" w:color="auto" w:sz="4" w:space="0"/>
              <w:right w:val="single" w:color="auto" w:sz="4" w:space="0"/>
            </w:tcBorders>
            <w:vAlign w:val="center"/>
          </w:tcPr>
          <w:p w14:paraId="0A0CD952">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内径(m)</w:t>
            </w:r>
          </w:p>
        </w:tc>
        <w:tc>
          <w:tcPr>
            <w:tcW w:w="843" w:type="dxa"/>
            <w:tcBorders>
              <w:top w:val="single" w:color="auto" w:sz="4" w:space="0"/>
              <w:left w:val="single" w:color="auto" w:sz="4" w:space="0"/>
              <w:bottom w:val="single" w:color="auto" w:sz="4" w:space="0"/>
              <w:right w:val="single" w:color="auto" w:sz="4" w:space="0"/>
            </w:tcBorders>
            <w:vAlign w:val="center"/>
          </w:tcPr>
          <w:p w14:paraId="3E2C911A">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温度(℃)</w:t>
            </w:r>
          </w:p>
        </w:tc>
        <w:tc>
          <w:tcPr>
            <w:tcW w:w="821" w:type="dxa"/>
            <w:tcBorders>
              <w:top w:val="single" w:color="auto" w:sz="4" w:space="0"/>
              <w:left w:val="single" w:color="auto" w:sz="4" w:space="0"/>
              <w:bottom w:val="single" w:color="auto" w:sz="4" w:space="0"/>
              <w:right w:val="single" w:color="auto" w:sz="4" w:space="0"/>
            </w:tcBorders>
            <w:vAlign w:val="center"/>
          </w:tcPr>
          <w:p w14:paraId="666B0462">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流速(m/s)</w:t>
            </w:r>
          </w:p>
        </w:tc>
        <w:tc>
          <w:tcPr>
            <w:tcW w:w="971" w:type="dxa"/>
            <w:tcBorders>
              <w:top w:val="single" w:color="auto" w:sz="4" w:space="0"/>
              <w:left w:val="single" w:color="auto" w:sz="4" w:space="0"/>
              <w:bottom w:val="single" w:color="auto" w:sz="4" w:space="0"/>
              <w:right w:val="nil"/>
            </w:tcBorders>
            <w:vAlign w:val="center"/>
          </w:tcPr>
          <w:p w14:paraId="5E7DA87B">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TSP</w:t>
            </w:r>
          </w:p>
        </w:tc>
      </w:tr>
      <w:tr w14:paraId="2976F4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1221" w:type="dxa"/>
            <w:tcBorders>
              <w:top w:val="single" w:color="auto" w:sz="4" w:space="0"/>
              <w:left w:val="nil"/>
              <w:bottom w:val="single" w:color="auto" w:sz="4" w:space="0"/>
              <w:right w:val="single" w:color="auto" w:sz="4" w:space="0"/>
            </w:tcBorders>
            <w:vAlign w:val="center"/>
          </w:tcPr>
          <w:p w14:paraId="1BDA7243">
            <w:pPr>
              <w:autoSpaceDE/>
              <w:autoSpaceDN/>
              <w:spacing w:before="0" w:after="0" w:line="240" w:lineRule="auto"/>
              <w:ind w:left="0" w:firstLine="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预处理系统废气</w:t>
            </w:r>
          </w:p>
        </w:tc>
        <w:tc>
          <w:tcPr>
            <w:tcW w:w="1032" w:type="dxa"/>
            <w:tcBorders>
              <w:top w:val="single" w:color="auto" w:sz="4" w:space="0"/>
              <w:left w:val="single" w:color="auto" w:sz="4" w:space="0"/>
              <w:bottom w:val="single" w:color="auto" w:sz="4" w:space="0"/>
              <w:right w:val="single" w:color="auto" w:sz="4" w:space="0"/>
            </w:tcBorders>
            <w:vAlign w:val="center"/>
          </w:tcPr>
          <w:p w14:paraId="09839FA6">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80.113183</w:t>
            </w:r>
          </w:p>
        </w:tc>
        <w:tc>
          <w:tcPr>
            <w:tcW w:w="982" w:type="dxa"/>
            <w:tcBorders>
              <w:top w:val="single" w:color="auto" w:sz="4" w:space="0"/>
              <w:left w:val="single" w:color="auto" w:sz="4" w:space="0"/>
              <w:bottom w:val="single" w:color="auto" w:sz="4" w:space="0"/>
              <w:right w:val="single" w:color="auto" w:sz="4" w:space="0"/>
            </w:tcBorders>
            <w:vAlign w:val="center"/>
          </w:tcPr>
          <w:p w14:paraId="5245AEAD">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41.067536</w:t>
            </w:r>
          </w:p>
        </w:tc>
        <w:tc>
          <w:tcPr>
            <w:tcW w:w="1100" w:type="dxa"/>
            <w:tcBorders>
              <w:top w:val="single" w:color="auto" w:sz="4" w:space="0"/>
              <w:left w:val="single" w:color="auto" w:sz="4" w:space="0"/>
              <w:bottom w:val="single" w:color="auto" w:sz="4" w:space="0"/>
              <w:right w:val="single" w:color="auto" w:sz="4" w:space="0"/>
            </w:tcBorders>
            <w:vAlign w:val="center"/>
          </w:tcPr>
          <w:p w14:paraId="3D2CBB89">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1129.00</w:t>
            </w:r>
          </w:p>
        </w:tc>
        <w:tc>
          <w:tcPr>
            <w:tcW w:w="843" w:type="dxa"/>
            <w:tcBorders>
              <w:top w:val="single" w:color="auto" w:sz="4" w:space="0"/>
              <w:left w:val="single" w:color="auto" w:sz="4" w:space="0"/>
              <w:bottom w:val="single" w:color="auto" w:sz="4" w:space="0"/>
              <w:right w:val="single" w:color="auto" w:sz="4" w:space="0"/>
            </w:tcBorders>
            <w:vAlign w:val="center"/>
          </w:tcPr>
          <w:p w14:paraId="7C8D2931">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15.00</w:t>
            </w:r>
          </w:p>
        </w:tc>
        <w:tc>
          <w:tcPr>
            <w:tcW w:w="714" w:type="dxa"/>
            <w:tcBorders>
              <w:top w:val="single" w:color="auto" w:sz="4" w:space="0"/>
              <w:left w:val="single" w:color="auto" w:sz="4" w:space="0"/>
              <w:bottom w:val="single" w:color="auto" w:sz="4" w:space="0"/>
              <w:right w:val="single" w:color="auto" w:sz="4" w:space="0"/>
            </w:tcBorders>
            <w:vAlign w:val="center"/>
          </w:tcPr>
          <w:p w14:paraId="2DA5A14E">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0.30</w:t>
            </w:r>
          </w:p>
        </w:tc>
        <w:tc>
          <w:tcPr>
            <w:tcW w:w="843" w:type="dxa"/>
            <w:tcBorders>
              <w:top w:val="single" w:color="auto" w:sz="4" w:space="0"/>
              <w:left w:val="single" w:color="auto" w:sz="4" w:space="0"/>
              <w:bottom w:val="single" w:color="auto" w:sz="4" w:space="0"/>
              <w:right w:val="single" w:color="auto" w:sz="4" w:space="0"/>
            </w:tcBorders>
            <w:vAlign w:val="center"/>
          </w:tcPr>
          <w:p w14:paraId="1B753E57">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40.00</w:t>
            </w:r>
          </w:p>
        </w:tc>
        <w:tc>
          <w:tcPr>
            <w:tcW w:w="821" w:type="dxa"/>
            <w:tcBorders>
              <w:top w:val="single" w:color="auto" w:sz="4" w:space="0"/>
              <w:left w:val="single" w:color="auto" w:sz="4" w:space="0"/>
              <w:bottom w:val="single" w:color="auto" w:sz="4" w:space="0"/>
              <w:right w:val="single" w:color="auto" w:sz="4" w:space="0"/>
            </w:tcBorders>
            <w:vAlign w:val="center"/>
          </w:tcPr>
          <w:p w14:paraId="192AF6F8">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7.08</w:t>
            </w:r>
          </w:p>
        </w:tc>
        <w:tc>
          <w:tcPr>
            <w:tcW w:w="971" w:type="dxa"/>
            <w:tcBorders>
              <w:top w:val="single" w:color="auto" w:sz="4" w:space="0"/>
              <w:left w:val="single" w:color="auto" w:sz="4" w:space="0"/>
              <w:bottom w:val="single" w:color="auto" w:sz="4" w:space="0"/>
              <w:right w:val="nil"/>
            </w:tcBorders>
            <w:vAlign w:val="center"/>
          </w:tcPr>
          <w:p w14:paraId="010147AA">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0.0450</w:t>
            </w:r>
          </w:p>
        </w:tc>
      </w:tr>
      <w:tr w14:paraId="50B716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7" w:hRule="atLeast"/>
        </w:trPr>
        <w:tc>
          <w:tcPr>
            <w:tcW w:w="1221" w:type="dxa"/>
            <w:tcBorders>
              <w:top w:val="single" w:color="auto" w:sz="4" w:space="0"/>
              <w:left w:val="nil"/>
              <w:bottom w:val="single" w:color="auto" w:sz="12" w:space="0"/>
              <w:right w:val="single" w:color="auto" w:sz="4" w:space="0"/>
            </w:tcBorders>
            <w:vAlign w:val="center"/>
          </w:tcPr>
          <w:p w14:paraId="48454681">
            <w:pPr>
              <w:autoSpaceDE/>
              <w:autoSpaceDN/>
              <w:spacing w:before="0" w:after="0" w:line="240" w:lineRule="auto"/>
              <w:ind w:left="0" w:firstLine="0"/>
              <w:jc w:val="center"/>
              <w:rPr>
                <w:rFonts w:hint="default" w:ascii="Times New Roman" w:hAnsi="Times New Roman" w:eastAsia="宋体" w:cs="Times New Roman"/>
                <w:b w:val="0"/>
                <w:color w:val="auto"/>
                <w:sz w:val="21"/>
                <w:szCs w:val="21"/>
                <w:lang w:val="en-US" w:eastAsia="zh-CN"/>
              </w:rPr>
            </w:pPr>
            <w:r>
              <w:rPr>
                <w:rFonts w:hint="eastAsia" w:ascii="Times New Roman" w:hAnsi="Times New Roman" w:eastAsia="宋体" w:cs="Times New Roman"/>
                <w:b w:val="0"/>
                <w:color w:val="auto"/>
                <w:sz w:val="21"/>
                <w:szCs w:val="21"/>
                <w:lang w:val="en-US" w:eastAsia="zh-CN"/>
              </w:rPr>
              <w:t>输送系统废气</w:t>
            </w:r>
          </w:p>
        </w:tc>
        <w:tc>
          <w:tcPr>
            <w:tcW w:w="1032" w:type="dxa"/>
            <w:tcBorders>
              <w:top w:val="single" w:color="auto" w:sz="4" w:space="0"/>
              <w:left w:val="single" w:color="auto" w:sz="4" w:space="0"/>
              <w:bottom w:val="single" w:color="auto" w:sz="12" w:space="0"/>
              <w:right w:val="single" w:color="auto" w:sz="4" w:space="0"/>
            </w:tcBorders>
            <w:vAlign w:val="center"/>
          </w:tcPr>
          <w:p w14:paraId="02F884C3">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80.11358</w:t>
            </w:r>
          </w:p>
        </w:tc>
        <w:tc>
          <w:tcPr>
            <w:tcW w:w="982" w:type="dxa"/>
            <w:tcBorders>
              <w:top w:val="single" w:color="auto" w:sz="4" w:space="0"/>
              <w:left w:val="single" w:color="auto" w:sz="4" w:space="0"/>
              <w:bottom w:val="single" w:color="auto" w:sz="12" w:space="0"/>
              <w:right w:val="single" w:color="auto" w:sz="4" w:space="0"/>
            </w:tcBorders>
            <w:vAlign w:val="center"/>
          </w:tcPr>
          <w:p w14:paraId="179EA926">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41.067706</w:t>
            </w:r>
          </w:p>
        </w:tc>
        <w:tc>
          <w:tcPr>
            <w:tcW w:w="1100" w:type="dxa"/>
            <w:tcBorders>
              <w:top w:val="single" w:color="auto" w:sz="4" w:space="0"/>
              <w:left w:val="single" w:color="auto" w:sz="4" w:space="0"/>
              <w:bottom w:val="single" w:color="auto" w:sz="12" w:space="0"/>
              <w:right w:val="single" w:color="auto" w:sz="4" w:space="0"/>
            </w:tcBorders>
            <w:vAlign w:val="center"/>
          </w:tcPr>
          <w:p w14:paraId="5C2EFA29">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1129.00</w:t>
            </w:r>
          </w:p>
        </w:tc>
        <w:tc>
          <w:tcPr>
            <w:tcW w:w="843" w:type="dxa"/>
            <w:tcBorders>
              <w:top w:val="single" w:color="auto" w:sz="4" w:space="0"/>
              <w:left w:val="single" w:color="auto" w:sz="4" w:space="0"/>
              <w:bottom w:val="single" w:color="auto" w:sz="12" w:space="0"/>
              <w:right w:val="single" w:color="auto" w:sz="4" w:space="0"/>
            </w:tcBorders>
            <w:vAlign w:val="center"/>
          </w:tcPr>
          <w:p w14:paraId="6D9C7AEA">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15.00</w:t>
            </w:r>
          </w:p>
        </w:tc>
        <w:tc>
          <w:tcPr>
            <w:tcW w:w="714" w:type="dxa"/>
            <w:tcBorders>
              <w:top w:val="single" w:color="auto" w:sz="4" w:space="0"/>
              <w:left w:val="single" w:color="auto" w:sz="4" w:space="0"/>
              <w:bottom w:val="single" w:color="auto" w:sz="12" w:space="0"/>
              <w:right w:val="single" w:color="auto" w:sz="4" w:space="0"/>
            </w:tcBorders>
            <w:vAlign w:val="center"/>
          </w:tcPr>
          <w:p w14:paraId="18F4BE1E">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0.30</w:t>
            </w:r>
          </w:p>
        </w:tc>
        <w:tc>
          <w:tcPr>
            <w:tcW w:w="843" w:type="dxa"/>
            <w:tcBorders>
              <w:top w:val="single" w:color="auto" w:sz="4" w:space="0"/>
              <w:left w:val="single" w:color="auto" w:sz="4" w:space="0"/>
              <w:bottom w:val="single" w:color="auto" w:sz="12" w:space="0"/>
              <w:right w:val="single" w:color="auto" w:sz="4" w:space="0"/>
            </w:tcBorders>
            <w:vAlign w:val="center"/>
          </w:tcPr>
          <w:p w14:paraId="69D7FFC9">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40.00</w:t>
            </w:r>
          </w:p>
        </w:tc>
        <w:tc>
          <w:tcPr>
            <w:tcW w:w="821" w:type="dxa"/>
            <w:tcBorders>
              <w:top w:val="single" w:color="auto" w:sz="4" w:space="0"/>
              <w:left w:val="single" w:color="auto" w:sz="4" w:space="0"/>
              <w:bottom w:val="single" w:color="auto" w:sz="12" w:space="0"/>
              <w:right w:val="single" w:color="auto" w:sz="4" w:space="0"/>
            </w:tcBorders>
            <w:vAlign w:val="center"/>
          </w:tcPr>
          <w:p w14:paraId="3C904772">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7.08</w:t>
            </w:r>
          </w:p>
        </w:tc>
        <w:tc>
          <w:tcPr>
            <w:tcW w:w="971" w:type="dxa"/>
            <w:tcBorders>
              <w:top w:val="single" w:color="auto" w:sz="4" w:space="0"/>
              <w:left w:val="single" w:color="auto" w:sz="4" w:space="0"/>
              <w:bottom w:val="single" w:color="auto" w:sz="12" w:space="0"/>
              <w:right w:val="nil"/>
            </w:tcBorders>
            <w:vAlign w:val="center"/>
          </w:tcPr>
          <w:p w14:paraId="76BD2DF1">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0.0001</w:t>
            </w:r>
          </w:p>
        </w:tc>
      </w:tr>
    </w:tbl>
    <w:p w14:paraId="311E9318">
      <w:pPr>
        <w:keepNext w:val="0"/>
        <w:keepLines w:val="0"/>
        <w:pageBreakBefore w:val="0"/>
        <w:widowControl/>
        <w:kinsoku/>
        <w:wordWrap/>
        <w:overflowPunct/>
        <w:topLinePunct w:val="0"/>
        <w:autoSpaceDE/>
        <w:autoSpaceDN/>
        <w:bidi w:val="0"/>
        <w:adjustRightInd/>
        <w:snapToGrid w:val="0"/>
        <w:spacing w:before="157" w:beforeLines="50" w:line="360" w:lineRule="auto"/>
        <w:ind w:firstLine="482"/>
        <w:jc w:val="left"/>
        <w:textAlignment w:val="auto"/>
        <w:rPr>
          <w:rFonts w:hint="default" w:ascii="Times New Roman" w:hAnsi="Times New Roman" w:eastAsia="宋体" w:cs="Times New Roman"/>
          <w:b w:val="0"/>
          <w:bCs w:val="0"/>
          <w:sz w:val="24"/>
          <w:szCs w:val="24"/>
          <w:highlight w:val="none"/>
        </w:rPr>
      </w:pPr>
      <w:r>
        <w:rPr>
          <w:rFonts w:hint="default" w:ascii="Times New Roman" w:hAnsi="Times New Roman" w:eastAsia="宋体" w:cs="Times New Roman"/>
          <w:b w:val="0"/>
          <w:bCs w:val="0"/>
          <w:sz w:val="24"/>
          <w:szCs w:val="24"/>
          <w:highlight w:val="none"/>
          <w:lang w:val="en-US" w:eastAsia="zh-CN"/>
        </w:rPr>
        <w:t>③</w:t>
      </w:r>
      <w:r>
        <w:rPr>
          <w:rFonts w:hint="default" w:ascii="Times New Roman" w:hAnsi="Times New Roman" w:eastAsia="宋体" w:cs="Times New Roman"/>
          <w:b w:val="0"/>
          <w:bCs w:val="0"/>
          <w:sz w:val="24"/>
          <w:szCs w:val="24"/>
          <w:highlight w:val="none"/>
        </w:rPr>
        <w:t>项目参数</w:t>
      </w:r>
    </w:p>
    <w:p w14:paraId="2514C21A">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估算模式所用参数见表</w:t>
      </w:r>
      <w:r>
        <w:rPr>
          <w:rFonts w:hint="default" w:ascii="Times New Roman" w:hAnsi="Times New Roman" w:eastAsia="宋体" w:cs="Times New Roman"/>
          <w:sz w:val="24"/>
          <w:szCs w:val="24"/>
          <w:highlight w:val="none"/>
          <w:lang w:val="en-US" w:eastAsia="zh-CN"/>
        </w:rPr>
        <w:t>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-4。</w:t>
      </w:r>
    </w:p>
    <w:p w14:paraId="64DCDA5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w:t>
      </w:r>
      <w:r>
        <w:rPr>
          <w:rFonts w:hint="default" w:ascii="Times New Roman" w:hAnsi="Times New Roman" w:eastAsia="宋体" w:cs="Times New Roman"/>
          <w:b/>
          <w:bCs/>
          <w:sz w:val="24"/>
          <w:szCs w:val="24"/>
          <w:highlight w:val="none"/>
          <w:lang w:val="en-US" w:eastAsia="zh-CN"/>
        </w:rPr>
        <w:t>2.</w:t>
      </w:r>
      <w:r>
        <w:rPr>
          <w:rFonts w:hint="default" w:ascii="Times New Roman" w:hAnsi="Times New Roman"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-4</w:t>
      </w:r>
      <w:r>
        <w:rPr>
          <w:rFonts w:hint="default" w:ascii="Times New Roman" w:hAnsi="Times New Roman" w:eastAsia="宋体" w:cs="Times New Roman"/>
          <w:b/>
          <w:bCs/>
          <w:sz w:val="24"/>
          <w:szCs w:val="24"/>
          <w:highlight w:val="none"/>
        </w:rPr>
        <w:t xml:space="preserve"> 估算模型参数表</w:t>
      </w:r>
    </w:p>
    <w:tbl>
      <w:tblPr>
        <w:tblStyle w:val="39"/>
        <w:tblW w:w="4999"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660"/>
        <w:gridCol w:w="3744"/>
      </w:tblGrid>
      <w:tr w14:paraId="201D472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PrEx>
        <w:trPr>
          <w:trHeight w:val="90" w:hRule="atLeast"/>
        </w:trPr>
        <w:tc>
          <w:tcPr>
            <w:tcW w:w="2801" w:type="pct"/>
            <w:gridSpan w:val="2"/>
            <w:tcBorders>
              <w:tl2br w:val="nil"/>
              <w:tr2bl w:val="nil"/>
            </w:tcBorders>
            <w:vAlign w:val="center"/>
          </w:tcPr>
          <w:p w14:paraId="776C0D92">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eastAsia="宋体" w:cs="Times New Roman"/>
                <w:b/>
                <w:bCs/>
                <w:sz w:val="21"/>
                <w:szCs w:val="21"/>
              </w:rPr>
              <w:t>参数</w:t>
            </w:r>
          </w:p>
        </w:tc>
        <w:tc>
          <w:tcPr>
            <w:tcW w:w="2198" w:type="pct"/>
            <w:tcBorders>
              <w:tl2br w:val="nil"/>
              <w:tr2bl w:val="nil"/>
            </w:tcBorders>
            <w:vAlign w:val="center"/>
          </w:tcPr>
          <w:p w14:paraId="48024112">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eastAsia="宋体" w:cs="Times New Roman"/>
                <w:b/>
                <w:bCs/>
                <w:sz w:val="21"/>
                <w:szCs w:val="21"/>
              </w:rPr>
              <w:t>取值</w:t>
            </w:r>
          </w:p>
        </w:tc>
      </w:tr>
      <w:tr w14:paraId="19A94CA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pct"/>
            <w:vMerge w:val="restart"/>
            <w:tcBorders>
              <w:tl2br w:val="nil"/>
              <w:tr2bl w:val="nil"/>
            </w:tcBorders>
            <w:vAlign w:val="center"/>
          </w:tcPr>
          <w:p w14:paraId="6ADEB525">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城市/农村选项</w:t>
            </w:r>
          </w:p>
        </w:tc>
        <w:tc>
          <w:tcPr>
            <w:tcW w:w="1561" w:type="pct"/>
            <w:tcBorders>
              <w:tl2br w:val="nil"/>
              <w:tr2bl w:val="nil"/>
            </w:tcBorders>
            <w:vAlign w:val="center"/>
          </w:tcPr>
          <w:p w14:paraId="55BC67B7">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城市/农村</w:t>
            </w:r>
          </w:p>
        </w:tc>
        <w:tc>
          <w:tcPr>
            <w:tcW w:w="2198" w:type="pct"/>
            <w:tcBorders>
              <w:tl2br w:val="nil"/>
              <w:tr2bl w:val="nil"/>
            </w:tcBorders>
            <w:vAlign w:val="center"/>
          </w:tcPr>
          <w:p w14:paraId="4424B07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农村</w:t>
            </w:r>
          </w:p>
        </w:tc>
      </w:tr>
      <w:tr w14:paraId="691911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pct"/>
            <w:vMerge w:val="continue"/>
            <w:tcBorders>
              <w:tl2br w:val="nil"/>
              <w:tr2bl w:val="nil"/>
            </w:tcBorders>
            <w:vAlign w:val="center"/>
          </w:tcPr>
          <w:p w14:paraId="304F6E24">
            <w:pPr>
              <w:autoSpaceDE/>
              <w:autoSpaceDN/>
              <w:spacing w:before="0" w:after="0" w:line="240" w:lineRule="auto"/>
              <w:ind w:left="0" w:firstLine="0"/>
              <w:jc w:val="center"/>
              <w:rPr>
                <w:rFonts w:hint="default" w:ascii="Times New Roman" w:hAnsi="Times New Roman" w:cs="Times New Roman"/>
                <w:sz w:val="21"/>
                <w:szCs w:val="21"/>
              </w:rPr>
            </w:pPr>
          </w:p>
        </w:tc>
        <w:tc>
          <w:tcPr>
            <w:tcW w:w="1561" w:type="pct"/>
            <w:tcBorders>
              <w:tl2br w:val="nil"/>
              <w:tr2bl w:val="nil"/>
            </w:tcBorders>
            <w:vAlign w:val="center"/>
          </w:tcPr>
          <w:p w14:paraId="27063489">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人口数(城市人口数)</w:t>
            </w:r>
          </w:p>
        </w:tc>
        <w:tc>
          <w:tcPr>
            <w:tcW w:w="2198" w:type="pct"/>
            <w:tcBorders>
              <w:tl2br w:val="nil"/>
              <w:tr2bl w:val="nil"/>
            </w:tcBorders>
            <w:vAlign w:val="center"/>
          </w:tcPr>
          <w:p w14:paraId="734F8806">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w:t>
            </w:r>
          </w:p>
        </w:tc>
      </w:tr>
      <w:tr w14:paraId="1726C17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1" w:type="pct"/>
            <w:gridSpan w:val="2"/>
            <w:tcBorders>
              <w:tl2br w:val="nil"/>
              <w:tr2bl w:val="nil"/>
            </w:tcBorders>
            <w:vAlign w:val="center"/>
          </w:tcPr>
          <w:p w14:paraId="5AAD7A71">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最高环境温度</w:t>
            </w:r>
          </w:p>
        </w:tc>
        <w:tc>
          <w:tcPr>
            <w:tcW w:w="2198" w:type="pct"/>
            <w:tcBorders>
              <w:tl2br w:val="nil"/>
              <w:tr2bl w:val="nil"/>
            </w:tcBorders>
            <w:vAlign w:val="center"/>
          </w:tcPr>
          <w:p w14:paraId="303B761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b w:val="0"/>
                <w:sz w:val="21"/>
                <w:szCs w:val="21"/>
                <w:lang w:val="en-US" w:eastAsia="zh-CN"/>
              </w:rPr>
              <w:t>40.7</w:t>
            </w:r>
          </w:p>
        </w:tc>
      </w:tr>
      <w:tr w14:paraId="5D61F2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1" w:type="pct"/>
            <w:gridSpan w:val="2"/>
            <w:tcBorders>
              <w:tl2br w:val="nil"/>
              <w:tr2bl w:val="nil"/>
            </w:tcBorders>
            <w:vAlign w:val="center"/>
          </w:tcPr>
          <w:p w14:paraId="4D49124C">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最低环境温度</w:t>
            </w:r>
          </w:p>
        </w:tc>
        <w:tc>
          <w:tcPr>
            <w:tcW w:w="2198" w:type="pct"/>
            <w:tcBorders>
              <w:tl2br w:val="nil"/>
              <w:tr2bl w:val="nil"/>
            </w:tcBorders>
            <w:vAlign w:val="center"/>
          </w:tcPr>
          <w:p w14:paraId="6FF32EA9">
            <w:pPr>
              <w:autoSpaceDE/>
              <w:autoSpaceDN/>
              <w:spacing w:before="0" w:after="0" w:line="240" w:lineRule="auto"/>
              <w:ind w:left="0" w:firstLine="0"/>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b w:val="0"/>
                <w:sz w:val="21"/>
                <w:szCs w:val="21"/>
              </w:rPr>
              <w:t>-27.</w:t>
            </w:r>
            <w:r>
              <w:rPr>
                <w:rFonts w:hint="default" w:ascii="Times New Roman" w:hAnsi="Times New Roman" w:cs="Times New Roman"/>
                <w:b w:val="0"/>
                <w:sz w:val="21"/>
                <w:szCs w:val="21"/>
                <w:lang w:val="en-US" w:eastAsia="zh-CN"/>
              </w:rPr>
              <w:t>6</w:t>
            </w:r>
          </w:p>
        </w:tc>
      </w:tr>
      <w:tr w14:paraId="4125A4A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1" w:type="pct"/>
            <w:gridSpan w:val="2"/>
            <w:tcBorders>
              <w:tl2br w:val="nil"/>
              <w:tr2bl w:val="nil"/>
            </w:tcBorders>
            <w:vAlign w:val="center"/>
          </w:tcPr>
          <w:p w14:paraId="4403F989">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土地利用类型</w:t>
            </w:r>
          </w:p>
        </w:tc>
        <w:tc>
          <w:tcPr>
            <w:tcW w:w="2198" w:type="pct"/>
            <w:tcBorders>
              <w:tl2br w:val="nil"/>
              <w:tr2bl w:val="nil"/>
            </w:tcBorders>
            <w:vAlign w:val="center"/>
          </w:tcPr>
          <w:p w14:paraId="6BFFE00F">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荒漠</w:t>
            </w:r>
          </w:p>
        </w:tc>
      </w:tr>
      <w:tr w14:paraId="5AF2324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01" w:type="pct"/>
            <w:gridSpan w:val="2"/>
            <w:tcBorders>
              <w:tl2br w:val="nil"/>
              <w:tr2bl w:val="nil"/>
            </w:tcBorders>
            <w:vAlign w:val="center"/>
          </w:tcPr>
          <w:p w14:paraId="00689563">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区域湿度条件</w:t>
            </w:r>
          </w:p>
        </w:tc>
        <w:tc>
          <w:tcPr>
            <w:tcW w:w="2198" w:type="pct"/>
            <w:tcBorders>
              <w:tl2br w:val="nil"/>
              <w:tr2bl w:val="nil"/>
            </w:tcBorders>
            <w:vAlign w:val="center"/>
          </w:tcPr>
          <w:p w14:paraId="5BA5132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干燥</w:t>
            </w:r>
          </w:p>
        </w:tc>
      </w:tr>
      <w:tr w14:paraId="4765C6E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pct"/>
            <w:vMerge w:val="restart"/>
            <w:tcBorders>
              <w:tl2br w:val="nil"/>
              <w:tr2bl w:val="nil"/>
            </w:tcBorders>
            <w:vAlign w:val="center"/>
          </w:tcPr>
          <w:p w14:paraId="0B6A53A7">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是否考虑地形</w:t>
            </w:r>
          </w:p>
        </w:tc>
        <w:tc>
          <w:tcPr>
            <w:tcW w:w="1561" w:type="pct"/>
            <w:tcBorders>
              <w:tl2br w:val="nil"/>
              <w:tr2bl w:val="nil"/>
            </w:tcBorders>
            <w:vAlign w:val="center"/>
          </w:tcPr>
          <w:p w14:paraId="147043E5">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考虑地形</w:t>
            </w:r>
          </w:p>
        </w:tc>
        <w:tc>
          <w:tcPr>
            <w:tcW w:w="2198" w:type="pct"/>
            <w:tcBorders>
              <w:tl2br w:val="nil"/>
              <w:tr2bl w:val="nil"/>
            </w:tcBorders>
            <w:vAlign w:val="center"/>
          </w:tcPr>
          <w:p w14:paraId="4925C15E">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是</w:t>
            </w:r>
          </w:p>
        </w:tc>
      </w:tr>
      <w:tr w14:paraId="0E080D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pct"/>
            <w:vMerge w:val="continue"/>
            <w:tcBorders>
              <w:tl2br w:val="nil"/>
              <w:tr2bl w:val="nil"/>
            </w:tcBorders>
            <w:vAlign w:val="center"/>
          </w:tcPr>
          <w:p w14:paraId="3427B2F5">
            <w:pPr>
              <w:autoSpaceDE/>
              <w:autoSpaceDN/>
              <w:spacing w:before="0" w:after="0" w:line="240" w:lineRule="auto"/>
              <w:ind w:left="0" w:firstLine="0"/>
              <w:jc w:val="center"/>
              <w:rPr>
                <w:rFonts w:hint="default" w:ascii="Times New Roman" w:hAnsi="Times New Roman" w:cs="Times New Roman"/>
                <w:sz w:val="21"/>
                <w:szCs w:val="21"/>
              </w:rPr>
            </w:pPr>
          </w:p>
        </w:tc>
        <w:tc>
          <w:tcPr>
            <w:tcW w:w="1561" w:type="pct"/>
            <w:tcBorders>
              <w:tl2br w:val="nil"/>
              <w:tr2bl w:val="nil"/>
            </w:tcBorders>
            <w:vAlign w:val="center"/>
          </w:tcPr>
          <w:p w14:paraId="70378EF1">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地形数据分辨率(m)</w:t>
            </w:r>
          </w:p>
        </w:tc>
        <w:tc>
          <w:tcPr>
            <w:tcW w:w="2198" w:type="pct"/>
            <w:tcBorders>
              <w:tl2br w:val="nil"/>
              <w:tr2bl w:val="nil"/>
            </w:tcBorders>
            <w:vAlign w:val="center"/>
          </w:tcPr>
          <w:p w14:paraId="517BB22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90</w:t>
            </w:r>
          </w:p>
        </w:tc>
      </w:tr>
      <w:tr w14:paraId="0D9DDD6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pct"/>
            <w:vMerge w:val="restart"/>
            <w:tcBorders>
              <w:tl2br w:val="nil"/>
              <w:tr2bl w:val="nil"/>
            </w:tcBorders>
            <w:vAlign w:val="center"/>
          </w:tcPr>
          <w:p w14:paraId="4F6478C5">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是否考虑岸线熏烟</w:t>
            </w:r>
          </w:p>
        </w:tc>
        <w:tc>
          <w:tcPr>
            <w:tcW w:w="1561" w:type="pct"/>
            <w:tcBorders>
              <w:tl2br w:val="nil"/>
              <w:tr2bl w:val="nil"/>
            </w:tcBorders>
            <w:vAlign w:val="center"/>
          </w:tcPr>
          <w:p w14:paraId="4FFE5E8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考虑岸线熏烟</w:t>
            </w:r>
          </w:p>
        </w:tc>
        <w:tc>
          <w:tcPr>
            <w:tcW w:w="2198" w:type="pct"/>
            <w:tcBorders>
              <w:tl2br w:val="nil"/>
              <w:tr2bl w:val="nil"/>
            </w:tcBorders>
            <w:vAlign w:val="center"/>
          </w:tcPr>
          <w:p w14:paraId="14CDC44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否</w:t>
            </w:r>
          </w:p>
        </w:tc>
      </w:tr>
      <w:tr w14:paraId="55931C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pct"/>
            <w:vMerge w:val="continue"/>
            <w:tcBorders>
              <w:tl2br w:val="nil"/>
              <w:tr2bl w:val="nil"/>
            </w:tcBorders>
            <w:vAlign w:val="center"/>
          </w:tcPr>
          <w:p w14:paraId="0D2EE889">
            <w:pPr>
              <w:autoSpaceDE/>
              <w:autoSpaceDN/>
              <w:spacing w:before="0" w:after="0" w:line="240" w:lineRule="auto"/>
              <w:ind w:left="0" w:firstLine="0"/>
              <w:jc w:val="center"/>
              <w:rPr>
                <w:rFonts w:hint="default" w:ascii="Times New Roman" w:hAnsi="Times New Roman" w:cs="Times New Roman"/>
                <w:sz w:val="21"/>
                <w:szCs w:val="21"/>
              </w:rPr>
            </w:pPr>
          </w:p>
        </w:tc>
        <w:tc>
          <w:tcPr>
            <w:tcW w:w="1561" w:type="pct"/>
            <w:tcBorders>
              <w:tl2br w:val="nil"/>
              <w:tr2bl w:val="nil"/>
            </w:tcBorders>
            <w:vAlign w:val="center"/>
          </w:tcPr>
          <w:p w14:paraId="4C95953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岸线距离/m</w:t>
            </w:r>
          </w:p>
        </w:tc>
        <w:tc>
          <w:tcPr>
            <w:tcW w:w="2198" w:type="pct"/>
            <w:tcBorders>
              <w:tl2br w:val="nil"/>
              <w:tr2bl w:val="nil"/>
            </w:tcBorders>
            <w:vAlign w:val="center"/>
          </w:tcPr>
          <w:p w14:paraId="0A766EB8">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w:t>
            </w:r>
          </w:p>
        </w:tc>
      </w:tr>
      <w:tr w14:paraId="49B5628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39" w:type="pct"/>
            <w:vMerge w:val="continue"/>
            <w:tcBorders>
              <w:tl2br w:val="nil"/>
              <w:tr2bl w:val="nil"/>
            </w:tcBorders>
            <w:vAlign w:val="center"/>
          </w:tcPr>
          <w:p w14:paraId="4B9351DD">
            <w:pPr>
              <w:autoSpaceDE/>
              <w:autoSpaceDN/>
              <w:spacing w:before="0" w:after="0" w:line="240" w:lineRule="auto"/>
              <w:ind w:left="0" w:firstLine="0"/>
              <w:jc w:val="center"/>
              <w:rPr>
                <w:rFonts w:hint="default" w:ascii="Times New Roman" w:hAnsi="Times New Roman" w:cs="Times New Roman"/>
                <w:sz w:val="21"/>
                <w:szCs w:val="21"/>
              </w:rPr>
            </w:pPr>
          </w:p>
        </w:tc>
        <w:tc>
          <w:tcPr>
            <w:tcW w:w="1561" w:type="pct"/>
            <w:tcBorders>
              <w:tl2br w:val="nil"/>
              <w:tr2bl w:val="nil"/>
            </w:tcBorders>
            <w:vAlign w:val="center"/>
          </w:tcPr>
          <w:p w14:paraId="70F65A8F">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岸线方向/°</w:t>
            </w:r>
          </w:p>
        </w:tc>
        <w:tc>
          <w:tcPr>
            <w:tcW w:w="2198" w:type="pct"/>
            <w:tcBorders>
              <w:tl2br w:val="nil"/>
              <w:tr2bl w:val="nil"/>
            </w:tcBorders>
            <w:vAlign w:val="center"/>
          </w:tcPr>
          <w:p w14:paraId="1458EAC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eastAsia="宋体" w:cs="Times New Roman"/>
                <w:b w:val="0"/>
                <w:sz w:val="21"/>
                <w:szCs w:val="21"/>
              </w:rPr>
              <w:t>/</w:t>
            </w:r>
          </w:p>
        </w:tc>
      </w:tr>
    </w:tbl>
    <w:p w14:paraId="352E2EE2">
      <w:pPr>
        <w:keepNext w:val="0"/>
        <w:keepLines w:val="0"/>
        <w:pageBreakBefore w:val="0"/>
        <w:widowControl/>
        <w:kinsoku/>
        <w:wordWrap/>
        <w:overflowPunct/>
        <w:topLinePunct w:val="0"/>
        <w:autoSpaceDE/>
        <w:autoSpaceDN/>
        <w:bidi w:val="0"/>
        <w:adjustRightInd/>
        <w:snapToGrid w:val="0"/>
        <w:spacing w:before="157" w:beforeLines="50"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④大气评价等级确定</w:t>
      </w:r>
    </w:p>
    <w:p w14:paraId="77E8EF71">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本项目所有污染源的正常排放的污染物的P</w:t>
      </w:r>
      <w:r>
        <w:rPr>
          <w:rFonts w:hint="default" w:ascii="Times New Roman" w:hAnsi="Times New Roman" w:eastAsia="宋体" w:cs="Times New Roman"/>
          <w:sz w:val="24"/>
          <w:szCs w:val="24"/>
          <w:highlight w:val="none"/>
          <w:vertAlign w:val="subscript"/>
        </w:rPr>
        <w:t>max</w:t>
      </w:r>
      <w:r>
        <w:rPr>
          <w:rFonts w:hint="default" w:ascii="Times New Roman" w:hAnsi="Times New Roman" w:eastAsia="宋体" w:cs="Times New Roman"/>
          <w:sz w:val="24"/>
          <w:szCs w:val="24"/>
          <w:highlight w:val="none"/>
        </w:rPr>
        <w:t>和D</w:t>
      </w:r>
      <w:r>
        <w:rPr>
          <w:rFonts w:hint="default" w:ascii="Times New Roman" w:hAnsi="Times New Roman" w:eastAsia="宋体" w:cs="Times New Roman"/>
          <w:sz w:val="24"/>
          <w:szCs w:val="24"/>
          <w:highlight w:val="none"/>
          <w:vertAlign w:val="subscript"/>
        </w:rPr>
        <w:t>10%</w:t>
      </w:r>
      <w:r>
        <w:rPr>
          <w:rFonts w:hint="default" w:ascii="Times New Roman" w:hAnsi="Times New Roman" w:eastAsia="宋体" w:cs="Times New Roman"/>
          <w:sz w:val="24"/>
          <w:szCs w:val="24"/>
          <w:highlight w:val="none"/>
        </w:rPr>
        <w:t>预测结果</w:t>
      </w:r>
      <w:r>
        <w:rPr>
          <w:rFonts w:hint="default" w:ascii="Times New Roman" w:hAnsi="Times New Roman" w:eastAsia="宋体" w:cs="Times New Roman"/>
          <w:sz w:val="24"/>
          <w:szCs w:val="24"/>
          <w:highlight w:val="none"/>
          <w:lang w:val="en-US" w:eastAsia="zh-CN"/>
        </w:rPr>
        <w:t>见表2.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-5。</w:t>
      </w:r>
    </w:p>
    <w:p w14:paraId="59C0AD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lang w:val="en-US" w:eastAsia="zh-CN"/>
        </w:rPr>
        <w:t>表2.</w:t>
      </w:r>
      <w:r>
        <w:rPr>
          <w:rFonts w:hint="default" w:ascii="Times New Roman" w:hAnsi="Times New Roman"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 xml:space="preserve">-5 </w:t>
      </w:r>
      <w:r>
        <w:rPr>
          <w:rFonts w:hint="default" w:ascii="Times New Roman" w:hAnsi="Times New Roman" w:eastAsia="宋体" w:cs="Times New Roman"/>
          <w:b/>
          <w:bCs/>
          <w:sz w:val="24"/>
          <w:szCs w:val="24"/>
          <w:highlight w:val="none"/>
        </w:rPr>
        <w:t>P</w:t>
      </w:r>
      <w:r>
        <w:rPr>
          <w:rFonts w:hint="default" w:ascii="Times New Roman" w:hAnsi="Times New Roman" w:eastAsia="宋体" w:cs="Times New Roman"/>
          <w:b/>
          <w:bCs/>
          <w:sz w:val="24"/>
          <w:szCs w:val="24"/>
          <w:highlight w:val="none"/>
          <w:vertAlign w:val="subscript"/>
        </w:rPr>
        <w:t>max</w:t>
      </w:r>
      <w:r>
        <w:rPr>
          <w:rFonts w:hint="default" w:ascii="Times New Roman" w:hAnsi="Times New Roman" w:eastAsia="宋体" w:cs="Times New Roman"/>
          <w:b/>
          <w:bCs/>
          <w:sz w:val="24"/>
          <w:szCs w:val="24"/>
          <w:highlight w:val="none"/>
        </w:rPr>
        <w:t>和D</w:t>
      </w:r>
      <w:r>
        <w:rPr>
          <w:rFonts w:hint="default" w:ascii="Times New Roman" w:hAnsi="Times New Roman" w:eastAsia="宋体" w:cs="Times New Roman"/>
          <w:b/>
          <w:bCs/>
          <w:sz w:val="24"/>
          <w:szCs w:val="24"/>
          <w:highlight w:val="none"/>
          <w:vertAlign w:val="subscript"/>
        </w:rPr>
        <w:t>10%</w:t>
      </w:r>
      <w:r>
        <w:rPr>
          <w:rFonts w:hint="default" w:ascii="Times New Roman" w:hAnsi="Times New Roman" w:eastAsia="宋体" w:cs="Times New Roman"/>
          <w:b/>
          <w:bCs/>
          <w:sz w:val="24"/>
          <w:szCs w:val="24"/>
          <w:highlight w:val="none"/>
        </w:rPr>
        <w:t>预测和计算结果一览表</w:t>
      </w:r>
    </w:p>
    <w:tbl>
      <w:tblPr>
        <w:tblStyle w:val="39"/>
        <w:tblW w:w="8527" w:type="dxa"/>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78"/>
        <w:gridCol w:w="1077"/>
        <w:gridCol w:w="1895"/>
        <w:gridCol w:w="1787"/>
        <w:gridCol w:w="1282"/>
        <w:gridCol w:w="1108"/>
      </w:tblGrid>
      <w:tr w14:paraId="5E6762C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378" w:type="dxa"/>
            <w:tcBorders>
              <w:tl2br w:val="nil"/>
              <w:tr2bl w:val="nil"/>
            </w:tcBorders>
            <w:vAlign w:val="center"/>
          </w:tcPr>
          <w:p w14:paraId="05E67C66">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污染源名称</w:t>
            </w:r>
          </w:p>
        </w:tc>
        <w:tc>
          <w:tcPr>
            <w:tcW w:w="1077" w:type="dxa"/>
            <w:tcBorders>
              <w:tl2br w:val="nil"/>
              <w:tr2bl w:val="nil"/>
            </w:tcBorders>
            <w:vAlign w:val="center"/>
          </w:tcPr>
          <w:p w14:paraId="43DF944A">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评价因子</w:t>
            </w:r>
          </w:p>
        </w:tc>
        <w:tc>
          <w:tcPr>
            <w:tcW w:w="1895" w:type="dxa"/>
            <w:tcBorders>
              <w:tl2br w:val="nil"/>
              <w:tr2bl w:val="nil"/>
            </w:tcBorders>
            <w:vAlign w:val="center"/>
          </w:tcPr>
          <w:p w14:paraId="4B6CACE2">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评价标准(μg/m³)</w:t>
            </w:r>
          </w:p>
        </w:tc>
        <w:tc>
          <w:tcPr>
            <w:tcW w:w="1787" w:type="dxa"/>
            <w:tcBorders>
              <w:tl2br w:val="nil"/>
              <w:tr2bl w:val="nil"/>
            </w:tcBorders>
            <w:vAlign w:val="center"/>
          </w:tcPr>
          <w:p w14:paraId="4F5766A5">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Cmax(μg/m</w:t>
            </w:r>
            <w:r>
              <w:rPr>
                <w:rFonts w:hint="eastAsia"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rPr>
              <w:t>)</w:t>
            </w:r>
          </w:p>
        </w:tc>
        <w:tc>
          <w:tcPr>
            <w:tcW w:w="1282" w:type="dxa"/>
            <w:tcBorders>
              <w:tl2br w:val="nil"/>
              <w:tr2bl w:val="nil"/>
            </w:tcBorders>
            <w:vAlign w:val="center"/>
          </w:tcPr>
          <w:p w14:paraId="01750A9A">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Pmax(%)</w:t>
            </w:r>
          </w:p>
        </w:tc>
        <w:tc>
          <w:tcPr>
            <w:tcW w:w="1108" w:type="dxa"/>
            <w:tcBorders>
              <w:tl2br w:val="nil"/>
              <w:tr2bl w:val="nil"/>
            </w:tcBorders>
            <w:vAlign w:val="center"/>
          </w:tcPr>
          <w:p w14:paraId="270D82D3">
            <w:pPr>
              <w:autoSpaceDE/>
              <w:autoSpaceDN/>
              <w:spacing w:before="0" w:after="0" w:line="240" w:lineRule="auto"/>
              <w:ind w:left="0" w:firstLine="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D10%(m)</w:t>
            </w:r>
          </w:p>
        </w:tc>
      </w:tr>
      <w:tr w14:paraId="3B4B819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1378" w:type="dxa"/>
            <w:tcBorders>
              <w:tl2br w:val="nil"/>
              <w:tr2bl w:val="nil"/>
            </w:tcBorders>
            <w:shd w:val="clear" w:color="auto" w:fill="auto"/>
            <w:vAlign w:val="center"/>
          </w:tcPr>
          <w:p w14:paraId="104DCEAD">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eastAsia" w:ascii="Times New Roman" w:hAnsi="Times New Roman" w:eastAsia="宋体" w:cs="Times New Roman"/>
                <w:b w:val="0"/>
                <w:color w:val="auto"/>
                <w:sz w:val="21"/>
                <w:szCs w:val="21"/>
                <w:lang w:val="en-US" w:eastAsia="zh-CN"/>
              </w:rPr>
              <w:t>预处理系统废气</w:t>
            </w:r>
          </w:p>
        </w:tc>
        <w:tc>
          <w:tcPr>
            <w:tcW w:w="1077" w:type="dxa"/>
            <w:tcBorders>
              <w:tl2br w:val="nil"/>
              <w:tr2bl w:val="nil"/>
            </w:tcBorders>
            <w:vAlign w:val="center"/>
          </w:tcPr>
          <w:p w14:paraId="0E0A2873">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TSP</w:t>
            </w:r>
          </w:p>
        </w:tc>
        <w:tc>
          <w:tcPr>
            <w:tcW w:w="1895" w:type="dxa"/>
            <w:tcBorders>
              <w:tl2br w:val="nil"/>
              <w:tr2bl w:val="nil"/>
            </w:tcBorders>
            <w:vAlign w:val="center"/>
          </w:tcPr>
          <w:p w14:paraId="504F7FAB">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900.0</w:t>
            </w:r>
          </w:p>
        </w:tc>
        <w:tc>
          <w:tcPr>
            <w:tcW w:w="1787" w:type="dxa"/>
            <w:tcBorders>
              <w:tl2br w:val="nil"/>
              <w:tr2bl w:val="nil"/>
            </w:tcBorders>
            <w:vAlign w:val="center"/>
          </w:tcPr>
          <w:p w14:paraId="1CDAA448">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4.9892</w:t>
            </w:r>
          </w:p>
        </w:tc>
        <w:tc>
          <w:tcPr>
            <w:tcW w:w="1282" w:type="dxa"/>
            <w:tcBorders>
              <w:tl2br w:val="nil"/>
              <w:tr2bl w:val="nil"/>
            </w:tcBorders>
            <w:vAlign w:val="center"/>
          </w:tcPr>
          <w:p w14:paraId="55FB425D">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0.5544</w:t>
            </w:r>
          </w:p>
        </w:tc>
        <w:tc>
          <w:tcPr>
            <w:tcW w:w="1108" w:type="dxa"/>
            <w:tcBorders>
              <w:tl2br w:val="nil"/>
              <w:tr2bl w:val="nil"/>
            </w:tcBorders>
            <w:vAlign w:val="center"/>
          </w:tcPr>
          <w:p w14:paraId="656A5FFB">
            <w:pPr>
              <w:autoSpaceDE/>
              <w:autoSpaceDN/>
              <w:spacing w:before="0" w:after="0" w:line="240" w:lineRule="auto"/>
              <w:ind w:left="0" w:firstLine="0"/>
              <w:jc w:val="center"/>
              <w:rPr>
                <w:rFonts w:hint="default" w:ascii="Times New Roman" w:hAnsi="Times New Roman" w:eastAsia="宋体" w:cs="Times New Roman"/>
                <w:b w:val="0"/>
                <w:color w:val="auto"/>
                <w:sz w:val="21"/>
                <w:szCs w:val="21"/>
              </w:rPr>
            </w:pPr>
            <w:r>
              <w:rPr>
                <w:rFonts w:hint="default" w:ascii="Times New Roman" w:hAnsi="Times New Roman" w:eastAsia="宋体" w:cs="Times New Roman"/>
                <w:b w:val="0"/>
                <w:color w:val="auto"/>
                <w:sz w:val="21"/>
                <w:szCs w:val="21"/>
              </w:rPr>
              <w:t>/</w:t>
            </w:r>
          </w:p>
        </w:tc>
      </w:tr>
      <w:tr w14:paraId="55E9FAF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1378" w:type="dxa"/>
            <w:tcBorders>
              <w:tl2br w:val="nil"/>
              <w:tr2bl w:val="nil"/>
            </w:tcBorders>
            <w:shd w:val="clear" w:color="auto" w:fill="auto"/>
            <w:vAlign w:val="center"/>
          </w:tcPr>
          <w:p w14:paraId="6A175E16">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eastAsia" w:ascii="Times New Roman" w:hAnsi="Times New Roman" w:eastAsia="宋体" w:cs="Times New Roman"/>
                <w:b w:val="0"/>
                <w:color w:val="auto"/>
                <w:sz w:val="21"/>
                <w:szCs w:val="21"/>
                <w:lang w:val="en-US" w:eastAsia="zh-CN"/>
              </w:rPr>
              <w:t>输送系统废气</w:t>
            </w:r>
          </w:p>
        </w:tc>
        <w:tc>
          <w:tcPr>
            <w:tcW w:w="1077" w:type="dxa"/>
            <w:tcBorders>
              <w:tl2br w:val="nil"/>
              <w:tr2bl w:val="nil"/>
            </w:tcBorders>
            <w:shd w:val="clear" w:color="auto" w:fill="auto"/>
            <w:vAlign w:val="center"/>
          </w:tcPr>
          <w:p w14:paraId="089ACAEF">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default" w:ascii="Times New Roman" w:hAnsi="Times New Roman" w:eastAsia="宋体" w:cs="Times New Roman"/>
                <w:b w:val="0"/>
                <w:color w:val="auto"/>
                <w:sz w:val="21"/>
                <w:szCs w:val="21"/>
              </w:rPr>
              <w:t>TSP</w:t>
            </w:r>
          </w:p>
        </w:tc>
        <w:tc>
          <w:tcPr>
            <w:tcW w:w="1895" w:type="dxa"/>
            <w:tcBorders>
              <w:tl2br w:val="nil"/>
              <w:tr2bl w:val="nil"/>
            </w:tcBorders>
            <w:shd w:val="clear" w:color="auto" w:fill="auto"/>
            <w:vAlign w:val="center"/>
          </w:tcPr>
          <w:p w14:paraId="2790F6CA">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default" w:ascii="Times New Roman" w:hAnsi="Times New Roman" w:eastAsia="宋体" w:cs="Times New Roman"/>
                <w:b w:val="0"/>
                <w:color w:val="auto"/>
                <w:sz w:val="21"/>
                <w:szCs w:val="21"/>
              </w:rPr>
              <w:t>900.0</w:t>
            </w:r>
          </w:p>
        </w:tc>
        <w:tc>
          <w:tcPr>
            <w:tcW w:w="1787" w:type="dxa"/>
            <w:tcBorders>
              <w:tl2br w:val="nil"/>
              <w:tr2bl w:val="nil"/>
            </w:tcBorders>
            <w:shd w:val="clear" w:color="auto" w:fill="auto"/>
            <w:vAlign w:val="center"/>
          </w:tcPr>
          <w:p w14:paraId="206583DD">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default" w:ascii="Times New Roman" w:hAnsi="Times New Roman" w:eastAsia="宋体" w:cs="Times New Roman"/>
                <w:b w:val="0"/>
                <w:color w:val="auto"/>
                <w:sz w:val="21"/>
                <w:szCs w:val="21"/>
              </w:rPr>
              <w:t>0.0089</w:t>
            </w:r>
          </w:p>
        </w:tc>
        <w:tc>
          <w:tcPr>
            <w:tcW w:w="1282" w:type="dxa"/>
            <w:tcBorders>
              <w:tl2br w:val="nil"/>
              <w:tr2bl w:val="nil"/>
            </w:tcBorders>
            <w:shd w:val="clear" w:color="auto" w:fill="auto"/>
            <w:vAlign w:val="center"/>
          </w:tcPr>
          <w:p w14:paraId="1C676400">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default" w:ascii="Times New Roman" w:hAnsi="Times New Roman" w:eastAsia="宋体" w:cs="Times New Roman"/>
                <w:b w:val="0"/>
                <w:color w:val="auto"/>
                <w:sz w:val="21"/>
                <w:szCs w:val="21"/>
              </w:rPr>
              <w:t>0.0010</w:t>
            </w:r>
          </w:p>
        </w:tc>
        <w:tc>
          <w:tcPr>
            <w:tcW w:w="1108" w:type="dxa"/>
            <w:tcBorders>
              <w:tl2br w:val="nil"/>
              <w:tr2bl w:val="nil"/>
            </w:tcBorders>
            <w:shd w:val="clear" w:color="auto" w:fill="auto"/>
            <w:vAlign w:val="center"/>
          </w:tcPr>
          <w:p w14:paraId="1E760371">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default" w:ascii="Times New Roman" w:hAnsi="Times New Roman" w:eastAsia="宋体" w:cs="Times New Roman"/>
                <w:b w:val="0"/>
                <w:color w:val="auto"/>
                <w:sz w:val="21"/>
                <w:szCs w:val="21"/>
              </w:rPr>
              <w:t>/</w:t>
            </w:r>
          </w:p>
        </w:tc>
      </w:tr>
    </w:tbl>
    <w:p w14:paraId="1A10E661">
      <w:pPr>
        <w:keepNext w:val="0"/>
        <w:keepLines w:val="0"/>
        <w:pageBreakBefore w:val="0"/>
        <w:widowControl/>
        <w:kinsoku/>
        <w:wordWrap/>
        <w:overflowPunct/>
        <w:topLinePunct w:val="0"/>
        <w:autoSpaceDE/>
        <w:autoSpaceDN/>
        <w:bidi w:val="0"/>
        <w:adjustRightInd/>
        <w:snapToGrid w:val="0"/>
        <w:spacing w:before="157" w:beforeLines="50" w:line="360" w:lineRule="auto"/>
        <w:ind w:firstLine="482"/>
        <w:jc w:val="left"/>
        <w:textAlignment w:val="auto"/>
        <w:rPr>
          <w:rFonts w:hint="default" w:ascii="Times New Roman" w:hAnsi="Times New Roman" w:eastAsia="宋体" w:cs="Times New Roman"/>
          <w:color w:val="auto"/>
          <w:sz w:val="24"/>
          <w:szCs w:val="24"/>
          <w:highlight w:val="none"/>
          <w:lang w:val="en-US" w:eastAsia="zh-CN"/>
        </w:rPr>
      </w:pPr>
      <w:r>
        <w:rPr>
          <w:rFonts w:ascii="宋体" w:hAnsi="宋体" w:eastAsia="宋体" w:cs="宋体"/>
          <w:b w:val="0"/>
          <w:color w:val="auto"/>
          <w:sz w:val="24"/>
        </w:rPr>
        <w:t>本</w:t>
      </w:r>
      <w:r>
        <w:rPr>
          <w:rFonts w:hint="default" w:ascii="Times New Roman" w:hAnsi="Times New Roman" w:cs="Times New Roman"/>
          <w:color w:val="auto"/>
          <w:sz w:val="24"/>
          <w:szCs w:val="24"/>
          <w:highlight w:val="none"/>
          <w:lang w:val="en-US" w:eastAsia="zh-CN"/>
        </w:rPr>
        <w:t>项目Pmax最大值出现为点源排放的TSP</w:t>
      </w:r>
      <w:r>
        <w:rPr>
          <w:rFonts w:hint="eastAsia" w:cs="Times New Roman"/>
          <w:color w:val="auto"/>
          <w:sz w:val="24"/>
          <w:szCs w:val="24"/>
          <w:highlight w:val="none"/>
          <w:lang w:val="en-US" w:eastAsia="zh-CN"/>
        </w:rPr>
        <w:t xml:space="preserve"> </w:t>
      </w:r>
      <w:r>
        <w:rPr>
          <w:rFonts w:hint="default" w:ascii="Times New Roman" w:hAnsi="Times New Roman" w:cs="Times New Roman"/>
          <w:color w:val="auto"/>
          <w:sz w:val="24"/>
          <w:szCs w:val="24"/>
          <w:highlight w:val="none"/>
          <w:lang w:val="en-US" w:eastAsia="zh-CN"/>
        </w:rPr>
        <w:t>Pmax值为0.5544%，Cmax为4.9892μg/m</w:t>
      </w:r>
      <w:r>
        <w:rPr>
          <w:rFonts w:hint="eastAsia"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lang w:val="en-US" w:eastAsia="zh-CN"/>
        </w:rPr>
        <w:t>，根据</w:t>
      </w:r>
      <w:r>
        <w:rPr>
          <w:rFonts w:hint="default" w:ascii="Times New Roman" w:hAnsi="Times New Roman" w:eastAsia="宋体" w:cs="Times New Roman"/>
          <w:color w:val="auto"/>
          <w:sz w:val="24"/>
          <w:szCs w:val="24"/>
          <w:highlight w:val="none"/>
        </w:rPr>
        <w:t>《环境影响评价技术导则</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大气环境》（HJ2.2-2018）分级判据，本项目大气环境影响评价工作等级</w:t>
      </w:r>
      <w:r>
        <w:rPr>
          <w:rFonts w:hint="default" w:ascii="Times New Roman" w:hAnsi="Times New Roman" w:cs="Times New Roman"/>
          <w:color w:val="auto"/>
          <w:sz w:val="24"/>
          <w:szCs w:val="24"/>
          <w:highlight w:val="none"/>
          <w:lang w:val="en-US" w:eastAsia="zh-CN"/>
        </w:rPr>
        <w:t>判定</w:t>
      </w:r>
      <w:r>
        <w:rPr>
          <w:rFonts w:hint="default" w:ascii="Times New Roman" w:hAnsi="Times New Roman" w:eastAsia="宋体" w:cs="Times New Roman"/>
          <w:color w:val="auto"/>
          <w:sz w:val="24"/>
          <w:szCs w:val="24"/>
          <w:highlight w:val="none"/>
        </w:rPr>
        <w:t>为三级</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同时</w:t>
      </w:r>
      <w:r>
        <w:rPr>
          <w:rFonts w:hint="default" w:ascii="Times New Roman" w:hAnsi="Times New Roman" w:eastAsia="宋体" w:cs="Times New Roman"/>
          <w:color w:val="auto"/>
          <w:sz w:val="24"/>
          <w:szCs w:val="24"/>
          <w:highlight w:val="none"/>
          <w:lang w:eastAsia="zh-CN"/>
        </w:rPr>
        <w:t>根据《环境影响评价技术导则 大气环境》（HJ2.2-2018）中关于：“对电力、钢铁、水泥、石化、化工、平板玻璃、有色等高耗能行业的多源项目或以使用高污染燃料为主的多源项目，并且编制环境影响报告书的项目评价等级提高一级”的要求，因此确定本项目大气环境影响评价等级为二级。</w:t>
      </w:r>
    </w:p>
    <w:p w14:paraId="5BBE77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（2）地表水环境</w:t>
      </w:r>
    </w:p>
    <w:p w14:paraId="7BB60E8E">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地表水环境</w:t>
      </w:r>
      <w:r>
        <w:rPr>
          <w:rFonts w:hint="default" w:ascii="Times New Roman" w:hAnsi="Times New Roman" w:cs="Times New Roman"/>
          <w:sz w:val="24"/>
          <w:szCs w:val="24"/>
          <w:highlight w:val="none"/>
          <w:lang w:val="en-US" w:eastAsia="zh-CN"/>
        </w:rPr>
        <w:t>影响评价工作等级</w:t>
      </w:r>
      <w:r>
        <w:rPr>
          <w:rFonts w:hint="default" w:ascii="Times New Roman" w:hAnsi="Times New Roman" w:eastAsia="宋体" w:cs="Times New Roman"/>
          <w:sz w:val="24"/>
          <w:szCs w:val="24"/>
          <w:highlight w:val="none"/>
        </w:rPr>
        <w:t>依据《环境影响评价技术导则</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地表水环境》（HJ2.3-2018）中规定，见表2.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rPr>
        <w:t>。</w:t>
      </w:r>
    </w:p>
    <w:p w14:paraId="51698490">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表2.</w:t>
      </w:r>
      <w:r>
        <w:rPr>
          <w:rFonts w:hint="default" w:ascii="Times New Roman" w:hAnsi="Times New Roman" w:cs="Times New Roman"/>
          <w:b/>
          <w:bCs/>
          <w:sz w:val="24"/>
          <w:szCs w:val="24"/>
          <w:highlight w:val="none"/>
          <w:lang w:val="en-US" w:eastAsia="zh-CN"/>
        </w:rPr>
        <w:t>5</w:t>
      </w:r>
      <w:r>
        <w:rPr>
          <w:rFonts w:hint="default" w:ascii="Times New Roman" w:hAnsi="Times New Roman" w:eastAsia="宋体" w:cs="Times New Roman"/>
          <w:b/>
          <w:bCs/>
          <w:sz w:val="24"/>
          <w:szCs w:val="24"/>
          <w:highlight w:val="none"/>
        </w:rPr>
        <w:t>-</w:t>
      </w:r>
      <w:r>
        <w:rPr>
          <w:rFonts w:hint="default" w:ascii="Times New Roman" w:hAnsi="Times New Roman" w:cs="Times New Roman"/>
          <w:b/>
          <w:bCs/>
          <w:sz w:val="24"/>
          <w:szCs w:val="24"/>
          <w:highlight w:val="none"/>
          <w:lang w:val="en-US" w:eastAsia="zh-CN"/>
        </w:rPr>
        <w:t>6</w:t>
      </w:r>
      <w:r>
        <w:rPr>
          <w:rFonts w:hint="default" w:ascii="Times New Roman" w:hAnsi="Times New Roman" w:eastAsia="宋体" w:cs="Times New Roman"/>
          <w:b/>
          <w:bCs/>
          <w:sz w:val="24"/>
          <w:szCs w:val="24"/>
          <w:highlight w:val="none"/>
        </w:rPr>
        <w:t xml:space="preserve"> 水污染影响型建设项目评价等级</w:t>
      </w:r>
    </w:p>
    <w:tbl>
      <w:tblPr>
        <w:tblStyle w:val="39"/>
        <w:tblW w:w="4999" w:type="pct"/>
        <w:tblInd w:w="0" w:type="dxa"/>
        <w:tblLayout w:type="autofit"/>
        <w:tblCellMar>
          <w:top w:w="0" w:type="dxa"/>
          <w:left w:w="0" w:type="dxa"/>
          <w:bottom w:w="0" w:type="dxa"/>
          <w:right w:w="0" w:type="dxa"/>
        </w:tblCellMar>
      </w:tblPr>
      <w:tblGrid>
        <w:gridCol w:w="1727"/>
        <w:gridCol w:w="2675"/>
        <w:gridCol w:w="4112"/>
      </w:tblGrid>
      <w:tr w14:paraId="7C103129">
        <w:tblPrEx>
          <w:tblCellMar>
            <w:top w:w="0" w:type="dxa"/>
            <w:left w:w="0" w:type="dxa"/>
            <w:bottom w:w="0" w:type="dxa"/>
            <w:right w:w="0" w:type="dxa"/>
          </w:tblCellMar>
        </w:tblPrEx>
        <w:tc>
          <w:tcPr>
            <w:tcW w:w="1014" w:type="pct"/>
            <w:vMerge w:val="restart"/>
            <w:tcBorders>
              <w:top w:val="single" w:color="000000" w:sz="18" w:space="0"/>
              <w:bottom w:val="single" w:color="000000" w:sz="4" w:space="0"/>
              <w:right w:val="single" w:color="000000" w:sz="4" w:space="0"/>
            </w:tcBorders>
            <w:noWrap w:val="0"/>
            <w:tcMar>
              <w:top w:w="0" w:type="dxa"/>
              <w:left w:w="108" w:type="dxa"/>
              <w:bottom w:w="0" w:type="dxa"/>
              <w:right w:w="108" w:type="dxa"/>
            </w:tcMar>
            <w:vAlign w:val="center"/>
          </w:tcPr>
          <w:p w14:paraId="555E9BC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评价等级</w:t>
            </w:r>
          </w:p>
        </w:tc>
        <w:tc>
          <w:tcPr>
            <w:tcW w:w="3985" w:type="pct"/>
            <w:gridSpan w:val="2"/>
            <w:tcBorders>
              <w:top w:val="single" w:color="000000" w:sz="18" w:space="0"/>
              <w:left w:val="single" w:color="000000" w:sz="4" w:space="0"/>
              <w:bottom w:val="single" w:color="000000" w:sz="4" w:space="0"/>
            </w:tcBorders>
            <w:noWrap w:val="0"/>
            <w:tcMar>
              <w:top w:w="0" w:type="dxa"/>
              <w:left w:w="108" w:type="dxa"/>
              <w:bottom w:w="0" w:type="dxa"/>
              <w:right w:w="108" w:type="dxa"/>
            </w:tcMar>
            <w:vAlign w:val="center"/>
          </w:tcPr>
          <w:p w14:paraId="6E0D5F8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判定依据</w:t>
            </w:r>
          </w:p>
        </w:tc>
      </w:tr>
      <w:tr w14:paraId="3D858B73">
        <w:tblPrEx>
          <w:tblCellMar>
            <w:top w:w="0" w:type="dxa"/>
            <w:left w:w="0" w:type="dxa"/>
            <w:bottom w:w="0" w:type="dxa"/>
            <w:right w:w="0" w:type="dxa"/>
          </w:tblCellMar>
        </w:tblPrEx>
        <w:tc>
          <w:tcPr>
            <w:tcW w:w="1014" w:type="pct"/>
            <w:vMerge w:val="continue"/>
            <w:tcBorders>
              <w:top w:val="single" w:color="000000" w:sz="18" w:space="0"/>
              <w:bottom w:val="single" w:color="000000" w:sz="4" w:space="0"/>
              <w:right w:val="single" w:color="000000" w:sz="4" w:space="0"/>
            </w:tcBorders>
            <w:noWrap w:val="0"/>
            <w:tcMar>
              <w:top w:w="0" w:type="dxa"/>
              <w:left w:w="108" w:type="dxa"/>
              <w:bottom w:w="0" w:type="dxa"/>
              <w:right w:w="108" w:type="dxa"/>
            </w:tcMar>
            <w:vAlign w:val="center"/>
          </w:tcPr>
          <w:p w14:paraId="25C87FA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p>
        </w:tc>
        <w:tc>
          <w:tcPr>
            <w:tcW w:w="157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C8AFE6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排放方式</w:t>
            </w:r>
          </w:p>
        </w:tc>
        <w:tc>
          <w:tcPr>
            <w:tcW w:w="2413"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4E3FE50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废水排放量Q/（m³/d）；</w:t>
            </w:r>
          </w:p>
          <w:p w14:paraId="266178D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水污染物当量数W/（无量纲）</w:t>
            </w:r>
          </w:p>
        </w:tc>
      </w:tr>
      <w:tr w14:paraId="1566AF68">
        <w:tblPrEx>
          <w:tblCellMar>
            <w:top w:w="0" w:type="dxa"/>
            <w:left w:w="0" w:type="dxa"/>
            <w:bottom w:w="0" w:type="dxa"/>
            <w:right w:w="0" w:type="dxa"/>
          </w:tblCellMar>
        </w:tblPrEx>
        <w:tc>
          <w:tcPr>
            <w:tcW w:w="1014"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2D8179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一级</w:t>
            </w:r>
          </w:p>
        </w:tc>
        <w:tc>
          <w:tcPr>
            <w:tcW w:w="157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43883B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直接排放</w:t>
            </w:r>
          </w:p>
        </w:tc>
        <w:tc>
          <w:tcPr>
            <w:tcW w:w="2413"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1891035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Q≥20000或W≥600000</w:t>
            </w:r>
          </w:p>
        </w:tc>
      </w:tr>
      <w:tr w14:paraId="3A8444ED">
        <w:tblPrEx>
          <w:tblCellMar>
            <w:top w:w="0" w:type="dxa"/>
            <w:left w:w="0" w:type="dxa"/>
            <w:bottom w:w="0" w:type="dxa"/>
            <w:right w:w="0" w:type="dxa"/>
          </w:tblCellMar>
        </w:tblPrEx>
        <w:trPr>
          <w:trHeight w:val="105" w:hRule="atLeast"/>
        </w:trPr>
        <w:tc>
          <w:tcPr>
            <w:tcW w:w="1014"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8E6E23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二级</w:t>
            </w:r>
          </w:p>
        </w:tc>
        <w:tc>
          <w:tcPr>
            <w:tcW w:w="157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B156A9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直接排放</w:t>
            </w:r>
          </w:p>
        </w:tc>
        <w:tc>
          <w:tcPr>
            <w:tcW w:w="2413"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4E5B99B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其他</w:t>
            </w:r>
          </w:p>
        </w:tc>
      </w:tr>
      <w:tr w14:paraId="789E3DE5">
        <w:tblPrEx>
          <w:tblCellMar>
            <w:top w:w="0" w:type="dxa"/>
            <w:left w:w="0" w:type="dxa"/>
            <w:bottom w:w="0" w:type="dxa"/>
            <w:right w:w="0" w:type="dxa"/>
          </w:tblCellMar>
        </w:tblPrEx>
        <w:trPr>
          <w:trHeight w:val="195" w:hRule="atLeast"/>
        </w:trPr>
        <w:tc>
          <w:tcPr>
            <w:tcW w:w="1014"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D016C3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三级A</w:t>
            </w:r>
          </w:p>
        </w:tc>
        <w:tc>
          <w:tcPr>
            <w:tcW w:w="157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2A6EB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直接排放</w:t>
            </w:r>
          </w:p>
        </w:tc>
        <w:tc>
          <w:tcPr>
            <w:tcW w:w="2413"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2B6C0E3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Q＜200且W＜6000</w:t>
            </w:r>
          </w:p>
        </w:tc>
      </w:tr>
      <w:tr w14:paraId="65DE1C2A">
        <w:tblPrEx>
          <w:tblCellMar>
            <w:top w:w="0" w:type="dxa"/>
            <w:left w:w="0" w:type="dxa"/>
            <w:bottom w:w="0" w:type="dxa"/>
            <w:right w:w="0" w:type="dxa"/>
          </w:tblCellMar>
        </w:tblPrEx>
        <w:tc>
          <w:tcPr>
            <w:tcW w:w="1014"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44C2F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三级B</w:t>
            </w:r>
          </w:p>
        </w:tc>
        <w:tc>
          <w:tcPr>
            <w:tcW w:w="1571"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08AF64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间接排放</w:t>
            </w:r>
          </w:p>
        </w:tc>
        <w:tc>
          <w:tcPr>
            <w:tcW w:w="2413"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7F9A8C1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w:t>
            </w:r>
          </w:p>
        </w:tc>
      </w:tr>
      <w:tr w14:paraId="27EE2A64">
        <w:tblPrEx>
          <w:tblCellMar>
            <w:top w:w="0" w:type="dxa"/>
            <w:left w:w="0" w:type="dxa"/>
            <w:bottom w:w="0" w:type="dxa"/>
            <w:right w:w="0" w:type="dxa"/>
          </w:tblCellMar>
        </w:tblPrEx>
        <w:tc>
          <w:tcPr>
            <w:tcW w:w="5000" w:type="pct"/>
            <w:gridSpan w:val="3"/>
            <w:tcBorders>
              <w:top w:val="single" w:color="000000" w:sz="4" w:space="0"/>
              <w:bottom w:val="single" w:color="000000" w:sz="18" w:space="0"/>
            </w:tcBorders>
            <w:noWrap w:val="0"/>
            <w:tcMar>
              <w:top w:w="0" w:type="dxa"/>
              <w:left w:w="108" w:type="dxa"/>
              <w:bottom w:w="0" w:type="dxa"/>
              <w:right w:w="108" w:type="dxa"/>
            </w:tcMar>
            <w:vAlign w:val="center"/>
          </w:tcPr>
          <w:p w14:paraId="7D20449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注1：水污染物当量数等于该污染物的年排放量</w:t>
            </w:r>
            <w:r>
              <w:rPr>
                <w:rFonts w:hint="default" w:ascii="Times New Roman" w:hAnsi="Times New Roman" w:cs="Times New Roman"/>
                <w:sz w:val="18"/>
                <w:szCs w:val="18"/>
                <w:highlight w:val="none"/>
                <w:lang w:val="en-US" w:eastAsia="zh-CN"/>
              </w:rPr>
              <w:t>除以</w:t>
            </w:r>
            <w:r>
              <w:rPr>
                <w:rFonts w:hint="default" w:ascii="Times New Roman" w:hAnsi="Times New Roman" w:eastAsia="宋体" w:cs="Times New Roman"/>
                <w:sz w:val="18"/>
                <w:szCs w:val="18"/>
                <w:highlight w:val="none"/>
              </w:rPr>
              <w:t>该污染物的污染当量值（见附录A），计算排放污染物污染物当量数，应区分第一类水污染物和其他类水污染物，统计第一类污染物当量数总和，然后与其他污染物按照污染物当量数从大到小排序，取最大当量数作为建设项目评价等级确定的依据。</w:t>
            </w:r>
          </w:p>
          <w:p w14:paraId="774C138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注2：废水排放量按行业排放标准中规定的废水种类统计，没有相关行业排放标准要求的通过工程分析合理确定，应统计含热量大的冷却水的排放量，可不统计间接冷却水、循环水以及其他含污染物极少的清净下水的排放量。</w:t>
            </w:r>
          </w:p>
          <w:p w14:paraId="02224D3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注3：厂区存在堆积物（露天堆放的原料、燃料、废渣等以及垃圾堆放场）、降尘污染的，应将初期雨污水纳入废水排放量，相应的主要污染物纳入水污染当量计算。</w:t>
            </w:r>
          </w:p>
          <w:p w14:paraId="692298E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注4：建设项目直接排放第一类污染物的，其评价等级为一级；建设项目直接排放的污染物为受纳水体超标因子的，评价等级不低于二级。</w:t>
            </w:r>
          </w:p>
          <w:p w14:paraId="1C50183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注5：直接排放受纳水体影响范围涉及饮用水水源保护区、饮用水取水口、重点保护与珍稀水生生物的栖息地、重要水生生物的自然产卵场等保护目标时，评价等级不低于二级。</w:t>
            </w:r>
          </w:p>
          <w:p w14:paraId="185FDAE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注6：建设项目向河流、湖库排放温排水引起受纳水体水温变化超过水环境质量标准要求，且评价范围有水温敏感目标时，评价等级为一级。</w:t>
            </w:r>
          </w:p>
          <w:p w14:paraId="386E693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注7：建设项目利用海水作为调节温度介质，排水量≥500万m³/d，评价等级为一级；排水量＜500万m³/d，评价等级为二级。</w:t>
            </w:r>
          </w:p>
          <w:p w14:paraId="5322268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注8：仅涉及清净下水排放的，如其排放水质满足受纳水体水环境质量标准要求的，评价等级为三级A。</w:t>
            </w:r>
          </w:p>
          <w:p w14:paraId="225CDD9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rPr>
              <w:t>注9：依托现有排放口，且对外环境未新增排放污染物的直接排放建设项目，评价等级参照间接排放，定为三级B。</w:t>
            </w:r>
          </w:p>
          <w:p w14:paraId="5FB7892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18"/>
                <w:szCs w:val="18"/>
                <w:highlight w:val="none"/>
              </w:rPr>
              <w:t>注10：建设项目生产工艺中有废水产生，但作为回水利用，不排放到外环境的，按三级B评价。</w:t>
            </w:r>
          </w:p>
        </w:tc>
      </w:tr>
    </w:tbl>
    <w:p w14:paraId="4A8579D2">
      <w:pPr>
        <w:keepNext w:val="0"/>
        <w:keepLines w:val="0"/>
        <w:pageBreakBefore w:val="0"/>
        <w:widowControl/>
        <w:kinsoku/>
        <w:wordWrap/>
        <w:overflowPunct/>
        <w:topLinePunct w:val="0"/>
        <w:autoSpaceDE/>
        <w:autoSpaceDN/>
        <w:bidi w:val="0"/>
        <w:adjustRightInd/>
        <w:snapToGrid w:val="0"/>
        <w:spacing w:before="157" w:beforeLines="50"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建设项目地表水环境影响评价等级按照影响类型、排放方式、排放量或影响情况、受纳水体环境质量现状、水环境保护目标等综合确定。本项目在</w:t>
      </w:r>
      <w:r>
        <w:rPr>
          <w:rFonts w:hint="default" w:ascii="Times New Roman" w:hAnsi="Times New Roman" w:cs="Times New Roman"/>
          <w:sz w:val="24"/>
          <w:szCs w:val="24"/>
          <w:highlight w:val="none"/>
          <w:lang w:val="en-US" w:eastAsia="zh-CN"/>
        </w:rPr>
        <w:t>协同处置</w:t>
      </w:r>
      <w:r>
        <w:rPr>
          <w:rFonts w:hint="default" w:ascii="Times New Roman" w:hAnsi="Times New Roman" w:eastAsia="宋体" w:cs="Times New Roman"/>
          <w:sz w:val="24"/>
          <w:szCs w:val="24"/>
          <w:highlight w:val="none"/>
        </w:rPr>
        <w:t>过程中无工艺废水产生，与地表水不发生水力联系，本项目地表水评价等级为三级B。</w:t>
      </w:r>
    </w:p>
    <w:p w14:paraId="001D32A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（3）地下水环境</w:t>
      </w:r>
    </w:p>
    <w:p w14:paraId="2A29C284">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地下水环境敏感程度分级和工作等级划分的依据分别见表2.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rPr>
        <w:t>和表2.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8</w:t>
      </w:r>
      <w:r>
        <w:rPr>
          <w:rFonts w:hint="default" w:ascii="Times New Roman" w:hAnsi="Times New Roman" w:eastAsia="宋体" w:cs="Times New Roman"/>
          <w:sz w:val="24"/>
          <w:szCs w:val="24"/>
          <w:highlight w:val="none"/>
        </w:rPr>
        <w:t>。</w:t>
      </w:r>
    </w:p>
    <w:p w14:paraId="01AED22B">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表2.</w:t>
      </w:r>
      <w:r>
        <w:rPr>
          <w:rFonts w:hint="default" w:ascii="Times New Roman" w:hAnsi="Times New Roman" w:cs="Times New Roman"/>
          <w:b/>
          <w:bCs/>
          <w:sz w:val="24"/>
          <w:szCs w:val="24"/>
          <w:highlight w:val="none"/>
          <w:lang w:val="en-US" w:eastAsia="zh-CN"/>
        </w:rPr>
        <w:t>5</w:t>
      </w:r>
      <w:r>
        <w:rPr>
          <w:rFonts w:hint="default" w:ascii="Times New Roman" w:hAnsi="Times New Roman" w:eastAsia="宋体" w:cs="Times New Roman"/>
          <w:b/>
          <w:bCs/>
          <w:sz w:val="24"/>
          <w:szCs w:val="24"/>
          <w:highlight w:val="none"/>
        </w:rPr>
        <w:t>-</w:t>
      </w:r>
      <w:r>
        <w:rPr>
          <w:rFonts w:hint="default" w:ascii="Times New Roman" w:hAnsi="Times New Roman" w:cs="Times New Roman"/>
          <w:b/>
          <w:bCs/>
          <w:sz w:val="24"/>
          <w:szCs w:val="24"/>
          <w:highlight w:val="none"/>
          <w:lang w:val="en-US" w:eastAsia="zh-CN"/>
        </w:rPr>
        <w:t>7</w:t>
      </w:r>
      <w:r>
        <w:rPr>
          <w:rFonts w:hint="default" w:ascii="Times New Roman" w:hAnsi="Times New Roman" w:eastAsia="宋体" w:cs="Times New Roman"/>
          <w:b/>
          <w:bCs/>
          <w:sz w:val="24"/>
          <w:szCs w:val="24"/>
          <w:highlight w:val="none"/>
        </w:rPr>
        <w:t xml:space="preserve"> 地下水环境敏感程度分级</w:t>
      </w:r>
    </w:p>
    <w:tbl>
      <w:tblPr>
        <w:tblStyle w:val="39"/>
        <w:tblW w:w="5000" w:type="pct"/>
        <w:jc w:val="center"/>
        <w:tblLayout w:type="autofit"/>
        <w:tblCellMar>
          <w:top w:w="0" w:type="dxa"/>
          <w:left w:w="0" w:type="dxa"/>
          <w:bottom w:w="0" w:type="dxa"/>
          <w:right w:w="0" w:type="dxa"/>
        </w:tblCellMar>
      </w:tblPr>
      <w:tblGrid>
        <w:gridCol w:w="955"/>
        <w:gridCol w:w="7561"/>
      </w:tblGrid>
      <w:tr w14:paraId="18D41B9D">
        <w:tblPrEx>
          <w:tblCellMar>
            <w:top w:w="0" w:type="dxa"/>
            <w:left w:w="0" w:type="dxa"/>
            <w:bottom w:w="0" w:type="dxa"/>
            <w:right w:w="0" w:type="dxa"/>
          </w:tblCellMar>
        </w:tblPrEx>
        <w:trPr>
          <w:trHeight w:val="90" w:hRule="atLeast"/>
          <w:jc w:val="center"/>
        </w:trPr>
        <w:tc>
          <w:tcPr>
            <w:tcW w:w="561" w:type="pct"/>
            <w:tcBorders>
              <w:top w:val="single" w:color="000000" w:sz="18" w:space="0"/>
              <w:bottom w:val="single" w:color="000000" w:sz="4" w:space="0"/>
              <w:right w:val="single" w:color="000000" w:sz="4" w:space="0"/>
            </w:tcBorders>
            <w:noWrap w:val="0"/>
            <w:tcMar>
              <w:top w:w="0" w:type="dxa"/>
              <w:left w:w="108" w:type="dxa"/>
              <w:bottom w:w="0" w:type="dxa"/>
              <w:right w:w="108" w:type="dxa"/>
            </w:tcMar>
            <w:vAlign w:val="center"/>
          </w:tcPr>
          <w:p w14:paraId="605F8D8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分级</w:t>
            </w:r>
          </w:p>
        </w:tc>
        <w:tc>
          <w:tcPr>
            <w:tcW w:w="4438" w:type="pct"/>
            <w:tcBorders>
              <w:top w:val="single" w:color="000000" w:sz="18" w:space="0"/>
              <w:left w:val="single" w:color="000000" w:sz="4" w:space="0"/>
              <w:bottom w:val="single" w:color="000000" w:sz="4" w:space="0"/>
            </w:tcBorders>
            <w:noWrap w:val="0"/>
            <w:tcMar>
              <w:top w:w="0" w:type="dxa"/>
              <w:left w:w="108" w:type="dxa"/>
              <w:bottom w:w="0" w:type="dxa"/>
              <w:right w:w="108" w:type="dxa"/>
            </w:tcMar>
            <w:vAlign w:val="center"/>
          </w:tcPr>
          <w:p w14:paraId="2FD23843">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项目场地的地下水环境敏感特征</w:t>
            </w:r>
          </w:p>
        </w:tc>
      </w:tr>
      <w:tr w14:paraId="2B9522DF">
        <w:tblPrEx>
          <w:tblCellMar>
            <w:top w:w="0" w:type="dxa"/>
            <w:left w:w="0" w:type="dxa"/>
            <w:bottom w:w="0" w:type="dxa"/>
            <w:right w:w="0" w:type="dxa"/>
          </w:tblCellMar>
        </w:tblPrEx>
        <w:trPr>
          <w:trHeight w:val="363" w:hRule="atLeast"/>
          <w:jc w:val="center"/>
        </w:trPr>
        <w:tc>
          <w:tcPr>
            <w:tcW w:w="561"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9018C2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敏感</w:t>
            </w:r>
          </w:p>
        </w:tc>
        <w:tc>
          <w:tcPr>
            <w:tcW w:w="4438"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216EDF34">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集中式饮用水水源(包括已建成的在用、备用、应急水源地，在建和规划的饮用水水源)准保护区；除集中式饮用水水源以外的国家或地方政府设定的与地下水环境相关的其它保护区，如热水、矿泉水、温泉等特殊地下水资源保护区。</w:t>
            </w:r>
          </w:p>
        </w:tc>
      </w:tr>
      <w:tr w14:paraId="1287249B">
        <w:tblPrEx>
          <w:tblCellMar>
            <w:top w:w="0" w:type="dxa"/>
            <w:left w:w="0" w:type="dxa"/>
            <w:bottom w:w="0" w:type="dxa"/>
            <w:right w:w="0" w:type="dxa"/>
          </w:tblCellMar>
        </w:tblPrEx>
        <w:trPr>
          <w:trHeight w:val="395" w:hRule="atLeast"/>
          <w:jc w:val="center"/>
        </w:trPr>
        <w:tc>
          <w:tcPr>
            <w:tcW w:w="561"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0CB488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较敏感</w:t>
            </w:r>
          </w:p>
        </w:tc>
        <w:tc>
          <w:tcPr>
            <w:tcW w:w="4438"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7CB6658E">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集中式饮用水水源(包括已建成的在用、备用、应急水源，在建和规划的饮用水水源)准保护区以外的补给径流区；未划定准保护区的集中式饮用水水源，其保护区以外的补给径流区；分散式饮用水水源地；特殊地下水资源（矿泉水、温泉等）保护区以外的分布区等其它未列入上述敏感分级的环境敏感区。</w:t>
            </w:r>
          </w:p>
        </w:tc>
      </w:tr>
      <w:tr w14:paraId="3667D2F0">
        <w:tblPrEx>
          <w:tblCellMar>
            <w:top w:w="0" w:type="dxa"/>
            <w:left w:w="0" w:type="dxa"/>
            <w:bottom w:w="0" w:type="dxa"/>
            <w:right w:w="0" w:type="dxa"/>
          </w:tblCellMar>
        </w:tblPrEx>
        <w:trPr>
          <w:trHeight w:val="90" w:hRule="atLeast"/>
          <w:jc w:val="center"/>
        </w:trPr>
        <w:tc>
          <w:tcPr>
            <w:tcW w:w="561" w:type="pct"/>
            <w:tcBorders>
              <w:top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6645C4E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不敏感</w:t>
            </w:r>
          </w:p>
        </w:tc>
        <w:tc>
          <w:tcPr>
            <w:tcW w:w="4438" w:type="pct"/>
            <w:tcBorders>
              <w:top w:val="single" w:color="000000" w:sz="4" w:space="0"/>
              <w:left w:val="single" w:color="000000" w:sz="4" w:space="0"/>
              <w:bottom w:val="single" w:color="000000" w:sz="18" w:space="0"/>
            </w:tcBorders>
            <w:noWrap w:val="0"/>
            <w:tcMar>
              <w:top w:w="0" w:type="dxa"/>
              <w:left w:w="108" w:type="dxa"/>
              <w:bottom w:w="0" w:type="dxa"/>
              <w:right w:w="108" w:type="dxa"/>
            </w:tcMar>
            <w:vAlign w:val="center"/>
          </w:tcPr>
          <w:p w14:paraId="67918285">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上述地区之外的其它地区。</w:t>
            </w:r>
          </w:p>
        </w:tc>
      </w:tr>
    </w:tbl>
    <w:p w14:paraId="68D2FCE9">
      <w:pPr>
        <w:keepNext w:val="0"/>
        <w:keepLines w:val="0"/>
        <w:pageBreakBefore w:val="0"/>
        <w:widowControl/>
        <w:kinsoku/>
        <w:wordWrap/>
        <w:overflowPunct/>
        <w:topLinePunct w:val="0"/>
        <w:autoSpaceDE/>
        <w:autoSpaceDN/>
        <w:bidi w:val="0"/>
        <w:adjustRightInd/>
        <w:snapToGrid w:val="0"/>
        <w:spacing w:before="157" w:beforeLines="50" w:line="240" w:lineRule="auto"/>
        <w:jc w:val="center"/>
        <w:textAlignment w:val="auto"/>
        <w:rPr>
          <w:rFonts w:hint="default" w:ascii="Times New Roman" w:hAnsi="Times New Roman" w:eastAsia="宋体" w:cs="Times New Roman"/>
          <w:b/>
          <w:bCs/>
          <w:i w:val="0"/>
          <w:iCs w:val="0"/>
          <w:sz w:val="24"/>
          <w:szCs w:val="24"/>
          <w:highlight w:val="none"/>
        </w:rPr>
      </w:pPr>
      <w:r>
        <w:rPr>
          <w:rFonts w:hint="default" w:ascii="Times New Roman" w:hAnsi="Times New Roman" w:eastAsia="宋体" w:cs="Times New Roman"/>
          <w:b/>
          <w:bCs/>
          <w:i w:val="0"/>
          <w:iCs w:val="0"/>
          <w:sz w:val="24"/>
          <w:szCs w:val="24"/>
          <w:highlight w:val="none"/>
        </w:rPr>
        <w:t>表2.</w:t>
      </w:r>
      <w:r>
        <w:rPr>
          <w:rFonts w:hint="default" w:ascii="Times New Roman" w:hAnsi="Times New Roman" w:cs="Times New Roman"/>
          <w:b/>
          <w:bCs/>
          <w:i w:val="0"/>
          <w:iCs w:val="0"/>
          <w:sz w:val="24"/>
          <w:szCs w:val="24"/>
          <w:highlight w:val="none"/>
          <w:lang w:val="en-US" w:eastAsia="zh-CN"/>
        </w:rPr>
        <w:t>5</w:t>
      </w:r>
      <w:r>
        <w:rPr>
          <w:rFonts w:hint="default" w:ascii="Times New Roman" w:hAnsi="Times New Roman" w:eastAsia="宋体" w:cs="Times New Roman"/>
          <w:b/>
          <w:bCs/>
          <w:i w:val="0"/>
          <w:iCs w:val="0"/>
          <w:sz w:val="24"/>
          <w:szCs w:val="24"/>
          <w:highlight w:val="none"/>
        </w:rPr>
        <w:t>-</w:t>
      </w:r>
      <w:r>
        <w:rPr>
          <w:rFonts w:hint="default" w:ascii="Times New Roman" w:hAnsi="Times New Roman" w:cs="Times New Roman"/>
          <w:b/>
          <w:bCs/>
          <w:i w:val="0"/>
          <w:iCs w:val="0"/>
          <w:sz w:val="24"/>
          <w:szCs w:val="24"/>
          <w:highlight w:val="none"/>
          <w:lang w:val="en-US" w:eastAsia="zh-CN"/>
        </w:rPr>
        <w:t>8</w:t>
      </w:r>
      <w:r>
        <w:rPr>
          <w:rFonts w:hint="default" w:ascii="Times New Roman" w:hAnsi="Times New Roman" w:eastAsia="宋体" w:cs="Times New Roman"/>
          <w:b/>
          <w:bCs/>
          <w:i w:val="0"/>
          <w:iCs w:val="0"/>
          <w:sz w:val="24"/>
          <w:szCs w:val="24"/>
          <w:highlight w:val="none"/>
        </w:rPr>
        <w:t xml:space="preserve"> 评价区地下水环境影响评价工作等级划分</w:t>
      </w:r>
    </w:p>
    <w:tbl>
      <w:tblPr>
        <w:tblStyle w:val="39"/>
        <w:tblW w:w="4998" w:type="pct"/>
        <w:jc w:val="center"/>
        <w:tblLayout w:type="autofit"/>
        <w:tblCellMar>
          <w:top w:w="0" w:type="dxa"/>
          <w:left w:w="0" w:type="dxa"/>
          <w:bottom w:w="0" w:type="dxa"/>
          <w:right w:w="0" w:type="dxa"/>
        </w:tblCellMar>
      </w:tblPr>
      <w:tblGrid>
        <w:gridCol w:w="2101"/>
        <w:gridCol w:w="2101"/>
        <w:gridCol w:w="2101"/>
        <w:gridCol w:w="2102"/>
      </w:tblGrid>
      <w:tr w14:paraId="60019CED">
        <w:tblPrEx>
          <w:tblCellMar>
            <w:top w:w="0" w:type="dxa"/>
            <w:left w:w="0" w:type="dxa"/>
            <w:bottom w:w="0" w:type="dxa"/>
            <w:right w:w="0" w:type="dxa"/>
          </w:tblCellMar>
        </w:tblPrEx>
        <w:trPr>
          <w:trHeight w:val="378" w:hRule="atLeast"/>
          <w:jc w:val="center"/>
        </w:trPr>
        <w:tc>
          <w:tcPr>
            <w:tcW w:w="1250" w:type="pct"/>
            <w:tcBorders>
              <w:top w:val="single" w:color="000000" w:sz="18" w:space="0"/>
              <w:bottom w:val="single" w:color="000000" w:sz="4" w:space="0"/>
              <w:right w:val="single" w:color="000000" w:sz="4" w:space="0"/>
              <w:tl2br w:val="single" w:color="auto" w:sz="4" w:space="0"/>
            </w:tcBorders>
            <w:noWrap w:val="0"/>
            <w:tcMar>
              <w:top w:w="0" w:type="dxa"/>
              <w:left w:w="0" w:type="dxa"/>
              <w:bottom w:w="0" w:type="dxa"/>
              <w:right w:w="108" w:type="dxa"/>
            </w:tcMar>
            <w:vAlign w:val="center"/>
          </w:tcPr>
          <w:p w14:paraId="2EACEE4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 xml:space="preserve">           项目类别</w:t>
            </w:r>
          </w:p>
          <w:p w14:paraId="0FFDBD8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环境敏感程度</w:t>
            </w:r>
          </w:p>
        </w:tc>
        <w:tc>
          <w:tcPr>
            <w:tcW w:w="1250" w:type="pct"/>
            <w:tcBorders>
              <w:top w:val="single" w:color="000000" w:sz="18"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0191E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I类项目</w:t>
            </w:r>
          </w:p>
        </w:tc>
        <w:tc>
          <w:tcPr>
            <w:tcW w:w="1250" w:type="pct"/>
            <w:tcBorders>
              <w:top w:val="single" w:color="000000" w:sz="18" w:space="0"/>
              <w:left w:val="single" w:color="000000" w:sz="4" w:space="0"/>
              <w:bottom w:val="single" w:color="000000" w:sz="4" w:space="0"/>
              <w:right w:val="single" w:color="000000" w:sz="4" w:space="0"/>
            </w:tcBorders>
            <w:noWrap w:val="0"/>
            <w:tcMar>
              <w:top w:w="0" w:type="dxa"/>
              <w:left w:w="0" w:type="dxa"/>
              <w:bottom w:w="0" w:type="dxa"/>
              <w:right w:w="108" w:type="dxa"/>
            </w:tcMar>
            <w:vAlign w:val="center"/>
          </w:tcPr>
          <w:p w14:paraId="7D0FF99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II类项目</w:t>
            </w:r>
          </w:p>
        </w:tc>
        <w:tc>
          <w:tcPr>
            <w:tcW w:w="1250" w:type="pct"/>
            <w:tcBorders>
              <w:top w:val="single" w:color="000000" w:sz="18" w:space="0"/>
              <w:left w:val="single" w:color="000000" w:sz="4" w:space="0"/>
              <w:bottom w:val="single" w:color="000000" w:sz="4" w:space="0"/>
            </w:tcBorders>
            <w:noWrap w:val="0"/>
            <w:tcMar>
              <w:top w:w="0" w:type="dxa"/>
              <w:left w:w="0" w:type="dxa"/>
              <w:bottom w:w="0" w:type="dxa"/>
              <w:right w:w="108" w:type="dxa"/>
            </w:tcMar>
            <w:vAlign w:val="center"/>
          </w:tcPr>
          <w:p w14:paraId="2040AE2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III类项目</w:t>
            </w:r>
          </w:p>
        </w:tc>
      </w:tr>
      <w:tr w14:paraId="55ED3AEA">
        <w:tblPrEx>
          <w:tblCellMar>
            <w:top w:w="0" w:type="dxa"/>
            <w:left w:w="0" w:type="dxa"/>
            <w:bottom w:w="0" w:type="dxa"/>
            <w:right w:w="0" w:type="dxa"/>
          </w:tblCellMar>
        </w:tblPrEx>
        <w:trPr>
          <w:trHeight w:val="340" w:hRule="atLeast"/>
          <w:jc w:val="center"/>
        </w:trPr>
        <w:tc>
          <w:tcPr>
            <w:tcW w:w="1250"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A0681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敏感</w:t>
            </w:r>
          </w:p>
        </w:tc>
        <w:tc>
          <w:tcPr>
            <w:tcW w:w="12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3369EB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一</w:t>
            </w:r>
          </w:p>
        </w:tc>
        <w:tc>
          <w:tcPr>
            <w:tcW w:w="12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927E01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一</w:t>
            </w:r>
          </w:p>
        </w:tc>
        <w:tc>
          <w:tcPr>
            <w:tcW w:w="1250"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0D23876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二</w:t>
            </w:r>
          </w:p>
        </w:tc>
      </w:tr>
      <w:tr w14:paraId="19B41A91">
        <w:tblPrEx>
          <w:tblCellMar>
            <w:top w:w="0" w:type="dxa"/>
            <w:left w:w="0" w:type="dxa"/>
            <w:bottom w:w="0" w:type="dxa"/>
            <w:right w:w="0" w:type="dxa"/>
          </w:tblCellMar>
        </w:tblPrEx>
        <w:trPr>
          <w:trHeight w:val="340" w:hRule="atLeast"/>
          <w:jc w:val="center"/>
        </w:trPr>
        <w:tc>
          <w:tcPr>
            <w:tcW w:w="1250"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BA07C9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较敏感</w:t>
            </w:r>
          </w:p>
        </w:tc>
        <w:tc>
          <w:tcPr>
            <w:tcW w:w="12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98C9C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一</w:t>
            </w:r>
          </w:p>
        </w:tc>
        <w:tc>
          <w:tcPr>
            <w:tcW w:w="1250"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79C2F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二</w:t>
            </w:r>
          </w:p>
        </w:tc>
        <w:tc>
          <w:tcPr>
            <w:tcW w:w="1250"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047B7B8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三</w:t>
            </w:r>
          </w:p>
        </w:tc>
      </w:tr>
      <w:tr w14:paraId="2B9CE35B">
        <w:tblPrEx>
          <w:tblCellMar>
            <w:top w:w="0" w:type="dxa"/>
            <w:left w:w="0" w:type="dxa"/>
            <w:bottom w:w="0" w:type="dxa"/>
            <w:right w:w="0" w:type="dxa"/>
          </w:tblCellMar>
        </w:tblPrEx>
        <w:trPr>
          <w:trHeight w:val="340" w:hRule="atLeast"/>
          <w:jc w:val="center"/>
        </w:trPr>
        <w:tc>
          <w:tcPr>
            <w:tcW w:w="1250" w:type="pct"/>
            <w:tcBorders>
              <w:top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2E765F5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不敏感</w:t>
            </w:r>
          </w:p>
        </w:tc>
        <w:tc>
          <w:tcPr>
            <w:tcW w:w="1250" w:type="pct"/>
            <w:tcBorders>
              <w:top w:val="single" w:color="000000" w:sz="4" w:space="0"/>
              <w:left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0AC395A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二</w:t>
            </w:r>
          </w:p>
        </w:tc>
        <w:tc>
          <w:tcPr>
            <w:tcW w:w="1250" w:type="pct"/>
            <w:tcBorders>
              <w:top w:val="single" w:color="000000" w:sz="4" w:space="0"/>
              <w:left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39CEBF0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三</w:t>
            </w:r>
          </w:p>
        </w:tc>
        <w:tc>
          <w:tcPr>
            <w:tcW w:w="1250" w:type="pct"/>
            <w:tcBorders>
              <w:top w:val="single" w:color="000000" w:sz="4" w:space="0"/>
              <w:left w:val="single" w:color="000000" w:sz="4" w:space="0"/>
              <w:bottom w:val="single" w:color="000000" w:sz="18" w:space="0"/>
            </w:tcBorders>
            <w:noWrap w:val="0"/>
            <w:tcMar>
              <w:top w:w="0" w:type="dxa"/>
              <w:left w:w="108" w:type="dxa"/>
              <w:bottom w:w="0" w:type="dxa"/>
              <w:right w:w="108" w:type="dxa"/>
            </w:tcMar>
            <w:vAlign w:val="center"/>
          </w:tcPr>
          <w:p w14:paraId="1D26D8A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三</w:t>
            </w:r>
          </w:p>
        </w:tc>
      </w:tr>
    </w:tbl>
    <w:p w14:paraId="0A8CF93A">
      <w:pPr>
        <w:keepNext w:val="0"/>
        <w:keepLines w:val="0"/>
        <w:pageBreakBefore w:val="0"/>
        <w:widowControl/>
        <w:kinsoku/>
        <w:wordWrap/>
        <w:overflowPunct/>
        <w:topLinePunct w:val="0"/>
        <w:autoSpaceDE/>
        <w:autoSpaceDN/>
        <w:bidi w:val="0"/>
        <w:adjustRightInd/>
        <w:snapToGrid w:val="0"/>
        <w:spacing w:before="157" w:beforeLines="50"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根据《环境影响评价技术导则</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地下水环境》（HJ610-2016）附录A中的规定，本工程为</w:t>
      </w:r>
      <w:r>
        <w:rPr>
          <w:rFonts w:hint="default" w:ascii="Times New Roman" w:hAnsi="Times New Roman" w:cs="Times New Roman"/>
          <w:sz w:val="24"/>
          <w:szCs w:val="24"/>
          <w:highlight w:val="none"/>
          <w:lang w:val="en-US" w:eastAsia="zh-CN"/>
        </w:rPr>
        <w:t>水泥窑协同处置危险废物</w:t>
      </w:r>
      <w:r>
        <w:rPr>
          <w:rFonts w:hint="default" w:ascii="Times New Roman" w:hAnsi="Times New Roman" w:eastAsia="宋体" w:cs="Times New Roman"/>
          <w:sz w:val="24"/>
          <w:szCs w:val="24"/>
          <w:highlight w:val="none"/>
        </w:rPr>
        <w:t>项目，属于“U城镇基础设施及房地产”中“151、危险废物（含医疗废物）集中处置及综合利用”，地下水环境影响评价项目类别为I类，工程所在区域的地下水不属于“集中式水源区的准保护区、除集中水源地的国家或地方政府设定的地下水环境相关的保护区”等敏感区域，也不属于“集中式水源区的准保护区以外的补给径流区、分散式饮用水水源地、特殊地下水资源保护区”等较敏感区域，属于不敏感区域。故区域地下水环境敏感程度为“不敏感”，因此地下水评价等级判定为</w:t>
      </w:r>
      <w:r>
        <w:rPr>
          <w:rFonts w:hint="default" w:ascii="Times New Roman" w:hAnsi="Times New Roman" w:cs="Times New Roman"/>
          <w:sz w:val="24"/>
          <w:szCs w:val="24"/>
          <w:highlight w:val="none"/>
          <w:lang w:val="en-US" w:eastAsia="zh-CN"/>
        </w:rPr>
        <w:t>二</w:t>
      </w:r>
      <w:r>
        <w:rPr>
          <w:rFonts w:hint="default" w:ascii="Times New Roman" w:hAnsi="Times New Roman" w:eastAsia="宋体" w:cs="Times New Roman"/>
          <w:sz w:val="24"/>
          <w:szCs w:val="24"/>
          <w:highlight w:val="none"/>
        </w:rPr>
        <w:t>级。</w:t>
      </w:r>
    </w:p>
    <w:p w14:paraId="668C726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（4）声环境</w:t>
      </w:r>
    </w:p>
    <w:p w14:paraId="7B8D9C1C">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根据《环境影响评价技术导则 声环境》（HJ2.4-2021）</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声环境影响评价工作等级一般分为三级，一级为详细评价，二级为一般性评价，三级为简要评价。评价等级划分原则如下</w:t>
      </w:r>
      <w:r>
        <w:rPr>
          <w:rFonts w:hint="default" w:ascii="Times New Roman" w:hAnsi="Times New Roman" w:eastAsia="宋体" w:cs="Times New Roman"/>
          <w:sz w:val="24"/>
          <w:szCs w:val="24"/>
          <w:highlight w:val="none"/>
          <w:lang w:eastAsia="zh-CN"/>
        </w:rPr>
        <w:t>：</w:t>
      </w:r>
    </w:p>
    <w:p w14:paraId="523C298B">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①</w:t>
      </w:r>
      <w:r>
        <w:rPr>
          <w:rFonts w:hint="default" w:ascii="Times New Roman" w:hAnsi="Times New Roman" w:eastAsia="宋体" w:cs="Times New Roman"/>
          <w:sz w:val="24"/>
          <w:szCs w:val="24"/>
          <w:highlight w:val="none"/>
        </w:rPr>
        <w:t>评价范围内有适用于GB3096规定的0类声环境功能区域，或建设项目建设前后评价范围内声环境保护目标噪声级增量达5dB(A)以上(不含5dB(A))，或受影响人口数量显著增加时，按一级评价</w:t>
      </w:r>
      <w:r>
        <w:rPr>
          <w:rFonts w:hint="default" w:ascii="Times New Roman" w:hAnsi="Times New Roman" w:eastAsia="宋体" w:cs="Times New Roman"/>
          <w:sz w:val="24"/>
          <w:szCs w:val="24"/>
          <w:highlight w:val="none"/>
          <w:lang w:eastAsia="zh-CN"/>
        </w:rPr>
        <w:t>；</w:t>
      </w:r>
    </w:p>
    <w:p w14:paraId="11F4002C">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val="en-US" w:eastAsia="zh-CN"/>
        </w:rPr>
        <w:t>②</w:t>
      </w:r>
      <w:r>
        <w:rPr>
          <w:rFonts w:hint="default" w:ascii="Times New Roman" w:hAnsi="Times New Roman" w:eastAsia="宋体" w:cs="Times New Roman"/>
          <w:sz w:val="24"/>
          <w:szCs w:val="24"/>
          <w:highlight w:val="none"/>
        </w:rPr>
        <w:t>建设项目所处的声环境功能区为GB3096规定的1类、2类地区，或建设项目建设前后评价范围内声环境保护目标噪声级增量达3dB(A)~5dB(A)，或受噪声影响人口数量增加较多时，按二级评价</w:t>
      </w:r>
      <w:r>
        <w:rPr>
          <w:rFonts w:hint="default" w:ascii="Times New Roman" w:hAnsi="Times New Roman" w:eastAsia="宋体" w:cs="Times New Roman"/>
          <w:sz w:val="24"/>
          <w:szCs w:val="24"/>
          <w:highlight w:val="none"/>
          <w:lang w:eastAsia="zh-CN"/>
        </w:rPr>
        <w:t>；</w:t>
      </w:r>
    </w:p>
    <w:p w14:paraId="25B3DA11">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③</w:t>
      </w:r>
      <w:r>
        <w:rPr>
          <w:rFonts w:hint="default" w:ascii="Times New Roman" w:hAnsi="Times New Roman" w:eastAsia="宋体" w:cs="Times New Roman"/>
          <w:sz w:val="24"/>
          <w:szCs w:val="24"/>
          <w:highlight w:val="none"/>
        </w:rPr>
        <w:t>建设项目所处的声环境功能区为GB3096规定的3类、4类地区，或建设项目建设前后评价范围内声环境保护目标噪声级增量在3dB(A)以下(不含3dB(A))，且受影响人口数量变化不大时，按三级评价。</w:t>
      </w:r>
    </w:p>
    <w:p w14:paraId="38677E11">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本工程环境噪声标准执行</w:t>
      </w:r>
      <w:r>
        <w:rPr>
          <w:rFonts w:hint="default" w:ascii="Times New Roman" w:hAnsi="Times New Roman" w:cs="Times New Roman"/>
          <w:sz w:val="24"/>
          <w:szCs w:val="24"/>
          <w:highlight w:val="none"/>
          <w:lang w:val="en-US" w:eastAsia="zh-CN"/>
        </w:rPr>
        <w:t>3</w:t>
      </w:r>
      <w:r>
        <w:rPr>
          <w:rFonts w:hint="default" w:ascii="Times New Roman" w:hAnsi="Times New Roman" w:eastAsia="宋体" w:cs="Times New Roman"/>
          <w:sz w:val="24"/>
          <w:szCs w:val="24"/>
          <w:highlight w:val="none"/>
        </w:rPr>
        <w:t>类，</w:t>
      </w:r>
      <w:r>
        <w:rPr>
          <w:rFonts w:hint="default" w:ascii="Times New Roman" w:hAnsi="Times New Roman" w:cs="Times New Roman"/>
          <w:sz w:val="24"/>
          <w:szCs w:val="24"/>
          <w:highlight w:val="none"/>
          <w:lang w:val="en-US" w:eastAsia="zh-CN"/>
        </w:rPr>
        <w:t>评价范围内无声环境敏感目标</w:t>
      </w:r>
      <w:r>
        <w:rPr>
          <w:rFonts w:hint="default" w:ascii="Times New Roman" w:hAnsi="Times New Roman" w:eastAsia="宋体" w:cs="Times New Roman"/>
          <w:sz w:val="24"/>
          <w:szCs w:val="24"/>
          <w:highlight w:val="none"/>
        </w:rPr>
        <w:t>，建设前后受影响人口无变化，因此，依据《环境影响评价技术导则</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声环境》（HJ2.4-20</w:t>
      </w:r>
      <w:r>
        <w:rPr>
          <w:rFonts w:hint="default" w:ascii="Times New Roman" w:hAnsi="Times New Roman" w:eastAsia="宋体" w:cs="Times New Roman"/>
          <w:sz w:val="24"/>
          <w:szCs w:val="24"/>
          <w:highlight w:val="none"/>
          <w:lang w:val="en-US" w:eastAsia="zh-CN"/>
        </w:rPr>
        <w:t>21</w:t>
      </w:r>
      <w:r>
        <w:rPr>
          <w:rFonts w:hint="default" w:ascii="Times New Roman" w:hAnsi="Times New Roman" w:eastAsia="宋体" w:cs="Times New Roman"/>
          <w:sz w:val="24"/>
          <w:szCs w:val="24"/>
          <w:highlight w:val="none"/>
        </w:rPr>
        <w:t>）中的判据，本项目噪声评价工作等级定为</w:t>
      </w:r>
      <w:r>
        <w:rPr>
          <w:rFonts w:hint="default" w:ascii="Times New Roman" w:hAnsi="Times New Roman" w:cs="Times New Roman"/>
          <w:sz w:val="24"/>
          <w:szCs w:val="24"/>
          <w:highlight w:val="none"/>
          <w:lang w:val="en-US" w:eastAsia="zh-CN"/>
        </w:rPr>
        <w:t>三</w:t>
      </w:r>
      <w:r>
        <w:rPr>
          <w:rFonts w:hint="default" w:ascii="Times New Roman" w:hAnsi="Times New Roman" w:eastAsia="宋体" w:cs="Times New Roman"/>
          <w:sz w:val="24"/>
          <w:szCs w:val="24"/>
          <w:highlight w:val="none"/>
        </w:rPr>
        <w:t>级</w:t>
      </w:r>
      <w:r>
        <w:rPr>
          <w:rFonts w:hint="default" w:ascii="Times New Roman" w:hAnsi="Times New Roman" w:eastAsia="宋体" w:cs="Times New Roman"/>
          <w:sz w:val="24"/>
          <w:szCs w:val="24"/>
          <w:highlight w:val="none"/>
          <w:lang w:eastAsia="zh-CN"/>
        </w:rPr>
        <w:t>。</w:t>
      </w:r>
    </w:p>
    <w:p w14:paraId="789ECDEC">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土壤环境</w:t>
      </w:r>
    </w:p>
    <w:p w14:paraId="1902F4E9">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sz w:val="24"/>
          <w:szCs w:val="24"/>
          <w:highlight w:val="none"/>
          <w:lang w:val="en-US" w:eastAsia="zh-CN"/>
        </w:rPr>
        <w:t>根据《环境影响评价技术导则 土壤环境（试行）》（HJ964-2018）附录A土壤环境影响评价行业分类表，本项目土壤环境影响评价行业类别为环境和公共设施管理业</w:t>
      </w:r>
      <w:r>
        <w:rPr>
          <w:rFonts w:hint="default" w:ascii="Times New Roman" w:hAnsi="Times New Roman" w:cs="Times New Roman"/>
          <w:sz w:val="24"/>
          <w:szCs w:val="24"/>
          <w:highlight w:val="none"/>
          <w:lang w:val="en-US" w:eastAsia="zh-CN"/>
        </w:rPr>
        <w:t>中的</w:t>
      </w:r>
      <w:r>
        <w:rPr>
          <w:rFonts w:hint="default" w:ascii="Times New Roman" w:hAnsi="Times New Roman" w:eastAsia="宋体" w:cs="Times New Roman"/>
          <w:sz w:val="24"/>
          <w:szCs w:val="24"/>
          <w:highlight w:val="none"/>
          <w:lang w:val="en-US" w:eastAsia="zh-CN"/>
        </w:rPr>
        <w:t>危险废物利用及处置，项目类别为Ⅰ类。</w:t>
      </w:r>
    </w:p>
    <w:p w14:paraId="48AD0EA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表2.</w:t>
      </w:r>
      <w:r>
        <w:rPr>
          <w:rFonts w:hint="default" w:ascii="Times New Roman" w:hAnsi="Times New Roman"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eastAsia" w:cs="Times New Roman"/>
          <w:b/>
          <w:bCs/>
          <w:sz w:val="24"/>
          <w:szCs w:val="24"/>
          <w:highlight w:val="none"/>
          <w:lang w:val="en-US" w:eastAsia="zh-CN"/>
        </w:rPr>
        <w:t>9</w:t>
      </w:r>
      <w:r>
        <w:rPr>
          <w:rFonts w:hint="default" w:ascii="Times New Roman" w:hAnsi="Times New Roman" w:eastAsia="宋体" w:cs="Times New Roman"/>
          <w:b/>
          <w:bCs/>
          <w:sz w:val="24"/>
          <w:szCs w:val="24"/>
          <w:highlight w:val="none"/>
          <w:lang w:val="en-US" w:eastAsia="zh-CN"/>
        </w:rPr>
        <w:t xml:space="preserve"> 污染型敏感程度分级表</w:t>
      </w:r>
    </w:p>
    <w:tbl>
      <w:tblPr>
        <w:tblStyle w:val="39"/>
        <w:tblW w:w="5000" w:type="pct"/>
        <w:jc w:val="center"/>
        <w:tblLayout w:type="autofit"/>
        <w:tblCellMar>
          <w:top w:w="0" w:type="dxa"/>
          <w:left w:w="0" w:type="dxa"/>
          <w:bottom w:w="0" w:type="dxa"/>
          <w:right w:w="0" w:type="dxa"/>
        </w:tblCellMar>
      </w:tblPr>
      <w:tblGrid>
        <w:gridCol w:w="1102"/>
        <w:gridCol w:w="7414"/>
      </w:tblGrid>
      <w:tr w14:paraId="7DEB8D92">
        <w:tblPrEx>
          <w:tblCellMar>
            <w:top w:w="0" w:type="dxa"/>
            <w:left w:w="0" w:type="dxa"/>
            <w:bottom w:w="0" w:type="dxa"/>
            <w:right w:w="0" w:type="dxa"/>
          </w:tblCellMar>
        </w:tblPrEx>
        <w:trPr>
          <w:trHeight w:val="340" w:hRule="atLeast"/>
          <w:jc w:val="center"/>
        </w:trPr>
        <w:tc>
          <w:tcPr>
            <w:tcW w:w="647" w:type="pct"/>
            <w:tcBorders>
              <w:top w:val="single" w:color="000000" w:sz="18" w:space="0"/>
              <w:bottom w:val="single" w:color="000000" w:sz="4" w:space="0"/>
              <w:right w:val="single" w:color="000000" w:sz="4" w:space="0"/>
            </w:tcBorders>
            <w:noWrap w:val="0"/>
            <w:tcMar>
              <w:top w:w="0" w:type="dxa"/>
              <w:left w:w="108" w:type="dxa"/>
              <w:bottom w:w="0" w:type="dxa"/>
              <w:right w:w="108" w:type="dxa"/>
            </w:tcMar>
            <w:vAlign w:val="center"/>
          </w:tcPr>
          <w:p w14:paraId="77B4EFB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lang w:val="en-US" w:eastAsia="zh-CN"/>
              </w:rPr>
            </w:pPr>
            <w:r>
              <w:rPr>
                <w:rFonts w:hint="default" w:ascii="Times New Roman" w:hAnsi="Times New Roman" w:eastAsia="宋体" w:cs="Times New Roman"/>
                <w:b/>
                <w:bCs/>
                <w:sz w:val="21"/>
                <w:highlight w:val="none"/>
                <w:lang w:val="en-US" w:eastAsia="zh-CN"/>
              </w:rPr>
              <w:t>敏感程度</w:t>
            </w:r>
          </w:p>
        </w:tc>
        <w:tc>
          <w:tcPr>
            <w:tcW w:w="4352" w:type="pct"/>
            <w:tcBorders>
              <w:top w:val="single" w:color="000000" w:sz="18" w:space="0"/>
              <w:left w:val="single" w:color="000000" w:sz="4" w:space="0"/>
              <w:bottom w:val="single" w:color="000000" w:sz="4" w:space="0"/>
            </w:tcBorders>
            <w:noWrap w:val="0"/>
            <w:tcMar>
              <w:top w:w="0" w:type="dxa"/>
              <w:left w:w="108" w:type="dxa"/>
              <w:bottom w:w="0" w:type="dxa"/>
              <w:right w:w="108" w:type="dxa"/>
            </w:tcMar>
            <w:vAlign w:val="center"/>
          </w:tcPr>
          <w:p w14:paraId="7C54A571">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项目场地的地下水环境敏感特征</w:t>
            </w:r>
          </w:p>
        </w:tc>
      </w:tr>
      <w:tr w14:paraId="7D7A16FE">
        <w:tblPrEx>
          <w:tblCellMar>
            <w:top w:w="0" w:type="dxa"/>
            <w:left w:w="0" w:type="dxa"/>
            <w:bottom w:w="0" w:type="dxa"/>
            <w:right w:w="0" w:type="dxa"/>
          </w:tblCellMar>
        </w:tblPrEx>
        <w:trPr>
          <w:trHeight w:val="340" w:hRule="atLeast"/>
          <w:jc w:val="center"/>
        </w:trPr>
        <w:tc>
          <w:tcPr>
            <w:tcW w:w="647"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3D04F8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敏感</w:t>
            </w:r>
          </w:p>
        </w:tc>
        <w:tc>
          <w:tcPr>
            <w:tcW w:w="4352"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104A79D7">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建设项目周边存在耕地、园地、牧草地、饮用水水源地、学校、医院、疗养院、养老院等土壤环境敏感目标的</w:t>
            </w:r>
          </w:p>
        </w:tc>
      </w:tr>
      <w:tr w14:paraId="6BCE5F31">
        <w:tblPrEx>
          <w:tblCellMar>
            <w:top w:w="0" w:type="dxa"/>
            <w:left w:w="0" w:type="dxa"/>
            <w:bottom w:w="0" w:type="dxa"/>
            <w:right w:w="0" w:type="dxa"/>
          </w:tblCellMar>
        </w:tblPrEx>
        <w:trPr>
          <w:trHeight w:val="340" w:hRule="atLeast"/>
          <w:jc w:val="center"/>
        </w:trPr>
        <w:tc>
          <w:tcPr>
            <w:tcW w:w="647"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21FD8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较敏感</w:t>
            </w:r>
          </w:p>
        </w:tc>
        <w:tc>
          <w:tcPr>
            <w:tcW w:w="4352"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34CB8A91">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建设项目周边存在其他土壤环境敏感目标的</w:t>
            </w:r>
          </w:p>
        </w:tc>
      </w:tr>
      <w:tr w14:paraId="4E8E7D7A">
        <w:tblPrEx>
          <w:tblCellMar>
            <w:top w:w="0" w:type="dxa"/>
            <w:left w:w="0" w:type="dxa"/>
            <w:bottom w:w="0" w:type="dxa"/>
            <w:right w:w="0" w:type="dxa"/>
          </w:tblCellMar>
        </w:tblPrEx>
        <w:trPr>
          <w:trHeight w:val="340" w:hRule="atLeast"/>
          <w:jc w:val="center"/>
        </w:trPr>
        <w:tc>
          <w:tcPr>
            <w:tcW w:w="647" w:type="pct"/>
            <w:tcBorders>
              <w:top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45BB190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不敏感</w:t>
            </w:r>
          </w:p>
        </w:tc>
        <w:tc>
          <w:tcPr>
            <w:tcW w:w="4352" w:type="pct"/>
            <w:tcBorders>
              <w:top w:val="single" w:color="000000" w:sz="4" w:space="0"/>
              <w:left w:val="single" w:color="000000" w:sz="4" w:space="0"/>
              <w:bottom w:val="single" w:color="000000" w:sz="18" w:space="0"/>
            </w:tcBorders>
            <w:noWrap w:val="0"/>
            <w:tcMar>
              <w:top w:w="0" w:type="dxa"/>
              <w:left w:w="108" w:type="dxa"/>
              <w:bottom w:w="0" w:type="dxa"/>
              <w:right w:w="108" w:type="dxa"/>
            </w:tcMar>
            <w:vAlign w:val="center"/>
          </w:tcPr>
          <w:p w14:paraId="48A27ACD">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其他情况</w:t>
            </w:r>
          </w:p>
        </w:tc>
      </w:tr>
    </w:tbl>
    <w:p w14:paraId="5358AAAE">
      <w:pPr>
        <w:keepNext w:val="0"/>
        <w:keepLines w:val="0"/>
        <w:pageBreakBefore w:val="0"/>
        <w:widowControl/>
        <w:kinsoku/>
        <w:wordWrap/>
        <w:overflowPunct/>
        <w:topLinePunct w:val="0"/>
        <w:autoSpaceDE/>
        <w:autoSpaceDN/>
        <w:bidi w:val="0"/>
        <w:adjustRightInd/>
        <w:snapToGrid w:val="0"/>
        <w:spacing w:before="157" w:beforeLines="50"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根据《环境影响评价技术导则 土壤环境（试行）》（HJ964-2018），本项目评价等级划分见表2.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sz w:val="24"/>
          <w:szCs w:val="24"/>
          <w:highlight w:val="none"/>
          <w:lang w:val="en-US" w:eastAsia="zh-CN"/>
        </w:rPr>
        <w:t>1</w:t>
      </w:r>
      <w:r>
        <w:rPr>
          <w:rFonts w:hint="eastAsia" w:cs="Times New Roman"/>
          <w:sz w:val="24"/>
          <w:szCs w:val="24"/>
          <w:highlight w:val="none"/>
          <w:lang w:val="en-US" w:eastAsia="zh-CN"/>
        </w:rPr>
        <w:t>0</w:t>
      </w:r>
      <w:r>
        <w:rPr>
          <w:rFonts w:hint="default" w:ascii="Times New Roman" w:hAnsi="Times New Roman" w:eastAsia="宋体" w:cs="Times New Roman"/>
          <w:sz w:val="24"/>
          <w:szCs w:val="24"/>
          <w:highlight w:val="none"/>
          <w:lang w:val="en-US" w:eastAsia="zh-CN"/>
        </w:rPr>
        <w:t>。</w:t>
      </w:r>
    </w:p>
    <w:p w14:paraId="4B57AA6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表2.</w:t>
      </w:r>
      <w:r>
        <w:rPr>
          <w:rFonts w:hint="default" w:ascii="Times New Roman" w:hAnsi="Times New Roman" w:cs="Times New Roman"/>
          <w:b/>
          <w:bCs/>
          <w:sz w:val="24"/>
          <w:szCs w:val="24"/>
          <w:highlight w:val="none"/>
          <w:lang w:val="en-US" w:eastAsia="zh-CN"/>
        </w:rPr>
        <w:t>5</w:t>
      </w:r>
      <w:r>
        <w:rPr>
          <w:rFonts w:hint="default" w:ascii="Times New Roman" w:hAnsi="Times New Roman" w:eastAsia="宋体" w:cs="Times New Roman"/>
          <w:b/>
          <w:bCs/>
          <w:sz w:val="24"/>
          <w:szCs w:val="24"/>
          <w:highlight w:val="none"/>
          <w:lang w:val="en-US" w:eastAsia="zh-CN"/>
        </w:rPr>
        <w:t>-</w:t>
      </w:r>
      <w:r>
        <w:rPr>
          <w:rFonts w:hint="default" w:ascii="Times New Roman" w:hAnsi="Times New Roman" w:cs="Times New Roman"/>
          <w:b/>
          <w:bCs/>
          <w:sz w:val="24"/>
          <w:szCs w:val="24"/>
          <w:highlight w:val="none"/>
          <w:lang w:val="en-US" w:eastAsia="zh-CN"/>
        </w:rPr>
        <w:t>1</w:t>
      </w:r>
      <w:r>
        <w:rPr>
          <w:rFonts w:hint="eastAsia" w:cs="Times New Roman"/>
          <w:b/>
          <w:bCs/>
          <w:sz w:val="24"/>
          <w:szCs w:val="24"/>
          <w:highlight w:val="none"/>
          <w:lang w:val="en-US" w:eastAsia="zh-CN"/>
        </w:rPr>
        <w:t>0</w:t>
      </w:r>
      <w:r>
        <w:rPr>
          <w:rFonts w:hint="default" w:ascii="Times New Roman" w:hAnsi="Times New Roman" w:eastAsia="宋体" w:cs="Times New Roman"/>
          <w:b/>
          <w:bCs/>
          <w:sz w:val="24"/>
          <w:szCs w:val="24"/>
          <w:highlight w:val="none"/>
          <w:lang w:val="en-US" w:eastAsia="zh-CN"/>
        </w:rPr>
        <w:t xml:space="preserve"> 污染影响型评价工作等级划分表</w:t>
      </w:r>
    </w:p>
    <w:tbl>
      <w:tblPr>
        <w:tblStyle w:val="40"/>
        <w:tblW w:w="4998"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67"/>
        <w:gridCol w:w="737"/>
        <w:gridCol w:w="737"/>
        <w:gridCol w:w="737"/>
        <w:gridCol w:w="737"/>
        <w:gridCol w:w="737"/>
        <w:gridCol w:w="781"/>
        <w:gridCol w:w="692"/>
        <w:gridCol w:w="738"/>
        <w:gridCol w:w="750"/>
      </w:tblGrid>
      <w:tr w14:paraId="7F691BB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PrEx>
        <w:trPr>
          <w:trHeight w:val="96" w:hRule="atLeast"/>
        </w:trPr>
        <w:tc>
          <w:tcPr>
            <w:tcW w:w="1096" w:type="pct"/>
            <w:vMerge w:val="restart"/>
            <w:tcBorders>
              <w:tl2br w:val="nil"/>
              <w:tr2bl w:val="nil"/>
            </w:tcBorders>
            <w:noWrap w:val="0"/>
            <w:vAlign w:val="top"/>
            <mc:AlternateContent>
              <mc:Choice Requires="wpsCustomData">
                <wpsCustomData:diagonals>
                  <wpsCustomData:diagonal from="30000" to="13700">
                    <wpsCustomData:border w:val="single" w:color="auto" w:sz="18" w:space="0"/>
                  </wpsCustomData:diagonal>
                  <wpsCustomData:diagonal from="30000" to="6600">
                    <wpsCustomData:border w:val="single" w:color="auto" w:sz="18" w:space="0"/>
                  </wpsCustomData:diagonal>
                </wpsCustomData:diagonals>
              </mc:Choice>
            </mc:AlternateContent>
          </w:tcPr>
          <w:p w14:paraId="0DD10A80">
            <w:pPr>
              <w:snapToGrid w:val="0"/>
              <w:spacing w:line="240" w:lineRule="auto"/>
              <mc:AlternateContent>
                <mc:Choice Requires="wpsCustomData">
                  <wpsCustomData:diagonalParaType/>
                </mc:Choice>
              </mc:AlternateContent>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敏感程度</w:t>
            </w:r>
          </w:p>
          <w:p w14:paraId="6F846C22">
            <w:pPr>
              <w:snapToGrid w:val="0"/>
              <w:spacing w:line="240" w:lineRule="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评价</w:t>
            </w:r>
          </w:p>
          <w:p w14:paraId="5EC05F28">
            <w:pPr>
              <w:snapToGrid w:val="0"/>
              <w:spacing w:line="240" w:lineRule="auto"/>
              <mc:AlternateContent>
                <mc:Choice Requires="wpsCustomData">
                  <wpsCustomData:diagonalParaType/>
                </mc:Choice>
              </mc:AlternateContent>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等级</w:t>
            </w:r>
          </w:p>
          <w:p w14:paraId="3267406C">
            <w:pP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占地</w:t>
            </w:r>
          </w:p>
          <w:p w14:paraId="6AEB1708">
            <w:pP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规模</w:t>
            </w:r>
          </w:p>
        </w:tc>
        <w:tc>
          <w:tcPr>
            <w:tcW w:w="1299" w:type="pct"/>
            <w:gridSpan w:val="3"/>
            <w:tcBorders>
              <w:tl2br w:val="nil"/>
              <w:tr2bl w:val="nil"/>
            </w:tcBorders>
            <w:noWrap w:val="0"/>
            <w:vAlign w:val="center"/>
          </w:tcPr>
          <w:p w14:paraId="20EF75FF">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zh-CN"/>
              </w:rPr>
              <w:t>Ⅰ类</w:t>
            </w:r>
          </w:p>
        </w:tc>
        <w:tc>
          <w:tcPr>
            <w:tcW w:w="1324" w:type="pct"/>
            <w:gridSpan w:val="3"/>
            <w:tcBorders>
              <w:tl2br w:val="nil"/>
              <w:tr2bl w:val="nil"/>
            </w:tcBorders>
            <w:noWrap w:val="0"/>
            <w:vAlign w:val="center"/>
          </w:tcPr>
          <w:p w14:paraId="30AABD82">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zh-CN"/>
              </w:rPr>
              <w:t>Ⅱ类</w:t>
            </w:r>
          </w:p>
        </w:tc>
        <w:tc>
          <w:tcPr>
            <w:tcW w:w="1279" w:type="pct"/>
            <w:gridSpan w:val="3"/>
            <w:tcBorders>
              <w:tl2br w:val="nil"/>
              <w:tr2bl w:val="nil"/>
            </w:tcBorders>
            <w:noWrap w:val="0"/>
            <w:vAlign w:val="center"/>
          </w:tcPr>
          <w:p w14:paraId="28803672">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zh-CN"/>
              </w:rPr>
              <w:t>Ⅲ类</w:t>
            </w:r>
          </w:p>
        </w:tc>
      </w:tr>
      <w:tr w14:paraId="4DBE24C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096" w:type="pct"/>
            <w:vMerge w:val="continue"/>
            <w:tcBorders>
              <w:tl2br w:val="nil"/>
              <w:tr2bl w:val="nil"/>
            </w:tcBorders>
            <w:noWrap w:val="0"/>
            <w:vAlign w:val="top"/>
          </w:tcPr>
          <w:p w14:paraId="2E0254A8">
            <w:pPr>
              <w:rPr>
                <w:rFonts w:hint="default" w:ascii="Times New Roman" w:hAnsi="Times New Roman" w:eastAsia="宋体" w:cs="Times New Roman"/>
                <w:b/>
                <w:bCs/>
                <w:kern w:val="2"/>
                <w:sz w:val="21"/>
                <w:szCs w:val="21"/>
                <w:highlight w:val="none"/>
                <w:vertAlign w:val="baseline"/>
                <w:lang w:val="en-US" w:eastAsia="zh-CN" w:bidi="ar-SA"/>
              </w:rPr>
            </w:pPr>
          </w:p>
        </w:tc>
        <w:tc>
          <w:tcPr>
            <w:tcW w:w="433" w:type="pct"/>
            <w:tcBorders>
              <w:tl2br w:val="nil"/>
              <w:tr2bl w:val="nil"/>
            </w:tcBorders>
            <w:noWrap w:val="0"/>
            <w:vAlign w:val="center"/>
          </w:tcPr>
          <w:p w14:paraId="1F95AD10">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大</w:t>
            </w:r>
          </w:p>
        </w:tc>
        <w:tc>
          <w:tcPr>
            <w:tcW w:w="433" w:type="pct"/>
            <w:tcBorders>
              <w:tl2br w:val="nil"/>
              <w:tr2bl w:val="nil"/>
            </w:tcBorders>
            <w:noWrap w:val="0"/>
            <w:vAlign w:val="center"/>
          </w:tcPr>
          <w:p w14:paraId="33E086FB">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中</w:t>
            </w:r>
          </w:p>
        </w:tc>
        <w:tc>
          <w:tcPr>
            <w:tcW w:w="433" w:type="pct"/>
            <w:tcBorders>
              <w:tl2br w:val="nil"/>
              <w:tr2bl w:val="nil"/>
            </w:tcBorders>
            <w:noWrap w:val="0"/>
            <w:vAlign w:val="center"/>
          </w:tcPr>
          <w:p w14:paraId="6C02214B">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小</w:t>
            </w:r>
          </w:p>
        </w:tc>
        <w:tc>
          <w:tcPr>
            <w:tcW w:w="433" w:type="pct"/>
            <w:tcBorders>
              <w:tl2br w:val="nil"/>
              <w:tr2bl w:val="nil"/>
            </w:tcBorders>
            <w:noWrap w:val="0"/>
            <w:vAlign w:val="center"/>
          </w:tcPr>
          <w:p w14:paraId="5F585ABE">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大</w:t>
            </w:r>
          </w:p>
        </w:tc>
        <w:tc>
          <w:tcPr>
            <w:tcW w:w="433" w:type="pct"/>
            <w:tcBorders>
              <w:tl2br w:val="nil"/>
              <w:tr2bl w:val="nil"/>
            </w:tcBorders>
            <w:noWrap w:val="0"/>
            <w:vAlign w:val="center"/>
          </w:tcPr>
          <w:p w14:paraId="1AC86108">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中</w:t>
            </w:r>
          </w:p>
        </w:tc>
        <w:tc>
          <w:tcPr>
            <w:tcW w:w="458" w:type="pct"/>
            <w:tcBorders>
              <w:tl2br w:val="nil"/>
              <w:tr2bl w:val="nil"/>
            </w:tcBorders>
            <w:noWrap w:val="0"/>
            <w:vAlign w:val="center"/>
          </w:tcPr>
          <w:p w14:paraId="56D1CB68">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小</w:t>
            </w:r>
          </w:p>
        </w:tc>
        <w:tc>
          <w:tcPr>
            <w:tcW w:w="406" w:type="pct"/>
            <w:tcBorders>
              <w:tl2br w:val="nil"/>
              <w:tr2bl w:val="nil"/>
            </w:tcBorders>
            <w:noWrap w:val="0"/>
            <w:vAlign w:val="center"/>
          </w:tcPr>
          <w:p w14:paraId="43BC6B06">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大</w:t>
            </w:r>
          </w:p>
        </w:tc>
        <w:tc>
          <w:tcPr>
            <w:tcW w:w="433" w:type="pct"/>
            <w:tcBorders>
              <w:tl2br w:val="nil"/>
              <w:tr2bl w:val="nil"/>
            </w:tcBorders>
            <w:noWrap w:val="0"/>
            <w:vAlign w:val="center"/>
          </w:tcPr>
          <w:p w14:paraId="2E0A55DA">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中</w:t>
            </w:r>
          </w:p>
        </w:tc>
        <w:tc>
          <w:tcPr>
            <w:tcW w:w="439" w:type="pct"/>
            <w:tcBorders>
              <w:tl2br w:val="nil"/>
              <w:tr2bl w:val="nil"/>
            </w:tcBorders>
            <w:noWrap w:val="0"/>
            <w:vAlign w:val="center"/>
          </w:tcPr>
          <w:p w14:paraId="335ABA25">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小</w:t>
            </w:r>
          </w:p>
        </w:tc>
      </w:tr>
      <w:tr w14:paraId="0465F8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1096" w:type="pct"/>
            <w:tcBorders>
              <w:tl2br w:val="nil"/>
              <w:tr2bl w:val="nil"/>
            </w:tcBorders>
            <w:noWrap w:val="0"/>
            <w:vAlign w:val="center"/>
          </w:tcPr>
          <w:p w14:paraId="6B2A63E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敏感</w:t>
            </w:r>
          </w:p>
        </w:tc>
        <w:tc>
          <w:tcPr>
            <w:tcW w:w="433" w:type="pct"/>
            <w:tcBorders>
              <w:tl2br w:val="nil"/>
              <w:tr2bl w:val="nil"/>
            </w:tcBorders>
            <w:noWrap w:val="0"/>
            <w:vAlign w:val="center"/>
          </w:tcPr>
          <w:p w14:paraId="7DB41C5E">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7F02A884">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784E88B0">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5E0842A2">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4C5AB42A">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58" w:type="pct"/>
            <w:tcBorders>
              <w:tl2br w:val="nil"/>
              <w:tr2bl w:val="nil"/>
            </w:tcBorders>
            <w:noWrap w:val="0"/>
            <w:vAlign w:val="center"/>
          </w:tcPr>
          <w:p w14:paraId="68E4CAF5">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06" w:type="pct"/>
            <w:tcBorders>
              <w:tl2br w:val="nil"/>
              <w:tr2bl w:val="nil"/>
            </w:tcBorders>
            <w:noWrap w:val="0"/>
            <w:vAlign w:val="center"/>
          </w:tcPr>
          <w:p w14:paraId="77F0AC0D">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3" w:type="pct"/>
            <w:tcBorders>
              <w:tl2br w:val="nil"/>
              <w:tr2bl w:val="nil"/>
            </w:tcBorders>
            <w:noWrap w:val="0"/>
            <w:vAlign w:val="center"/>
          </w:tcPr>
          <w:p w14:paraId="3DD8AEE3">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9" w:type="pct"/>
            <w:tcBorders>
              <w:tl2br w:val="nil"/>
              <w:tr2bl w:val="nil"/>
            </w:tcBorders>
            <w:noWrap w:val="0"/>
            <w:vAlign w:val="center"/>
          </w:tcPr>
          <w:p w14:paraId="5EF7B6C8">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r>
      <w:tr w14:paraId="3ED76B0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6" w:type="pct"/>
            <w:tcBorders>
              <w:tl2br w:val="nil"/>
              <w:tr2bl w:val="nil"/>
            </w:tcBorders>
            <w:noWrap w:val="0"/>
            <w:vAlign w:val="center"/>
          </w:tcPr>
          <w:p w14:paraId="2D6FF52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较敏感</w:t>
            </w:r>
          </w:p>
        </w:tc>
        <w:tc>
          <w:tcPr>
            <w:tcW w:w="433" w:type="pct"/>
            <w:tcBorders>
              <w:tl2br w:val="nil"/>
              <w:tr2bl w:val="nil"/>
            </w:tcBorders>
            <w:noWrap w:val="0"/>
            <w:vAlign w:val="center"/>
          </w:tcPr>
          <w:p w14:paraId="7B8D686F">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4310177A">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4050EBA2">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3DBA0FF7">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66083142">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58" w:type="pct"/>
            <w:tcBorders>
              <w:tl2br w:val="nil"/>
              <w:tr2bl w:val="nil"/>
            </w:tcBorders>
            <w:noWrap w:val="0"/>
            <w:vAlign w:val="center"/>
          </w:tcPr>
          <w:p w14:paraId="1660B6EA">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06" w:type="pct"/>
            <w:tcBorders>
              <w:tl2br w:val="nil"/>
              <w:tr2bl w:val="nil"/>
            </w:tcBorders>
            <w:noWrap w:val="0"/>
            <w:vAlign w:val="center"/>
          </w:tcPr>
          <w:p w14:paraId="00EA0A4F">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3" w:type="pct"/>
            <w:tcBorders>
              <w:tl2br w:val="nil"/>
              <w:tr2bl w:val="nil"/>
            </w:tcBorders>
            <w:noWrap w:val="0"/>
            <w:vAlign w:val="center"/>
          </w:tcPr>
          <w:p w14:paraId="2AD1DB83">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9" w:type="pct"/>
            <w:tcBorders>
              <w:tl2br w:val="nil"/>
              <w:tr2bl w:val="nil"/>
            </w:tcBorders>
            <w:noWrap w:val="0"/>
            <w:vAlign w:val="center"/>
          </w:tcPr>
          <w:p w14:paraId="3B7A5932">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w:t>
            </w:r>
          </w:p>
        </w:tc>
      </w:tr>
      <w:tr w14:paraId="277C465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6" w:type="pct"/>
            <w:tcBorders>
              <w:tl2br w:val="nil"/>
              <w:tr2bl w:val="nil"/>
            </w:tcBorders>
            <w:noWrap w:val="0"/>
            <w:vAlign w:val="center"/>
          </w:tcPr>
          <w:p w14:paraId="38C6A32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不敏感</w:t>
            </w:r>
          </w:p>
        </w:tc>
        <w:tc>
          <w:tcPr>
            <w:tcW w:w="433" w:type="pct"/>
            <w:tcBorders>
              <w:tl2br w:val="nil"/>
              <w:tr2bl w:val="nil"/>
            </w:tcBorders>
            <w:noWrap w:val="0"/>
            <w:vAlign w:val="center"/>
          </w:tcPr>
          <w:p w14:paraId="66FE7A9A">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66F0C357">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15687F16">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08428E1B">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725D7598">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58" w:type="pct"/>
            <w:tcBorders>
              <w:tl2br w:val="nil"/>
              <w:tr2bl w:val="nil"/>
            </w:tcBorders>
            <w:noWrap w:val="0"/>
            <w:vAlign w:val="center"/>
          </w:tcPr>
          <w:p w14:paraId="45E276FA">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06" w:type="pct"/>
            <w:tcBorders>
              <w:tl2br w:val="nil"/>
              <w:tr2bl w:val="nil"/>
            </w:tcBorders>
            <w:noWrap w:val="0"/>
            <w:vAlign w:val="center"/>
          </w:tcPr>
          <w:p w14:paraId="32F752D5">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3" w:type="pct"/>
            <w:tcBorders>
              <w:tl2br w:val="nil"/>
              <w:tr2bl w:val="nil"/>
            </w:tcBorders>
            <w:noWrap w:val="0"/>
            <w:vAlign w:val="center"/>
          </w:tcPr>
          <w:p w14:paraId="780B94C6">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w:t>
            </w:r>
          </w:p>
        </w:tc>
        <w:tc>
          <w:tcPr>
            <w:tcW w:w="439" w:type="pct"/>
            <w:tcBorders>
              <w:tl2br w:val="nil"/>
              <w:tr2bl w:val="nil"/>
            </w:tcBorders>
            <w:noWrap w:val="0"/>
            <w:vAlign w:val="center"/>
          </w:tcPr>
          <w:p w14:paraId="1B1EEB59">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w:t>
            </w:r>
          </w:p>
        </w:tc>
      </w:tr>
    </w:tbl>
    <w:p w14:paraId="19D4FF2C">
      <w:pPr>
        <w:keepNext w:val="0"/>
        <w:keepLines w:val="0"/>
        <w:pageBreakBefore w:val="0"/>
        <w:widowControl/>
        <w:kinsoku/>
        <w:wordWrap/>
        <w:overflowPunct/>
        <w:topLinePunct w:val="0"/>
        <w:autoSpaceDE/>
        <w:autoSpaceDN/>
        <w:bidi w:val="0"/>
        <w:adjustRightInd/>
        <w:snapToGrid w:val="0"/>
        <w:spacing w:before="157" w:beforeLines="50"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rPr>
        <w:t>根据《环境影响评价技术导则 土壤环境（试行）》（HJ964-2018），污染影响型项目工程永久占地面积分为大型（≥50hm</w:t>
      </w:r>
      <w:r>
        <w:rPr>
          <w:rFonts w:hint="default" w:ascii="Times New Roman" w:hAnsi="Times New Roman" w:cs="Times New Roman"/>
          <w:vertAlign w:val="superscript"/>
        </w:rPr>
        <w:t>2</w:t>
      </w:r>
      <w:r>
        <w:rPr>
          <w:rFonts w:hint="default" w:ascii="Times New Roman" w:hAnsi="Times New Roman" w:cs="Times New Roman"/>
        </w:rPr>
        <w:t>）、中型（5~50hm</w:t>
      </w:r>
      <w:r>
        <w:rPr>
          <w:rFonts w:hint="default" w:ascii="Times New Roman" w:hAnsi="Times New Roman" w:cs="Times New Roman"/>
          <w:vertAlign w:val="superscript"/>
        </w:rPr>
        <w:t>2</w:t>
      </w:r>
      <w:r>
        <w:rPr>
          <w:rFonts w:hint="default" w:ascii="Times New Roman" w:hAnsi="Times New Roman" w:cs="Times New Roman"/>
        </w:rPr>
        <w:t>）、小型（≤5hm</w:t>
      </w:r>
      <w:r>
        <w:rPr>
          <w:rFonts w:hint="default" w:ascii="Times New Roman" w:hAnsi="Times New Roman" w:cs="Times New Roman"/>
          <w:vertAlign w:val="superscript"/>
        </w:rPr>
        <w:t>2</w:t>
      </w:r>
      <w:r>
        <w:rPr>
          <w:rFonts w:hint="default" w:ascii="Times New Roman" w:hAnsi="Times New Roman" w:cs="Times New Roman"/>
        </w:rPr>
        <w:t>）三类。本项目位于现水泥厂内预留用地，</w:t>
      </w:r>
      <w:r>
        <w:rPr>
          <w:rFonts w:hint="eastAsia" w:cs="Times New Roman"/>
          <w:lang w:val="en-US" w:eastAsia="zh-CN"/>
        </w:rPr>
        <w:t>项目</w:t>
      </w:r>
      <w:r>
        <w:rPr>
          <w:rFonts w:hint="eastAsia" w:cs="Times New Roman"/>
          <w:highlight w:val="none"/>
          <w:lang w:val="en-US" w:eastAsia="zh-CN"/>
        </w:rPr>
        <w:t>无新增用地</w:t>
      </w:r>
      <w:r>
        <w:rPr>
          <w:rFonts w:hint="default" w:ascii="Times New Roman" w:hAnsi="Times New Roman" w:cs="Times New Roman"/>
          <w:highlight w:val="none"/>
        </w:rPr>
        <w:t>，本项目占地面积约</w:t>
      </w:r>
      <w:r>
        <w:rPr>
          <w:rFonts w:hint="eastAsia" w:cs="Times New Roman"/>
          <w:highlight w:val="none"/>
          <w:lang w:val="en-US" w:eastAsia="zh-CN"/>
        </w:rPr>
        <w:t>2000</w:t>
      </w:r>
      <w:r>
        <w:rPr>
          <w:rFonts w:hint="default" w:ascii="Times New Roman" w:hAnsi="Times New Roman" w:cs="Times New Roman"/>
          <w:highlight w:val="none"/>
        </w:rPr>
        <w:t>m</w:t>
      </w:r>
      <w:r>
        <w:rPr>
          <w:rFonts w:hint="default" w:ascii="Times New Roman" w:hAnsi="Times New Roman" w:cs="Times New Roman"/>
          <w:highlight w:val="none"/>
          <w:vertAlign w:val="superscript"/>
        </w:rPr>
        <w:t>2</w:t>
      </w:r>
      <w:r>
        <w:rPr>
          <w:rFonts w:hint="default" w:ascii="Times New Roman" w:hAnsi="Times New Roman" w:cs="Times New Roman"/>
          <w:highlight w:val="none"/>
        </w:rPr>
        <w:t>（0.</w:t>
      </w:r>
      <w:r>
        <w:rPr>
          <w:rFonts w:hint="eastAsia" w:cs="Times New Roman"/>
          <w:highlight w:val="none"/>
          <w:lang w:val="en-US" w:eastAsia="zh-CN"/>
        </w:rPr>
        <w:t>2</w:t>
      </w:r>
      <w:r>
        <w:rPr>
          <w:rFonts w:hint="default" w:ascii="Times New Roman" w:hAnsi="Times New Roman" w:cs="Times New Roman"/>
          <w:highlight w:val="none"/>
        </w:rPr>
        <w:t>hm</w:t>
      </w:r>
      <w:r>
        <w:rPr>
          <w:rFonts w:hint="default" w:ascii="Times New Roman" w:hAnsi="Times New Roman" w:cs="Times New Roman"/>
          <w:highlight w:val="none"/>
          <w:vertAlign w:val="superscript"/>
        </w:rPr>
        <w:t>2</w:t>
      </w:r>
      <w:r>
        <w:rPr>
          <w:rFonts w:hint="default" w:ascii="Times New Roman" w:hAnsi="Times New Roman" w:cs="Times New Roman"/>
        </w:rPr>
        <w:t>）</w:t>
      </w:r>
      <w:r>
        <w:rPr>
          <w:rFonts w:hint="default" w:ascii="Times New Roman" w:hAnsi="Times New Roman" w:cs="Times New Roman"/>
          <w:b w:val="0"/>
          <w:bCs w:val="0"/>
          <w:sz w:val="24"/>
          <w:szCs w:val="24"/>
          <w:u w:val="none"/>
        </w:rPr>
        <w:t>，</w:t>
      </w:r>
      <w:r>
        <w:rPr>
          <w:rFonts w:hint="eastAsia" w:cs="Times New Roman"/>
          <w:b w:val="0"/>
          <w:bCs w:val="0"/>
          <w:sz w:val="24"/>
          <w:szCs w:val="24"/>
          <w:u w:val="none"/>
          <w:lang w:val="en-US" w:eastAsia="zh-CN"/>
        </w:rPr>
        <w:t>管线采用架空管线，</w:t>
      </w:r>
      <w:r>
        <w:rPr>
          <w:rFonts w:hint="default" w:ascii="Times New Roman" w:hAnsi="Times New Roman" w:cs="Times New Roman"/>
          <w:b w:val="0"/>
          <w:bCs w:val="0"/>
          <w:sz w:val="24"/>
          <w:szCs w:val="24"/>
          <w:u w:val="none"/>
        </w:rPr>
        <w:t>占地规模为</w:t>
      </w:r>
      <w:r>
        <w:rPr>
          <w:rFonts w:hint="default" w:ascii="Times New Roman" w:hAnsi="Times New Roman" w:cs="Times New Roman"/>
          <w:b w:val="0"/>
          <w:bCs w:val="0"/>
          <w:sz w:val="24"/>
          <w:szCs w:val="24"/>
          <w:u w:val="none"/>
          <w:lang w:val="en-US" w:eastAsia="zh-CN"/>
        </w:rPr>
        <w:t>小型</w:t>
      </w:r>
      <w:r>
        <w:rPr>
          <w:rFonts w:hint="default" w:ascii="Times New Roman" w:hAnsi="Times New Roman" w:cs="Times New Roman"/>
        </w:rPr>
        <w:t>。</w:t>
      </w:r>
      <w:r>
        <w:rPr>
          <w:rFonts w:hint="default" w:ascii="Times New Roman" w:hAnsi="Times New Roman" w:eastAsia="宋体" w:cs="Times New Roman"/>
          <w:sz w:val="24"/>
          <w:szCs w:val="24"/>
          <w:highlight w:val="none"/>
        </w:rPr>
        <w:t>项目周边不存在居民区及农用地等土壤环境敏感目标，敏感程度为“不敏感”，因此按照</w:t>
      </w:r>
      <w:r>
        <w:rPr>
          <w:rFonts w:hint="default" w:ascii="Times New Roman" w:hAnsi="Times New Roman" w:eastAsia="宋体" w:cs="Times New Roman"/>
          <w:sz w:val="24"/>
          <w:szCs w:val="24"/>
          <w:highlight w:val="none"/>
          <w:lang w:val="en-US" w:eastAsia="zh-CN"/>
        </w:rPr>
        <w:t>表2.4-</w:t>
      </w:r>
      <w:r>
        <w:rPr>
          <w:rFonts w:hint="eastAsia" w:cs="Times New Roman"/>
          <w:sz w:val="24"/>
          <w:szCs w:val="24"/>
          <w:highlight w:val="none"/>
          <w:lang w:val="en-US" w:eastAsia="zh-CN"/>
        </w:rPr>
        <w:t>10</w:t>
      </w:r>
      <w:r>
        <w:rPr>
          <w:rFonts w:hint="default" w:ascii="Times New Roman" w:hAnsi="Times New Roman" w:eastAsia="宋体" w:cs="Times New Roman"/>
          <w:sz w:val="24"/>
          <w:szCs w:val="24"/>
          <w:highlight w:val="none"/>
          <w:lang w:val="en-US" w:eastAsia="zh-CN"/>
        </w:rPr>
        <w:t>进行划分</w:t>
      </w:r>
      <w:r>
        <w:rPr>
          <w:rFonts w:hint="default" w:ascii="Times New Roman" w:hAnsi="Times New Roman" w:eastAsia="宋体" w:cs="Times New Roman"/>
          <w:sz w:val="24"/>
          <w:szCs w:val="24"/>
          <w:highlight w:val="none"/>
        </w:rPr>
        <w:t>，本项目</w:t>
      </w:r>
      <w:r>
        <w:rPr>
          <w:rFonts w:hint="default" w:ascii="Times New Roman" w:hAnsi="Times New Roman" w:eastAsia="宋体" w:cs="Times New Roman"/>
          <w:sz w:val="24"/>
          <w:szCs w:val="24"/>
          <w:highlight w:val="none"/>
          <w:lang w:val="en-US" w:eastAsia="zh-CN"/>
        </w:rPr>
        <w:t>土壤</w:t>
      </w:r>
      <w:r>
        <w:rPr>
          <w:rFonts w:hint="default" w:ascii="Times New Roman" w:hAnsi="Times New Roman" w:eastAsia="宋体" w:cs="Times New Roman"/>
          <w:sz w:val="24"/>
          <w:szCs w:val="24"/>
          <w:highlight w:val="none"/>
        </w:rPr>
        <w:t>评价工作等级定为</w:t>
      </w:r>
      <w:r>
        <w:rPr>
          <w:rFonts w:hint="default" w:ascii="Times New Roman" w:hAnsi="Times New Roman" w:cs="Times New Roman"/>
          <w:sz w:val="24"/>
          <w:szCs w:val="24"/>
          <w:highlight w:val="none"/>
          <w:lang w:val="en-US" w:eastAsia="zh-CN"/>
        </w:rPr>
        <w:t>二</w:t>
      </w:r>
      <w:r>
        <w:rPr>
          <w:rFonts w:hint="default" w:ascii="Times New Roman" w:hAnsi="Times New Roman" w:eastAsia="宋体" w:cs="Times New Roman"/>
          <w:sz w:val="24"/>
          <w:szCs w:val="24"/>
          <w:highlight w:val="none"/>
        </w:rPr>
        <w:t>级。</w:t>
      </w:r>
    </w:p>
    <w:p w14:paraId="6365832C">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6</w:t>
      </w:r>
      <w:r>
        <w:rPr>
          <w:rFonts w:hint="default" w:ascii="Times New Roman" w:hAnsi="Times New Roman" w:eastAsia="宋体" w:cs="Times New Roman"/>
          <w:sz w:val="24"/>
          <w:szCs w:val="24"/>
          <w:highlight w:val="none"/>
        </w:rPr>
        <w:t>）生态环境</w:t>
      </w:r>
    </w:p>
    <w:p w14:paraId="41B9CC9A">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本项目属于符合生态环境分区管控要求且位于原厂界范围内的污染影响类技改项目，根据《环境影响评价技术导则 生态影响》（HJ19-2022）中评价等级判定原则，本项目不设生态影响评价等级，直接进行简单分析。</w:t>
      </w:r>
    </w:p>
    <w:p w14:paraId="0F105F4D">
      <w:pPr>
        <w:keepNext w:val="0"/>
        <w:keepLines w:val="0"/>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rPr>
        <w:t>）环境风险评价</w:t>
      </w:r>
    </w:p>
    <w:p w14:paraId="0CBA3CD9">
      <w:pPr>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建设项目环境风险评价技术导则》(HJ169-2018)风险评价等级划分原则，环境风险评价工作等级划分为一级、二级、三级。具体划分原则为：根据建设项目涉及的物质及工艺系统危险性和所在地的环境敏感性确定环境风险潜势确定评价工作等级。风险潜势为Ⅳ及以上，进行一级评价；风险潜势为Ⅲ，进行二级评价；风险潜势为Ⅱ，进行三级评价；风险潜势为I，可开展简单分析。评价工作等级划分，见表</w:t>
      </w:r>
      <w:r>
        <w:rPr>
          <w:rFonts w:hint="default" w:ascii="Times New Roman" w:hAnsi="Times New Roman" w:eastAsia="宋体" w:cs="Times New Roman"/>
          <w:sz w:val="24"/>
          <w:szCs w:val="24"/>
          <w:highlight w:val="none"/>
          <w:lang w:val="en-US" w:eastAsia="zh-CN"/>
        </w:rPr>
        <w:t>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-1</w:t>
      </w:r>
      <w:r>
        <w:rPr>
          <w:rFonts w:hint="eastAsia" w:cs="Times New Roman"/>
          <w:sz w:val="24"/>
          <w:szCs w:val="24"/>
          <w:highlight w:val="none"/>
          <w:lang w:val="en-US" w:eastAsia="zh-CN"/>
        </w:rPr>
        <w:t>1</w:t>
      </w:r>
      <w:r>
        <w:rPr>
          <w:rFonts w:hint="default" w:ascii="Times New Roman" w:hAnsi="Times New Roman" w:eastAsia="宋体" w:cs="Times New Roman"/>
          <w:sz w:val="24"/>
          <w:szCs w:val="24"/>
          <w:highlight w:val="none"/>
        </w:rPr>
        <w:t>。</w:t>
      </w:r>
    </w:p>
    <w:p w14:paraId="150AD48E">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表</w:t>
      </w:r>
      <w:r>
        <w:rPr>
          <w:rFonts w:hint="default" w:ascii="Times New Roman" w:hAnsi="Times New Roman" w:eastAsia="宋体" w:cs="Times New Roman"/>
          <w:b/>
          <w:sz w:val="24"/>
          <w:szCs w:val="24"/>
          <w:highlight w:val="none"/>
          <w:lang w:val="en-US" w:eastAsia="zh-CN"/>
        </w:rPr>
        <w:t>2.</w:t>
      </w:r>
      <w:r>
        <w:rPr>
          <w:rFonts w:hint="default" w:ascii="Times New Roman" w:hAnsi="Times New Roman" w:cs="Times New Roman"/>
          <w:b/>
          <w:sz w:val="24"/>
          <w:szCs w:val="24"/>
          <w:highlight w:val="none"/>
          <w:lang w:val="en-US" w:eastAsia="zh-CN"/>
        </w:rPr>
        <w:t>5</w:t>
      </w:r>
      <w:r>
        <w:rPr>
          <w:rFonts w:hint="default" w:ascii="Times New Roman" w:hAnsi="Times New Roman" w:eastAsia="宋体" w:cs="Times New Roman"/>
          <w:b/>
          <w:sz w:val="24"/>
          <w:szCs w:val="24"/>
          <w:highlight w:val="none"/>
          <w:lang w:val="en-US" w:eastAsia="zh-CN"/>
        </w:rPr>
        <w:t>-1</w:t>
      </w:r>
      <w:r>
        <w:rPr>
          <w:rFonts w:hint="eastAsia" w:cs="Times New Roman"/>
          <w:b/>
          <w:sz w:val="24"/>
          <w:szCs w:val="24"/>
          <w:highlight w:val="none"/>
          <w:lang w:val="en-US" w:eastAsia="zh-CN"/>
        </w:rPr>
        <w:t>1</w:t>
      </w:r>
      <w:r>
        <w:rPr>
          <w:rFonts w:hint="default" w:ascii="Times New Roman" w:hAnsi="Times New Roman" w:eastAsia="宋体" w:cs="Times New Roman"/>
          <w:b/>
          <w:sz w:val="24"/>
          <w:szCs w:val="24"/>
          <w:highlight w:val="none"/>
        </w:rPr>
        <w:t xml:space="preserve"> 评价工作级别划分</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82"/>
        <w:gridCol w:w="1119"/>
        <w:gridCol w:w="2155"/>
        <w:gridCol w:w="1770"/>
        <w:gridCol w:w="1790"/>
      </w:tblGrid>
      <w:tr w14:paraId="51DE79D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88" w:type="pct"/>
            <w:noWrap w:val="0"/>
            <w:vAlign w:val="center"/>
          </w:tcPr>
          <w:p w14:paraId="39D22FE3">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环境风险潜势</w:t>
            </w:r>
          </w:p>
        </w:tc>
        <w:tc>
          <w:tcPr>
            <w:tcW w:w="657" w:type="pct"/>
            <w:noWrap w:val="0"/>
            <w:vAlign w:val="center"/>
          </w:tcPr>
          <w:p w14:paraId="2C49D935">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Ⅳ、Ⅳ</w:t>
            </w:r>
            <w:r>
              <w:rPr>
                <w:rFonts w:hint="default" w:ascii="Times New Roman" w:hAnsi="Times New Roman" w:eastAsia="宋体" w:cs="Times New Roman"/>
                <w:sz w:val="21"/>
                <w:szCs w:val="21"/>
                <w:highlight w:val="none"/>
                <w:vertAlign w:val="superscript"/>
              </w:rPr>
              <w:t>+</w:t>
            </w:r>
          </w:p>
        </w:tc>
        <w:tc>
          <w:tcPr>
            <w:tcW w:w="1265" w:type="pct"/>
            <w:noWrap w:val="0"/>
            <w:vAlign w:val="center"/>
          </w:tcPr>
          <w:p w14:paraId="07D3C27B">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Ⅲ</w:t>
            </w:r>
          </w:p>
        </w:tc>
        <w:tc>
          <w:tcPr>
            <w:tcW w:w="1039" w:type="pct"/>
            <w:noWrap w:val="0"/>
            <w:vAlign w:val="center"/>
          </w:tcPr>
          <w:p w14:paraId="56D90FE0">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Ⅱ</w:t>
            </w:r>
          </w:p>
        </w:tc>
        <w:tc>
          <w:tcPr>
            <w:tcW w:w="1049" w:type="pct"/>
            <w:noWrap w:val="0"/>
            <w:vAlign w:val="center"/>
          </w:tcPr>
          <w:p w14:paraId="2661B754">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Ⅰ</w:t>
            </w:r>
          </w:p>
        </w:tc>
      </w:tr>
      <w:tr w14:paraId="5386B5A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88" w:type="pct"/>
            <w:noWrap w:val="0"/>
            <w:vAlign w:val="center"/>
          </w:tcPr>
          <w:p w14:paraId="48B9C74F">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评价工作等级</w:t>
            </w:r>
          </w:p>
        </w:tc>
        <w:tc>
          <w:tcPr>
            <w:tcW w:w="657" w:type="pct"/>
            <w:noWrap w:val="0"/>
            <w:vAlign w:val="center"/>
          </w:tcPr>
          <w:p w14:paraId="7347034A">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一</w:t>
            </w:r>
          </w:p>
        </w:tc>
        <w:tc>
          <w:tcPr>
            <w:tcW w:w="1265" w:type="pct"/>
            <w:noWrap w:val="0"/>
            <w:vAlign w:val="center"/>
          </w:tcPr>
          <w:p w14:paraId="41E2D4CC">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二</w:t>
            </w:r>
          </w:p>
        </w:tc>
        <w:tc>
          <w:tcPr>
            <w:tcW w:w="1039" w:type="pct"/>
            <w:noWrap w:val="0"/>
            <w:vAlign w:val="center"/>
          </w:tcPr>
          <w:p w14:paraId="7224A18C">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三</w:t>
            </w:r>
          </w:p>
        </w:tc>
        <w:tc>
          <w:tcPr>
            <w:tcW w:w="1049" w:type="pct"/>
            <w:noWrap w:val="0"/>
            <w:vAlign w:val="center"/>
          </w:tcPr>
          <w:p w14:paraId="61C9CBA5">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简单分析a</w:t>
            </w:r>
          </w:p>
        </w:tc>
      </w:tr>
      <w:tr w14:paraId="6BAEBC8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00" w:type="pct"/>
            <w:gridSpan w:val="5"/>
            <w:noWrap w:val="0"/>
            <w:vAlign w:val="center"/>
          </w:tcPr>
          <w:p w14:paraId="70B44AAB">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a是相对于详细评价工作内容而言，在描述危险物质、环境影响途径、环境危害后果、风险防范措施等方面给出定性的说明。</w:t>
            </w:r>
          </w:p>
        </w:tc>
      </w:tr>
    </w:tbl>
    <w:p w14:paraId="1F302C34">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sz w:val="24"/>
          <w:szCs w:val="24"/>
          <w:highlight w:val="none"/>
        </w:rPr>
        <w:t>建设项目环境风险潜势划分，见表</w:t>
      </w:r>
      <w:r>
        <w:rPr>
          <w:rFonts w:hint="default" w:ascii="Times New Roman" w:hAnsi="Times New Roman" w:eastAsia="宋体" w:cs="Times New Roman"/>
          <w:sz w:val="24"/>
          <w:szCs w:val="24"/>
          <w:highlight w:val="none"/>
          <w:lang w:val="en-US" w:eastAsia="zh-CN"/>
        </w:rPr>
        <w:t>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-1</w:t>
      </w:r>
      <w:r>
        <w:rPr>
          <w:rFonts w:hint="eastAsia" w:cs="Times New Roman"/>
          <w:sz w:val="24"/>
          <w:szCs w:val="24"/>
          <w:highlight w:val="none"/>
          <w:lang w:val="en-US" w:eastAsia="zh-CN"/>
        </w:rPr>
        <w:t>2</w:t>
      </w:r>
      <w:r>
        <w:rPr>
          <w:rFonts w:hint="default" w:ascii="Times New Roman" w:hAnsi="Times New Roman" w:eastAsia="宋体" w:cs="Times New Roman"/>
          <w:sz w:val="24"/>
          <w:szCs w:val="24"/>
          <w:highlight w:val="none"/>
        </w:rPr>
        <w:t>。</w:t>
      </w:r>
    </w:p>
    <w:p w14:paraId="5F9BF242">
      <w:pPr>
        <w:keepNext w:val="0"/>
        <w:keepLines w:val="0"/>
        <w:pageBreakBefore w:val="0"/>
        <w:widowControl w:val="0"/>
        <w:kinsoku/>
        <w:wordWrap/>
        <w:overflowPunct/>
        <w:topLinePunct w:val="0"/>
        <w:autoSpaceDE/>
        <w:autoSpaceDN/>
        <w:bidi w:val="0"/>
        <w:adjustRightInd w:val="0"/>
        <w:snapToGrid/>
        <w:spacing w:line="240" w:lineRule="auto"/>
        <w:jc w:val="center"/>
        <w:textAlignment w:val="baseline"/>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表</w:t>
      </w:r>
      <w:r>
        <w:rPr>
          <w:rFonts w:hint="default" w:ascii="Times New Roman" w:hAnsi="Times New Roman" w:eastAsia="宋体" w:cs="Times New Roman"/>
          <w:b/>
          <w:sz w:val="24"/>
          <w:szCs w:val="24"/>
          <w:highlight w:val="none"/>
          <w:lang w:val="en-US" w:eastAsia="zh-CN"/>
        </w:rPr>
        <w:t>2.</w:t>
      </w:r>
      <w:r>
        <w:rPr>
          <w:rFonts w:hint="default" w:ascii="Times New Roman" w:hAnsi="Times New Roman" w:cs="Times New Roman"/>
          <w:b/>
          <w:sz w:val="24"/>
          <w:szCs w:val="24"/>
          <w:highlight w:val="none"/>
          <w:lang w:val="en-US" w:eastAsia="zh-CN"/>
        </w:rPr>
        <w:t>5</w:t>
      </w:r>
      <w:r>
        <w:rPr>
          <w:rFonts w:hint="default" w:ascii="Times New Roman" w:hAnsi="Times New Roman" w:eastAsia="宋体" w:cs="Times New Roman"/>
          <w:b/>
          <w:sz w:val="24"/>
          <w:szCs w:val="24"/>
          <w:highlight w:val="none"/>
          <w:lang w:val="en-US" w:eastAsia="zh-CN"/>
        </w:rPr>
        <w:t>-1</w:t>
      </w:r>
      <w:r>
        <w:rPr>
          <w:rFonts w:hint="eastAsia" w:cs="Times New Roman"/>
          <w:b/>
          <w:sz w:val="24"/>
          <w:szCs w:val="24"/>
          <w:highlight w:val="none"/>
          <w:lang w:val="en-US" w:eastAsia="zh-CN"/>
        </w:rPr>
        <w:t>2</w:t>
      </w:r>
      <w:r>
        <w:rPr>
          <w:rFonts w:hint="default" w:ascii="Times New Roman" w:hAnsi="Times New Roman" w:eastAsia="宋体" w:cs="Times New Roman"/>
          <w:b/>
          <w:sz w:val="24"/>
          <w:szCs w:val="24"/>
          <w:highlight w:val="none"/>
        </w:rPr>
        <w:t xml:space="preserve"> 建设项目环境风险潜势划分</w:t>
      </w:r>
    </w:p>
    <w:tbl>
      <w:tblPr>
        <w:tblStyle w:val="39"/>
        <w:tblW w:w="4999"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91"/>
        <w:gridCol w:w="1412"/>
        <w:gridCol w:w="1703"/>
        <w:gridCol w:w="1703"/>
        <w:gridCol w:w="1705"/>
      </w:tblGrid>
      <w:tr w14:paraId="24CB2EE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69" w:type="pct"/>
            <w:vMerge w:val="restart"/>
            <w:tcBorders>
              <w:tl2br w:val="nil"/>
              <w:tr2bl w:val="nil"/>
            </w:tcBorders>
            <w:noWrap w:val="0"/>
            <w:vAlign w:val="center"/>
          </w:tcPr>
          <w:p w14:paraId="310BC28C">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环境敏感程度（E）</w:t>
            </w:r>
          </w:p>
        </w:tc>
        <w:tc>
          <w:tcPr>
            <w:tcW w:w="3830" w:type="pct"/>
            <w:gridSpan w:val="4"/>
            <w:tcBorders>
              <w:tl2br w:val="nil"/>
              <w:tr2bl w:val="nil"/>
            </w:tcBorders>
            <w:noWrap w:val="0"/>
            <w:vAlign w:val="center"/>
          </w:tcPr>
          <w:p w14:paraId="008725CC">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危险物质及工艺系统危险性(P)</w:t>
            </w:r>
          </w:p>
        </w:tc>
      </w:tr>
      <w:tr w14:paraId="37199D2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169" w:type="pct"/>
            <w:vMerge w:val="continue"/>
            <w:tcBorders>
              <w:tl2br w:val="nil"/>
              <w:tr2bl w:val="nil"/>
            </w:tcBorders>
            <w:noWrap w:val="0"/>
            <w:vAlign w:val="center"/>
          </w:tcPr>
          <w:p w14:paraId="57603247">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p>
        </w:tc>
        <w:tc>
          <w:tcPr>
            <w:tcW w:w="829" w:type="pct"/>
            <w:tcBorders>
              <w:tl2br w:val="nil"/>
              <w:tr2bl w:val="nil"/>
            </w:tcBorders>
            <w:noWrap w:val="0"/>
            <w:vAlign w:val="center"/>
          </w:tcPr>
          <w:p w14:paraId="73680588">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极高危害(P1)</w:t>
            </w:r>
          </w:p>
        </w:tc>
        <w:tc>
          <w:tcPr>
            <w:tcW w:w="1000" w:type="pct"/>
            <w:tcBorders>
              <w:tl2br w:val="nil"/>
              <w:tr2bl w:val="nil"/>
            </w:tcBorders>
            <w:noWrap w:val="0"/>
            <w:vAlign w:val="center"/>
          </w:tcPr>
          <w:p w14:paraId="08B7A7D5">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高度危害(P2)</w:t>
            </w:r>
          </w:p>
        </w:tc>
        <w:tc>
          <w:tcPr>
            <w:tcW w:w="1000" w:type="pct"/>
            <w:tcBorders>
              <w:tl2br w:val="nil"/>
              <w:tr2bl w:val="nil"/>
            </w:tcBorders>
            <w:noWrap w:val="0"/>
            <w:vAlign w:val="center"/>
          </w:tcPr>
          <w:p w14:paraId="7A2D1CF1">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中度危害(P3)</w:t>
            </w:r>
          </w:p>
        </w:tc>
        <w:tc>
          <w:tcPr>
            <w:tcW w:w="1000" w:type="pct"/>
            <w:tcBorders>
              <w:tl2br w:val="nil"/>
              <w:tr2bl w:val="nil"/>
            </w:tcBorders>
            <w:noWrap w:val="0"/>
            <w:vAlign w:val="center"/>
          </w:tcPr>
          <w:p w14:paraId="60DCB82E">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轻度危害(P4)</w:t>
            </w:r>
          </w:p>
        </w:tc>
      </w:tr>
      <w:tr w14:paraId="13D3CB0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169" w:type="pct"/>
            <w:tcBorders>
              <w:tl2br w:val="nil"/>
              <w:tr2bl w:val="nil"/>
            </w:tcBorders>
            <w:noWrap w:val="0"/>
            <w:vAlign w:val="center"/>
          </w:tcPr>
          <w:p w14:paraId="31EE1AF9">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环境敏感程度(E1)</w:t>
            </w:r>
          </w:p>
        </w:tc>
        <w:tc>
          <w:tcPr>
            <w:tcW w:w="829" w:type="pct"/>
            <w:tcBorders>
              <w:tl2br w:val="nil"/>
              <w:tr2bl w:val="nil"/>
            </w:tcBorders>
            <w:noWrap w:val="0"/>
            <w:vAlign w:val="center"/>
          </w:tcPr>
          <w:p w14:paraId="2374267A">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IV</w:t>
            </w:r>
            <w:r>
              <w:rPr>
                <w:rFonts w:hint="default" w:ascii="Times New Roman" w:hAnsi="Times New Roman" w:eastAsia="宋体" w:cs="Times New Roman"/>
                <w:sz w:val="21"/>
                <w:szCs w:val="21"/>
                <w:highlight w:val="none"/>
                <w:vertAlign w:val="superscript"/>
              </w:rPr>
              <w:t>+</w:t>
            </w:r>
          </w:p>
        </w:tc>
        <w:tc>
          <w:tcPr>
            <w:tcW w:w="1000" w:type="pct"/>
            <w:tcBorders>
              <w:tl2br w:val="nil"/>
              <w:tr2bl w:val="nil"/>
            </w:tcBorders>
            <w:noWrap w:val="0"/>
            <w:vAlign w:val="center"/>
          </w:tcPr>
          <w:p w14:paraId="4C72E3D2">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IV</w:t>
            </w:r>
          </w:p>
        </w:tc>
        <w:tc>
          <w:tcPr>
            <w:tcW w:w="1000" w:type="pct"/>
            <w:tcBorders>
              <w:tl2br w:val="nil"/>
              <w:tr2bl w:val="nil"/>
            </w:tcBorders>
            <w:noWrap w:val="0"/>
            <w:vAlign w:val="center"/>
          </w:tcPr>
          <w:p w14:paraId="5BB00CB9">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III</w:t>
            </w:r>
          </w:p>
        </w:tc>
        <w:tc>
          <w:tcPr>
            <w:tcW w:w="1000" w:type="pct"/>
            <w:tcBorders>
              <w:tl2br w:val="nil"/>
              <w:tr2bl w:val="nil"/>
            </w:tcBorders>
            <w:noWrap w:val="0"/>
            <w:vAlign w:val="center"/>
          </w:tcPr>
          <w:p w14:paraId="605E0665">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III</w:t>
            </w:r>
          </w:p>
        </w:tc>
      </w:tr>
      <w:tr w14:paraId="64977BD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69" w:type="pct"/>
            <w:tcBorders>
              <w:tl2br w:val="nil"/>
              <w:tr2bl w:val="nil"/>
            </w:tcBorders>
            <w:noWrap w:val="0"/>
            <w:vAlign w:val="center"/>
          </w:tcPr>
          <w:p w14:paraId="2352C15E">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环境敏感程度(E2)</w:t>
            </w:r>
          </w:p>
        </w:tc>
        <w:tc>
          <w:tcPr>
            <w:tcW w:w="829" w:type="pct"/>
            <w:tcBorders>
              <w:tl2br w:val="nil"/>
              <w:tr2bl w:val="nil"/>
            </w:tcBorders>
            <w:noWrap w:val="0"/>
            <w:vAlign w:val="center"/>
          </w:tcPr>
          <w:p w14:paraId="15D5C84B">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IV</w:t>
            </w:r>
          </w:p>
        </w:tc>
        <w:tc>
          <w:tcPr>
            <w:tcW w:w="1000" w:type="pct"/>
            <w:tcBorders>
              <w:tl2br w:val="nil"/>
              <w:tr2bl w:val="nil"/>
            </w:tcBorders>
            <w:noWrap w:val="0"/>
            <w:vAlign w:val="center"/>
          </w:tcPr>
          <w:p w14:paraId="4BEAD3A6">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III</w:t>
            </w:r>
          </w:p>
        </w:tc>
        <w:tc>
          <w:tcPr>
            <w:tcW w:w="1000" w:type="pct"/>
            <w:tcBorders>
              <w:tl2br w:val="nil"/>
              <w:tr2bl w:val="nil"/>
            </w:tcBorders>
            <w:noWrap w:val="0"/>
            <w:vAlign w:val="center"/>
          </w:tcPr>
          <w:p w14:paraId="17E0B35B">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III</w:t>
            </w:r>
          </w:p>
        </w:tc>
        <w:tc>
          <w:tcPr>
            <w:tcW w:w="1000" w:type="pct"/>
            <w:tcBorders>
              <w:tl2br w:val="nil"/>
              <w:tr2bl w:val="nil"/>
            </w:tcBorders>
            <w:noWrap w:val="0"/>
            <w:vAlign w:val="center"/>
          </w:tcPr>
          <w:p w14:paraId="4ABDE9FD">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w:t>
            </w:r>
          </w:p>
        </w:tc>
      </w:tr>
      <w:tr w14:paraId="475CA97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169" w:type="pct"/>
            <w:tcBorders>
              <w:tl2br w:val="nil"/>
              <w:tr2bl w:val="nil"/>
            </w:tcBorders>
            <w:noWrap w:val="0"/>
            <w:vAlign w:val="center"/>
          </w:tcPr>
          <w:p w14:paraId="76928BB2">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环境敏感程度(E3)</w:t>
            </w:r>
          </w:p>
        </w:tc>
        <w:tc>
          <w:tcPr>
            <w:tcW w:w="829" w:type="pct"/>
            <w:tcBorders>
              <w:tl2br w:val="nil"/>
              <w:tr2bl w:val="nil"/>
            </w:tcBorders>
            <w:noWrap w:val="0"/>
            <w:vAlign w:val="center"/>
          </w:tcPr>
          <w:p w14:paraId="7CAC059A">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III</w:t>
            </w:r>
          </w:p>
        </w:tc>
        <w:tc>
          <w:tcPr>
            <w:tcW w:w="1000" w:type="pct"/>
            <w:tcBorders>
              <w:tl2br w:val="nil"/>
              <w:tr2bl w:val="nil"/>
            </w:tcBorders>
            <w:noWrap w:val="0"/>
            <w:vAlign w:val="center"/>
          </w:tcPr>
          <w:p w14:paraId="5C3C4231">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III</w:t>
            </w:r>
          </w:p>
        </w:tc>
        <w:tc>
          <w:tcPr>
            <w:tcW w:w="1000" w:type="pct"/>
            <w:tcBorders>
              <w:tl2br w:val="nil"/>
              <w:tr2bl w:val="nil"/>
            </w:tcBorders>
            <w:noWrap w:val="0"/>
            <w:vAlign w:val="center"/>
          </w:tcPr>
          <w:p w14:paraId="198A4D6E">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II</w:t>
            </w:r>
          </w:p>
        </w:tc>
        <w:tc>
          <w:tcPr>
            <w:tcW w:w="1000" w:type="pct"/>
            <w:tcBorders>
              <w:tl2br w:val="nil"/>
              <w:tr2bl w:val="nil"/>
            </w:tcBorders>
            <w:noWrap w:val="0"/>
            <w:vAlign w:val="center"/>
          </w:tcPr>
          <w:p w14:paraId="12E8B7CB">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I</w:t>
            </w:r>
          </w:p>
        </w:tc>
      </w:tr>
    </w:tbl>
    <w:p w14:paraId="2747470F">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18"/>
          <w:szCs w:val="18"/>
          <w:highlight w:val="none"/>
        </w:rPr>
        <w:t>注：IV+为极高环境风险</w:t>
      </w:r>
    </w:p>
    <w:p w14:paraId="0E1E9B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危险物质及工艺系统危险性(P)分级中，需计算所涉及的每种危险物质在</w:t>
      </w:r>
      <w:r>
        <w:rPr>
          <w:rFonts w:hint="default" w:ascii="Times New Roman" w:hAnsi="Times New Roman" w:cs="Times New Roman"/>
          <w:sz w:val="24"/>
          <w:szCs w:val="24"/>
          <w:highlight w:val="none"/>
          <w:lang w:val="en-US" w:eastAsia="zh-CN"/>
        </w:rPr>
        <w:t>项目厂</w:t>
      </w:r>
      <w:r>
        <w:rPr>
          <w:rFonts w:hint="default" w:ascii="Times New Roman" w:hAnsi="Times New Roman" w:eastAsia="宋体" w:cs="Times New Roman"/>
          <w:sz w:val="24"/>
          <w:szCs w:val="24"/>
          <w:highlight w:val="none"/>
        </w:rPr>
        <w:t>界内的最大存在总量与其在附录B中对应临界量的比值Q。在不同厂区的同一种物质，按其在厂界内的最大存在总量计算。对于长输管线项目，按照两个截断阀室之间管段危险物质最大存在总量计算。当只涉及一种危险物质时，计算该物质的总量与其临界量比值，即为Q；当存在多种危险物质时，则按</w:t>
      </w:r>
      <w:r>
        <w:rPr>
          <w:rFonts w:hint="default" w:ascii="Times New Roman" w:hAnsi="Times New Roman" w:eastAsia="宋体" w:cs="Times New Roman"/>
          <w:sz w:val="24"/>
          <w:szCs w:val="24"/>
          <w:highlight w:val="none"/>
          <w:lang w:val="en-US" w:eastAsia="zh-CN"/>
        </w:rPr>
        <w:t>下</w:t>
      </w:r>
      <w:r>
        <w:rPr>
          <w:rFonts w:hint="default" w:ascii="Times New Roman" w:hAnsi="Times New Roman" w:eastAsia="宋体" w:cs="Times New Roman"/>
          <w:sz w:val="24"/>
          <w:szCs w:val="24"/>
          <w:highlight w:val="none"/>
        </w:rPr>
        <w:t>式计算物质总量与其临界量比值(Q)。</w:t>
      </w:r>
    </w:p>
    <w:p w14:paraId="1F42437D">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position w:val="-30"/>
          <w:sz w:val="24"/>
          <w:szCs w:val="24"/>
          <w:highlight w:val="none"/>
        </w:rPr>
        <w:object>
          <v:shape id="_x0000_i1026" o:spt="75" type="#_x0000_t75" style="height:34pt;width:109pt;" o:ole="t" filled="f" o:preferrelative="t" stroked="f" coordsize="21600,21600">
            <v:path/>
            <v:fill on="f" focussize="0,0"/>
            <v:stroke on="f"/>
            <v:imagedata r:id="rId12" o:title=""/>
            <o:lock v:ext="edit" aspectratio="t"/>
            <w10:wrap type="none"/>
            <w10:anchorlock/>
          </v:shape>
          <o:OLEObject Type="Embed" ProgID="Equation.KSEE3" ShapeID="_x0000_i1026" DrawAspect="Content" ObjectID="_1468075726" r:id="rId11">
            <o:LockedField>false</o:LockedField>
          </o:OLEObject>
        </w:object>
      </w:r>
    </w:p>
    <w:p w14:paraId="308969A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式中：q</w:t>
      </w:r>
      <w:r>
        <w:rPr>
          <w:rFonts w:hint="default" w:ascii="Times New Roman" w:hAnsi="Times New Roman" w:eastAsia="宋体" w:cs="Times New Roman"/>
          <w:sz w:val="24"/>
          <w:szCs w:val="24"/>
          <w:highlight w:val="none"/>
          <w:vertAlign w:val="subscript"/>
        </w:rPr>
        <w:t>1</w:t>
      </w:r>
      <w:r>
        <w:rPr>
          <w:rFonts w:hint="default" w:ascii="Times New Roman" w:hAnsi="Times New Roman" w:eastAsia="宋体" w:cs="Times New Roman"/>
          <w:sz w:val="24"/>
          <w:szCs w:val="24"/>
          <w:highlight w:val="none"/>
        </w:rPr>
        <w:t>，q</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…q</w:t>
      </w:r>
      <w:r>
        <w:rPr>
          <w:rFonts w:hint="default" w:ascii="Times New Roman" w:hAnsi="Times New Roman" w:eastAsia="宋体" w:cs="Times New Roman"/>
          <w:sz w:val="24"/>
          <w:szCs w:val="24"/>
          <w:highlight w:val="none"/>
          <w:vertAlign w:val="subscript"/>
        </w:rPr>
        <w:t>n</w:t>
      </w:r>
      <w:r>
        <w:rPr>
          <w:rFonts w:hint="default" w:ascii="Times New Roman" w:hAnsi="Times New Roman" w:eastAsia="宋体" w:cs="Times New Roman"/>
          <w:sz w:val="24"/>
          <w:szCs w:val="24"/>
          <w:highlight w:val="none"/>
        </w:rPr>
        <w:t>—每种危险物质实际存在量(t)；</w:t>
      </w:r>
    </w:p>
    <w:p w14:paraId="0AA2BC4F">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Q</w:t>
      </w:r>
      <w:r>
        <w:rPr>
          <w:rFonts w:hint="default" w:ascii="Times New Roman" w:hAnsi="Times New Roman" w:eastAsia="宋体" w:cs="Times New Roman"/>
          <w:sz w:val="24"/>
          <w:szCs w:val="24"/>
          <w:highlight w:val="none"/>
          <w:vertAlign w:val="subscript"/>
        </w:rPr>
        <w:t>1</w:t>
      </w:r>
      <w:r>
        <w:rPr>
          <w:rFonts w:hint="default" w:ascii="Times New Roman" w:hAnsi="Times New Roman" w:eastAsia="宋体" w:cs="Times New Roman"/>
          <w:sz w:val="24"/>
          <w:szCs w:val="24"/>
          <w:highlight w:val="none"/>
        </w:rPr>
        <w:t>，Q</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…Q</w:t>
      </w:r>
      <w:r>
        <w:rPr>
          <w:rFonts w:hint="default" w:ascii="Times New Roman" w:hAnsi="Times New Roman" w:eastAsia="宋体" w:cs="Times New Roman"/>
          <w:sz w:val="24"/>
          <w:szCs w:val="24"/>
          <w:highlight w:val="none"/>
          <w:vertAlign w:val="subscript"/>
        </w:rPr>
        <w:t>n</w:t>
      </w:r>
      <w:r>
        <w:rPr>
          <w:rFonts w:hint="default" w:ascii="Times New Roman" w:hAnsi="Times New Roman" w:eastAsia="宋体" w:cs="Times New Roman"/>
          <w:sz w:val="24"/>
          <w:szCs w:val="24"/>
          <w:highlight w:val="none"/>
        </w:rPr>
        <w:t>—每种危险物质临界量(t)。</w:t>
      </w:r>
    </w:p>
    <w:p w14:paraId="0C199E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当Q＜1时，该项目风险潜势为I；当Q≥1时，将Q值划分为：(1)1≤Q＜10；(2)10≤Q＜100；(3)Q≥100；本项目危险物质临界量，见表</w:t>
      </w:r>
      <w:r>
        <w:rPr>
          <w:rFonts w:hint="default" w:ascii="Times New Roman" w:hAnsi="Times New Roman" w:eastAsia="宋体" w:cs="Times New Roman"/>
          <w:sz w:val="24"/>
          <w:szCs w:val="24"/>
          <w:highlight w:val="none"/>
          <w:lang w:val="en-US" w:eastAsia="zh-CN"/>
        </w:rPr>
        <w:t>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-1</w:t>
      </w:r>
      <w:r>
        <w:rPr>
          <w:rFonts w:hint="eastAsia" w:cs="Times New Roman"/>
          <w:sz w:val="24"/>
          <w:szCs w:val="24"/>
          <w:highlight w:val="none"/>
          <w:lang w:val="en-US" w:eastAsia="zh-CN"/>
        </w:rPr>
        <w:t>3</w:t>
      </w:r>
      <w:r>
        <w:rPr>
          <w:rFonts w:hint="default" w:ascii="Times New Roman" w:hAnsi="Times New Roman" w:eastAsia="宋体" w:cs="Times New Roman"/>
          <w:sz w:val="24"/>
          <w:szCs w:val="24"/>
          <w:highlight w:val="none"/>
        </w:rPr>
        <w:t>。</w:t>
      </w:r>
    </w:p>
    <w:p w14:paraId="36DBC65F">
      <w:pPr>
        <w:adjustRightInd w:val="0"/>
        <w:jc w:val="center"/>
        <w:textAlignment w:val="baseline"/>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表</w:t>
      </w:r>
      <w:r>
        <w:rPr>
          <w:rFonts w:hint="default" w:ascii="Times New Roman" w:hAnsi="Times New Roman" w:eastAsia="宋体" w:cs="Times New Roman"/>
          <w:b/>
          <w:sz w:val="24"/>
          <w:szCs w:val="24"/>
          <w:highlight w:val="none"/>
          <w:lang w:val="en-US" w:eastAsia="zh-CN"/>
        </w:rPr>
        <w:t>2.</w:t>
      </w:r>
      <w:r>
        <w:rPr>
          <w:rFonts w:hint="default" w:ascii="Times New Roman" w:hAnsi="Times New Roman" w:cs="Times New Roman"/>
          <w:b/>
          <w:sz w:val="24"/>
          <w:szCs w:val="24"/>
          <w:highlight w:val="none"/>
          <w:lang w:val="en-US" w:eastAsia="zh-CN"/>
        </w:rPr>
        <w:t>5</w:t>
      </w:r>
      <w:r>
        <w:rPr>
          <w:rFonts w:hint="default" w:ascii="Times New Roman" w:hAnsi="Times New Roman" w:eastAsia="宋体" w:cs="Times New Roman"/>
          <w:b/>
          <w:sz w:val="24"/>
          <w:szCs w:val="24"/>
          <w:highlight w:val="none"/>
          <w:lang w:val="en-US" w:eastAsia="zh-CN"/>
        </w:rPr>
        <w:t>-1</w:t>
      </w:r>
      <w:r>
        <w:rPr>
          <w:rFonts w:hint="eastAsia" w:cs="Times New Roman"/>
          <w:b/>
          <w:sz w:val="24"/>
          <w:szCs w:val="24"/>
          <w:highlight w:val="none"/>
          <w:lang w:val="en-US" w:eastAsia="zh-CN"/>
        </w:rPr>
        <w:t>3</w:t>
      </w:r>
      <w:r>
        <w:rPr>
          <w:rFonts w:hint="default" w:ascii="Times New Roman" w:hAnsi="Times New Roman" w:eastAsia="宋体" w:cs="Times New Roman"/>
          <w:b/>
          <w:sz w:val="24"/>
          <w:szCs w:val="24"/>
          <w:highlight w:val="none"/>
        </w:rPr>
        <w:t xml:space="preserve"> 本项目危险物质临界量一览表</w:t>
      </w:r>
    </w:p>
    <w:tbl>
      <w:tblPr>
        <w:tblStyle w:val="39"/>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6"/>
        <w:gridCol w:w="2222"/>
        <w:gridCol w:w="1978"/>
        <w:gridCol w:w="1432"/>
        <w:gridCol w:w="1703"/>
      </w:tblGrid>
      <w:tr w14:paraId="6FD9BBE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1" w:type="pct"/>
            <w:tcBorders>
              <w:tl2br w:val="nil"/>
              <w:tr2bl w:val="nil"/>
            </w:tcBorders>
            <w:noWrap w:val="0"/>
            <w:vAlign w:val="center"/>
          </w:tcPr>
          <w:p w14:paraId="375D5B5D">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序号</w:t>
            </w:r>
          </w:p>
        </w:tc>
        <w:tc>
          <w:tcPr>
            <w:tcW w:w="1305" w:type="pct"/>
            <w:tcBorders>
              <w:tl2br w:val="nil"/>
              <w:tr2bl w:val="nil"/>
            </w:tcBorders>
            <w:noWrap w:val="0"/>
            <w:vAlign w:val="center"/>
          </w:tcPr>
          <w:p w14:paraId="275AD7E0">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cs="Times New Roman"/>
                <w:b/>
                <w:bCs/>
                <w:sz w:val="21"/>
                <w:szCs w:val="21"/>
                <w:highlight w:val="none"/>
                <w:lang w:val="en-US" w:eastAsia="zh-CN"/>
              </w:rPr>
              <w:t>危险</w:t>
            </w:r>
            <w:r>
              <w:rPr>
                <w:rFonts w:hint="default" w:ascii="Times New Roman" w:hAnsi="Times New Roman" w:eastAsia="宋体" w:cs="Times New Roman"/>
                <w:b/>
                <w:bCs/>
                <w:sz w:val="21"/>
                <w:szCs w:val="21"/>
                <w:highlight w:val="none"/>
              </w:rPr>
              <w:t>物质名称</w:t>
            </w:r>
          </w:p>
        </w:tc>
        <w:tc>
          <w:tcPr>
            <w:tcW w:w="1162" w:type="pct"/>
            <w:tcBorders>
              <w:tl2br w:val="nil"/>
              <w:tr2bl w:val="nil"/>
            </w:tcBorders>
            <w:noWrap w:val="0"/>
            <w:vAlign w:val="center"/>
          </w:tcPr>
          <w:p w14:paraId="3B9B5ADB">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rPr>
            </w:pPr>
            <w:r>
              <w:rPr>
                <w:rFonts w:hint="default" w:ascii="Times New Roman" w:hAnsi="Times New Roman" w:cs="Times New Roman"/>
                <w:b/>
                <w:bCs/>
                <w:sz w:val="21"/>
                <w:szCs w:val="21"/>
                <w:highlight w:val="none"/>
                <w:lang w:val="en-US" w:eastAsia="zh-CN"/>
              </w:rPr>
              <w:t>最大存在总量q</w:t>
            </w:r>
            <w:r>
              <w:rPr>
                <w:rFonts w:hint="default" w:ascii="Times New Roman" w:hAnsi="Times New Roman" w:cs="Times New Roman"/>
                <w:b/>
                <w:bCs/>
                <w:sz w:val="21"/>
                <w:szCs w:val="21"/>
                <w:highlight w:val="none"/>
                <w:vertAlign w:val="subscript"/>
                <w:lang w:val="en-US" w:eastAsia="zh-CN"/>
              </w:rPr>
              <w:t>n</w:t>
            </w:r>
            <w:r>
              <w:rPr>
                <w:rFonts w:hint="default" w:ascii="Times New Roman" w:hAnsi="Times New Roman" w:cs="Times New Roman"/>
                <w:b/>
                <w:bCs/>
                <w:sz w:val="21"/>
                <w:szCs w:val="21"/>
                <w:highlight w:val="none"/>
                <w:lang w:val="en-US" w:eastAsia="zh-CN"/>
              </w:rPr>
              <w:t>/t</w:t>
            </w:r>
          </w:p>
        </w:tc>
        <w:tc>
          <w:tcPr>
            <w:tcW w:w="841" w:type="pct"/>
            <w:tcBorders>
              <w:tl2br w:val="nil"/>
              <w:tr2bl w:val="nil"/>
            </w:tcBorders>
            <w:noWrap w:val="0"/>
            <w:vAlign w:val="center"/>
          </w:tcPr>
          <w:p w14:paraId="63569D9C">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临界量</w:t>
            </w:r>
            <w:r>
              <w:rPr>
                <w:rFonts w:hint="default" w:ascii="Times New Roman" w:hAnsi="Times New Roman" w:cs="Times New Roman"/>
                <w:b/>
                <w:bCs/>
                <w:sz w:val="21"/>
                <w:szCs w:val="21"/>
                <w:highlight w:val="none"/>
                <w:lang w:val="en-US" w:eastAsia="zh-CN"/>
              </w:rPr>
              <w:t>Q</w:t>
            </w:r>
            <w:r>
              <w:rPr>
                <w:rFonts w:hint="default" w:ascii="Times New Roman" w:hAnsi="Times New Roman" w:cs="Times New Roman"/>
                <w:b/>
                <w:bCs/>
                <w:sz w:val="21"/>
                <w:szCs w:val="21"/>
                <w:highlight w:val="none"/>
                <w:vertAlign w:val="subscript"/>
                <w:lang w:val="en-US" w:eastAsia="zh-CN"/>
              </w:rPr>
              <w:t>n</w:t>
            </w:r>
            <w:r>
              <w:rPr>
                <w:rFonts w:hint="default" w:ascii="Times New Roman" w:hAnsi="Times New Roman" w:cs="Times New Roman"/>
                <w:b/>
                <w:bCs/>
                <w:sz w:val="21"/>
                <w:szCs w:val="21"/>
                <w:highlight w:val="none"/>
                <w:lang w:val="en-US" w:eastAsia="zh-CN"/>
              </w:rPr>
              <w:t>/t</w:t>
            </w:r>
          </w:p>
        </w:tc>
        <w:tc>
          <w:tcPr>
            <w:tcW w:w="1000" w:type="pct"/>
            <w:tcBorders>
              <w:tl2br w:val="nil"/>
              <w:tr2bl w:val="nil"/>
            </w:tcBorders>
            <w:noWrap w:val="0"/>
            <w:vAlign w:val="center"/>
          </w:tcPr>
          <w:p w14:paraId="020B1035">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Q值</w:t>
            </w:r>
          </w:p>
        </w:tc>
      </w:tr>
      <w:tr w14:paraId="096AB9F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691" w:type="pct"/>
            <w:tcBorders>
              <w:tl2br w:val="nil"/>
              <w:tr2bl w:val="nil"/>
            </w:tcBorders>
            <w:noWrap w:val="0"/>
            <w:vAlign w:val="center"/>
          </w:tcPr>
          <w:p w14:paraId="1DA59EF1">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c>
          <w:tcPr>
            <w:tcW w:w="1305" w:type="pct"/>
            <w:tcBorders>
              <w:tl2br w:val="nil"/>
              <w:tr2bl w:val="nil"/>
            </w:tcBorders>
            <w:noWrap w:val="0"/>
            <w:vAlign w:val="center"/>
          </w:tcPr>
          <w:p w14:paraId="328194F5">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液态废物（以二甲基硫醚计）</w:t>
            </w:r>
          </w:p>
        </w:tc>
        <w:tc>
          <w:tcPr>
            <w:tcW w:w="1162" w:type="pct"/>
            <w:tcBorders>
              <w:tl2br w:val="nil"/>
              <w:tr2bl w:val="nil"/>
            </w:tcBorders>
            <w:noWrap w:val="0"/>
            <w:vAlign w:val="center"/>
          </w:tcPr>
          <w:p w14:paraId="1CEF185B">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0.4153</w:t>
            </w:r>
          </w:p>
        </w:tc>
        <w:tc>
          <w:tcPr>
            <w:tcW w:w="841" w:type="pct"/>
            <w:tcBorders>
              <w:tl2br w:val="nil"/>
              <w:tr2bl w:val="nil"/>
            </w:tcBorders>
            <w:noWrap w:val="0"/>
            <w:vAlign w:val="center"/>
          </w:tcPr>
          <w:p w14:paraId="007F9DD4">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10</w:t>
            </w:r>
          </w:p>
        </w:tc>
        <w:tc>
          <w:tcPr>
            <w:tcW w:w="1000" w:type="pct"/>
            <w:tcBorders>
              <w:tl2br w:val="nil"/>
              <w:tr2bl w:val="nil"/>
            </w:tcBorders>
            <w:noWrap w:val="0"/>
            <w:vAlign w:val="center"/>
          </w:tcPr>
          <w:p w14:paraId="64287B86">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00.04153</w:t>
            </w:r>
          </w:p>
        </w:tc>
      </w:tr>
      <w:tr w14:paraId="4E5180E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691" w:type="pct"/>
            <w:tcBorders>
              <w:tl2br w:val="nil"/>
              <w:tr2bl w:val="nil"/>
            </w:tcBorders>
            <w:noWrap w:val="0"/>
            <w:vAlign w:val="center"/>
          </w:tcPr>
          <w:p w14:paraId="6CAA4E7F">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305" w:type="pct"/>
            <w:tcBorders>
              <w:tl2br w:val="nil"/>
              <w:tr2bl w:val="nil"/>
            </w:tcBorders>
            <w:noWrap w:val="0"/>
            <w:vAlign w:val="center"/>
          </w:tcPr>
          <w:p w14:paraId="14F0BE9D">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固态废物（健康危险急性毒性物质）</w:t>
            </w:r>
          </w:p>
        </w:tc>
        <w:tc>
          <w:tcPr>
            <w:tcW w:w="1162" w:type="pct"/>
            <w:tcBorders>
              <w:tl2br w:val="nil"/>
              <w:tr2bl w:val="nil"/>
            </w:tcBorders>
            <w:noWrap w:val="0"/>
            <w:vAlign w:val="center"/>
          </w:tcPr>
          <w:p w14:paraId="362872F2">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841" w:type="pct"/>
            <w:tcBorders>
              <w:tl2br w:val="nil"/>
              <w:tr2bl w:val="nil"/>
            </w:tcBorders>
            <w:noWrap w:val="0"/>
            <w:vAlign w:val="center"/>
          </w:tcPr>
          <w:p w14:paraId="5E8813A4">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50</w:t>
            </w:r>
          </w:p>
        </w:tc>
        <w:tc>
          <w:tcPr>
            <w:tcW w:w="1000" w:type="pct"/>
            <w:tcBorders>
              <w:tl2br w:val="nil"/>
              <w:tr2bl w:val="nil"/>
            </w:tcBorders>
            <w:noWrap w:val="0"/>
            <w:vAlign w:val="center"/>
          </w:tcPr>
          <w:p w14:paraId="107D0226">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0.04</w:t>
            </w:r>
          </w:p>
        </w:tc>
      </w:tr>
      <w:tr w14:paraId="1AEB46F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999" w:type="pct"/>
            <w:gridSpan w:val="4"/>
            <w:tcBorders>
              <w:tl2br w:val="nil"/>
              <w:tr2bl w:val="nil"/>
            </w:tcBorders>
            <w:noWrap w:val="0"/>
            <w:vAlign w:val="center"/>
          </w:tcPr>
          <w:p w14:paraId="6C544E0C">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合计</w:t>
            </w:r>
          </w:p>
        </w:tc>
        <w:tc>
          <w:tcPr>
            <w:tcW w:w="1000" w:type="pct"/>
            <w:tcBorders>
              <w:tl2br w:val="nil"/>
              <w:tr2bl w:val="nil"/>
            </w:tcBorders>
            <w:noWrap w:val="0"/>
            <w:vAlign w:val="center"/>
          </w:tcPr>
          <w:p w14:paraId="269DC157">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0.08153</w:t>
            </w:r>
          </w:p>
        </w:tc>
      </w:tr>
    </w:tbl>
    <w:p w14:paraId="64D620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lang w:val="en-US" w:eastAsia="zh-CN"/>
        </w:rPr>
        <w:t>根据上表内容，结合</w:t>
      </w:r>
      <w:r>
        <w:rPr>
          <w:rFonts w:hint="default" w:ascii="Times New Roman" w:hAnsi="Times New Roman" w:eastAsia="宋体" w:cs="Times New Roman"/>
          <w:sz w:val="24"/>
          <w:szCs w:val="24"/>
          <w:highlight w:val="none"/>
        </w:rPr>
        <w:t>《建设项目环境风险评价技术导则》（HJ169-2018）</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本项目临界量的比值Q＜1，风险潜势为I，则本项目环境风险评价等级简单分析</w:t>
      </w:r>
      <w:r>
        <w:rPr>
          <w:rFonts w:hint="default" w:ascii="Times New Roman" w:hAnsi="Times New Roman" w:eastAsia="宋体" w:cs="Times New Roman"/>
          <w:sz w:val="24"/>
          <w:szCs w:val="24"/>
          <w:highlight w:val="none"/>
          <w:lang w:eastAsia="zh-CN"/>
        </w:rPr>
        <w:t>。</w:t>
      </w:r>
    </w:p>
    <w:p w14:paraId="33150233">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rPr>
        <w:t>2.</w:t>
      </w:r>
      <w:r>
        <w:rPr>
          <w:rFonts w:hint="default" w:ascii="Times New Roman" w:hAnsi="Times New Roman" w:cs="Times New Roman"/>
          <w:b/>
          <w:bCs w:val="0"/>
          <w:kern w:val="2"/>
          <w:sz w:val="24"/>
          <w:szCs w:val="24"/>
          <w:highlight w:val="none"/>
          <w:lang w:val="en-US" w:eastAsia="zh-CN"/>
        </w:rPr>
        <w:t>5</w:t>
      </w:r>
      <w:r>
        <w:rPr>
          <w:rFonts w:hint="default" w:ascii="Times New Roman" w:hAnsi="Times New Roman" w:eastAsia="宋体" w:cs="Times New Roman"/>
          <w:b/>
          <w:bCs w:val="0"/>
          <w:kern w:val="2"/>
          <w:sz w:val="24"/>
          <w:szCs w:val="24"/>
          <w:highlight w:val="none"/>
        </w:rPr>
        <w:t>.2评价重点</w:t>
      </w:r>
    </w:p>
    <w:p w14:paraId="281591FA">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根据工程特点及评价因子筛选的结果，结合项目区域环境状况，确定本次环境影响评价工作的重点为</w:t>
      </w:r>
      <w:r>
        <w:rPr>
          <w:rFonts w:hint="default" w:ascii="Times New Roman" w:hAnsi="Times New Roman" w:cs="Times New Roman"/>
          <w:color w:val="000000"/>
          <w:sz w:val="24"/>
          <w:szCs w:val="24"/>
          <w:highlight w:val="none"/>
          <w:lang w:val="en-US" w:eastAsia="zh-CN"/>
        </w:rPr>
        <w:t>建设项目</w:t>
      </w:r>
      <w:r>
        <w:rPr>
          <w:rFonts w:hint="default" w:ascii="Times New Roman" w:hAnsi="Times New Roman" w:eastAsia="宋体" w:cs="Times New Roman"/>
          <w:color w:val="000000"/>
          <w:sz w:val="24"/>
          <w:szCs w:val="24"/>
          <w:highlight w:val="none"/>
        </w:rPr>
        <w:t>工程分析、</w:t>
      </w:r>
      <w:r>
        <w:rPr>
          <w:rFonts w:hint="default" w:ascii="Times New Roman" w:hAnsi="Times New Roman" w:cs="Times New Roman"/>
          <w:color w:val="000000"/>
          <w:sz w:val="24"/>
          <w:szCs w:val="24"/>
          <w:highlight w:val="none"/>
          <w:lang w:val="en-US" w:eastAsia="zh-CN"/>
        </w:rPr>
        <w:t>环境影响预测与</w:t>
      </w:r>
      <w:r>
        <w:rPr>
          <w:rFonts w:hint="default" w:ascii="Times New Roman" w:hAnsi="Times New Roman" w:eastAsia="宋体" w:cs="Times New Roman"/>
          <w:color w:val="000000"/>
          <w:sz w:val="24"/>
          <w:szCs w:val="24"/>
          <w:highlight w:val="none"/>
        </w:rPr>
        <w:t>评价及环境保护措施</w:t>
      </w:r>
      <w:r>
        <w:rPr>
          <w:rFonts w:hint="default" w:ascii="Times New Roman" w:hAnsi="Times New Roman" w:cs="Times New Roman"/>
          <w:color w:val="000000"/>
          <w:sz w:val="24"/>
          <w:szCs w:val="24"/>
          <w:highlight w:val="none"/>
          <w:lang w:val="en-US" w:eastAsia="zh-CN"/>
        </w:rPr>
        <w:t>及其</w:t>
      </w:r>
      <w:r>
        <w:rPr>
          <w:rFonts w:hint="default" w:ascii="Times New Roman" w:hAnsi="Times New Roman" w:eastAsia="宋体" w:cs="Times New Roman"/>
          <w:color w:val="000000"/>
          <w:sz w:val="24"/>
          <w:szCs w:val="24"/>
          <w:highlight w:val="none"/>
        </w:rPr>
        <w:t>可行性论证。</w:t>
      </w:r>
    </w:p>
    <w:p w14:paraId="015E95EF">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53" w:name="_Toc3977"/>
      <w:bookmarkStart w:id="54" w:name="_Toc15356"/>
      <w:bookmarkStart w:id="55" w:name="_Toc23763"/>
      <w:bookmarkStart w:id="56" w:name="_Toc9868244"/>
      <w:r>
        <w:rPr>
          <w:rFonts w:hint="default" w:ascii="Times New Roman" w:hAnsi="Times New Roman" w:eastAsia="宋体" w:cs="Times New Roman"/>
          <w:sz w:val="24"/>
          <w:szCs w:val="18"/>
          <w:highlight w:val="none"/>
        </w:rPr>
        <w:t>2.</w:t>
      </w:r>
      <w:r>
        <w:rPr>
          <w:rFonts w:hint="default" w:ascii="Times New Roman" w:hAnsi="Times New Roman" w:cs="Times New Roman"/>
          <w:sz w:val="24"/>
          <w:szCs w:val="18"/>
          <w:highlight w:val="none"/>
          <w:lang w:val="en-US" w:eastAsia="zh-CN"/>
        </w:rPr>
        <w:t>6</w:t>
      </w:r>
      <w:r>
        <w:rPr>
          <w:rFonts w:hint="default" w:ascii="Times New Roman" w:hAnsi="Times New Roman" w:eastAsia="宋体" w:cs="Times New Roman"/>
          <w:sz w:val="24"/>
          <w:szCs w:val="18"/>
          <w:highlight w:val="none"/>
        </w:rPr>
        <w:t>评价时段</w:t>
      </w:r>
      <w:bookmarkEnd w:id="53"/>
      <w:bookmarkEnd w:id="54"/>
      <w:bookmarkEnd w:id="55"/>
      <w:bookmarkEnd w:id="56"/>
    </w:p>
    <w:p w14:paraId="299C1019">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cs="Times New Roman"/>
          <w:color w:val="000000"/>
          <w:sz w:val="24"/>
          <w:szCs w:val="24"/>
          <w:highlight w:val="none"/>
          <w:lang w:val="en-US" w:eastAsia="zh-CN"/>
        </w:rPr>
        <w:t>本项目</w:t>
      </w:r>
      <w:r>
        <w:rPr>
          <w:rFonts w:hint="default" w:ascii="Times New Roman" w:hAnsi="Times New Roman" w:eastAsia="宋体" w:cs="Times New Roman"/>
          <w:color w:val="000000"/>
          <w:sz w:val="24"/>
          <w:szCs w:val="24"/>
          <w:highlight w:val="none"/>
        </w:rPr>
        <w:t>评价时段以运营期为主。</w:t>
      </w:r>
    </w:p>
    <w:p w14:paraId="129B3337">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lang w:eastAsia="zh-CN"/>
        </w:rPr>
      </w:pPr>
      <w:bookmarkStart w:id="57" w:name="_Toc9868245"/>
      <w:bookmarkStart w:id="58" w:name="_Toc9541"/>
      <w:bookmarkStart w:id="59" w:name="_Toc31858"/>
      <w:bookmarkStart w:id="60" w:name="_Toc16934"/>
      <w:r>
        <w:rPr>
          <w:rFonts w:hint="default" w:ascii="Times New Roman" w:hAnsi="Times New Roman" w:eastAsia="宋体" w:cs="Times New Roman"/>
          <w:sz w:val="24"/>
          <w:szCs w:val="18"/>
          <w:highlight w:val="none"/>
        </w:rPr>
        <w:t>2.</w:t>
      </w:r>
      <w:r>
        <w:rPr>
          <w:rFonts w:hint="default" w:ascii="Times New Roman" w:hAnsi="Times New Roman" w:cs="Times New Roman"/>
          <w:sz w:val="24"/>
          <w:szCs w:val="18"/>
          <w:highlight w:val="none"/>
          <w:lang w:val="en-US" w:eastAsia="zh-CN"/>
        </w:rPr>
        <w:t>7</w:t>
      </w:r>
      <w:r>
        <w:rPr>
          <w:rFonts w:hint="default" w:ascii="Times New Roman" w:hAnsi="Times New Roman" w:eastAsia="宋体" w:cs="Times New Roman"/>
          <w:sz w:val="24"/>
          <w:szCs w:val="18"/>
          <w:highlight w:val="none"/>
        </w:rPr>
        <w:t>评价范围与环境</w:t>
      </w:r>
      <w:bookmarkEnd w:id="57"/>
      <w:r>
        <w:rPr>
          <w:rFonts w:hint="default" w:ascii="Times New Roman" w:hAnsi="Times New Roman" w:cs="Times New Roman"/>
          <w:sz w:val="24"/>
          <w:szCs w:val="18"/>
          <w:highlight w:val="none"/>
          <w:lang w:val="en-US" w:eastAsia="zh-CN"/>
        </w:rPr>
        <w:t>保护目标</w:t>
      </w:r>
      <w:bookmarkEnd w:id="58"/>
      <w:bookmarkEnd w:id="59"/>
      <w:bookmarkEnd w:id="60"/>
    </w:p>
    <w:p w14:paraId="42893872">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rPr>
        <w:t>2.</w:t>
      </w:r>
      <w:r>
        <w:rPr>
          <w:rFonts w:hint="default" w:ascii="Times New Roman" w:hAnsi="Times New Roman" w:cs="Times New Roman"/>
          <w:b/>
          <w:bCs w:val="0"/>
          <w:kern w:val="2"/>
          <w:sz w:val="24"/>
          <w:szCs w:val="24"/>
          <w:highlight w:val="none"/>
          <w:lang w:val="en-US" w:eastAsia="zh-CN"/>
        </w:rPr>
        <w:t>7</w:t>
      </w:r>
      <w:r>
        <w:rPr>
          <w:rFonts w:hint="default" w:ascii="Times New Roman" w:hAnsi="Times New Roman" w:eastAsia="宋体" w:cs="Times New Roman"/>
          <w:b/>
          <w:bCs w:val="0"/>
          <w:kern w:val="2"/>
          <w:sz w:val="24"/>
          <w:szCs w:val="24"/>
          <w:highlight w:val="none"/>
        </w:rPr>
        <w:t>.1评价范围</w:t>
      </w:r>
    </w:p>
    <w:p w14:paraId="584AFDFD">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结合本项目污染源特征分析和所处区域的自然环境状况，按照环境影响评价等级，确定各单项环境影响评价范围如下：</w:t>
      </w:r>
    </w:p>
    <w:p w14:paraId="169BA764">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eastAsia="宋体" w:cs="Times New Roman"/>
          <w:color w:val="000000"/>
          <w:sz w:val="24"/>
          <w:szCs w:val="24"/>
          <w:highlight w:val="none"/>
        </w:rPr>
        <w:t>（1）</w:t>
      </w:r>
      <w:r>
        <w:rPr>
          <w:rFonts w:hint="default" w:ascii="Times New Roman" w:hAnsi="Times New Roman" w:cs="Times New Roman"/>
          <w:color w:val="000000"/>
          <w:sz w:val="24"/>
          <w:szCs w:val="24"/>
          <w:highlight w:val="none"/>
          <w:lang w:val="en-US" w:eastAsia="zh-CN"/>
        </w:rPr>
        <w:t>大气环境：本项目大气评价范围为5km×5km的矩形区域；</w:t>
      </w:r>
    </w:p>
    <w:p w14:paraId="2B99D70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cs="Times New Roman"/>
          <w:color w:val="000000"/>
          <w:sz w:val="24"/>
          <w:szCs w:val="24"/>
          <w:highlight w:val="none"/>
          <w:lang w:eastAsia="zh-CN"/>
        </w:rPr>
        <w:t>（</w:t>
      </w:r>
      <w:r>
        <w:rPr>
          <w:rFonts w:hint="default" w:ascii="Times New Roman" w:hAnsi="Times New Roman" w:cs="Times New Roman"/>
          <w:color w:val="000000"/>
          <w:sz w:val="24"/>
          <w:szCs w:val="24"/>
          <w:highlight w:val="none"/>
          <w:lang w:val="en-US" w:eastAsia="zh-CN"/>
        </w:rPr>
        <w:t>2</w:t>
      </w:r>
      <w:r>
        <w:rPr>
          <w:rFonts w:hint="default" w:ascii="Times New Roman" w:hAnsi="Times New Roman" w:cs="Times New Roman"/>
          <w:color w:val="000000"/>
          <w:sz w:val="24"/>
          <w:szCs w:val="24"/>
          <w:highlight w:val="none"/>
          <w:lang w:eastAsia="zh-CN"/>
        </w:rPr>
        <w:t>）</w:t>
      </w:r>
      <w:r>
        <w:rPr>
          <w:rFonts w:hint="default" w:ascii="Times New Roman" w:hAnsi="Times New Roman" w:cs="Times New Roman"/>
          <w:color w:val="000000"/>
          <w:sz w:val="24"/>
          <w:szCs w:val="24"/>
          <w:highlight w:val="none"/>
          <w:lang w:val="en-US" w:eastAsia="zh-CN"/>
        </w:rPr>
        <w:t>地下水环境</w:t>
      </w:r>
      <w:r>
        <w:rPr>
          <w:rFonts w:hint="default" w:ascii="Times New Roman" w:hAnsi="Times New Roman"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项目</w:t>
      </w:r>
      <w:r>
        <w:rPr>
          <w:rFonts w:hint="default" w:ascii="Times New Roman" w:hAnsi="Times New Roman" w:cs="Times New Roman"/>
          <w:color w:val="000000"/>
          <w:sz w:val="24"/>
          <w:szCs w:val="24"/>
          <w:highlight w:val="none"/>
          <w:lang w:val="en-US" w:eastAsia="zh-CN"/>
        </w:rPr>
        <w:t>厂界上游外延</w:t>
      </w:r>
      <w:r>
        <w:rPr>
          <w:rFonts w:hint="default" w:ascii="Times New Roman" w:hAnsi="Times New Roman" w:eastAsia="宋体" w:cs="Times New Roman"/>
          <w:color w:val="000000"/>
          <w:sz w:val="24"/>
          <w:szCs w:val="24"/>
          <w:highlight w:val="none"/>
        </w:rPr>
        <w:t>1km，</w:t>
      </w:r>
      <w:r>
        <w:rPr>
          <w:rFonts w:hint="default" w:ascii="Times New Roman" w:hAnsi="Times New Roman" w:cs="Times New Roman"/>
          <w:color w:val="000000"/>
          <w:sz w:val="24"/>
          <w:szCs w:val="24"/>
          <w:highlight w:val="none"/>
          <w:lang w:val="en-US" w:eastAsia="zh-CN"/>
        </w:rPr>
        <w:t>下游外延</w:t>
      </w:r>
      <w:r>
        <w:rPr>
          <w:rFonts w:hint="default" w:ascii="Times New Roman" w:hAnsi="Times New Roman" w:eastAsia="宋体" w:cs="Times New Roman"/>
          <w:color w:val="000000"/>
          <w:sz w:val="24"/>
          <w:szCs w:val="24"/>
          <w:highlight w:val="none"/>
        </w:rPr>
        <w:t>2km，向东、西各延伸1km</w:t>
      </w:r>
      <w:r>
        <w:rPr>
          <w:rFonts w:hint="default" w:ascii="Times New Roman" w:hAnsi="Times New Roman" w:cs="Times New Roman"/>
          <w:color w:val="000000"/>
          <w:sz w:val="24"/>
          <w:szCs w:val="24"/>
          <w:highlight w:val="none"/>
          <w:lang w:val="en-US" w:eastAsia="zh-CN"/>
        </w:rPr>
        <w:t>的区域</w:t>
      </w:r>
      <w:r>
        <w:rPr>
          <w:rFonts w:hint="default" w:ascii="Times New Roman" w:hAnsi="Times New Roman" w:cs="Times New Roman"/>
          <w:color w:val="000000"/>
          <w:sz w:val="24"/>
          <w:szCs w:val="24"/>
          <w:highlight w:val="none"/>
          <w:lang w:eastAsia="zh-CN"/>
        </w:rPr>
        <w:t>；</w:t>
      </w:r>
    </w:p>
    <w:p w14:paraId="42D9638A">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color w:val="000000"/>
          <w:sz w:val="24"/>
          <w:szCs w:val="24"/>
          <w:highlight w:val="none"/>
          <w:lang w:eastAsia="zh-CN"/>
        </w:rPr>
      </w:pPr>
      <w:r>
        <w:rPr>
          <w:rFonts w:hint="default" w:ascii="Times New Roman" w:hAnsi="Times New Roman" w:eastAsia="宋体" w:cs="Times New Roman"/>
          <w:color w:val="000000"/>
          <w:sz w:val="24"/>
          <w:szCs w:val="24"/>
          <w:highlight w:val="none"/>
        </w:rPr>
        <w:t>（</w:t>
      </w:r>
      <w:r>
        <w:rPr>
          <w:rFonts w:hint="default" w:ascii="Times New Roman" w:hAnsi="Times New Roman" w:cs="Times New Roman"/>
          <w:color w:val="000000"/>
          <w:sz w:val="24"/>
          <w:szCs w:val="24"/>
          <w:highlight w:val="none"/>
          <w:lang w:val="en-US" w:eastAsia="zh-CN"/>
        </w:rPr>
        <w:t>3</w:t>
      </w:r>
      <w:r>
        <w:rPr>
          <w:rFonts w:hint="default" w:ascii="Times New Roman" w:hAnsi="Times New Roman" w:eastAsia="宋体" w:cs="Times New Roman"/>
          <w:color w:val="000000"/>
          <w:sz w:val="24"/>
          <w:szCs w:val="24"/>
          <w:highlight w:val="none"/>
        </w:rPr>
        <w:t>）声环境</w:t>
      </w:r>
      <w:r>
        <w:rPr>
          <w:rFonts w:hint="default" w:ascii="Times New Roman" w:hAnsi="Times New Roman"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rPr>
        <w:t>项目</w:t>
      </w:r>
      <w:r>
        <w:rPr>
          <w:rFonts w:hint="default" w:ascii="Times New Roman" w:hAnsi="Times New Roman" w:cs="Times New Roman"/>
          <w:color w:val="000000"/>
          <w:sz w:val="24"/>
          <w:szCs w:val="24"/>
          <w:highlight w:val="none"/>
          <w:lang w:val="en-US" w:eastAsia="zh-CN"/>
        </w:rPr>
        <w:t>厂界</w:t>
      </w:r>
      <w:r>
        <w:rPr>
          <w:rFonts w:hint="default" w:ascii="Times New Roman" w:hAnsi="Times New Roman" w:eastAsia="宋体" w:cs="Times New Roman"/>
          <w:color w:val="000000"/>
          <w:sz w:val="24"/>
          <w:szCs w:val="24"/>
          <w:highlight w:val="none"/>
        </w:rPr>
        <w:t>外200m</w:t>
      </w:r>
      <w:r>
        <w:rPr>
          <w:rFonts w:hint="default" w:ascii="Times New Roman" w:hAnsi="Times New Roman" w:cs="Times New Roman"/>
          <w:color w:val="000000"/>
          <w:sz w:val="24"/>
          <w:szCs w:val="24"/>
          <w:highlight w:val="none"/>
          <w:lang w:val="en-US" w:eastAsia="zh-CN"/>
        </w:rPr>
        <w:t>区域作为声环境影响评价范围</w:t>
      </w:r>
      <w:r>
        <w:rPr>
          <w:rFonts w:hint="default" w:ascii="Times New Roman" w:hAnsi="Times New Roman" w:cs="Times New Roman"/>
          <w:color w:val="000000"/>
          <w:sz w:val="24"/>
          <w:szCs w:val="24"/>
          <w:highlight w:val="none"/>
          <w:lang w:eastAsia="zh-CN"/>
        </w:rPr>
        <w:t>；</w:t>
      </w:r>
    </w:p>
    <w:p w14:paraId="13E4F3FB">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eastAsia="zh-CN"/>
        </w:rPr>
        <w:t>（</w:t>
      </w:r>
      <w:r>
        <w:rPr>
          <w:rFonts w:hint="default" w:ascii="Times New Roman" w:hAnsi="Times New Roman" w:cs="Times New Roman"/>
          <w:color w:val="000000"/>
          <w:sz w:val="24"/>
          <w:szCs w:val="24"/>
          <w:highlight w:val="none"/>
          <w:lang w:val="en-US" w:eastAsia="zh-CN"/>
        </w:rPr>
        <w:t>4</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eastAsia="宋体" w:cs="Times New Roman"/>
          <w:color w:val="000000"/>
          <w:sz w:val="24"/>
          <w:szCs w:val="24"/>
          <w:highlight w:val="none"/>
          <w:lang w:val="en-US" w:eastAsia="zh-CN"/>
        </w:rPr>
        <w:t>土壤</w:t>
      </w:r>
      <w:r>
        <w:rPr>
          <w:rFonts w:hint="default" w:ascii="Times New Roman" w:hAnsi="Times New Roman" w:cs="Times New Roman"/>
          <w:color w:val="000000"/>
          <w:sz w:val="24"/>
          <w:szCs w:val="24"/>
          <w:highlight w:val="none"/>
          <w:lang w:val="en-US" w:eastAsia="zh-CN"/>
        </w:rPr>
        <w:t>环境：项目占地范围内全部及占地范围外200m范围区域；</w:t>
      </w:r>
    </w:p>
    <w:p w14:paraId="29386160">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lang w:eastAsia="zh-CN"/>
        </w:rPr>
        <w:t>（</w:t>
      </w:r>
      <w:r>
        <w:rPr>
          <w:rFonts w:hint="default" w:ascii="Times New Roman" w:hAnsi="Times New Roman" w:cs="Times New Roman"/>
          <w:color w:val="000000"/>
          <w:sz w:val="24"/>
          <w:szCs w:val="24"/>
          <w:highlight w:val="none"/>
          <w:lang w:val="en-US" w:eastAsia="zh-CN"/>
        </w:rPr>
        <w:t>5</w:t>
      </w:r>
      <w:r>
        <w:rPr>
          <w:rFonts w:hint="default" w:ascii="Times New Roman" w:hAnsi="Times New Roman" w:eastAsia="宋体" w:cs="Times New Roman"/>
          <w:color w:val="000000"/>
          <w:sz w:val="24"/>
          <w:szCs w:val="24"/>
          <w:highlight w:val="none"/>
          <w:lang w:eastAsia="zh-CN"/>
        </w:rPr>
        <w:t>）</w:t>
      </w:r>
      <w:r>
        <w:rPr>
          <w:rFonts w:hint="default" w:ascii="Times New Roman" w:hAnsi="Times New Roman" w:cs="Times New Roman"/>
          <w:color w:val="000000"/>
          <w:sz w:val="24"/>
          <w:szCs w:val="24"/>
          <w:highlight w:val="none"/>
          <w:lang w:val="en-US" w:eastAsia="zh-CN"/>
        </w:rPr>
        <w:t>生态环境：</w:t>
      </w:r>
      <w:r>
        <w:rPr>
          <w:rFonts w:hint="default" w:ascii="Times New Roman" w:hAnsi="Times New Roman" w:eastAsia="宋体" w:cs="Times New Roman"/>
          <w:color w:val="000000"/>
          <w:sz w:val="24"/>
          <w:szCs w:val="24"/>
          <w:highlight w:val="none"/>
        </w:rPr>
        <w:t>本项目不设生态影响评价等级，直接进行简单分析，因此不设生态影响评价范围。</w:t>
      </w:r>
    </w:p>
    <w:p w14:paraId="35B5C207">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eastAsia="zh-CN"/>
        </w:rPr>
        <w:t>（</w:t>
      </w:r>
      <w:r>
        <w:rPr>
          <w:rFonts w:hint="default" w:ascii="Times New Roman" w:hAnsi="Times New Roman" w:cs="Times New Roman"/>
          <w:color w:val="000000"/>
          <w:sz w:val="24"/>
          <w:szCs w:val="24"/>
          <w:highlight w:val="none"/>
          <w:lang w:val="en-US" w:eastAsia="zh-CN"/>
        </w:rPr>
        <w:t>6</w:t>
      </w:r>
      <w:r>
        <w:rPr>
          <w:rFonts w:hint="default" w:ascii="Times New Roman" w:hAnsi="Times New Roman" w:cs="Times New Roman"/>
          <w:color w:val="000000"/>
          <w:sz w:val="24"/>
          <w:szCs w:val="24"/>
          <w:highlight w:val="none"/>
          <w:lang w:eastAsia="zh-CN"/>
        </w:rPr>
        <w:t>）</w:t>
      </w:r>
      <w:r>
        <w:rPr>
          <w:rFonts w:hint="default" w:ascii="Times New Roman" w:hAnsi="Times New Roman" w:cs="Times New Roman"/>
          <w:color w:val="000000"/>
          <w:sz w:val="24"/>
          <w:szCs w:val="24"/>
          <w:highlight w:val="none"/>
          <w:lang w:val="en-US" w:eastAsia="zh-CN"/>
        </w:rPr>
        <w:t>环境风险：本项目环境风险评价等级为简单分析，根据《建设项目环境风险评价技术导则》(HJ169-2018)，可不设环境风险评价范围。</w:t>
      </w:r>
    </w:p>
    <w:p w14:paraId="30C95F6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color w:val="000000"/>
          <w:sz w:val="24"/>
          <w:szCs w:val="24"/>
          <w:highlight w:val="none"/>
          <w:lang w:val="en-US" w:eastAsia="zh-CN"/>
        </w:rPr>
      </w:pPr>
      <w:r>
        <w:rPr>
          <w:rFonts w:hint="default" w:ascii="Times New Roman" w:hAnsi="Times New Roman" w:cs="Times New Roman"/>
          <w:color w:val="000000"/>
          <w:sz w:val="24"/>
          <w:szCs w:val="24"/>
          <w:highlight w:val="none"/>
          <w:lang w:val="en-US" w:eastAsia="zh-CN"/>
        </w:rPr>
        <w:t>项目评价范围见图2.7-1。</w:t>
      </w:r>
    </w:p>
    <w:p w14:paraId="4D58A9F9">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eastAsia="zh-CN"/>
        </w:rPr>
      </w:pPr>
      <w:r>
        <w:rPr>
          <w:rFonts w:hint="default" w:ascii="Times New Roman" w:hAnsi="Times New Roman" w:eastAsia="宋体" w:cs="Times New Roman"/>
          <w:b/>
          <w:bCs w:val="0"/>
          <w:kern w:val="2"/>
          <w:sz w:val="24"/>
          <w:szCs w:val="24"/>
          <w:highlight w:val="none"/>
        </w:rPr>
        <w:t>2.</w:t>
      </w:r>
      <w:r>
        <w:rPr>
          <w:rFonts w:hint="default" w:ascii="Times New Roman" w:hAnsi="Times New Roman" w:cs="Times New Roman"/>
          <w:b/>
          <w:bCs w:val="0"/>
          <w:kern w:val="2"/>
          <w:sz w:val="24"/>
          <w:szCs w:val="24"/>
          <w:highlight w:val="none"/>
          <w:lang w:val="en-US" w:eastAsia="zh-CN"/>
        </w:rPr>
        <w:t>7</w:t>
      </w:r>
      <w:r>
        <w:rPr>
          <w:rFonts w:hint="default" w:ascii="Times New Roman" w:hAnsi="Times New Roman" w:eastAsia="宋体" w:cs="Times New Roman"/>
          <w:b/>
          <w:bCs w:val="0"/>
          <w:kern w:val="2"/>
          <w:sz w:val="24"/>
          <w:szCs w:val="24"/>
          <w:highlight w:val="none"/>
        </w:rPr>
        <w:t>.2环境</w:t>
      </w:r>
      <w:r>
        <w:rPr>
          <w:rFonts w:hint="default" w:ascii="Times New Roman" w:hAnsi="Times New Roman" w:eastAsia="宋体" w:cs="Times New Roman"/>
          <w:b/>
          <w:bCs w:val="0"/>
          <w:kern w:val="2"/>
          <w:sz w:val="24"/>
          <w:szCs w:val="24"/>
          <w:highlight w:val="none"/>
          <w:lang w:val="en-US" w:eastAsia="zh-CN"/>
        </w:rPr>
        <w:t>保护目标</w:t>
      </w:r>
    </w:p>
    <w:p w14:paraId="11935018">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现场踏勘结果表明，本项目</w:t>
      </w:r>
      <w:r>
        <w:rPr>
          <w:rFonts w:hint="default" w:ascii="Times New Roman" w:hAnsi="Times New Roman" w:cs="Times New Roman"/>
          <w:sz w:val="24"/>
          <w:szCs w:val="24"/>
          <w:highlight w:val="none"/>
          <w:lang w:val="en-US" w:eastAsia="zh-CN"/>
        </w:rPr>
        <w:t>建设地点位于</w:t>
      </w:r>
      <w:r>
        <w:rPr>
          <w:rFonts w:hint="default" w:ascii="Times New Roman" w:hAnsi="Times New Roman" w:eastAsia="宋体" w:cs="Times New Roman"/>
          <w:sz w:val="24"/>
          <w:szCs w:val="24"/>
          <w:highlight w:val="none"/>
        </w:rPr>
        <w:t>阿克苏经济技术开发区，新疆兴悦化工有限公司现有厂区内，</w:t>
      </w:r>
      <w:r>
        <w:rPr>
          <w:rFonts w:hint="default" w:ascii="Times New Roman" w:hAnsi="Times New Roman" w:cs="Times New Roman"/>
          <w:sz w:val="24"/>
          <w:szCs w:val="24"/>
          <w:highlight w:val="none"/>
          <w:lang w:val="en-US" w:eastAsia="zh-CN"/>
        </w:rPr>
        <w:t>项目评价</w:t>
      </w:r>
      <w:r>
        <w:rPr>
          <w:rFonts w:hint="default" w:ascii="Times New Roman" w:hAnsi="Times New Roman" w:eastAsia="宋体" w:cs="Times New Roman"/>
          <w:sz w:val="24"/>
          <w:szCs w:val="24"/>
          <w:highlight w:val="none"/>
        </w:rPr>
        <w:t>范围内没有自然保护区、风景旅游区、文物古迹等特殊敏感目标，</w:t>
      </w:r>
      <w:r>
        <w:rPr>
          <w:rFonts w:hint="default" w:ascii="Times New Roman" w:hAnsi="Times New Roman" w:cs="Times New Roman"/>
          <w:sz w:val="24"/>
          <w:szCs w:val="24"/>
          <w:highlight w:val="none"/>
          <w:lang w:val="en-US" w:eastAsia="zh-CN"/>
        </w:rPr>
        <w:t>项目区周边无居民区，项目</w:t>
      </w:r>
      <w:r>
        <w:rPr>
          <w:rFonts w:hint="default" w:ascii="Times New Roman" w:hAnsi="Times New Roman" w:eastAsia="宋体" w:cs="Times New Roman"/>
          <w:sz w:val="24"/>
          <w:szCs w:val="24"/>
          <w:highlight w:val="none"/>
        </w:rPr>
        <w:t>环境保护目标见表2.</w:t>
      </w:r>
      <w:r>
        <w:rPr>
          <w:rFonts w:hint="eastAsia" w:cs="Times New Roman"/>
          <w:sz w:val="24"/>
          <w:szCs w:val="24"/>
          <w:highlight w:val="none"/>
          <w:lang w:val="en-US" w:eastAsia="zh-CN"/>
        </w:rPr>
        <w:t>7</w:t>
      </w:r>
      <w:r>
        <w:rPr>
          <w:rFonts w:hint="default" w:ascii="Times New Roman" w:hAnsi="Times New Roman" w:eastAsia="宋体" w:cs="Times New Roman"/>
          <w:sz w:val="24"/>
          <w:szCs w:val="24"/>
          <w:highlight w:val="none"/>
        </w:rPr>
        <w:t>-1</w:t>
      </w:r>
      <w:r>
        <w:rPr>
          <w:rFonts w:hint="default" w:ascii="Times New Roman" w:hAnsi="Times New Roman" w:cs="Times New Roman"/>
          <w:sz w:val="24"/>
          <w:szCs w:val="24"/>
          <w:highlight w:val="none"/>
          <w:lang w:eastAsia="zh-CN"/>
        </w:rPr>
        <w:t>。</w:t>
      </w:r>
    </w:p>
    <w:p w14:paraId="2057F777">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表2.</w:t>
      </w:r>
      <w:r>
        <w:rPr>
          <w:rFonts w:hint="eastAsia" w:cs="Times New Roman"/>
          <w:b/>
          <w:bCs/>
          <w:sz w:val="24"/>
          <w:szCs w:val="24"/>
          <w:highlight w:val="none"/>
          <w:lang w:val="en-US" w:eastAsia="zh-CN"/>
        </w:rPr>
        <w:t>7</w:t>
      </w:r>
      <w:r>
        <w:rPr>
          <w:rFonts w:hint="default" w:ascii="Times New Roman" w:hAnsi="Times New Roman" w:eastAsia="宋体" w:cs="Times New Roman"/>
          <w:b/>
          <w:bCs/>
          <w:sz w:val="24"/>
          <w:szCs w:val="24"/>
          <w:highlight w:val="none"/>
        </w:rPr>
        <w:t xml:space="preserve">-1 </w:t>
      </w:r>
      <w:r>
        <w:rPr>
          <w:rFonts w:hint="default" w:ascii="Times New Roman" w:hAnsi="Times New Roman" w:cs="Times New Roman"/>
          <w:b/>
          <w:bCs/>
          <w:sz w:val="24"/>
          <w:szCs w:val="24"/>
          <w:highlight w:val="none"/>
          <w:lang w:val="en-US" w:eastAsia="zh-CN"/>
        </w:rPr>
        <w:t>项目</w:t>
      </w:r>
      <w:r>
        <w:rPr>
          <w:rFonts w:hint="default" w:ascii="Times New Roman" w:hAnsi="Times New Roman" w:eastAsia="宋体" w:cs="Times New Roman"/>
          <w:b/>
          <w:bCs/>
          <w:sz w:val="24"/>
          <w:szCs w:val="24"/>
          <w:highlight w:val="none"/>
        </w:rPr>
        <w:t>环境保护目标</w:t>
      </w:r>
      <w:r>
        <w:rPr>
          <w:rFonts w:hint="default" w:ascii="Times New Roman" w:hAnsi="Times New Roman" w:cs="Times New Roman"/>
          <w:b/>
          <w:bCs/>
          <w:sz w:val="24"/>
          <w:szCs w:val="24"/>
          <w:highlight w:val="none"/>
          <w:lang w:val="en-US" w:eastAsia="zh-CN"/>
        </w:rPr>
        <w:t>情况一览</w:t>
      </w:r>
      <w:r>
        <w:rPr>
          <w:rFonts w:hint="default" w:ascii="Times New Roman" w:hAnsi="Times New Roman" w:eastAsia="宋体" w:cs="Times New Roman"/>
          <w:b/>
          <w:bCs/>
          <w:sz w:val="24"/>
          <w:szCs w:val="24"/>
          <w:highlight w:val="none"/>
        </w:rPr>
        <w:t>表</w:t>
      </w:r>
    </w:p>
    <w:tbl>
      <w:tblPr>
        <w:tblStyle w:val="39"/>
        <w:tblW w:w="4998" w:type="pct"/>
        <w:tblInd w:w="0" w:type="dxa"/>
        <w:tblLayout w:type="autofit"/>
        <w:tblCellMar>
          <w:top w:w="0" w:type="dxa"/>
          <w:left w:w="0" w:type="dxa"/>
          <w:bottom w:w="0" w:type="dxa"/>
          <w:right w:w="0" w:type="dxa"/>
        </w:tblCellMar>
      </w:tblPr>
      <w:tblGrid>
        <w:gridCol w:w="1071"/>
        <w:gridCol w:w="1444"/>
        <w:gridCol w:w="1853"/>
        <w:gridCol w:w="1904"/>
        <w:gridCol w:w="2241"/>
      </w:tblGrid>
      <w:tr w14:paraId="258C4D94">
        <w:tblPrEx>
          <w:tblCellMar>
            <w:top w:w="0" w:type="dxa"/>
            <w:left w:w="0" w:type="dxa"/>
            <w:bottom w:w="0" w:type="dxa"/>
            <w:right w:w="0" w:type="dxa"/>
          </w:tblCellMar>
        </w:tblPrEx>
        <w:trPr>
          <w:trHeight w:val="273" w:hRule="atLeast"/>
        </w:trPr>
        <w:tc>
          <w:tcPr>
            <w:tcW w:w="629" w:type="pct"/>
            <w:tcBorders>
              <w:top w:val="single" w:color="000000" w:sz="18" w:space="0"/>
              <w:bottom w:val="single" w:color="000000" w:sz="4" w:space="0"/>
              <w:right w:val="single" w:color="000000" w:sz="4" w:space="0"/>
            </w:tcBorders>
            <w:noWrap w:val="0"/>
            <w:tcMar>
              <w:top w:w="0" w:type="dxa"/>
              <w:left w:w="108" w:type="dxa"/>
              <w:bottom w:w="0" w:type="dxa"/>
              <w:right w:w="108" w:type="dxa"/>
            </w:tcMar>
            <w:vAlign w:val="center"/>
          </w:tcPr>
          <w:p w14:paraId="5049499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环境类别</w:t>
            </w:r>
          </w:p>
        </w:tc>
        <w:tc>
          <w:tcPr>
            <w:tcW w:w="848" w:type="pct"/>
            <w:tcBorders>
              <w:top w:val="single" w:color="000000" w:sz="18"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D3ECE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环境保护目标</w:t>
            </w:r>
          </w:p>
        </w:tc>
        <w:tc>
          <w:tcPr>
            <w:tcW w:w="1088" w:type="pct"/>
            <w:tcBorders>
              <w:top w:val="single" w:color="000000" w:sz="18"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EC244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环境敏感目标与项目区位置关系</w:t>
            </w:r>
          </w:p>
        </w:tc>
        <w:tc>
          <w:tcPr>
            <w:tcW w:w="1118" w:type="pct"/>
            <w:tcBorders>
              <w:top w:val="single" w:color="000000" w:sz="18"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3F941D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各要素保护级别</w:t>
            </w:r>
          </w:p>
        </w:tc>
        <w:tc>
          <w:tcPr>
            <w:tcW w:w="1315" w:type="pct"/>
            <w:tcBorders>
              <w:top w:val="single" w:color="000000" w:sz="18" w:space="0"/>
              <w:left w:val="single" w:color="000000" w:sz="4" w:space="0"/>
              <w:bottom w:val="single" w:color="000000" w:sz="4" w:space="0"/>
            </w:tcBorders>
            <w:noWrap w:val="0"/>
            <w:tcMar>
              <w:top w:w="0" w:type="dxa"/>
              <w:left w:w="108" w:type="dxa"/>
              <w:bottom w:w="0" w:type="dxa"/>
              <w:right w:w="108" w:type="dxa"/>
            </w:tcMar>
            <w:vAlign w:val="center"/>
          </w:tcPr>
          <w:p w14:paraId="1C37AD5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保护要求</w:t>
            </w:r>
          </w:p>
        </w:tc>
      </w:tr>
      <w:tr w14:paraId="7E468E36">
        <w:tblPrEx>
          <w:tblCellMar>
            <w:top w:w="0" w:type="dxa"/>
            <w:left w:w="0" w:type="dxa"/>
            <w:bottom w:w="0" w:type="dxa"/>
            <w:right w:w="0" w:type="dxa"/>
          </w:tblCellMar>
        </w:tblPrEx>
        <w:trPr>
          <w:trHeight w:val="273" w:hRule="atLeast"/>
        </w:trPr>
        <w:tc>
          <w:tcPr>
            <w:tcW w:w="629"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C77F6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环境空气</w:t>
            </w:r>
          </w:p>
        </w:tc>
        <w:tc>
          <w:tcPr>
            <w:tcW w:w="84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D8AD3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项目所在区域大气环境</w:t>
            </w:r>
          </w:p>
        </w:tc>
        <w:tc>
          <w:tcPr>
            <w:tcW w:w="10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C2050C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w:t>
            </w:r>
          </w:p>
        </w:tc>
        <w:tc>
          <w:tcPr>
            <w:tcW w:w="111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F4A09D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rPr>
              <w:t>GB3095-20</w:t>
            </w:r>
            <w:r>
              <w:rPr>
                <w:rFonts w:hint="eastAsia" w:cs="Times New Roman"/>
                <w:sz w:val="21"/>
                <w:highlight w:val="none"/>
                <w:lang w:val="en-US" w:eastAsia="zh-CN"/>
              </w:rPr>
              <w:t>26</w:t>
            </w:r>
          </w:p>
          <w:p w14:paraId="309B22F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eastAsia" w:cs="Times New Roman"/>
                <w:sz w:val="21"/>
                <w:highlight w:val="none"/>
                <w:lang w:val="en-US" w:eastAsia="zh-CN"/>
              </w:rPr>
              <w:t>过渡阶段</w:t>
            </w:r>
            <w:r>
              <w:rPr>
                <w:rFonts w:hint="default" w:ascii="Times New Roman" w:hAnsi="Times New Roman" w:eastAsia="宋体" w:cs="Times New Roman"/>
                <w:sz w:val="21"/>
                <w:highlight w:val="none"/>
              </w:rPr>
              <w:t>二级标准</w:t>
            </w:r>
          </w:p>
        </w:tc>
        <w:tc>
          <w:tcPr>
            <w:tcW w:w="1315"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1A6876F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防止对大气环境造成污染</w:t>
            </w:r>
          </w:p>
        </w:tc>
      </w:tr>
      <w:tr w14:paraId="629671D0">
        <w:tblPrEx>
          <w:tblCellMar>
            <w:top w:w="0" w:type="dxa"/>
            <w:left w:w="0" w:type="dxa"/>
            <w:bottom w:w="0" w:type="dxa"/>
            <w:right w:w="0" w:type="dxa"/>
          </w:tblCellMar>
        </w:tblPrEx>
        <w:trPr>
          <w:trHeight w:val="273" w:hRule="atLeast"/>
        </w:trPr>
        <w:tc>
          <w:tcPr>
            <w:tcW w:w="629"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02A88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地下水环境</w:t>
            </w:r>
          </w:p>
        </w:tc>
        <w:tc>
          <w:tcPr>
            <w:tcW w:w="84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1CA2B5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区域地下水</w:t>
            </w:r>
          </w:p>
        </w:tc>
        <w:tc>
          <w:tcPr>
            <w:tcW w:w="10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C5DCD3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w:t>
            </w:r>
          </w:p>
        </w:tc>
        <w:tc>
          <w:tcPr>
            <w:tcW w:w="111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ADB4BA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GB/T14848-2017</w:t>
            </w:r>
          </w:p>
          <w:p w14:paraId="460769C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Ⅲ类标准</w:t>
            </w:r>
          </w:p>
        </w:tc>
        <w:tc>
          <w:tcPr>
            <w:tcW w:w="1315"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0CDEC94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不对区域地下水造成污染</w:t>
            </w:r>
          </w:p>
        </w:tc>
      </w:tr>
      <w:tr w14:paraId="314C768D">
        <w:tblPrEx>
          <w:tblCellMar>
            <w:top w:w="0" w:type="dxa"/>
            <w:left w:w="0" w:type="dxa"/>
            <w:bottom w:w="0" w:type="dxa"/>
            <w:right w:w="0" w:type="dxa"/>
          </w:tblCellMar>
        </w:tblPrEx>
        <w:trPr>
          <w:trHeight w:val="273" w:hRule="atLeast"/>
        </w:trPr>
        <w:tc>
          <w:tcPr>
            <w:tcW w:w="629"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557374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声环境</w:t>
            </w:r>
          </w:p>
        </w:tc>
        <w:tc>
          <w:tcPr>
            <w:tcW w:w="84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462A05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cs="Times New Roman"/>
                <w:sz w:val="21"/>
                <w:highlight w:val="none"/>
                <w:lang w:val="en-US" w:eastAsia="zh-CN"/>
              </w:rPr>
              <w:t>项目厂界</w:t>
            </w:r>
          </w:p>
        </w:tc>
        <w:tc>
          <w:tcPr>
            <w:tcW w:w="10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330F2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w:t>
            </w:r>
          </w:p>
        </w:tc>
        <w:tc>
          <w:tcPr>
            <w:tcW w:w="111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EAABB2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GB3096-2008</w:t>
            </w:r>
          </w:p>
          <w:p w14:paraId="144B3FF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cs="Times New Roman"/>
                <w:sz w:val="21"/>
                <w:highlight w:val="none"/>
                <w:lang w:val="en-US" w:eastAsia="zh-CN"/>
              </w:rPr>
              <w:t>3</w:t>
            </w:r>
            <w:r>
              <w:rPr>
                <w:rFonts w:hint="default" w:ascii="Times New Roman" w:hAnsi="Times New Roman" w:eastAsia="宋体" w:cs="Times New Roman"/>
                <w:sz w:val="21"/>
                <w:highlight w:val="none"/>
              </w:rPr>
              <w:t>类区</w:t>
            </w:r>
          </w:p>
        </w:tc>
        <w:tc>
          <w:tcPr>
            <w:tcW w:w="1315"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3064BD2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cs="Times New Roman"/>
                <w:sz w:val="21"/>
                <w:highlight w:val="none"/>
                <w:lang w:val="en-US" w:eastAsia="zh-CN"/>
              </w:rPr>
              <w:t>区域</w:t>
            </w:r>
            <w:r>
              <w:rPr>
                <w:rFonts w:hint="default" w:ascii="Times New Roman" w:hAnsi="Times New Roman" w:eastAsia="宋体" w:cs="Times New Roman"/>
                <w:sz w:val="21"/>
                <w:highlight w:val="none"/>
              </w:rPr>
              <w:t>声环境不受影响</w:t>
            </w:r>
          </w:p>
        </w:tc>
      </w:tr>
      <w:tr w14:paraId="0EE905CE">
        <w:tblPrEx>
          <w:tblCellMar>
            <w:top w:w="0" w:type="dxa"/>
            <w:left w:w="0" w:type="dxa"/>
            <w:bottom w:w="0" w:type="dxa"/>
            <w:right w:w="0" w:type="dxa"/>
          </w:tblCellMar>
        </w:tblPrEx>
        <w:trPr>
          <w:trHeight w:val="273" w:hRule="atLeast"/>
        </w:trPr>
        <w:tc>
          <w:tcPr>
            <w:tcW w:w="629"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B6D0BF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土壤环境</w:t>
            </w:r>
          </w:p>
        </w:tc>
        <w:tc>
          <w:tcPr>
            <w:tcW w:w="84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DBB25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cs="Times New Roman"/>
                <w:sz w:val="21"/>
                <w:highlight w:val="none"/>
                <w:lang w:val="en-US" w:eastAsia="zh-CN"/>
              </w:rPr>
              <w:t>项目区</w:t>
            </w:r>
            <w:r>
              <w:rPr>
                <w:rFonts w:hint="default" w:ascii="Times New Roman" w:hAnsi="Times New Roman" w:eastAsia="宋体" w:cs="Times New Roman"/>
                <w:sz w:val="21"/>
                <w:highlight w:val="none"/>
                <w:lang w:val="en-US" w:eastAsia="zh-CN"/>
              </w:rPr>
              <w:t>土壤环境</w:t>
            </w:r>
          </w:p>
        </w:tc>
        <w:tc>
          <w:tcPr>
            <w:tcW w:w="108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38F853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w:t>
            </w:r>
          </w:p>
        </w:tc>
        <w:tc>
          <w:tcPr>
            <w:tcW w:w="1118" w:type="pct"/>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1054D8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rPr>
              <w:t>GB36600－2018</w:t>
            </w:r>
            <w:r>
              <w:rPr>
                <w:rFonts w:hint="default" w:ascii="Times New Roman" w:hAnsi="Times New Roman" w:eastAsia="宋体" w:cs="Times New Roman"/>
                <w:sz w:val="21"/>
                <w:highlight w:val="none"/>
                <w:lang w:val="en-US" w:eastAsia="zh-CN"/>
              </w:rPr>
              <w:t>中第二类用地筛选值</w:t>
            </w:r>
          </w:p>
        </w:tc>
        <w:tc>
          <w:tcPr>
            <w:tcW w:w="1315"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2D733F4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不对区域土壤造成污染</w:t>
            </w:r>
          </w:p>
        </w:tc>
      </w:tr>
      <w:tr w14:paraId="0D76535C">
        <w:tblPrEx>
          <w:tblCellMar>
            <w:top w:w="0" w:type="dxa"/>
            <w:left w:w="0" w:type="dxa"/>
            <w:bottom w:w="0" w:type="dxa"/>
            <w:right w:w="0" w:type="dxa"/>
          </w:tblCellMar>
        </w:tblPrEx>
        <w:trPr>
          <w:trHeight w:val="273" w:hRule="atLeast"/>
        </w:trPr>
        <w:tc>
          <w:tcPr>
            <w:tcW w:w="629" w:type="pct"/>
            <w:tcBorders>
              <w:top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00B2BC6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highlight w:val="none"/>
              </w:rPr>
              <w:t>环境风险</w:t>
            </w:r>
          </w:p>
        </w:tc>
        <w:tc>
          <w:tcPr>
            <w:tcW w:w="848" w:type="pct"/>
            <w:tcBorders>
              <w:top w:val="single" w:color="000000" w:sz="4" w:space="0"/>
              <w:left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3107C3B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highlight w:val="none"/>
                <w:lang w:val="en-US" w:eastAsia="zh-CN"/>
              </w:rPr>
              <w:t>区域土壤及地下水</w:t>
            </w:r>
          </w:p>
        </w:tc>
        <w:tc>
          <w:tcPr>
            <w:tcW w:w="1088" w:type="pct"/>
            <w:tcBorders>
              <w:top w:val="single" w:color="000000" w:sz="4" w:space="0"/>
              <w:left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57E9D7F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highlight w:val="none"/>
              </w:rPr>
              <w:t>/</w:t>
            </w:r>
          </w:p>
        </w:tc>
        <w:tc>
          <w:tcPr>
            <w:tcW w:w="1118" w:type="pct"/>
            <w:tcBorders>
              <w:top w:val="single" w:color="000000" w:sz="4" w:space="0"/>
              <w:left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14F6673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kern w:val="0"/>
                <w:sz w:val="21"/>
                <w:szCs w:val="21"/>
                <w:highlight w:val="none"/>
                <w:lang w:val="en-US" w:eastAsia="zh-CN" w:bidi="ar-SA"/>
              </w:rPr>
            </w:pPr>
            <w:r>
              <w:rPr>
                <w:rFonts w:hint="default" w:ascii="Times New Roman" w:hAnsi="Times New Roman" w:eastAsia="宋体" w:cs="Times New Roman"/>
                <w:sz w:val="21"/>
                <w:highlight w:val="none"/>
              </w:rPr>
              <w:t>/</w:t>
            </w:r>
          </w:p>
        </w:tc>
        <w:tc>
          <w:tcPr>
            <w:tcW w:w="1315" w:type="pct"/>
            <w:tcBorders>
              <w:top w:val="single" w:color="000000" w:sz="4" w:space="0"/>
              <w:left w:val="single" w:color="000000" w:sz="4" w:space="0"/>
              <w:bottom w:val="single" w:color="000000" w:sz="18" w:space="0"/>
            </w:tcBorders>
            <w:noWrap w:val="0"/>
            <w:tcMar>
              <w:top w:w="0" w:type="dxa"/>
              <w:left w:w="108" w:type="dxa"/>
              <w:bottom w:w="0" w:type="dxa"/>
              <w:right w:w="108" w:type="dxa"/>
            </w:tcMar>
            <w:vAlign w:val="center"/>
          </w:tcPr>
          <w:p w14:paraId="3F1F4D1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highlight w:val="none"/>
              </w:rPr>
              <w:t>降低环境风险发生概率，保证环境风险发生时能够得到及时控制</w:t>
            </w:r>
          </w:p>
        </w:tc>
      </w:tr>
    </w:tbl>
    <w:p w14:paraId="290C5CC4">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lang w:val="en-US" w:eastAsia="zh-CN"/>
        </w:rPr>
      </w:pPr>
      <w:bookmarkStart w:id="61" w:name="_Toc23668"/>
      <w:bookmarkStart w:id="62" w:name="_Toc29400"/>
      <w:bookmarkStart w:id="63" w:name="_Toc9111"/>
      <w:r>
        <w:rPr>
          <w:rFonts w:hint="default" w:ascii="Times New Roman" w:hAnsi="Times New Roman" w:eastAsia="宋体" w:cs="Times New Roman"/>
          <w:sz w:val="24"/>
          <w:szCs w:val="18"/>
          <w:highlight w:val="none"/>
          <w:lang w:val="en-US" w:eastAsia="zh-CN"/>
        </w:rPr>
        <w:t>2.8环境功能区划</w:t>
      </w:r>
      <w:bookmarkEnd w:id="61"/>
      <w:bookmarkEnd w:id="62"/>
      <w:bookmarkEnd w:id="63"/>
    </w:p>
    <w:p w14:paraId="50C5C6FD">
      <w:pPr>
        <w:pStyle w:val="6"/>
        <w:rPr>
          <w:rFonts w:hint="default" w:ascii="Times New Roman" w:hAnsi="Times New Roman" w:cs="Times New Roman"/>
        </w:rPr>
      </w:pPr>
      <w:r>
        <w:rPr>
          <w:rFonts w:hint="default" w:ascii="Times New Roman" w:hAnsi="Times New Roman" w:cs="Times New Roman"/>
        </w:rPr>
        <w:t>（1）环境空气</w:t>
      </w:r>
    </w:p>
    <w:p w14:paraId="3920ACC7">
      <w:pPr>
        <w:pStyle w:val="6"/>
        <w:rPr>
          <w:rFonts w:hint="default" w:ascii="Times New Roman" w:hAnsi="Times New Roman" w:cs="Times New Roman"/>
        </w:rPr>
      </w:pPr>
      <w:r>
        <w:rPr>
          <w:rFonts w:hint="default" w:ascii="Times New Roman" w:hAnsi="Times New Roman" w:cs="Times New Roman"/>
          <w:sz w:val="24"/>
          <w:szCs w:val="24"/>
        </w:rPr>
        <w:t>本项目位于阿克苏经济技术开发区化工产业集中区，周边无自然保护区、风景名胜区和其他需要特殊保护的区域。根据环境空气功能区划分，</w:t>
      </w:r>
      <w:r>
        <w:rPr>
          <w:rFonts w:hint="default" w:ascii="Times New Roman" w:hAnsi="Times New Roman" w:cs="Times New Roman"/>
          <w:sz w:val="24"/>
          <w:szCs w:val="24"/>
          <w:lang w:eastAsia="zh-CN"/>
        </w:rPr>
        <w:t>项目所在地为</w:t>
      </w:r>
      <w:r>
        <w:rPr>
          <w:rFonts w:hint="default" w:ascii="Times New Roman" w:hAnsi="Times New Roman" w:cs="Times New Roman"/>
          <w:sz w:val="24"/>
          <w:szCs w:val="24"/>
        </w:rPr>
        <w:t>二类功能区，应执行《环境空气质量标准》（GB3095-2026）中过渡阶段二级标准。</w:t>
      </w:r>
    </w:p>
    <w:p w14:paraId="7DDFF59F">
      <w:pPr>
        <w:pStyle w:val="6"/>
        <w:rPr>
          <w:rFonts w:hint="default" w:ascii="Times New Roman" w:hAnsi="Times New Roman" w:cs="Times New Roman"/>
        </w:rPr>
      </w:pPr>
      <w:r>
        <w:rPr>
          <w:rFonts w:hint="default" w:ascii="Times New Roman" w:hAnsi="Times New Roman" w:cs="Times New Roman"/>
        </w:rPr>
        <w:t>（2水环境</w:t>
      </w:r>
    </w:p>
    <w:p w14:paraId="2C162096">
      <w:pPr>
        <w:pStyle w:val="6"/>
        <w:rPr>
          <w:rFonts w:hint="default" w:ascii="Times New Roman" w:hAnsi="Times New Roman" w:cs="Times New Roman"/>
        </w:rPr>
      </w:pPr>
      <w:r>
        <w:rPr>
          <w:rFonts w:hint="default" w:ascii="Times New Roman" w:hAnsi="Times New Roman" w:cs="Times New Roman"/>
        </w:rPr>
        <w:t>根据《地下水质量标准》（GB/T14848-2017）中地下水质量分类“以人体健康基准值为依据”的要求，主要适用于集中式生活饮用水水源及工、农业用水的地下水为Ⅲ类水质。本项目所在区域地下水执行《地下水质量标准》（GB/T14848-2017）中的Ⅲ类标准。</w:t>
      </w:r>
    </w:p>
    <w:p w14:paraId="7A92A650">
      <w:pPr>
        <w:pStyle w:val="6"/>
        <w:rPr>
          <w:rFonts w:hint="default" w:ascii="Times New Roman" w:hAnsi="Times New Roman" w:cs="Times New Roman"/>
        </w:rPr>
      </w:pPr>
      <w:r>
        <w:rPr>
          <w:rFonts w:hint="default" w:ascii="Times New Roman" w:hAnsi="Times New Roman" w:cs="Times New Roman"/>
        </w:rPr>
        <w:t>（3）声环境</w:t>
      </w:r>
    </w:p>
    <w:p w14:paraId="3CBB61D8">
      <w:pPr>
        <w:pStyle w:val="6"/>
        <w:rPr>
          <w:rFonts w:hint="default" w:ascii="Times New Roman" w:hAnsi="Times New Roman" w:cs="Times New Roman"/>
        </w:rPr>
      </w:pPr>
      <w:r>
        <w:rPr>
          <w:rFonts w:hint="default" w:ascii="Times New Roman" w:hAnsi="Times New Roman" w:cs="Times New Roman"/>
        </w:rPr>
        <w:t>按照《声环境质量标准》（GB3096-2008）和《声环境功能区划分技术规范》（GB/T15190-2014）的有关规定，项目所在地为3类声环境功能区，执行《声环境质量标准》（GB3096-2008）中3类声环境功能区环境噪声限值。</w:t>
      </w:r>
    </w:p>
    <w:p w14:paraId="129A5720">
      <w:pPr>
        <w:pStyle w:val="6"/>
        <w:rPr>
          <w:rFonts w:hint="default" w:ascii="Times New Roman" w:hAnsi="Times New Roman" w:cs="Times New Roman"/>
        </w:rPr>
      </w:pPr>
      <w:r>
        <w:rPr>
          <w:rFonts w:hint="default" w:ascii="Times New Roman" w:hAnsi="Times New Roman" w:cs="Times New Roman"/>
        </w:rPr>
        <w:t>（4）土壤环境</w:t>
      </w:r>
    </w:p>
    <w:p w14:paraId="510C9449">
      <w:pPr>
        <w:pStyle w:val="6"/>
        <w:rPr>
          <w:rFonts w:hint="default" w:ascii="Times New Roman" w:hAnsi="Times New Roman" w:cs="Times New Roman"/>
        </w:rPr>
      </w:pPr>
      <w:r>
        <w:rPr>
          <w:rFonts w:hint="default" w:ascii="Times New Roman" w:hAnsi="Times New Roman" w:cs="Times New Roman"/>
        </w:rPr>
        <w:t>本项目厂区内用地类别为工业用地，</w:t>
      </w:r>
      <w:r>
        <w:rPr>
          <w:rFonts w:hint="default" w:ascii="Times New Roman" w:hAnsi="Times New Roman" w:cs="Times New Roman"/>
          <w:highlight w:val="none"/>
          <w:lang w:val="en-US" w:eastAsia="zh-CN"/>
        </w:rPr>
        <w:t>占地范围内</w:t>
      </w:r>
      <w:r>
        <w:rPr>
          <w:rFonts w:hint="default" w:ascii="Times New Roman" w:hAnsi="Times New Roman" w:eastAsia="宋体" w:cs="Times New Roman"/>
          <w:highlight w:val="none"/>
        </w:rPr>
        <w:t>执行《土壤环境质量</w:t>
      </w:r>
      <w:r>
        <w:rPr>
          <w:rFonts w:hint="default" w:ascii="Times New Roman" w:hAnsi="Times New Roman" w:cs="Times New Roman"/>
          <w:highlight w:val="none"/>
          <w:lang w:val="en-US" w:eastAsia="zh-CN"/>
        </w:rPr>
        <w:t xml:space="preserve"> </w:t>
      </w:r>
      <w:r>
        <w:rPr>
          <w:rFonts w:hint="default" w:ascii="Times New Roman" w:hAnsi="Times New Roman" w:eastAsia="宋体" w:cs="Times New Roman"/>
          <w:highlight w:val="none"/>
        </w:rPr>
        <w:t>建设用地土壤污染风险管控标准》（试行）（GB36600</w:t>
      </w:r>
      <w:r>
        <w:rPr>
          <w:rFonts w:hint="default" w:ascii="Times New Roman" w:hAnsi="Times New Roman" w:eastAsia="宋体" w:cs="Times New Roman"/>
          <w:highlight w:val="none"/>
          <w:lang w:val="en-US" w:eastAsia="zh-CN"/>
        </w:rPr>
        <w:t>-</w:t>
      </w:r>
      <w:r>
        <w:rPr>
          <w:rFonts w:hint="default" w:ascii="Times New Roman" w:hAnsi="Times New Roman" w:eastAsia="宋体" w:cs="Times New Roman"/>
          <w:highlight w:val="none"/>
        </w:rPr>
        <w:t>2018）</w:t>
      </w:r>
      <w:r>
        <w:rPr>
          <w:rFonts w:hint="default" w:ascii="Times New Roman" w:hAnsi="Times New Roman" w:eastAsia="宋体" w:cs="Times New Roman"/>
          <w:highlight w:val="none"/>
          <w:lang w:eastAsia="zh-CN"/>
        </w:rPr>
        <w:t>；</w:t>
      </w:r>
      <w:r>
        <w:rPr>
          <w:rFonts w:hint="default" w:ascii="Times New Roman" w:hAnsi="Times New Roman" w:cs="Times New Roman"/>
          <w:highlight w:val="none"/>
          <w:lang w:val="en-US" w:eastAsia="zh-CN"/>
        </w:rPr>
        <w:t>占地范围外执行《土壤环境质量 农用地土壤污染风险管控标准（试行）》（GB15618-2018）</w:t>
      </w:r>
      <w:r>
        <w:rPr>
          <w:rFonts w:hint="default" w:ascii="Times New Roman" w:hAnsi="Times New Roman" w:cs="Times New Roman"/>
          <w:highlight w:val="none"/>
        </w:rPr>
        <w:t>。</w:t>
      </w:r>
    </w:p>
    <w:p w14:paraId="1008C475">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rPr>
        <w:t>）生态环境</w:t>
      </w:r>
      <w:r>
        <w:rPr>
          <w:rFonts w:hint="default" w:ascii="Times New Roman" w:hAnsi="Times New Roman" w:cs="Times New Roman"/>
          <w:sz w:val="24"/>
          <w:szCs w:val="24"/>
          <w:highlight w:val="none"/>
          <w:lang w:val="en-US" w:eastAsia="zh-CN"/>
        </w:rPr>
        <w:t>功能区划</w:t>
      </w:r>
    </w:p>
    <w:p w14:paraId="65CCD84D">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参照《新疆生态功能区划》(原新疆维吾尔自治区环境保护局2003年9月),本项目生态功能区划见表2.7-</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rPr>
        <w:t>和图2.</w:t>
      </w:r>
      <w:r>
        <w:rPr>
          <w:rFonts w:hint="default" w:ascii="Times New Roman" w:hAnsi="Times New Roman" w:eastAsia="宋体" w:cs="Times New Roman"/>
          <w:sz w:val="24"/>
          <w:szCs w:val="24"/>
          <w:highlight w:val="none"/>
          <w:lang w:val="en-US" w:eastAsia="zh-CN"/>
        </w:rPr>
        <w:t>8</w:t>
      </w:r>
      <w:r>
        <w:rPr>
          <w:rFonts w:hint="default" w:ascii="Times New Roman" w:hAnsi="Times New Roman" w:eastAsia="宋体" w:cs="Times New Roman"/>
          <w:sz w:val="24"/>
          <w:szCs w:val="24"/>
          <w:highlight w:val="none"/>
        </w:rPr>
        <w:t>-1。</w:t>
      </w:r>
    </w:p>
    <w:p w14:paraId="7E52779C">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表2.</w:t>
      </w:r>
      <w:r>
        <w:rPr>
          <w:rFonts w:hint="default" w:ascii="Times New Roman" w:hAnsi="Times New Roman" w:eastAsia="宋体" w:cs="Times New Roman"/>
          <w:b/>
          <w:bCs/>
          <w:sz w:val="24"/>
          <w:szCs w:val="24"/>
          <w:highlight w:val="none"/>
          <w:lang w:val="en-US" w:eastAsia="zh-CN"/>
        </w:rPr>
        <w:t>8</w:t>
      </w:r>
      <w:r>
        <w:rPr>
          <w:rFonts w:hint="default" w:ascii="Times New Roman" w:hAnsi="Times New Roman" w:eastAsia="宋体" w:cs="Times New Roman"/>
          <w:b/>
          <w:bCs/>
          <w:sz w:val="24"/>
          <w:szCs w:val="24"/>
          <w:highlight w:val="none"/>
        </w:rPr>
        <w:t>-</w:t>
      </w:r>
      <w:r>
        <w:rPr>
          <w:rFonts w:hint="default" w:ascii="Times New Roman" w:hAnsi="Times New Roman" w:eastAsia="宋体" w:cs="Times New Roman"/>
          <w:b/>
          <w:bCs/>
          <w:sz w:val="24"/>
          <w:szCs w:val="24"/>
          <w:highlight w:val="none"/>
          <w:lang w:val="en-US" w:eastAsia="zh-CN"/>
        </w:rPr>
        <w:t xml:space="preserve">1 </w:t>
      </w:r>
      <w:r>
        <w:rPr>
          <w:rFonts w:hint="default" w:ascii="Times New Roman" w:hAnsi="Times New Roman" w:eastAsia="宋体" w:cs="Times New Roman"/>
          <w:b/>
          <w:bCs/>
          <w:sz w:val="24"/>
          <w:szCs w:val="24"/>
          <w:highlight w:val="none"/>
        </w:rPr>
        <w:t>生态功能区划一览表</w:t>
      </w:r>
    </w:p>
    <w:tbl>
      <w:tblPr>
        <w:tblStyle w:val="39"/>
        <w:tblW w:w="4998"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40"/>
        <w:gridCol w:w="1126"/>
        <w:gridCol w:w="6687"/>
      </w:tblGrid>
      <w:tr w14:paraId="0C0FAA5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3" w:type="pct"/>
            <w:vMerge w:val="restart"/>
            <w:tcBorders>
              <w:tl2br w:val="nil"/>
              <w:tr2bl w:val="nil"/>
            </w:tcBorders>
            <w:noWrap w:val="0"/>
            <w:vAlign w:val="center"/>
          </w:tcPr>
          <w:p w14:paraId="6346A90E">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生态功能分区单元</w:t>
            </w:r>
          </w:p>
        </w:tc>
        <w:tc>
          <w:tcPr>
            <w:tcW w:w="673" w:type="pct"/>
            <w:tcBorders>
              <w:tl2br w:val="nil"/>
              <w:tr2bl w:val="nil"/>
            </w:tcBorders>
            <w:noWrap w:val="0"/>
            <w:vAlign w:val="center"/>
          </w:tcPr>
          <w:p w14:paraId="7967EFE6">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生态区</w:t>
            </w:r>
          </w:p>
        </w:tc>
        <w:tc>
          <w:tcPr>
            <w:tcW w:w="4002" w:type="pct"/>
            <w:tcBorders>
              <w:tl2br w:val="nil"/>
              <w:tr2bl w:val="nil"/>
            </w:tcBorders>
            <w:noWrap w:val="0"/>
            <w:vAlign w:val="center"/>
          </w:tcPr>
          <w:p w14:paraId="11A8B2B4">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Ⅳ 塔里木盆地暖温荒漠及绿洲农业生态区</w:t>
            </w:r>
          </w:p>
        </w:tc>
      </w:tr>
      <w:tr w14:paraId="0E5563D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3" w:type="pct"/>
            <w:vMerge w:val="continue"/>
            <w:tcBorders>
              <w:tl2br w:val="nil"/>
              <w:tr2bl w:val="nil"/>
            </w:tcBorders>
            <w:noWrap w:val="0"/>
            <w:vAlign w:val="center"/>
          </w:tcPr>
          <w:p w14:paraId="47B6D463">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p>
        </w:tc>
        <w:tc>
          <w:tcPr>
            <w:tcW w:w="673" w:type="pct"/>
            <w:tcBorders>
              <w:tl2br w:val="nil"/>
              <w:tr2bl w:val="nil"/>
            </w:tcBorders>
            <w:noWrap w:val="0"/>
            <w:vAlign w:val="center"/>
          </w:tcPr>
          <w:p w14:paraId="27BD5AD8">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生态亚区</w:t>
            </w:r>
          </w:p>
        </w:tc>
        <w:tc>
          <w:tcPr>
            <w:tcW w:w="4002" w:type="pct"/>
            <w:tcBorders>
              <w:tl2br w:val="nil"/>
              <w:tr2bl w:val="nil"/>
            </w:tcBorders>
            <w:noWrap w:val="0"/>
            <w:vAlign w:val="center"/>
          </w:tcPr>
          <w:p w14:paraId="1CD1B67D">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rPr>
            </w:pPr>
            <w:r>
              <w:rPr>
                <w:rFonts w:hint="default" w:ascii="Times New Roman" w:hAnsi="Times New Roman" w:eastAsia="宋体" w:cs="Times New Roman"/>
                <w:color w:val="000000"/>
                <w:spacing w:val="-10"/>
                <w:sz w:val="21"/>
                <w:szCs w:val="21"/>
                <w:highlight w:val="none"/>
              </w:rPr>
              <w:t>Ⅳ1 塔里木盆地西部、北部荒漠及绿洲农业生态亚区</w:t>
            </w:r>
          </w:p>
        </w:tc>
      </w:tr>
      <w:tr w14:paraId="340E4A4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323" w:type="pct"/>
            <w:vMerge w:val="continue"/>
            <w:tcBorders>
              <w:tl2br w:val="nil"/>
              <w:tr2bl w:val="nil"/>
            </w:tcBorders>
            <w:noWrap w:val="0"/>
            <w:vAlign w:val="center"/>
          </w:tcPr>
          <w:p w14:paraId="06233822">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p>
        </w:tc>
        <w:tc>
          <w:tcPr>
            <w:tcW w:w="673" w:type="pct"/>
            <w:tcBorders>
              <w:tl2br w:val="nil"/>
              <w:tr2bl w:val="nil"/>
            </w:tcBorders>
            <w:noWrap w:val="0"/>
            <w:vAlign w:val="center"/>
          </w:tcPr>
          <w:p w14:paraId="3FB4BE72">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生态功能区</w:t>
            </w:r>
          </w:p>
        </w:tc>
        <w:tc>
          <w:tcPr>
            <w:tcW w:w="4002" w:type="pct"/>
            <w:tcBorders>
              <w:tl2br w:val="nil"/>
              <w:tr2bl w:val="nil"/>
            </w:tcBorders>
            <w:noWrap w:val="0"/>
            <w:vAlign w:val="center"/>
          </w:tcPr>
          <w:p w14:paraId="4C1C299C">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lang w:val="en-US" w:eastAsia="zh-CN"/>
              </w:rPr>
            </w:pPr>
            <w:r>
              <w:rPr>
                <w:rFonts w:hint="default" w:ascii="Times New Roman" w:hAnsi="Times New Roman" w:eastAsia="宋体" w:cs="Times New Roman"/>
                <w:color w:val="000000"/>
                <w:spacing w:val="-10"/>
                <w:sz w:val="21"/>
                <w:szCs w:val="21"/>
                <w:highlight w:val="none"/>
                <w:lang w:val="en-US" w:eastAsia="zh-CN"/>
              </w:rPr>
              <w:t>56．阿克苏河冲积平原绿洲农业生态功能区</w:t>
            </w:r>
          </w:p>
        </w:tc>
      </w:tr>
      <w:tr w14:paraId="66163B2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7" w:type="pct"/>
            <w:gridSpan w:val="2"/>
            <w:tcBorders>
              <w:tl2br w:val="nil"/>
              <w:tr2bl w:val="nil"/>
            </w:tcBorders>
            <w:noWrap w:val="0"/>
            <w:vAlign w:val="center"/>
          </w:tcPr>
          <w:p w14:paraId="1634EFF9">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lang w:val="en-US" w:eastAsia="zh-CN"/>
              </w:rPr>
            </w:pPr>
            <w:r>
              <w:rPr>
                <w:rFonts w:hint="default" w:ascii="Times New Roman" w:hAnsi="Times New Roman" w:cs="Times New Roman"/>
                <w:b/>
                <w:bCs/>
                <w:color w:val="000000"/>
                <w:spacing w:val="-10"/>
                <w:sz w:val="21"/>
                <w:szCs w:val="21"/>
                <w:highlight w:val="none"/>
                <w:lang w:val="en-US" w:eastAsia="zh-CN"/>
              </w:rPr>
              <w:t>隶属行政区</w:t>
            </w:r>
          </w:p>
        </w:tc>
        <w:tc>
          <w:tcPr>
            <w:tcW w:w="4002" w:type="pct"/>
            <w:tcBorders>
              <w:tl2br w:val="nil"/>
              <w:tr2bl w:val="nil"/>
            </w:tcBorders>
            <w:noWrap w:val="0"/>
            <w:vAlign w:val="center"/>
          </w:tcPr>
          <w:p w14:paraId="56A4ECF7">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lang w:val="en-US" w:eastAsia="zh-CN"/>
              </w:rPr>
            </w:pPr>
            <w:r>
              <w:rPr>
                <w:rFonts w:hint="default" w:ascii="Times New Roman" w:hAnsi="Times New Roman" w:eastAsia="宋体" w:cs="Times New Roman"/>
                <w:color w:val="000000"/>
                <w:spacing w:val="-10"/>
                <w:sz w:val="21"/>
                <w:szCs w:val="21"/>
                <w:highlight w:val="none"/>
                <w:lang w:val="en-US" w:eastAsia="zh-CN"/>
              </w:rPr>
              <w:t>阿克苏市、温宿县、阿瓦提县、柯坪县</w:t>
            </w:r>
          </w:p>
        </w:tc>
      </w:tr>
      <w:tr w14:paraId="29C4752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7" w:type="pct"/>
            <w:gridSpan w:val="2"/>
            <w:tcBorders>
              <w:tl2br w:val="nil"/>
              <w:tr2bl w:val="nil"/>
            </w:tcBorders>
            <w:noWrap w:val="0"/>
            <w:vAlign w:val="center"/>
          </w:tcPr>
          <w:p w14:paraId="34C5D18D">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主要生态服务功能</w:t>
            </w:r>
          </w:p>
        </w:tc>
        <w:tc>
          <w:tcPr>
            <w:tcW w:w="4002" w:type="pct"/>
            <w:tcBorders>
              <w:tl2br w:val="nil"/>
              <w:tr2bl w:val="nil"/>
            </w:tcBorders>
            <w:noWrap w:val="0"/>
            <w:vAlign w:val="center"/>
          </w:tcPr>
          <w:p w14:paraId="1DFC4029">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lang w:val="en-US" w:eastAsia="zh-CN"/>
              </w:rPr>
            </w:pPr>
            <w:r>
              <w:rPr>
                <w:rFonts w:hint="default" w:ascii="Times New Roman" w:hAnsi="Times New Roman" w:eastAsia="宋体" w:cs="Times New Roman"/>
                <w:color w:val="000000"/>
                <w:spacing w:val="-10"/>
                <w:sz w:val="21"/>
                <w:szCs w:val="21"/>
                <w:highlight w:val="none"/>
                <w:lang w:val="en-US" w:eastAsia="zh-CN"/>
              </w:rPr>
              <w:t>农产品生产、荒漠化控制、塔里木河水源补给</w:t>
            </w:r>
          </w:p>
        </w:tc>
      </w:tr>
      <w:tr w14:paraId="33C4F5F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7" w:type="pct"/>
            <w:gridSpan w:val="2"/>
            <w:tcBorders>
              <w:tl2br w:val="nil"/>
              <w:tr2bl w:val="nil"/>
            </w:tcBorders>
            <w:noWrap w:val="0"/>
            <w:vAlign w:val="center"/>
          </w:tcPr>
          <w:p w14:paraId="2CBE48E6">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主要生态环境问题</w:t>
            </w:r>
          </w:p>
        </w:tc>
        <w:tc>
          <w:tcPr>
            <w:tcW w:w="4002" w:type="pct"/>
            <w:tcBorders>
              <w:tl2br w:val="nil"/>
              <w:tr2bl w:val="nil"/>
            </w:tcBorders>
            <w:noWrap w:val="0"/>
            <w:vAlign w:val="center"/>
          </w:tcPr>
          <w:p w14:paraId="6C67558C">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lang w:val="en-US" w:eastAsia="zh-CN"/>
              </w:rPr>
            </w:pPr>
            <w:r>
              <w:rPr>
                <w:rFonts w:hint="default" w:ascii="Times New Roman" w:hAnsi="Times New Roman" w:eastAsia="宋体" w:cs="Times New Roman"/>
                <w:color w:val="000000"/>
                <w:spacing w:val="-10"/>
                <w:sz w:val="21"/>
                <w:szCs w:val="21"/>
                <w:highlight w:val="none"/>
                <w:lang w:val="en-US" w:eastAsia="zh-CN"/>
              </w:rPr>
              <w:t>水资源浪费、土壤盐渍化严重、盲目开荒、土壤环境质量下降、向塔河输水减少、输出农排水增多</w:t>
            </w:r>
          </w:p>
        </w:tc>
      </w:tr>
      <w:tr w14:paraId="7C51046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7" w:type="pct"/>
            <w:gridSpan w:val="2"/>
            <w:tcBorders>
              <w:tl2br w:val="nil"/>
              <w:tr2bl w:val="nil"/>
            </w:tcBorders>
            <w:noWrap w:val="0"/>
            <w:vAlign w:val="center"/>
          </w:tcPr>
          <w:p w14:paraId="48738FC0">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主要生态敏感因子、敏感程度</w:t>
            </w:r>
          </w:p>
        </w:tc>
        <w:tc>
          <w:tcPr>
            <w:tcW w:w="4002" w:type="pct"/>
            <w:tcBorders>
              <w:tl2br w:val="nil"/>
              <w:tr2bl w:val="nil"/>
            </w:tcBorders>
            <w:noWrap w:val="0"/>
            <w:vAlign w:val="center"/>
          </w:tcPr>
          <w:p w14:paraId="7071FF0D">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lang w:val="en-US" w:eastAsia="zh-CN"/>
              </w:rPr>
            </w:pPr>
            <w:r>
              <w:rPr>
                <w:rFonts w:hint="default" w:ascii="Times New Roman" w:hAnsi="Times New Roman" w:eastAsia="宋体" w:cs="Times New Roman"/>
                <w:color w:val="000000"/>
                <w:spacing w:val="-10"/>
                <w:sz w:val="21"/>
                <w:szCs w:val="21"/>
                <w:highlight w:val="none"/>
              </w:rPr>
              <w:t>生物多样性及其生境中度敏感，土地沙漠化、土壤盐渍化高度敏感</w:t>
            </w:r>
          </w:p>
        </w:tc>
      </w:tr>
      <w:tr w14:paraId="4D62CE0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7" w:type="pct"/>
            <w:gridSpan w:val="2"/>
            <w:tcBorders>
              <w:tl2br w:val="nil"/>
              <w:tr2bl w:val="nil"/>
            </w:tcBorders>
            <w:noWrap w:val="0"/>
            <w:vAlign w:val="center"/>
          </w:tcPr>
          <w:p w14:paraId="671F80B9">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主要保护目标</w:t>
            </w:r>
          </w:p>
        </w:tc>
        <w:tc>
          <w:tcPr>
            <w:tcW w:w="4002" w:type="pct"/>
            <w:tcBorders>
              <w:tl2br w:val="nil"/>
              <w:tr2bl w:val="nil"/>
            </w:tcBorders>
            <w:noWrap w:val="0"/>
            <w:vAlign w:val="center"/>
          </w:tcPr>
          <w:p w14:paraId="53CD27CD">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lang w:val="en-US" w:eastAsia="zh-CN"/>
              </w:rPr>
            </w:pPr>
            <w:r>
              <w:rPr>
                <w:rFonts w:hint="default" w:ascii="Times New Roman" w:hAnsi="Times New Roman" w:eastAsia="宋体" w:cs="Times New Roman"/>
                <w:color w:val="000000"/>
                <w:spacing w:val="-10"/>
                <w:sz w:val="21"/>
                <w:szCs w:val="21"/>
                <w:highlight w:val="none"/>
              </w:rPr>
              <w:t>保护农田、保护河流水质、保护荒漠植被、保护土壤环境质量</w:t>
            </w:r>
          </w:p>
        </w:tc>
      </w:tr>
      <w:tr w14:paraId="25BAB54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7" w:type="pct"/>
            <w:gridSpan w:val="2"/>
            <w:tcBorders>
              <w:tl2br w:val="nil"/>
              <w:tr2bl w:val="nil"/>
            </w:tcBorders>
            <w:noWrap w:val="0"/>
            <w:vAlign w:val="center"/>
          </w:tcPr>
          <w:p w14:paraId="773E3123">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主要保护措施</w:t>
            </w:r>
          </w:p>
        </w:tc>
        <w:tc>
          <w:tcPr>
            <w:tcW w:w="4002" w:type="pct"/>
            <w:tcBorders>
              <w:tl2br w:val="nil"/>
              <w:tr2bl w:val="nil"/>
            </w:tcBorders>
            <w:noWrap w:val="0"/>
            <w:vAlign w:val="center"/>
          </w:tcPr>
          <w:p w14:paraId="206B1615">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lang w:val="en-US" w:eastAsia="zh-CN"/>
              </w:rPr>
            </w:pPr>
            <w:r>
              <w:rPr>
                <w:rFonts w:hint="default" w:ascii="Times New Roman" w:hAnsi="Times New Roman" w:eastAsia="宋体" w:cs="Times New Roman"/>
                <w:color w:val="000000"/>
                <w:spacing w:val="-10"/>
                <w:sz w:val="21"/>
                <w:szCs w:val="21"/>
                <w:highlight w:val="none"/>
                <w:lang w:val="en-US" w:eastAsia="zh-CN"/>
              </w:rPr>
              <w:t>降低灌溉定额、大力开发地下水、完善防护林体系、减少向塔里木河的农排水、防治农药地膜污染、防治城市工业污染</w:t>
            </w:r>
          </w:p>
        </w:tc>
      </w:tr>
      <w:tr w14:paraId="4AE075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997" w:type="pct"/>
            <w:gridSpan w:val="2"/>
            <w:tcBorders>
              <w:tl2br w:val="nil"/>
              <w:tr2bl w:val="nil"/>
            </w:tcBorders>
            <w:noWrap w:val="0"/>
            <w:vAlign w:val="center"/>
          </w:tcPr>
          <w:p w14:paraId="0B0B32C8">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color w:val="000000"/>
                <w:spacing w:val="-10"/>
                <w:sz w:val="21"/>
                <w:szCs w:val="21"/>
                <w:highlight w:val="none"/>
              </w:rPr>
            </w:pPr>
            <w:r>
              <w:rPr>
                <w:rFonts w:hint="default" w:ascii="Times New Roman" w:hAnsi="Times New Roman" w:eastAsia="宋体" w:cs="Times New Roman"/>
                <w:b/>
                <w:bCs/>
                <w:color w:val="000000"/>
                <w:spacing w:val="-10"/>
                <w:sz w:val="21"/>
                <w:szCs w:val="21"/>
                <w:highlight w:val="none"/>
              </w:rPr>
              <w:t>适宜发展方向</w:t>
            </w:r>
          </w:p>
        </w:tc>
        <w:tc>
          <w:tcPr>
            <w:tcW w:w="4002" w:type="pct"/>
            <w:tcBorders>
              <w:tl2br w:val="nil"/>
              <w:tr2bl w:val="nil"/>
            </w:tcBorders>
            <w:noWrap w:val="0"/>
            <w:vAlign w:val="center"/>
          </w:tcPr>
          <w:p w14:paraId="7528DC5F">
            <w:pPr>
              <w:keepNext w:val="0"/>
              <w:keepLines w:val="0"/>
              <w:pageBreakBefore w:val="0"/>
              <w:widowControl w:val="0"/>
              <w:kinsoku/>
              <w:wordWrap/>
              <w:overflowPunct/>
              <w:topLinePunct w:val="0"/>
              <w:autoSpaceDE/>
              <w:autoSpaceDN/>
              <w:bidi w:val="0"/>
              <w:adjustRightInd/>
              <w:snapToGrid w:val="0"/>
              <w:spacing w:before="0" w:after="0" w:line="240" w:lineRule="auto"/>
              <w:ind w:left="0" w:firstLine="0"/>
              <w:textAlignment w:val="auto"/>
              <w:rPr>
                <w:rFonts w:hint="default" w:ascii="Times New Roman" w:hAnsi="Times New Roman" w:eastAsia="宋体" w:cs="Times New Roman"/>
                <w:color w:val="000000"/>
                <w:spacing w:val="-10"/>
                <w:sz w:val="21"/>
                <w:szCs w:val="21"/>
                <w:highlight w:val="none"/>
                <w:lang w:val="en-US" w:eastAsia="zh-CN"/>
              </w:rPr>
            </w:pPr>
            <w:r>
              <w:rPr>
                <w:rFonts w:hint="default" w:ascii="Times New Roman" w:hAnsi="Times New Roman" w:eastAsia="宋体" w:cs="Times New Roman"/>
                <w:color w:val="000000"/>
                <w:spacing w:val="-10"/>
                <w:sz w:val="21"/>
                <w:szCs w:val="21"/>
                <w:highlight w:val="none"/>
                <w:lang w:val="en-US" w:eastAsia="zh-CN"/>
              </w:rPr>
              <w:t>发展优质高效农牧业和林果业，建设国家级优质棉基地和南疆粮食基地</w:t>
            </w:r>
          </w:p>
        </w:tc>
      </w:tr>
    </w:tbl>
    <w:p w14:paraId="0C77AED8">
      <w:pPr>
        <w:rPr>
          <w:rFonts w:hint="default" w:ascii="Times New Roman" w:hAnsi="Times New Roman" w:cs="Times New Roman"/>
          <w:lang w:val="en-US" w:eastAsia="zh-CN"/>
        </w:rPr>
      </w:pPr>
    </w:p>
    <w:p w14:paraId="1BA233A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000000"/>
          <w:sz w:val="24"/>
          <w:szCs w:val="24"/>
          <w:highlight w:val="none"/>
          <w:lang w:eastAsia="zh-CN"/>
        </w:rPr>
        <w:sectPr>
          <w:pgSz w:w="11906" w:h="16838"/>
          <w:pgMar w:top="1440" w:right="1803" w:bottom="1440" w:left="1803" w:header="1021" w:footer="1021" w:gutter="0"/>
          <w:pgBorders>
            <w:top w:val="none" w:sz="0" w:space="0"/>
            <w:left w:val="none" w:sz="0" w:space="0"/>
            <w:bottom w:val="none" w:sz="0" w:space="0"/>
            <w:right w:val="none" w:sz="0" w:space="0"/>
          </w:pgBorders>
          <w:pgNumType w:fmt="decimal"/>
          <w:cols w:space="720" w:num="1"/>
          <w:docGrid w:linePitch="312" w:charSpace="0"/>
        </w:sectPr>
      </w:pPr>
    </w:p>
    <w:p w14:paraId="32703718">
      <w:pPr>
        <w:pStyle w:val="38"/>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lang w:eastAsia="zh-CN"/>
        </w:rPr>
      </w:pPr>
      <w:r>
        <w:rPr>
          <w:rFonts w:hint="default" w:ascii="Times New Roman" w:hAnsi="Times New Roman" w:cs="Times New Roman"/>
        </w:rPr>
        <w:drawing>
          <wp:anchor distT="0" distB="0" distL="114300" distR="114300" simplePos="0" relativeHeight="251703296" behindDoc="0" locked="0" layoutInCell="1" allowOverlap="1">
            <wp:simplePos x="0" y="0"/>
            <wp:positionH relativeFrom="column">
              <wp:posOffset>7921625</wp:posOffset>
            </wp:positionH>
            <wp:positionV relativeFrom="paragraph">
              <wp:posOffset>30480</wp:posOffset>
            </wp:positionV>
            <wp:extent cx="641350" cy="720090"/>
            <wp:effectExtent l="0" t="0" r="13970" b="11430"/>
            <wp:wrapNone/>
            <wp:docPr id="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4"/>
                    <pic:cNvPicPr>
                      <a:picLocks noChangeAspect="1"/>
                    </pic:cNvPicPr>
                  </pic:nvPicPr>
                  <pic:blipFill>
                    <a:blip r:embed="rId13"/>
                    <a:stretch>
                      <a:fillRect/>
                    </a:stretch>
                  </pic:blipFill>
                  <pic:spPr>
                    <a:xfrm>
                      <a:off x="0" y="0"/>
                      <a:ext cx="641350" cy="720090"/>
                    </a:xfrm>
                    <a:prstGeom prst="rect">
                      <a:avLst/>
                    </a:prstGeom>
                    <a:noFill/>
                    <a:ln>
                      <a:noFill/>
                    </a:ln>
                  </pic:spPr>
                </pic:pic>
              </a:graphicData>
            </a:graphic>
          </wp:anchor>
        </w:drawing>
      </w:r>
      <w:r>
        <w:rPr>
          <w:rFonts w:hint="default" w:ascii="Times New Roman" w:hAnsi="Times New Roman" w:cs="Times New Roman"/>
          <w:sz w:val="24"/>
        </w:rPr>
        <mc:AlternateContent>
          <mc:Choice Requires="wps">
            <w:drawing>
              <wp:anchor distT="0" distB="0" distL="114300" distR="114300" simplePos="0" relativeHeight="251706368" behindDoc="0" locked="0" layoutInCell="1" allowOverlap="1">
                <wp:simplePos x="0" y="0"/>
                <wp:positionH relativeFrom="column">
                  <wp:posOffset>6701155</wp:posOffset>
                </wp:positionH>
                <wp:positionV relativeFrom="paragraph">
                  <wp:posOffset>4597400</wp:posOffset>
                </wp:positionV>
                <wp:extent cx="279400" cy="109855"/>
                <wp:effectExtent l="12700" t="12700" r="12700" b="14605"/>
                <wp:wrapNone/>
                <wp:docPr id="95" name="矩形 95"/>
                <wp:cNvGraphicFramePr/>
                <a:graphic xmlns:a="http://schemas.openxmlformats.org/drawingml/2006/main">
                  <a:graphicData uri="http://schemas.microsoft.com/office/word/2010/wordprocessingShape">
                    <wps:wsp>
                      <wps:cNvSpPr/>
                      <wps:spPr>
                        <a:xfrm>
                          <a:off x="0" y="0"/>
                          <a:ext cx="279400" cy="109855"/>
                        </a:xfrm>
                        <a:prstGeom prst="rect">
                          <a:avLst/>
                        </a:prstGeom>
                        <a:noFill/>
                        <a:ln>
                          <a:solidFill>
                            <a:srgbClr val="E22DE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7.65pt;margin-top:362pt;height:8.65pt;width:22pt;z-index:251706368;v-text-anchor:middle;mso-width-relative:page;mso-height-relative:page;" filled="f" stroked="t" coordsize="21600,21600" o:gfxdata="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NKtESnaAAAADQEAAA8AAAAAAAAAAQAgAAAAIgAAAGRycy9kb3ducmV2LnhtbFBLAQIUABQAAAAI&#10;AIdO4kDH8BoGXQIAALUEAAAOAAAAAAAAAAEAIAAAACkBAABkcnMvZTJvRG9jLnhtbFBLBQYAAAAA&#10;BgAGAFkBAAD4BQAAAAA=&#10;">
                <v:fill on="f" focussize="0,0"/>
                <v:stroke weight="2pt" color="#E22DE1 [2404]" joinstyle="round"/>
                <v:imagedata o:title=""/>
                <o:lock v:ext="edit" aspectratio="f"/>
              </v:rect>
            </w:pict>
          </mc:Fallback>
        </mc:AlternateContent>
      </w:r>
      <w:r>
        <w:rPr>
          <w:rFonts w:hint="default" w:ascii="Times New Roman" w:hAnsi="Times New Roman" w:cs="Times New Roman"/>
          <w:sz w:val="24"/>
        </w:rPr>
        <mc:AlternateContent>
          <mc:Choice Requires="wps">
            <w:drawing>
              <wp:anchor distT="0" distB="0" distL="114300" distR="114300" simplePos="0" relativeHeight="251705344" behindDoc="0" locked="0" layoutInCell="1" allowOverlap="1">
                <wp:simplePos x="0" y="0"/>
                <wp:positionH relativeFrom="column">
                  <wp:posOffset>6703695</wp:posOffset>
                </wp:positionH>
                <wp:positionV relativeFrom="paragraph">
                  <wp:posOffset>4343400</wp:posOffset>
                </wp:positionV>
                <wp:extent cx="279400" cy="109855"/>
                <wp:effectExtent l="12700" t="12700" r="12700" b="14605"/>
                <wp:wrapNone/>
                <wp:docPr id="94" name="矩形 94"/>
                <wp:cNvGraphicFramePr/>
                <a:graphic xmlns:a="http://schemas.openxmlformats.org/drawingml/2006/main">
                  <a:graphicData uri="http://schemas.microsoft.com/office/word/2010/wordprocessingShape">
                    <wps:wsp>
                      <wps:cNvSpPr/>
                      <wps:spPr>
                        <a:xfrm>
                          <a:off x="0" y="0"/>
                          <a:ext cx="279400" cy="109855"/>
                        </a:xfrm>
                        <a:prstGeom prst="rect">
                          <a:avLst/>
                        </a:prstGeom>
                        <a:noFill/>
                        <a:ln>
                          <a:solidFill>
                            <a:srgbClr val="3CE736"/>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7.85pt;margin-top:342pt;height:8.65pt;width:22pt;z-index:251705344;v-text-anchor:middle;mso-width-relative:page;mso-height-relative:page;" filled="f" stroked="t" coordsize="21600,21600" o:gfxdata="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DNKOvcAAAADQEAAA8AAAAAAAAAAQAgAAAAIgAAAGRycy9kb3ducmV2LnhtbFBLAQIUABQA&#10;AAAIAIdO4kADFG/UXgIAALUEAAAOAAAAAAAAAAEAIAAAACsBAABkcnMvZTJvRG9jLnhtbFBLBQYA&#10;AAAABgAGAFkBAAD7BQAAAAA=&#10;">
                <v:fill on="f" focussize="0,0"/>
                <v:stroke weight="2pt" color="#3CE736 [2404]" joinstyle="round"/>
                <v:imagedata o:title=""/>
                <o:lock v:ext="edit" aspectratio="f"/>
              </v:rect>
            </w:pict>
          </mc:Fallback>
        </mc:AlternateContent>
      </w:r>
      <w:r>
        <w:rPr>
          <w:rFonts w:hint="default" w:ascii="Times New Roman" w:hAnsi="Times New Roman" w:cs="Times New Roman"/>
          <w:sz w:val="24"/>
        </w:rPr>
        <mc:AlternateContent>
          <mc:Choice Requires="wps">
            <w:drawing>
              <wp:anchor distT="0" distB="0" distL="114300" distR="114300" simplePos="0" relativeHeight="251704320" behindDoc="0" locked="0" layoutInCell="1" allowOverlap="1">
                <wp:simplePos x="0" y="0"/>
                <wp:positionH relativeFrom="column">
                  <wp:posOffset>6704965</wp:posOffset>
                </wp:positionH>
                <wp:positionV relativeFrom="paragraph">
                  <wp:posOffset>4087495</wp:posOffset>
                </wp:positionV>
                <wp:extent cx="279400" cy="109855"/>
                <wp:effectExtent l="12700" t="12700" r="12700" b="14605"/>
                <wp:wrapNone/>
                <wp:docPr id="93" name="矩形 93"/>
                <wp:cNvGraphicFramePr/>
                <a:graphic xmlns:a="http://schemas.openxmlformats.org/drawingml/2006/main">
                  <a:graphicData uri="http://schemas.microsoft.com/office/word/2010/wordprocessingShape">
                    <wps:wsp>
                      <wps:cNvSpPr/>
                      <wps:spPr>
                        <a:xfrm>
                          <a:off x="0" y="0"/>
                          <a:ext cx="279400" cy="109855"/>
                        </a:xfrm>
                        <a:prstGeom prst="rect">
                          <a:avLst/>
                        </a:prstGeom>
                        <a:noFill/>
                        <a:ln>
                          <a:solidFill>
                            <a:srgbClr val="2F2DDD"/>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7.95pt;margin-top:321.85pt;height:8.65pt;width:22pt;z-index:251704320;v-text-anchor:middle;mso-width-relative:page;mso-height-relative:page;" filled="f" stroked="t" coordsize="21600,21600" o:gfxdata="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Xser9wAAAANAQAADwAAAAAAAAABACAAAAAiAAAAZHJzL2Rvd25yZXYueG1sUEsBAhQAFAAA&#10;AAgAh07iQPKdbF9dAgAAtQQAAA4AAAAAAAAAAQAgAAAAKwEAAGRycy9lMm9Eb2MueG1sUEsFBgAA&#10;AAAGAAYAWQEAAPoFAAAAAA==&#10;">
                <v:fill on="f" focussize="0,0"/>
                <v:stroke weight="2pt" color="#2F2DDD [2404]" joinstyle="round"/>
                <v:imagedata o:title=""/>
                <o:lock v:ext="edit" aspectratio="f"/>
              </v:rect>
            </w:pict>
          </mc:Fallback>
        </mc:AlternateContent>
      </w:r>
      <w:r>
        <w:rPr>
          <w:rFonts w:hint="default" w:ascii="Times New Roman" w:hAnsi="Times New Roman" w:cs="Times New Roman"/>
          <w:sz w:val="24"/>
        </w:rPr>
        <mc:AlternateContent>
          <mc:Choice Requires="wps">
            <w:drawing>
              <wp:anchor distT="0" distB="0" distL="114300" distR="114300" simplePos="0" relativeHeight="251702272" behindDoc="0" locked="0" layoutInCell="1" allowOverlap="1">
                <wp:simplePos x="0" y="0"/>
                <wp:positionH relativeFrom="column">
                  <wp:posOffset>6703060</wp:posOffset>
                </wp:positionH>
                <wp:positionV relativeFrom="paragraph">
                  <wp:posOffset>3830955</wp:posOffset>
                </wp:positionV>
                <wp:extent cx="279400" cy="109855"/>
                <wp:effectExtent l="12700" t="12700" r="12700" b="14605"/>
                <wp:wrapNone/>
                <wp:docPr id="92" name="矩形 92"/>
                <wp:cNvGraphicFramePr/>
                <a:graphic xmlns:a="http://schemas.openxmlformats.org/drawingml/2006/main">
                  <a:graphicData uri="http://schemas.microsoft.com/office/word/2010/wordprocessingShape">
                    <wps:wsp>
                      <wps:cNvSpPr/>
                      <wps:spPr>
                        <a:xfrm>
                          <a:off x="7920990" y="5180330"/>
                          <a:ext cx="279400" cy="109855"/>
                        </a:xfrm>
                        <a:prstGeom prst="rect">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27.8pt;margin-top:301.65pt;height:8.65pt;width:22pt;z-index:251702272;v-text-anchor:middle;mso-width-relative:page;mso-height-relative:page;" filled="f" stroked="t" coordsize="21600,21600" o:gfxdata="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AlOEa2gAAAA0BAAAPAAAAAAAAAAEAIAAAACIAAABkcnMvZG93bnJldi54bWxQ&#10;SwECFAAUAAAACACHTuJARbYiLWcCAADBBAAADgAAAAAAAAABACAAAAApAQAAZHJzL2Uyb0RvYy54&#10;bWxQSwUGAAAAAAYABgBZAQAAAgYAAAAA&#10;">
                <v:fill on="f" focussize="0,0"/>
                <v:stroke weight="2pt" color="#000000 [3213]" joinstyle="round"/>
                <v:imagedata o:title=""/>
                <o:lock v:ext="edit" aspectratio="f"/>
              </v:rect>
            </w:pict>
          </mc:Fallback>
        </mc:AlternateContent>
      </w:r>
      <w:r>
        <w:rPr>
          <w:rFonts w:hint="default" w:ascii="Times New Roman" w:hAnsi="Times New Roman" w:cs="Times New Roman"/>
          <w:kern w:val="0"/>
          <w:sz w:val="24"/>
          <w:lang w:val="en-US" w:eastAsia="zh-CN"/>
        </w:rPr>
        <mc:AlternateContent>
          <mc:Choice Requires="wps">
            <w:drawing>
              <wp:anchor distT="0" distB="0" distL="114300" distR="114300" simplePos="0" relativeHeight="251701248" behindDoc="0" locked="0" layoutInCell="1" allowOverlap="1">
                <wp:simplePos x="0" y="0"/>
                <wp:positionH relativeFrom="column">
                  <wp:posOffset>6554470</wp:posOffset>
                </wp:positionH>
                <wp:positionV relativeFrom="paragraph">
                  <wp:posOffset>3439160</wp:posOffset>
                </wp:positionV>
                <wp:extent cx="2038350" cy="1412240"/>
                <wp:effectExtent l="4445" t="4445" r="14605" b="15875"/>
                <wp:wrapNone/>
                <wp:docPr id="90" name="文本框 90"/>
                <wp:cNvGraphicFramePr/>
                <a:graphic xmlns:a="http://schemas.openxmlformats.org/drawingml/2006/main">
                  <a:graphicData uri="http://schemas.microsoft.com/office/word/2010/wordprocessingShape">
                    <wps:wsp>
                      <wps:cNvSpPr txBox="1"/>
                      <wps:spPr>
                        <a:xfrm>
                          <a:off x="0" y="0"/>
                          <a:ext cx="2038350" cy="14122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09F617">
                            <w:pPr>
                              <w:keepNext w:val="0"/>
                              <w:keepLines w:val="0"/>
                              <w:pageBreakBefore w:val="0"/>
                              <w:widowControl w:val="0"/>
                              <w:kinsoku/>
                              <w:wordWrap/>
                              <w:overflowPunct/>
                              <w:topLinePunct w:val="0"/>
                              <w:bidi w:val="0"/>
                              <w:adjustRightInd w:val="0"/>
                              <w:snapToGrid w:val="0"/>
                              <w:spacing w:line="360" w:lineRule="auto"/>
                              <w:jc w:val="center"/>
                              <w:textAlignment w:val="auto"/>
                              <w:rPr>
                                <w:b/>
                                <w:sz w:val="24"/>
                                <w:szCs w:val="32"/>
                              </w:rPr>
                            </w:pPr>
                            <w:r>
                              <w:rPr>
                                <w:rFonts w:hint="eastAsia"/>
                                <w:b/>
                                <w:sz w:val="24"/>
                                <w:szCs w:val="32"/>
                              </w:rPr>
                              <w:t>图</w:t>
                            </w:r>
                            <w:r>
                              <w:rPr>
                                <w:b/>
                                <w:sz w:val="24"/>
                                <w:szCs w:val="32"/>
                              </w:rPr>
                              <w:t xml:space="preserve">  </w:t>
                            </w:r>
                            <w:r>
                              <w:rPr>
                                <w:rFonts w:hint="eastAsia"/>
                                <w:b/>
                                <w:sz w:val="24"/>
                                <w:szCs w:val="32"/>
                              </w:rPr>
                              <w:t>例</w:t>
                            </w:r>
                          </w:p>
                          <w:p w14:paraId="43B0EC5D">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本项目厂区范围</w:t>
                            </w:r>
                          </w:p>
                          <w:p w14:paraId="1198EA9A">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sz w:val="21"/>
                                <w:szCs w:val="21"/>
                                <w:lang w:val="en-US" w:eastAsia="zh-CN"/>
                              </w:rPr>
                            </w:pPr>
                            <w:r>
                              <w:rPr>
                                <w:rFonts w:hint="eastAsia" w:eastAsia="宋体"/>
                                <w:sz w:val="21"/>
                                <w:szCs w:val="21"/>
                                <w:lang w:val="en-US" w:eastAsia="zh-CN"/>
                              </w:rPr>
                              <w:t>环境空气评价范围</w:t>
                            </w:r>
                          </w:p>
                          <w:p w14:paraId="34D2B66B">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cs="Times New Roman"/>
                                <w:sz w:val="21"/>
                                <w:szCs w:val="21"/>
                                <w:lang w:val="en-US" w:eastAsia="zh-CN"/>
                              </w:rPr>
                            </w:pPr>
                            <w:r>
                              <w:rPr>
                                <w:rFonts w:hint="eastAsia" w:eastAsia="宋体" w:cs="Times New Roman"/>
                                <w:sz w:val="21"/>
                                <w:szCs w:val="21"/>
                                <w:lang w:val="en-US" w:eastAsia="zh-CN"/>
                              </w:rPr>
                              <w:t>地下水评价范围</w:t>
                            </w:r>
                          </w:p>
                          <w:p w14:paraId="65BFF947">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cs="Times New Roman"/>
                                <w:sz w:val="21"/>
                                <w:szCs w:val="21"/>
                                <w:lang w:val="en-US" w:eastAsia="zh-CN"/>
                              </w:rPr>
                            </w:pPr>
                            <w:r>
                              <w:rPr>
                                <w:rFonts w:hint="eastAsia" w:eastAsia="宋体" w:cs="Times New Roman"/>
                                <w:sz w:val="21"/>
                                <w:szCs w:val="21"/>
                                <w:lang w:val="en-US" w:eastAsia="zh-CN"/>
                              </w:rPr>
                              <w:t>土壤及噪声评价范围</w:t>
                            </w:r>
                          </w:p>
                        </w:txbxContent>
                      </wps:txbx>
                      <wps:bodyPr upright="1"/>
                    </wps:wsp>
                  </a:graphicData>
                </a:graphic>
              </wp:anchor>
            </w:drawing>
          </mc:Choice>
          <mc:Fallback>
            <w:pict>
              <v:shape id="_x0000_s1026" o:spid="_x0000_s1026" o:spt="202" type="#_x0000_t202" style="position:absolute;left:0pt;margin-left:516.1pt;margin-top:270.8pt;height:111.2pt;width:160.5pt;z-index:251701248;mso-width-relative:page;mso-height-relative:page;" fillcolor="#FFFFFF" filled="t" stroked="t" coordsize="21600,21600" o:gfxdata="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KGJf8/bAAAADQEAAA8AAAAAAAAA&#10;AQAgAAAAIgAAAGRycy9kb3ducmV2LnhtbFBLAQIUABQAAAAIAIdO4kA7XFCcDgIAADkEAAAOAAAA&#10;AAAAAAEAIAAAACoBAABkcnMvZTJvRG9jLnhtbFBLBQYAAAAABgAGAFkBAACqBQAAAAA=&#10;">
                <v:fill on="t" focussize="0,0"/>
                <v:stroke color="#000000" joinstyle="miter"/>
                <v:imagedata o:title=""/>
                <o:lock v:ext="edit" aspectratio="f"/>
                <v:textbox>
                  <w:txbxContent>
                    <w:p w14:paraId="4209F617">
                      <w:pPr>
                        <w:keepNext w:val="0"/>
                        <w:keepLines w:val="0"/>
                        <w:pageBreakBefore w:val="0"/>
                        <w:widowControl w:val="0"/>
                        <w:kinsoku/>
                        <w:wordWrap/>
                        <w:overflowPunct/>
                        <w:topLinePunct w:val="0"/>
                        <w:bidi w:val="0"/>
                        <w:adjustRightInd w:val="0"/>
                        <w:snapToGrid w:val="0"/>
                        <w:spacing w:line="360" w:lineRule="auto"/>
                        <w:jc w:val="center"/>
                        <w:textAlignment w:val="auto"/>
                        <w:rPr>
                          <w:b/>
                          <w:sz w:val="24"/>
                          <w:szCs w:val="32"/>
                        </w:rPr>
                      </w:pPr>
                      <w:r>
                        <w:rPr>
                          <w:rFonts w:hint="eastAsia"/>
                          <w:b/>
                          <w:sz w:val="24"/>
                          <w:szCs w:val="32"/>
                        </w:rPr>
                        <w:t>图</w:t>
                      </w:r>
                      <w:r>
                        <w:rPr>
                          <w:b/>
                          <w:sz w:val="24"/>
                          <w:szCs w:val="32"/>
                        </w:rPr>
                        <w:t xml:space="preserve">  </w:t>
                      </w:r>
                      <w:r>
                        <w:rPr>
                          <w:rFonts w:hint="eastAsia"/>
                          <w:b/>
                          <w:sz w:val="24"/>
                          <w:szCs w:val="32"/>
                        </w:rPr>
                        <w:t>例</w:t>
                      </w:r>
                    </w:p>
                    <w:p w14:paraId="43B0EC5D">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本项目厂区范围</w:t>
                      </w:r>
                    </w:p>
                    <w:p w14:paraId="1198EA9A">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sz w:val="21"/>
                          <w:szCs w:val="21"/>
                          <w:lang w:val="en-US" w:eastAsia="zh-CN"/>
                        </w:rPr>
                      </w:pPr>
                      <w:r>
                        <w:rPr>
                          <w:rFonts w:hint="eastAsia" w:eastAsia="宋体"/>
                          <w:sz w:val="21"/>
                          <w:szCs w:val="21"/>
                          <w:lang w:val="en-US" w:eastAsia="zh-CN"/>
                        </w:rPr>
                        <w:t>环境空气评价范围</w:t>
                      </w:r>
                    </w:p>
                    <w:p w14:paraId="34D2B66B">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cs="Times New Roman"/>
                          <w:sz w:val="21"/>
                          <w:szCs w:val="21"/>
                          <w:lang w:val="en-US" w:eastAsia="zh-CN"/>
                        </w:rPr>
                      </w:pPr>
                      <w:r>
                        <w:rPr>
                          <w:rFonts w:hint="eastAsia" w:eastAsia="宋体" w:cs="Times New Roman"/>
                          <w:sz w:val="21"/>
                          <w:szCs w:val="21"/>
                          <w:lang w:val="en-US" w:eastAsia="zh-CN"/>
                        </w:rPr>
                        <w:t>地下水评价范围</w:t>
                      </w:r>
                    </w:p>
                    <w:p w14:paraId="65BFF947">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cs="Times New Roman"/>
                          <w:sz w:val="21"/>
                          <w:szCs w:val="21"/>
                          <w:lang w:val="en-US" w:eastAsia="zh-CN"/>
                        </w:rPr>
                      </w:pPr>
                      <w:r>
                        <w:rPr>
                          <w:rFonts w:hint="eastAsia" w:eastAsia="宋体" w:cs="Times New Roman"/>
                          <w:sz w:val="21"/>
                          <w:szCs w:val="21"/>
                          <w:lang w:val="en-US" w:eastAsia="zh-CN"/>
                        </w:rPr>
                        <w:t>土壤及噪声评价范围</w:t>
                      </w:r>
                    </w:p>
                  </w:txbxContent>
                </v:textbox>
              </v:shape>
            </w:pict>
          </mc:Fallback>
        </mc:AlternateContent>
      </w:r>
      <w:r>
        <w:rPr>
          <w:rFonts w:hint="default" w:ascii="Times New Roman" w:hAnsi="Times New Roman" w:cs="Times New Roman"/>
          <w:lang w:eastAsia="zh-CN"/>
        </w:rPr>
        <w:drawing>
          <wp:inline distT="0" distB="0" distL="114300" distR="114300">
            <wp:extent cx="8338185" cy="4860290"/>
            <wp:effectExtent l="9525" t="9525" r="19050" b="22225"/>
            <wp:docPr id="89" name="图片 89" descr="评价范围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评价范围图"/>
                    <pic:cNvPicPr>
                      <a:picLocks noChangeAspect="1"/>
                    </pic:cNvPicPr>
                  </pic:nvPicPr>
                  <pic:blipFill>
                    <a:blip r:embed="rId14"/>
                    <a:srcRect r="17197" b="560"/>
                    <a:stretch>
                      <a:fillRect/>
                    </a:stretch>
                  </pic:blipFill>
                  <pic:spPr>
                    <a:xfrm>
                      <a:off x="0" y="0"/>
                      <a:ext cx="8338185" cy="4860290"/>
                    </a:xfrm>
                    <a:prstGeom prst="rect">
                      <a:avLst/>
                    </a:prstGeom>
                    <a:ln>
                      <a:solidFill>
                        <a:schemeClr val="tx1"/>
                      </a:solidFill>
                    </a:ln>
                  </pic:spPr>
                </pic:pic>
              </a:graphicData>
            </a:graphic>
          </wp:inline>
        </w:drawing>
      </w:r>
    </w:p>
    <w:p w14:paraId="7AA32625">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eastAsia="宋体" w:cs="Times New Roman"/>
          <w:b/>
          <w:bCs/>
          <w:color w:val="000000"/>
          <w:sz w:val="24"/>
          <w:szCs w:val="24"/>
          <w:highlight w:val="none"/>
          <w:lang w:val="en-US" w:eastAsia="zh-CN"/>
        </w:rPr>
      </w:pPr>
      <w:r>
        <w:rPr>
          <w:rFonts w:hint="default" w:ascii="Times New Roman" w:hAnsi="Times New Roman" w:eastAsia="宋体" w:cs="Times New Roman"/>
          <w:b/>
          <w:bCs/>
          <w:color w:val="000000"/>
          <w:sz w:val="24"/>
          <w:szCs w:val="24"/>
          <w:highlight w:val="none"/>
          <w:lang w:val="en-US" w:eastAsia="zh-CN"/>
        </w:rPr>
        <w:t>图2.</w:t>
      </w:r>
      <w:r>
        <w:rPr>
          <w:rFonts w:hint="default" w:ascii="Times New Roman" w:hAnsi="Times New Roman" w:cs="Times New Roman"/>
          <w:b/>
          <w:bCs/>
          <w:color w:val="000000"/>
          <w:sz w:val="24"/>
          <w:szCs w:val="24"/>
          <w:highlight w:val="none"/>
          <w:lang w:val="en-US" w:eastAsia="zh-CN"/>
        </w:rPr>
        <w:t>7</w:t>
      </w:r>
      <w:r>
        <w:rPr>
          <w:rFonts w:hint="default" w:ascii="Times New Roman" w:hAnsi="Times New Roman" w:eastAsia="宋体" w:cs="Times New Roman"/>
          <w:b/>
          <w:bCs/>
          <w:color w:val="000000"/>
          <w:sz w:val="24"/>
          <w:szCs w:val="24"/>
          <w:highlight w:val="none"/>
          <w:lang w:val="en-US" w:eastAsia="zh-CN"/>
        </w:rPr>
        <w:t>-1 项目评价范围</w:t>
      </w:r>
      <w:r>
        <w:rPr>
          <w:rFonts w:hint="default" w:ascii="Times New Roman" w:hAnsi="Times New Roman" w:cs="Times New Roman"/>
          <w:b/>
          <w:bCs/>
          <w:color w:val="000000"/>
          <w:sz w:val="24"/>
          <w:szCs w:val="24"/>
          <w:highlight w:val="none"/>
          <w:lang w:val="en-US" w:eastAsia="zh-CN"/>
        </w:rPr>
        <w:t>及保护目标分布</w:t>
      </w:r>
      <w:r>
        <w:rPr>
          <w:rFonts w:hint="default" w:ascii="Times New Roman" w:hAnsi="Times New Roman" w:eastAsia="宋体" w:cs="Times New Roman"/>
          <w:b/>
          <w:bCs/>
          <w:color w:val="000000"/>
          <w:sz w:val="24"/>
          <w:szCs w:val="24"/>
          <w:highlight w:val="none"/>
          <w:lang w:val="en-US" w:eastAsia="zh-CN"/>
        </w:rPr>
        <w:t>图</w:t>
      </w:r>
    </w:p>
    <w:p w14:paraId="0D1E5B11">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sectPr>
          <w:pgSz w:w="16838" w:h="11906" w:orient="landscape"/>
          <w:pgMar w:top="1803" w:right="1440" w:bottom="1803" w:left="1440" w:header="1021" w:footer="1021" w:gutter="0"/>
          <w:pgBorders>
            <w:top w:val="none" w:sz="0" w:space="0"/>
            <w:left w:val="none" w:sz="0" w:space="0"/>
            <w:bottom w:val="none" w:sz="0" w:space="0"/>
            <w:right w:val="none" w:sz="0" w:space="0"/>
          </w:pgBorders>
          <w:pgNumType w:fmt="decimal"/>
          <w:cols w:space="720" w:num="1"/>
          <w:docGrid w:linePitch="312" w:charSpace="0"/>
        </w:sectPr>
      </w:pPr>
    </w:p>
    <w:p w14:paraId="747EF5DD">
      <w:pPr>
        <w:pStyle w:val="38"/>
        <w:keepNext w:val="0"/>
        <w:keepLines w:val="0"/>
        <w:pageBreakBefore w:val="0"/>
        <w:widowControl w:val="0"/>
        <w:kinsoku/>
        <w:wordWrap/>
        <w:overflowPunct/>
        <w:topLinePunct w:val="0"/>
        <w:autoSpaceDE/>
        <w:autoSpaceDN/>
        <w:bidi w:val="0"/>
        <w:adjustRightInd/>
        <w:snapToGrid/>
        <w:spacing w:after="0" w:line="240" w:lineRule="auto"/>
        <w:ind w:left="0" w:leftChars="0" w:right="0" w:rightChars="0" w:firstLine="0" w:firstLineChars="0"/>
        <w:jc w:val="center"/>
        <w:textAlignment w:val="auto"/>
        <w:rPr>
          <w:rFonts w:hint="default" w:ascii="Times New Roman" w:hAnsi="Times New Roman" w:cs="Times New Roman"/>
          <w:lang w:eastAsia="zh-CN"/>
        </w:rPr>
      </w:pPr>
      <w:r>
        <w:rPr>
          <w:rFonts w:hint="default" w:ascii="Times New Roman" w:hAnsi="Times New Roman" w:cs="Times New Roman"/>
        </w:rPr>
        <mc:AlternateContent>
          <mc:Choice Requires="wps">
            <w:drawing>
              <wp:anchor distT="0" distB="0" distL="114300" distR="114300" simplePos="0" relativeHeight="251692032" behindDoc="0" locked="0" layoutInCell="1" allowOverlap="1">
                <wp:simplePos x="0" y="0"/>
                <wp:positionH relativeFrom="column">
                  <wp:posOffset>1762125</wp:posOffset>
                </wp:positionH>
                <wp:positionV relativeFrom="paragraph">
                  <wp:posOffset>2150745</wp:posOffset>
                </wp:positionV>
                <wp:extent cx="1016000" cy="381000"/>
                <wp:effectExtent l="12700" t="12700" r="22860" b="246380"/>
                <wp:wrapNone/>
                <wp:docPr id="100" name="圆角矩形标注 100"/>
                <wp:cNvGraphicFramePr/>
                <a:graphic xmlns:a="http://schemas.openxmlformats.org/drawingml/2006/main">
                  <a:graphicData uri="http://schemas.microsoft.com/office/word/2010/wordprocessingShape">
                    <wps:wsp>
                      <wps:cNvSpPr/>
                      <wps:spPr>
                        <a:xfrm>
                          <a:off x="0" y="0"/>
                          <a:ext cx="1016000" cy="381000"/>
                        </a:xfrm>
                        <a:prstGeom prst="wedgeRoundRectCallout">
                          <a:avLst>
                            <a:gd name="adj1" fmla="val 42500"/>
                            <a:gd name="adj2" fmla="val 110000"/>
                            <a:gd name="adj3" fmla="val 16667"/>
                          </a:avLst>
                        </a:prstGeom>
                        <a:solidFill>
                          <a:srgbClr val="000000">
                            <a:alpha val="0"/>
                          </a:srgbClr>
                        </a:solidFill>
                        <a:ln>
                          <a:solidFill>
                            <a:srgbClr val="FF0000"/>
                          </a:solidFill>
                        </a:ln>
                      </wps:spPr>
                      <wps:style>
                        <a:lnRef idx="2">
                          <a:schemeClr val="accent1"/>
                        </a:lnRef>
                        <a:fillRef idx="2">
                          <a:schemeClr val="accent1"/>
                        </a:fillRef>
                        <a:effectRef idx="0">
                          <a:srgbClr val="FFFFFF"/>
                        </a:effectRef>
                        <a:fontRef idx="minor">
                          <a:schemeClr val="lt1"/>
                        </a:fontRef>
                      </wps:style>
                      <wps:txbx>
                        <w:txbxContent>
                          <w:p w14:paraId="77364FBB">
                            <w:pPr>
                              <w:jc w:val="center"/>
                              <w:rPr>
                                <w:b/>
                                <w:bCs/>
                                <w:color w:val="FF0000"/>
                                <w:sz w:val="24"/>
                              </w:rPr>
                            </w:pPr>
                            <w:r>
                              <w:rPr>
                                <w:rFonts w:hint="eastAsia"/>
                                <w:b/>
                                <w:bCs/>
                                <w:color w:val="FF0000"/>
                                <w:sz w:val="24"/>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138.75pt;margin-top:169.35pt;height:30pt;width:80pt;z-index:251692032;v-text-anchor:middle;mso-width-relative:page;mso-height-relative:page;" fillcolor="#000000" filled="t" stroked="t" coordsize="21600,21600" o:gfxdata="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P6tzTXYAAAACwEA&#10;AA8AAAAAAAAAAQAgAAAAIgAAAGRycy9kb3ducmV2LnhtbFBLAQIUABQAAAAIAIdO4kDwSKocxQIA&#10;AJwFAAAOAAAAAAAAAAEAIAAAACcBAABkcnMvZTJvRG9jLnhtbFBLBQYAAAAABgAGAFkBAABeBgAA&#10;AAA=&#10;" adj="19980,34560,14400">
                <v:fill on="t" opacity="0f" focussize="0,0"/>
                <v:stroke weight="2pt" color="#FF0000 [3204]" joinstyle="round"/>
                <v:imagedata o:title=""/>
                <o:lock v:ext="edit" aspectratio="f"/>
                <v:textbox>
                  <w:txbxContent>
                    <w:p w14:paraId="77364FBB">
                      <w:pPr>
                        <w:jc w:val="center"/>
                        <w:rPr>
                          <w:b/>
                          <w:bCs/>
                          <w:color w:val="FF0000"/>
                          <w:sz w:val="24"/>
                        </w:rPr>
                      </w:pPr>
                      <w:r>
                        <w:rPr>
                          <w:rFonts w:hint="eastAsia"/>
                          <w:b/>
                          <w:bCs/>
                          <w:color w:val="FF0000"/>
                          <w:sz w:val="24"/>
                        </w:rPr>
                        <w:t>项目所在地</w:t>
                      </w:r>
                    </w:p>
                  </w:txbxContent>
                </v:textbox>
              </v:shape>
            </w:pict>
          </mc:Fallback>
        </mc:AlternateContent>
      </w:r>
      <w:r>
        <w:rPr>
          <w:rFonts w:hint="default" w:ascii="Times New Roman" w:hAnsi="Times New Roman" w:cs="Times New Roman"/>
        </w:rPr>
        <mc:AlternateContent>
          <mc:Choice Requires="wps">
            <w:drawing>
              <wp:anchor distT="0" distB="0" distL="114300" distR="114300" simplePos="0" relativeHeight="251691008" behindDoc="0" locked="0" layoutInCell="1" allowOverlap="1">
                <wp:simplePos x="0" y="0"/>
                <wp:positionH relativeFrom="column">
                  <wp:posOffset>2673350</wp:posOffset>
                </wp:positionH>
                <wp:positionV relativeFrom="paragraph">
                  <wp:posOffset>2725420</wp:posOffset>
                </wp:positionV>
                <wp:extent cx="76200" cy="76200"/>
                <wp:effectExtent l="12700" t="12700" r="17780" b="17780"/>
                <wp:wrapNone/>
                <wp:docPr id="99" name="五角星 99"/>
                <wp:cNvGraphicFramePr/>
                <a:graphic xmlns:a="http://schemas.openxmlformats.org/drawingml/2006/main">
                  <a:graphicData uri="http://schemas.microsoft.com/office/word/2010/wordprocessingShape">
                    <wps:wsp>
                      <wps:cNvSpPr/>
                      <wps:spPr>
                        <a:xfrm>
                          <a:off x="0" y="0"/>
                          <a:ext cx="76200" cy="76200"/>
                        </a:xfrm>
                        <a:prstGeom prst="star5">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EE5FF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style="position:absolute;left:0pt;margin-left:210.5pt;margin-top:214.6pt;height:6pt;width:6pt;z-index:251691008;v-text-anchor:middle;mso-width-relative:page;mso-height-relative:page;" fillcolor="#FF0000" filled="t" stroked="t" coordsize="76200,76200" o:gfxdata="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DqLuN7XAAAACwEAAA8AAAAAAAAAAQAgAAAAIgAAAGRycy9kb3ducmV2LnhtbFBL&#10;AQIUABQAAAAIAIdO4kB0kceCaQIAAOsEAAAOAAAAAAAAAAEAIAAAACYBAABkcnMvZTJvRG9jLnht&#10;bFBLBQYAAAAABgAGAFkBAAABBgAAAAA=&#10;" path="m0,29105l29105,29105,38100,0,47094,29105,76199,29105,52652,47093,61647,76199,38100,58211,14552,76199,23547,47093xe">
                <v:path textboxrect="0,0,76200,76200" o:connectlocs="38100,0;0,29105;14552,76199;61647,76199;76199,29105" o:connectangles="247,164,82,82,0"/>
                <v:fill on="t" focussize="0,0"/>
                <v:stroke weight="2pt" color="#FF0000 [3204]" joinstyle="round"/>
                <v:imagedata o:title=""/>
                <o:lock v:ext="edit" aspectratio="f"/>
                <v:textbox>
                  <w:txbxContent>
                    <w:p w14:paraId="0CEE5FFA">
                      <w:pPr>
                        <w:jc w:val="center"/>
                      </w:pPr>
                    </w:p>
                  </w:txbxContent>
                </v:textbox>
              </v:shape>
            </w:pict>
          </mc:Fallback>
        </mc:AlternateContent>
      </w:r>
      <w:r>
        <w:rPr>
          <w:rFonts w:hint="default" w:ascii="Times New Roman" w:hAnsi="Times New Roman" w:cs="Times New Roman"/>
        </w:rPr>
        <w:drawing>
          <wp:inline distT="0" distB="0" distL="114300" distR="114300">
            <wp:extent cx="7140575" cy="5046345"/>
            <wp:effectExtent l="0" t="0" r="0" b="0"/>
            <wp:docPr id="36" name="图片 36" descr="生态功能区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生态功能区划"/>
                    <pic:cNvPicPr>
                      <a:picLocks noChangeAspect="1"/>
                    </pic:cNvPicPr>
                  </pic:nvPicPr>
                  <pic:blipFill>
                    <a:blip r:embed="rId15"/>
                    <a:srcRect l="6607" t="4777" r="1664" b="3531"/>
                    <a:stretch>
                      <a:fillRect/>
                    </a:stretch>
                  </pic:blipFill>
                  <pic:spPr>
                    <a:xfrm>
                      <a:off x="0" y="0"/>
                      <a:ext cx="7140575" cy="5046345"/>
                    </a:xfrm>
                    <a:prstGeom prst="rect">
                      <a:avLst/>
                    </a:prstGeom>
                  </pic:spPr>
                </pic:pic>
              </a:graphicData>
            </a:graphic>
          </wp:inline>
        </w:drawing>
      </w:r>
    </w:p>
    <w:p w14:paraId="33AAD1E4">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图2.8-1 项目生态功能区划图</w:t>
      </w:r>
    </w:p>
    <w:p w14:paraId="6FAC101F">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sectPr>
          <w:pgSz w:w="16838" w:h="11906" w:orient="landscape"/>
          <w:pgMar w:top="1803" w:right="1440" w:bottom="1803" w:left="1440" w:header="1021" w:footer="1021" w:gutter="0"/>
          <w:pgBorders>
            <w:top w:val="none" w:sz="0" w:space="0"/>
            <w:left w:val="none" w:sz="0" w:space="0"/>
            <w:bottom w:val="none" w:sz="0" w:space="0"/>
            <w:right w:val="none" w:sz="0" w:space="0"/>
          </w:pgBorders>
          <w:pgNumType w:fmt="decimal"/>
          <w:cols w:space="720" w:num="1"/>
          <w:docGrid w:linePitch="312" w:charSpace="0"/>
        </w:sectPr>
      </w:pPr>
    </w:p>
    <w:p w14:paraId="6591FBB7">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64" w:name="_Toc5187"/>
      <w:bookmarkStart w:id="65" w:name="_Toc29362"/>
      <w:bookmarkStart w:id="66" w:name="_Toc6258"/>
      <w:r>
        <w:rPr>
          <w:rFonts w:hint="default" w:ascii="Times New Roman" w:hAnsi="Times New Roman" w:eastAsia="宋体" w:cs="Times New Roman"/>
          <w:sz w:val="24"/>
          <w:szCs w:val="18"/>
          <w:highlight w:val="none"/>
        </w:rPr>
        <w:t>2.</w:t>
      </w:r>
      <w:r>
        <w:rPr>
          <w:rFonts w:hint="default" w:ascii="Times New Roman" w:hAnsi="Times New Roman" w:cs="Times New Roman"/>
          <w:sz w:val="24"/>
          <w:szCs w:val="18"/>
          <w:highlight w:val="none"/>
          <w:lang w:val="en-US" w:eastAsia="zh-CN"/>
        </w:rPr>
        <w:t>9</w:t>
      </w:r>
      <w:r>
        <w:rPr>
          <w:rFonts w:hint="default" w:ascii="Times New Roman" w:hAnsi="Times New Roman" w:eastAsia="宋体" w:cs="Times New Roman"/>
          <w:sz w:val="24"/>
          <w:szCs w:val="18"/>
          <w:highlight w:val="none"/>
          <w:lang w:val="en-US" w:eastAsia="zh-CN"/>
        </w:rPr>
        <w:t>产业政策及规划符合性分析</w:t>
      </w:r>
      <w:bookmarkEnd w:id="64"/>
      <w:bookmarkEnd w:id="65"/>
      <w:bookmarkEnd w:id="66"/>
    </w:p>
    <w:p w14:paraId="020FF618">
      <w:pPr>
        <w:pStyle w:val="203"/>
        <w:keepNext w:val="0"/>
        <w:keepLines w:val="0"/>
        <w:pageBreakBefore w:val="0"/>
        <w:widowControl w:val="0"/>
        <w:kinsoku/>
        <w:wordWrap/>
        <w:overflowPunct/>
        <w:topLinePunct w:val="0"/>
        <w:autoSpaceDE/>
        <w:autoSpaceDN/>
        <w:bidi w:val="0"/>
        <w:adjustRightInd w:val="0"/>
        <w:snapToGrid w:val="0"/>
        <w:spacing w:before="0" w:beforeLines="0" w:line="360" w:lineRule="auto"/>
        <w:ind w:firstLine="480" w:firstLineChars="200"/>
        <w:jc w:val="both"/>
        <w:textAlignment w:val="auto"/>
        <w:rPr>
          <w:rFonts w:hint="default" w:ascii="Times New Roman" w:hAnsi="Times New Roman" w:cs="Times New Roman"/>
          <w:b w:val="0"/>
          <w:bCs w:val="0"/>
          <w:highlight w:val="none"/>
        </w:rPr>
      </w:pPr>
      <w:r>
        <w:rPr>
          <w:rFonts w:hint="default" w:ascii="Times New Roman" w:hAnsi="Times New Roman" w:cs="Times New Roman"/>
          <w:b w:val="0"/>
          <w:bCs w:val="0"/>
          <w:highlight w:val="none"/>
        </w:rPr>
        <w:t>本项目为水泥窑协同处置危险废物项目，属于《产业结构调整指导目录（2024年本）》（2023年12月1日，中华人民共和国国家发展和改革委员会令第7号）鼓励类中“十二、建材-1.建筑材料等矿产资源的共伴生矿产综合开发利用、水泥原燃材料替代及协同处置技术；四十二、环境保护与资源节约综合利用-6.危险废物（医疗废物）无害化处置和高效利用技术设备开发制造、利用处置中心建设和（或）运营”，符合国家及地方产业政策要求。</w:t>
      </w:r>
    </w:p>
    <w:p w14:paraId="115F2CB5">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rPr>
        <w:t>2.</w:t>
      </w:r>
      <w:r>
        <w:rPr>
          <w:rFonts w:hint="default" w:ascii="Times New Roman" w:hAnsi="Times New Roman" w:cs="Times New Roman"/>
          <w:b/>
          <w:bCs w:val="0"/>
          <w:kern w:val="2"/>
          <w:sz w:val="24"/>
          <w:szCs w:val="24"/>
          <w:highlight w:val="none"/>
          <w:lang w:val="en-US" w:eastAsia="zh-CN"/>
        </w:rPr>
        <w:t>9</w:t>
      </w:r>
      <w:r>
        <w:rPr>
          <w:rFonts w:hint="default" w:ascii="Times New Roman" w:hAnsi="Times New Roman" w:eastAsia="宋体" w:cs="Times New Roman"/>
          <w:b/>
          <w:bCs w:val="0"/>
          <w:kern w:val="2"/>
          <w:sz w:val="24"/>
          <w:szCs w:val="24"/>
          <w:highlight w:val="none"/>
        </w:rPr>
        <w:t>.1</w:t>
      </w:r>
      <w:r>
        <w:rPr>
          <w:rFonts w:hint="eastAsia" w:cs="Times New Roman"/>
          <w:b/>
          <w:bCs w:val="0"/>
          <w:kern w:val="2"/>
          <w:sz w:val="24"/>
          <w:szCs w:val="24"/>
          <w:highlight w:val="none"/>
          <w:lang w:val="en-US" w:eastAsia="zh-CN"/>
        </w:rPr>
        <w:t>相关</w:t>
      </w:r>
      <w:r>
        <w:rPr>
          <w:rFonts w:hint="default" w:ascii="Times New Roman" w:hAnsi="Times New Roman" w:eastAsia="宋体" w:cs="Times New Roman"/>
          <w:b/>
          <w:bCs w:val="0"/>
          <w:kern w:val="2"/>
          <w:sz w:val="24"/>
          <w:szCs w:val="24"/>
          <w:highlight w:val="none"/>
        </w:rPr>
        <w:t>产业政策</w:t>
      </w:r>
      <w:r>
        <w:rPr>
          <w:rFonts w:hint="eastAsia" w:cs="Times New Roman"/>
          <w:b/>
          <w:bCs w:val="0"/>
          <w:kern w:val="2"/>
          <w:sz w:val="24"/>
          <w:szCs w:val="24"/>
          <w:highlight w:val="none"/>
          <w:lang w:val="en-US" w:eastAsia="zh-CN"/>
        </w:rPr>
        <w:t>符合性分析</w:t>
      </w:r>
    </w:p>
    <w:p w14:paraId="70FDA960">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r>
        <w:rPr>
          <w:rFonts w:hint="default" w:ascii="Times New Roman" w:hAnsi="Times New Roman" w:cs="Times New Roman"/>
          <w:b/>
          <w:bCs/>
        </w:rPr>
        <w:t>表</w:t>
      </w:r>
      <w:r>
        <w:rPr>
          <w:rFonts w:hint="default" w:ascii="Times New Roman" w:hAnsi="Times New Roman" w:cs="Times New Roman"/>
          <w:b/>
          <w:bCs/>
          <w:lang w:val="en-US" w:eastAsia="zh-CN"/>
        </w:rPr>
        <w:t>2.</w:t>
      </w:r>
      <w:r>
        <w:rPr>
          <w:rFonts w:hint="eastAsia" w:cs="Times New Roman"/>
          <w:b/>
          <w:bCs/>
          <w:lang w:val="en-US" w:eastAsia="zh-CN"/>
        </w:rPr>
        <w:t>9</w:t>
      </w:r>
      <w:r>
        <w:rPr>
          <w:rFonts w:hint="default" w:ascii="Times New Roman" w:hAnsi="Times New Roman" w:cs="Times New Roman"/>
          <w:b/>
          <w:bCs/>
          <w:lang w:val="en-US" w:eastAsia="zh-CN"/>
        </w:rPr>
        <w:t>-1</w:t>
      </w:r>
      <w:r>
        <w:rPr>
          <w:rFonts w:hint="default" w:ascii="Times New Roman" w:hAnsi="Times New Roman" w:cs="Times New Roman"/>
          <w:b/>
          <w:bCs/>
        </w:rPr>
        <w:t xml:space="preserve"> </w:t>
      </w:r>
      <w:r>
        <w:rPr>
          <w:rFonts w:hint="eastAsia" w:cs="Times New Roman"/>
          <w:b/>
          <w:bCs/>
          <w:lang w:val="en-US" w:eastAsia="zh-CN"/>
        </w:rPr>
        <w:t>项目与</w:t>
      </w:r>
      <w:r>
        <w:rPr>
          <w:rFonts w:hint="default" w:ascii="Times New Roman" w:hAnsi="Times New Roman" w:cs="Times New Roman"/>
          <w:b/>
          <w:bCs/>
        </w:rPr>
        <w:t>相关产业政策符合性分析</w:t>
      </w:r>
    </w:p>
    <w:tbl>
      <w:tblPr>
        <w:tblStyle w:val="39"/>
        <w:tblW w:w="4878" w:type="pct"/>
        <w:tblInd w:w="108"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68"/>
        <w:gridCol w:w="787"/>
        <w:gridCol w:w="89"/>
        <w:gridCol w:w="4264"/>
        <w:gridCol w:w="1889"/>
        <w:gridCol w:w="609"/>
        <w:gridCol w:w="1"/>
        <w:gridCol w:w="1"/>
      </w:tblGrid>
      <w:tr w14:paraId="4915C92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1" w:type="pct"/>
        </w:trPr>
        <w:tc>
          <w:tcPr>
            <w:tcW w:w="402" w:type="pct"/>
            <w:tcBorders>
              <w:tl2br w:val="nil"/>
              <w:tr2bl w:val="nil"/>
            </w:tcBorders>
            <w:tcMar>
              <w:left w:w="108" w:type="dxa"/>
              <w:right w:w="108" w:type="dxa"/>
            </w:tcMar>
            <w:vAlign w:val="center"/>
          </w:tcPr>
          <w:p w14:paraId="3DC193C5">
            <w:pPr>
              <w:pStyle w:val="52"/>
              <w:spacing w:before="0" w:after="0" w:line="240" w:lineRule="auto"/>
              <w:ind w:left="0" w:firstLine="0"/>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文件名称</w:t>
            </w:r>
          </w:p>
        </w:tc>
        <w:tc>
          <w:tcPr>
            <w:tcW w:w="3093" w:type="pct"/>
            <w:gridSpan w:val="3"/>
            <w:tcBorders>
              <w:tl2br w:val="nil"/>
              <w:tr2bl w:val="nil"/>
            </w:tcBorders>
            <w:tcMar>
              <w:left w:w="108" w:type="dxa"/>
              <w:right w:w="108" w:type="dxa"/>
            </w:tcMar>
            <w:vAlign w:val="center"/>
          </w:tcPr>
          <w:p w14:paraId="3F69997E">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文件</w:t>
            </w:r>
            <w:r>
              <w:rPr>
                <w:rFonts w:hint="default" w:ascii="Times New Roman" w:hAnsi="Times New Roman" w:cs="Times New Roman"/>
                <w:b/>
                <w:bCs/>
                <w:color w:val="000000" w:themeColor="text1"/>
                <w:sz w:val="21"/>
                <w:szCs w:val="21"/>
                <w14:textFill>
                  <w14:solidFill>
                    <w14:schemeClr w14:val="tx1"/>
                  </w14:solidFill>
                </w14:textFill>
              </w:rPr>
              <w:t>要求</w:t>
            </w:r>
          </w:p>
        </w:tc>
        <w:tc>
          <w:tcPr>
            <w:tcW w:w="1137" w:type="pct"/>
            <w:tcBorders>
              <w:tl2br w:val="nil"/>
              <w:tr2bl w:val="nil"/>
            </w:tcBorders>
            <w:tcMar>
              <w:left w:w="108" w:type="dxa"/>
              <w:right w:w="108" w:type="dxa"/>
            </w:tcMar>
            <w:vAlign w:val="center"/>
          </w:tcPr>
          <w:p w14:paraId="184CFE6D">
            <w:pPr>
              <w:pStyle w:val="52"/>
              <w:spacing w:before="0" w:after="0" w:line="240" w:lineRule="auto"/>
              <w:ind w:left="0" w:firstLine="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项目</w:t>
            </w:r>
            <w:r>
              <w:rPr>
                <w:rFonts w:hint="default" w:ascii="Times New Roman" w:hAnsi="Times New Roman" w:cs="Times New Roman"/>
                <w:b/>
                <w:bCs/>
                <w:color w:val="000000" w:themeColor="text1"/>
                <w:sz w:val="21"/>
                <w:szCs w:val="21"/>
                <w:lang w:val="en-US" w:eastAsia="zh-CN"/>
                <w14:textFill>
                  <w14:solidFill>
                    <w14:schemeClr w14:val="tx1"/>
                  </w14:solidFill>
                </w14:textFill>
              </w:rPr>
              <w:t>情况</w:t>
            </w:r>
          </w:p>
        </w:tc>
        <w:tc>
          <w:tcPr>
            <w:tcW w:w="366" w:type="pct"/>
            <w:tcBorders>
              <w:tl2br w:val="nil"/>
              <w:tr2bl w:val="nil"/>
            </w:tcBorders>
            <w:tcMar>
              <w:left w:w="108" w:type="dxa"/>
              <w:right w:w="108" w:type="dxa"/>
            </w:tcMar>
            <w:vAlign w:val="center"/>
          </w:tcPr>
          <w:p w14:paraId="4D85A850">
            <w:pPr>
              <w:pStyle w:val="52"/>
              <w:spacing w:before="0" w:after="0" w:line="240" w:lineRule="auto"/>
              <w:ind w:left="0" w:leftChars="0" w:right="0" w:rightChars="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符合性分析</w:t>
            </w:r>
          </w:p>
        </w:tc>
      </w:tr>
      <w:tr w14:paraId="2BE30E1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1" w:type="pct"/>
        </w:trPr>
        <w:tc>
          <w:tcPr>
            <w:tcW w:w="402" w:type="pct"/>
            <w:vMerge w:val="restart"/>
            <w:tcBorders>
              <w:tl2br w:val="nil"/>
              <w:tr2bl w:val="nil"/>
            </w:tcBorders>
            <w:tcMar>
              <w:left w:w="108" w:type="dxa"/>
              <w:right w:w="108" w:type="dxa"/>
            </w:tcMar>
            <w:vAlign w:val="center"/>
          </w:tcPr>
          <w:p w14:paraId="6F936444">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《水泥窑协同处置固体废物污染控制标准》(GB30485-2013)</w:t>
            </w:r>
          </w:p>
        </w:tc>
        <w:tc>
          <w:tcPr>
            <w:tcW w:w="527" w:type="pct"/>
            <w:gridSpan w:val="2"/>
            <w:tcBorders>
              <w:tl2br w:val="nil"/>
              <w:tr2bl w:val="nil"/>
            </w:tcBorders>
            <w:tcMar>
              <w:left w:w="108" w:type="dxa"/>
              <w:right w:w="108" w:type="dxa"/>
            </w:tcMar>
            <w:vAlign w:val="center"/>
          </w:tcPr>
          <w:p w14:paraId="6872A180">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协同处置设施</w:t>
            </w:r>
          </w:p>
        </w:tc>
        <w:tc>
          <w:tcPr>
            <w:tcW w:w="2566" w:type="pct"/>
            <w:tcBorders>
              <w:tl2br w:val="nil"/>
              <w:tr2bl w:val="nil"/>
            </w:tcBorders>
            <w:tcMar>
              <w:left w:w="108" w:type="dxa"/>
              <w:right w:w="108" w:type="dxa"/>
            </w:tcMar>
            <w:vAlign w:val="center"/>
          </w:tcPr>
          <w:p w14:paraId="6D51FE4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4.1用于协同处置固体废物的水泥窑应满足以下条件：</w:t>
            </w:r>
          </w:p>
          <w:p w14:paraId="3FCC4C8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a）单线设计熟料生产规模不小于2000吨/天的新型干法水泥窑；</w:t>
            </w:r>
          </w:p>
          <w:p w14:paraId="49D4DC7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b）采用窑磨一体机模式；</w:t>
            </w:r>
          </w:p>
          <w:p w14:paraId="4933CBB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c）水泥窑及窑尾余热利用系统采用高效布袋除尘器作为烟气除尘设施；</w:t>
            </w:r>
          </w:p>
          <w:p w14:paraId="3211EAA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d）协同处置危险废物的水泥窑，按HJ662要求测定的焚毁去除率应不小于99.9999%；</w:t>
            </w:r>
          </w:p>
          <w:p w14:paraId="30E93A8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e）对于改造利用原有设施协同处置固体废物的水泥窑，在进行改造之前原有设施应连续两年达到GB4915的要求。</w:t>
            </w:r>
          </w:p>
          <w:p w14:paraId="0BFD01B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4.2用于协同处置固体废物的水泥窑所处位置应满足以下条件：</w:t>
            </w:r>
          </w:p>
          <w:p w14:paraId="16A28DD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a）符合城市总体发展规划、城市工业发展规划要求；</w:t>
            </w:r>
          </w:p>
          <w:p w14:paraId="1D69253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b）所在区域无洪水、潮水或内涝威胁。设施所在标高应位于重现期不小于100年一遇的洪水位之上，并建设在现有和各类规划中的水库等人工蓄水设施的淹没区和保护区之外。</w:t>
            </w:r>
          </w:p>
          <w:p w14:paraId="14DFBCA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4.3应有专门的固体废物贮存设施。</w:t>
            </w:r>
          </w:p>
          <w:p w14:paraId="016C7DC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危险废物贮存设施应满足GB18597和HJ/T176的规定。</w:t>
            </w:r>
          </w:p>
          <w:p w14:paraId="4C41EC0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生活垃圾和城市污水处理厂污泥的贮存设施应有良好的防渗性能并设置污水收集装置；贮存设施应采用封闭措施，保证其中有生活垃圾或污泥存放时处于负压状态；贮存设施内抽取的空气应导入水泥窑高温区焚烧处理，或经过其他处理措施达标后排放。</w:t>
            </w:r>
          </w:p>
          <w:p w14:paraId="77ADDF6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前述两款规定之外的其他固体废物的贮存设施应有良好的防渗性能，以及必要的防雨、防尘功能。</w:t>
            </w:r>
          </w:p>
          <w:p w14:paraId="6466BCF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4.4应</w:t>
            </w:r>
            <w:r>
              <w:rPr>
                <w:rFonts w:hint="default" w:ascii="Times New Roman" w:hAnsi="Times New Roman" w:cs="Times New Roman"/>
                <w:color w:val="000000" w:themeColor="text1"/>
                <w:sz w:val="21"/>
                <w:szCs w:val="21"/>
                <w:highlight w:val="none"/>
                <w14:textFill>
                  <w14:solidFill>
                    <w14:schemeClr w14:val="tx1"/>
                  </w14:solidFill>
                </w14:textFill>
              </w:rPr>
              <w:t>根据所需要协同处置的固体废物特性设置专用固体废物投加设施</w:t>
            </w:r>
            <w:r>
              <w:rPr>
                <w:rFonts w:hint="default" w:ascii="Times New Roman" w:hAnsi="Times New Roman" w:cs="Times New Roman"/>
                <w:color w:val="000000" w:themeColor="text1"/>
                <w:sz w:val="21"/>
                <w:szCs w:val="21"/>
                <w14:textFill>
                  <w14:solidFill>
                    <w14:schemeClr w14:val="tx1"/>
                  </w14:solidFill>
                </w14:textFill>
              </w:rPr>
              <w:t>。固体废物投加设施应满足HJ662的要求。</w:t>
            </w:r>
          </w:p>
          <w:p w14:paraId="4C5A226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固体废物的协同处置应确保不会对水泥生产和污染控制产生不利影响。如果无法满足这一要求，应根据所需要协同处置固体废物的特性设置必要的预处理设施对其进行预处理；如果经过预处理后仍然无法满足这一要求，则不应在水泥窑中处置这类废物。</w:t>
            </w:r>
          </w:p>
        </w:tc>
        <w:tc>
          <w:tcPr>
            <w:tcW w:w="1137" w:type="pct"/>
            <w:tcBorders>
              <w:tl2br w:val="nil"/>
              <w:tr2bl w:val="nil"/>
            </w:tcBorders>
            <w:tcMar>
              <w:left w:w="108" w:type="dxa"/>
              <w:right w:w="108" w:type="dxa"/>
            </w:tcMar>
            <w:vAlign w:val="center"/>
          </w:tcPr>
          <w:p w14:paraId="78D28AD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为单线设计熟料生产规模3200吨/天的新型干法水泥窑；采用窑磨一体机模式；水泥窑及窑尾余热利用系统采用电除尘+高效布袋除尘器作为烟气除尘设施；本项目水泥窑按HJ662要求测定的焚毁去除率应不小于99.9999%；现有水泥窑连续两年达到GB4915的要求。</w:t>
            </w:r>
          </w:p>
          <w:p w14:paraId="3B70813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不设置专门存放危险废物的贮存设施</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设置有专门的危废投加设施并满足HJ662的要求；</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本项目所收集</w:t>
            </w:r>
            <w:r>
              <w:rPr>
                <w:rFonts w:hint="default" w:ascii="Times New Roman" w:hAnsi="Times New Roman" w:cs="Times New Roman"/>
                <w:color w:val="000000" w:themeColor="text1"/>
                <w:sz w:val="21"/>
                <w:szCs w:val="21"/>
                <w:highlight w:val="none"/>
                <w14:textFill>
                  <w14:solidFill>
                    <w14:schemeClr w14:val="tx1"/>
                  </w14:solidFill>
                </w14:textFill>
              </w:rPr>
              <w:t>固体废物的协同处置不会对水泥生产和污染控制产生不利影响</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无需预处理</w:t>
            </w:r>
          </w:p>
        </w:tc>
        <w:tc>
          <w:tcPr>
            <w:tcW w:w="366" w:type="pct"/>
            <w:tcBorders>
              <w:tl2br w:val="nil"/>
              <w:tr2bl w:val="nil"/>
            </w:tcBorders>
            <w:tcMar>
              <w:left w:w="108" w:type="dxa"/>
              <w:right w:w="108" w:type="dxa"/>
            </w:tcMar>
            <w:vAlign w:val="center"/>
          </w:tcPr>
          <w:p w14:paraId="6098B8B1">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1BD2894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1" w:type="pct"/>
        </w:trPr>
        <w:tc>
          <w:tcPr>
            <w:tcW w:w="402" w:type="pct"/>
            <w:vMerge w:val="continue"/>
            <w:tcBorders>
              <w:tl2br w:val="nil"/>
              <w:tr2bl w:val="nil"/>
            </w:tcBorders>
            <w:tcMar>
              <w:left w:w="108" w:type="dxa"/>
              <w:right w:w="108" w:type="dxa"/>
            </w:tcMar>
            <w:vAlign w:val="center"/>
          </w:tcPr>
          <w:p w14:paraId="61DE67A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527" w:type="pct"/>
            <w:gridSpan w:val="2"/>
            <w:tcBorders>
              <w:tl2br w:val="nil"/>
              <w:tr2bl w:val="nil"/>
            </w:tcBorders>
            <w:tcMar>
              <w:left w:w="108" w:type="dxa"/>
              <w:right w:w="108" w:type="dxa"/>
            </w:tcMar>
            <w:vAlign w:val="center"/>
          </w:tcPr>
          <w:p w14:paraId="1A165E7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入窑协同处置危险废物特性</w:t>
            </w:r>
          </w:p>
        </w:tc>
        <w:tc>
          <w:tcPr>
            <w:tcW w:w="2566" w:type="pct"/>
            <w:tcBorders>
              <w:tl2br w:val="nil"/>
              <w:tr2bl w:val="nil"/>
            </w:tcBorders>
            <w:tcMar>
              <w:left w:w="108" w:type="dxa"/>
              <w:right w:w="108" w:type="dxa"/>
            </w:tcMar>
            <w:vAlign w:val="center"/>
          </w:tcPr>
          <w:p w14:paraId="23EFBD8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5.1禁止下列固体废物入窑进行协同处置：</w:t>
            </w:r>
          </w:p>
          <w:p w14:paraId="0BFC69A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——放射性废物；</w:t>
            </w:r>
          </w:p>
          <w:p w14:paraId="292FF09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——爆炸物及反应性废物；</w:t>
            </w:r>
          </w:p>
          <w:p w14:paraId="59F654A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——未经拆解的废电池、废家用电器和电子产品；</w:t>
            </w:r>
          </w:p>
          <w:p w14:paraId="36EDF70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——含汞的温度计、血压计、荧光灯管和开关；</w:t>
            </w:r>
          </w:p>
          <w:p w14:paraId="1F21762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——铬渣</w:t>
            </w:r>
          </w:p>
          <w:p w14:paraId="231C7C8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——未知特性和未经鉴定的废物。</w:t>
            </w:r>
          </w:p>
          <w:p w14:paraId="201CCCD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5.2入窑固体废物应具有相对稳定的化学组成和物理特性，其重金属以及氯、氟、硫等有害元素的含量及投加量应满足HJ662的要求。</w:t>
            </w:r>
          </w:p>
        </w:tc>
        <w:tc>
          <w:tcPr>
            <w:tcW w:w="1137" w:type="pct"/>
            <w:tcBorders>
              <w:tl2br w:val="nil"/>
              <w:tr2bl w:val="nil"/>
            </w:tcBorders>
            <w:tcMar>
              <w:left w:w="108" w:type="dxa"/>
              <w:right w:w="108" w:type="dxa"/>
            </w:tcMar>
            <w:vAlign w:val="center"/>
          </w:tcPr>
          <w:p w14:paraId="3609902D">
            <w:pPr>
              <w:pStyle w:val="52"/>
              <w:keepNext w:val="0"/>
              <w:keepLines w:val="0"/>
              <w:pageBreakBefore w:val="0"/>
              <w:widowControl w:val="0"/>
              <w:kinsoku/>
              <w:wordWrap w:val="0"/>
              <w:overflowPunct/>
              <w:topLinePunct w:val="0"/>
              <w:autoSpaceDE w:val="0"/>
              <w:autoSpaceDN w:val="0"/>
              <w:bidi w:val="0"/>
              <w:adjustRightInd w:val="0"/>
              <w:snapToGrid/>
              <w:spacing w:before="0" w:after="0" w:line="240" w:lineRule="auto"/>
              <w:ind w:left="0" w:firstLine="0"/>
              <w:jc w:val="both"/>
              <w:textAlignment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本项目仅定向“点对点”协同处置新疆兴发化工有限公司生产过程产生的HW11精（蒸）馏残渣（900-013-11），不处置</w:t>
            </w:r>
            <w:r>
              <w:rPr>
                <w:rFonts w:hint="eastAsia" w:cs="Times New Roman"/>
                <w:color w:val="000000" w:themeColor="text1"/>
                <w:sz w:val="21"/>
                <w:szCs w:val="21"/>
                <w:highlight w:val="none"/>
                <w:lang w:val="en-US" w:eastAsia="zh-CN"/>
                <w14:textFill>
                  <w14:solidFill>
                    <w14:schemeClr w14:val="tx1"/>
                  </w14:solidFill>
                </w14:textFill>
              </w:rPr>
              <w:t>上述禁止入窑废物</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项目</w:t>
            </w:r>
            <w:r>
              <w:rPr>
                <w:rFonts w:hint="default" w:ascii="Times New Roman" w:hAnsi="Times New Roman" w:cs="Times New Roman"/>
                <w:color w:val="000000" w:themeColor="text1"/>
                <w:sz w:val="21"/>
                <w:szCs w:val="21"/>
                <w:highlight w:val="none"/>
                <w14:textFill>
                  <w14:solidFill>
                    <w14:schemeClr w14:val="tx1"/>
                  </w14:solidFill>
                </w14:textFill>
              </w:rPr>
              <w:t>入窑</w:t>
            </w:r>
            <w:r>
              <w:rPr>
                <w:rFonts w:hint="eastAsia" w:cs="Times New Roman"/>
                <w:color w:val="000000" w:themeColor="text1"/>
                <w:sz w:val="21"/>
                <w:szCs w:val="21"/>
                <w:highlight w:val="none"/>
                <w:lang w:val="en-US" w:eastAsia="zh-CN"/>
                <w14:textFill>
                  <w14:solidFill>
                    <w14:schemeClr w14:val="tx1"/>
                  </w14:solidFill>
                </w14:textFill>
              </w:rPr>
              <w:t>废物</w:t>
            </w:r>
            <w:r>
              <w:rPr>
                <w:rFonts w:hint="default" w:ascii="Times New Roman" w:hAnsi="Times New Roman" w:cs="Times New Roman"/>
                <w:color w:val="000000" w:themeColor="text1"/>
                <w:sz w:val="21"/>
                <w:szCs w:val="21"/>
                <w:highlight w:val="none"/>
                <w14:textFill>
                  <w14:solidFill>
                    <w14:schemeClr w14:val="tx1"/>
                  </w14:solidFill>
                </w14:textFill>
              </w:rPr>
              <w:t>相对稳定，其重金属以及氯、氟、硫等有害元素的含量及投加量满足HJ662的要求</w:t>
            </w:r>
          </w:p>
        </w:tc>
        <w:tc>
          <w:tcPr>
            <w:tcW w:w="366" w:type="pct"/>
            <w:tcBorders>
              <w:tl2br w:val="nil"/>
              <w:tr2bl w:val="nil"/>
            </w:tcBorders>
            <w:tcMar>
              <w:left w:w="108" w:type="dxa"/>
              <w:right w:w="108" w:type="dxa"/>
            </w:tcMar>
            <w:vAlign w:val="center"/>
          </w:tcPr>
          <w:p w14:paraId="76F77AAE">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4291DBB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1" w:type="pct"/>
        </w:trPr>
        <w:tc>
          <w:tcPr>
            <w:tcW w:w="402" w:type="pct"/>
            <w:vMerge w:val="continue"/>
            <w:tcBorders>
              <w:tl2br w:val="nil"/>
              <w:tr2bl w:val="nil"/>
            </w:tcBorders>
            <w:tcMar>
              <w:left w:w="108" w:type="dxa"/>
              <w:right w:w="108" w:type="dxa"/>
            </w:tcMar>
            <w:vAlign w:val="center"/>
          </w:tcPr>
          <w:p w14:paraId="4316208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527" w:type="pct"/>
            <w:gridSpan w:val="2"/>
            <w:tcBorders>
              <w:tl2br w:val="nil"/>
              <w:tr2bl w:val="nil"/>
            </w:tcBorders>
            <w:tcMar>
              <w:left w:w="108" w:type="dxa"/>
              <w:right w:w="108" w:type="dxa"/>
            </w:tcMar>
            <w:vAlign w:val="center"/>
          </w:tcPr>
          <w:p w14:paraId="4AAD9F5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污染物排放限值</w:t>
            </w:r>
          </w:p>
        </w:tc>
        <w:tc>
          <w:tcPr>
            <w:tcW w:w="2566" w:type="pct"/>
            <w:tcBorders>
              <w:tl2br w:val="nil"/>
              <w:tr2bl w:val="nil"/>
            </w:tcBorders>
            <w:tcMar>
              <w:left w:w="108" w:type="dxa"/>
              <w:right w:w="108" w:type="dxa"/>
            </w:tcMar>
            <w:vAlign w:val="center"/>
          </w:tcPr>
          <w:p w14:paraId="2EBB579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7.1利用水泥窑协同处置固体废物时，水泥窑及窑尾余热利用系统排气筒大气污染物中颗粒物、二氧化硫、氮氧化物和氨的排放限值按GB4915中的要求执行。</w:t>
            </w:r>
          </w:p>
          <w:p w14:paraId="53AA3A3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7.2利用水泥窑协同处置固体废物时，水泥窑及窑尾余热利用系统排气筒大气污染物中除列入本标准7.1条外的其他污染物执行表1规定的最高允许排放浓度。</w:t>
            </w:r>
          </w:p>
          <w:p w14:paraId="57BAC77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7.3在本标准第6.4条规定的情况下，所获得的监测数据不作为执行本标准烟气排放限值的监测数据。每次故障或事故持续排放污染物时间不应超过4小时，每年累计不得超过60小时。</w:t>
            </w:r>
          </w:p>
          <w:p w14:paraId="46D214C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7.4固体废物贮存、预处理等设施产生的废气应导入水泥窑高温区焚烧；或经过处理达到GB14554规定的限值后排放。</w:t>
            </w:r>
          </w:p>
          <w:p w14:paraId="74B36C4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7.5生活垃圾渗滤液、车辆清洗废水以及水泥窑协同处置固体废物过程产生的其他废水收集后可采用喷入水泥窑内焚烧处置、采用密闭运输送到城市污水处理厂处理、排入城市排水管道进入城市污水处理厂处理或者自行处理等方式。废水排放应符合国家相关水污染物排放标准要求。</w:t>
            </w:r>
          </w:p>
          <w:p w14:paraId="35D18D9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7.6协同处置固体废物的水泥生产企业厂界恶臭污染物限值应按照GB14554执行。</w:t>
            </w:r>
          </w:p>
          <w:p w14:paraId="29BBEC9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7.7水泥窑旁路放风排气筒大气污染物排放限值按照本标准第7.1和7.2条执行。</w:t>
            </w:r>
          </w:p>
          <w:p w14:paraId="1DEC265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7.8协同处置固体废物的水泥生产企业，除水泥窑及窑尾余热利用系统、旁路放风、固体废物贮存及预处理等设施排气筒外的其他原料、产品的加工、贮存、生产设施的排气筒大气污染物排放和无组织排放限值及周边环境质量监控按照GB4915执行。</w:t>
            </w:r>
          </w:p>
          <w:p w14:paraId="63467DB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7.9从水泥窑循环系统排出的窑灰和旁路放风收集的粉尘如直接掺加入水泥熟料，应严格控制其掺加比例，确保满足本标准第8章要求。如果窑灰和旁路放风粉尘需要送至厂外进行处理处置，应按危险废物进行管理。</w:t>
            </w:r>
          </w:p>
        </w:tc>
        <w:tc>
          <w:tcPr>
            <w:tcW w:w="1137" w:type="pct"/>
            <w:tcBorders>
              <w:tl2br w:val="nil"/>
              <w:tr2bl w:val="nil"/>
            </w:tcBorders>
            <w:tcMar>
              <w:left w:w="108" w:type="dxa"/>
              <w:right w:w="108" w:type="dxa"/>
            </w:tcMar>
            <w:vAlign w:val="center"/>
          </w:tcPr>
          <w:p w14:paraId="51BBEC2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本项目窑尾烟气中颗粒物、二氧化硫、氮氧化物和氨的排放限值满足GB4915中的要求；其他污染物满足GB30485中表1要求；当水泥窑出现故障或事故造成运行工况不正常，</w:t>
            </w:r>
            <w:r>
              <w:rPr>
                <w:rFonts w:hint="default" w:ascii="Times New Roman" w:hAnsi="Times New Roman" w:cs="Times New Roman"/>
                <w:color w:val="000000" w:themeColor="text1"/>
                <w:sz w:val="21"/>
                <w:szCs w:val="21"/>
                <w:lang w:val="en-US" w:eastAsia="zh-CN"/>
                <w14:textFill>
                  <w14:solidFill>
                    <w14:schemeClr w14:val="tx1"/>
                  </w14:solidFill>
                </w14:textFill>
              </w:rPr>
              <w:t>严格按照上述要求进行操作</w:t>
            </w:r>
            <w:r>
              <w:rPr>
                <w:rFonts w:hint="default" w:ascii="Times New Roman" w:hAnsi="Times New Roman" w:cs="Times New Roman"/>
                <w:color w:val="000000" w:themeColor="text1"/>
                <w:sz w:val="21"/>
                <w:szCs w:val="21"/>
                <w14:textFill>
                  <w14:solidFill>
                    <w14:schemeClr w14:val="tx1"/>
                  </w14:solidFill>
                </w14:textFill>
              </w:rPr>
              <w:t>；车辆或容器清洗废水及水泥窑协同处置固体废物过程产生的其他废水收集后喷入水泥窑内焚烧处置；厂界恶臭污染物限值满足GB14554；</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本项目水泥窑不设置</w:t>
            </w:r>
            <w:r>
              <w:rPr>
                <w:rFonts w:hint="default" w:ascii="Times New Roman" w:hAnsi="Times New Roman" w:cs="Times New Roman"/>
                <w:color w:val="000000" w:themeColor="text1"/>
                <w:sz w:val="21"/>
                <w:szCs w:val="21"/>
                <w:highlight w:val="none"/>
                <w14:textFill>
                  <w14:solidFill>
                    <w14:schemeClr w14:val="tx1"/>
                  </w14:solidFill>
                </w14:textFill>
              </w:rPr>
              <w:t>旁路放风</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系统</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水泥窑循环系统排出的窑灰直接掺加入水泥熟料，严格控制其掺加比例</w:t>
            </w:r>
          </w:p>
        </w:tc>
        <w:tc>
          <w:tcPr>
            <w:tcW w:w="366" w:type="pct"/>
            <w:tcBorders>
              <w:tl2br w:val="nil"/>
              <w:tr2bl w:val="nil"/>
            </w:tcBorders>
            <w:tcMar>
              <w:left w:w="108" w:type="dxa"/>
              <w:right w:w="108" w:type="dxa"/>
            </w:tcMar>
            <w:vAlign w:val="center"/>
          </w:tcPr>
          <w:p w14:paraId="112A7EA4">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3D85CAD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2"/>
          <w:wAfter w:w="1" w:type="pct"/>
        </w:trPr>
        <w:tc>
          <w:tcPr>
            <w:tcW w:w="402" w:type="pct"/>
            <w:vMerge w:val="continue"/>
            <w:tcBorders>
              <w:tl2br w:val="nil"/>
              <w:tr2bl w:val="nil"/>
            </w:tcBorders>
            <w:tcMar>
              <w:left w:w="108" w:type="dxa"/>
              <w:right w:w="108" w:type="dxa"/>
            </w:tcMar>
            <w:vAlign w:val="center"/>
          </w:tcPr>
          <w:p w14:paraId="0EF1655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527" w:type="pct"/>
            <w:gridSpan w:val="2"/>
            <w:tcBorders>
              <w:tl2br w:val="nil"/>
              <w:tr2bl w:val="nil"/>
            </w:tcBorders>
            <w:tcMar>
              <w:left w:w="108" w:type="dxa"/>
              <w:right w:w="108" w:type="dxa"/>
            </w:tcMar>
            <w:vAlign w:val="center"/>
          </w:tcPr>
          <w:p w14:paraId="2804B1D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8.水泥产品污染物控制</w:t>
            </w:r>
          </w:p>
        </w:tc>
        <w:tc>
          <w:tcPr>
            <w:tcW w:w="2566" w:type="pct"/>
            <w:tcBorders>
              <w:tl2br w:val="nil"/>
              <w:tr2bl w:val="nil"/>
            </w:tcBorders>
            <w:tcMar>
              <w:left w:w="108" w:type="dxa"/>
              <w:right w:w="108" w:type="dxa"/>
            </w:tcMar>
            <w:vAlign w:val="center"/>
          </w:tcPr>
          <w:p w14:paraId="0C5FE1F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8.1协同处置固体废物的水泥窑生产的水泥产品，其质量应符合国家相关标准。</w:t>
            </w:r>
          </w:p>
          <w:p w14:paraId="3C59586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8.2协同处置固体废物的水泥窑生产的水泥产品中污染物的浸出，应满足相关的国家标准要求。</w:t>
            </w:r>
          </w:p>
          <w:p w14:paraId="17E9283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8.3利用粉煤灰、钢渣、硫酸渣、高炉矿渣、煤矸石等一般工业固体废物作为替代原料（包括混合材料）、燃料生产的水泥产品参照本标准中第8.2条的规定执行。</w:t>
            </w:r>
          </w:p>
        </w:tc>
        <w:tc>
          <w:tcPr>
            <w:tcW w:w="1137" w:type="pct"/>
            <w:tcBorders>
              <w:tl2br w:val="nil"/>
              <w:tr2bl w:val="nil"/>
            </w:tcBorders>
            <w:tcMar>
              <w:left w:w="108" w:type="dxa"/>
              <w:right w:w="108" w:type="dxa"/>
            </w:tcMar>
            <w:vAlign w:val="center"/>
          </w:tcPr>
          <w:p w14:paraId="2BA5F5A1">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w:t>
            </w:r>
            <w:r>
              <w:rPr>
                <w:rFonts w:hint="default" w:ascii="Times New Roman" w:hAnsi="Times New Roman" w:cs="Times New Roman"/>
                <w:color w:val="000000" w:themeColor="text1"/>
                <w:sz w:val="21"/>
                <w:szCs w:val="21"/>
                <w:lang w:val="en-US" w:eastAsia="zh-CN"/>
                <w14:textFill>
                  <w14:solidFill>
                    <w14:schemeClr w14:val="tx1"/>
                  </w14:solidFill>
                </w14:textFill>
              </w:rPr>
              <w:t>建成后</w:t>
            </w:r>
            <w:r>
              <w:rPr>
                <w:rFonts w:hint="default" w:ascii="Times New Roman" w:hAnsi="Times New Roman" w:cs="Times New Roman"/>
                <w:color w:val="000000" w:themeColor="text1"/>
                <w:sz w:val="21"/>
                <w:szCs w:val="21"/>
                <w14:textFill>
                  <w14:solidFill>
                    <w14:schemeClr w14:val="tx1"/>
                  </w14:solidFill>
                </w14:textFill>
              </w:rPr>
              <w:t>水泥产品质量符合GB/T21372-2008</w:t>
            </w:r>
          </w:p>
        </w:tc>
        <w:tc>
          <w:tcPr>
            <w:tcW w:w="366" w:type="pct"/>
            <w:tcBorders>
              <w:tl2br w:val="nil"/>
              <w:tr2bl w:val="nil"/>
            </w:tcBorders>
            <w:tcMar>
              <w:left w:w="108" w:type="dxa"/>
              <w:right w:w="108" w:type="dxa"/>
            </w:tcMar>
            <w:vAlign w:val="center"/>
          </w:tcPr>
          <w:p w14:paraId="4AFF0719">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7A99BBC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restart"/>
            <w:tcBorders>
              <w:tl2br w:val="nil"/>
              <w:tr2bl w:val="nil"/>
            </w:tcBorders>
            <w:tcMar>
              <w:left w:w="108" w:type="dxa"/>
              <w:right w:w="108" w:type="dxa"/>
            </w:tcMar>
            <w:vAlign w:val="center"/>
          </w:tcPr>
          <w:p w14:paraId="2321C69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《水泥窑协同处置危险废物经营许可证审查指南（试行）》</w:t>
            </w:r>
          </w:p>
        </w:tc>
        <w:tc>
          <w:tcPr>
            <w:tcW w:w="3093" w:type="pct"/>
            <w:gridSpan w:val="3"/>
            <w:tcBorders>
              <w:tl2br w:val="nil"/>
              <w:tr2bl w:val="nil"/>
            </w:tcBorders>
            <w:tcMar>
              <w:left w:w="108" w:type="dxa"/>
              <w:right w:w="108" w:type="dxa"/>
            </w:tcMar>
            <w:vAlign w:val="center"/>
          </w:tcPr>
          <w:p w14:paraId="4DAC252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水泥窑协同处置危险废物的规模和类别应与地方危险废物的产生现状和特点，以及地方现有危险废物处置设施的危险废物处置类别和能力相协调。</w:t>
            </w:r>
          </w:p>
        </w:tc>
        <w:tc>
          <w:tcPr>
            <w:tcW w:w="1137" w:type="pct"/>
            <w:tcBorders>
              <w:tl2br w:val="nil"/>
              <w:tr2bl w:val="nil"/>
            </w:tcBorders>
            <w:tcMar>
              <w:left w:w="108" w:type="dxa"/>
              <w:right w:w="108" w:type="dxa"/>
            </w:tcMar>
            <w:vAlign w:val="center"/>
          </w:tcPr>
          <w:p w14:paraId="6FC4F63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本项目仅协同处置新疆兴发化工有限公司生产过程产生的HW11精（蒸）馏残渣（900-013-11），</w:t>
            </w:r>
            <w:r>
              <w:rPr>
                <w:rFonts w:hint="default" w:ascii="Times New Roman" w:hAnsi="Times New Roman" w:cs="Times New Roman"/>
                <w:color w:val="000000" w:themeColor="text1"/>
                <w:sz w:val="21"/>
                <w:szCs w:val="21"/>
                <w14:textFill>
                  <w14:solidFill>
                    <w14:schemeClr w14:val="tx1"/>
                  </w14:solidFill>
                </w14:textFill>
              </w:rPr>
              <w:t>不属于水泥窑禁止协同处置的类别</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且危废的处置规模均小于全区产生量</w:t>
            </w:r>
          </w:p>
        </w:tc>
        <w:tc>
          <w:tcPr>
            <w:tcW w:w="366" w:type="pct"/>
            <w:gridSpan w:val="2"/>
            <w:tcBorders>
              <w:tl2br w:val="nil"/>
              <w:tr2bl w:val="nil"/>
            </w:tcBorders>
            <w:tcMar>
              <w:left w:w="108" w:type="dxa"/>
              <w:right w:w="108" w:type="dxa"/>
            </w:tcMar>
            <w:vAlign w:val="center"/>
          </w:tcPr>
          <w:p w14:paraId="658DA6BA">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37B167C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377086E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3093" w:type="pct"/>
            <w:gridSpan w:val="3"/>
            <w:tcBorders>
              <w:tl2br w:val="nil"/>
              <w:tr2bl w:val="nil"/>
            </w:tcBorders>
            <w:tcMar>
              <w:left w:w="108" w:type="dxa"/>
              <w:right w:w="108" w:type="dxa"/>
            </w:tcMar>
            <w:vAlign w:val="center"/>
          </w:tcPr>
          <w:p w14:paraId="004FB12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具有交通运输部门颁发的危险货物运输资质；无危险货物运输资质的申请单位应提供与具有危险货物运输资质的单位签订的运输协议或合同。危险废物运输的其他要求应符合《危险废物收集 贮存 运输技术规范》（HJ2025）中的相关规定。预处理产物从预处理中心至水泥生产企业之间的运输应按危险废物进行管理</w:t>
            </w:r>
          </w:p>
        </w:tc>
        <w:tc>
          <w:tcPr>
            <w:tcW w:w="1137" w:type="pct"/>
            <w:tcBorders>
              <w:tl2br w:val="nil"/>
              <w:tr2bl w:val="nil"/>
            </w:tcBorders>
            <w:tcMar>
              <w:left w:w="108" w:type="dxa"/>
              <w:right w:w="108" w:type="dxa"/>
            </w:tcMar>
            <w:vAlign w:val="center"/>
          </w:tcPr>
          <w:p w14:paraId="5A7A0CA8">
            <w:pPr>
              <w:pStyle w:val="52"/>
              <w:spacing w:before="0" w:after="0" w:line="240" w:lineRule="auto"/>
              <w:ind w:left="0" w:firstLine="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项目拟处置的液态危险废物通过管道直接输送至水泥窑内，固态危险废物通过叉车采用厂内运输方式输送至上料口；危险废物运输的其他要求按照《危险废物收集 贮存 运输技术规范》（HJ2025）中的相关规定执行；拟建项目</w:t>
            </w:r>
            <w:r>
              <w:rPr>
                <w:rFonts w:hint="eastAsia" w:cs="Times New Roman"/>
                <w:color w:val="000000" w:themeColor="text1"/>
                <w:sz w:val="21"/>
                <w:szCs w:val="21"/>
                <w:lang w:val="en-US" w:eastAsia="zh-CN"/>
                <w14:textFill>
                  <w14:solidFill>
                    <w14:schemeClr w14:val="tx1"/>
                  </w14:solidFill>
                </w14:textFill>
              </w:rPr>
              <w:t>预处理过程设置在投料系统内，无需进行运输</w:t>
            </w:r>
          </w:p>
        </w:tc>
        <w:tc>
          <w:tcPr>
            <w:tcW w:w="366" w:type="pct"/>
            <w:gridSpan w:val="2"/>
            <w:tcBorders>
              <w:tl2br w:val="nil"/>
              <w:tr2bl w:val="nil"/>
            </w:tcBorders>
            <w:tcMar>
              <w:left w:w="108" w:type="dxa"/>
              <w:right w:w="108" w:type="dxa"/>
            </w:tcMar>
            <w:vAlign w:val="center"/>
          </w:tcPr>
          <w:p w14:paraId="0834B8AC">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40A49F9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26CEDBE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3093" w:type="pct"/>
            <w:gridSpan w:val="3"/>
            <w:tcBorders>
              <w:tl2br w:val="nil"/>
              <w:tr2bl w:val="nil"/>
            </w:tcBorders>
            <w:tcMar>
              <w:left w:w="108" w:type="dxa"/>
              <w:right w:w="108" w:type="dxa"/>
            </w:tcMar>
            <w:vAlign w:val="center"/>
          </w:tcPr>
          <w:p w14:paraId="0E686FB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协同处置危险废物项目应当符合国家和地方产业政策、危险废物污染防治技术政策、危险废物污染防治规划的相关要求，应与地方现有及拟建危险废物处置项目统筹规划。危险废物预处理中心和水泥生产企业所在区域无洪水、潮水或内涝威胁，设施所在标高应位于重现期不小于100年一遇的洪水位之上，并建设在现有和各类规划中的水库等人工蓄水设施的淹没区和保护区之外。危险废物预处理中心和水泥生产企业的危险废物贮存和作业区域周边应设置初期雨水收集池。危险废物运输至预处理中心和水泥生产企业的运输路线、预处理中心至水泥生产企业的预处理产物运输路线应尽量避开居民区、商业区、学校、医院等环境敏感区，当因危险废物产生单位的位置位于环境敏感区周边导致危险废物运输路线无法避开环境敏感区时，危险废物装车后应及时离开，避免长时间停留。环境影响评价确定的危险废物预处理中心和水泥生产企业的防护距离内没有居民等环境敏感点。危险废物的贮存区、预处理区、投加区应与办公区、生活区分开</w:t>
            </w:r>
          </w:p>
        </w:tc>
        <w:tc>
          <w:tcPr>
            <w:tcW w:w="1137" w:type="pct"/>
            <w:tcBorders>
              <w:tl2br w:val="nil"/>
              <w:tr2bl w:val="nil"/>
            </w:tcBorders>
            <w:tcMar>
              <w:left w:w="108" w:type="dxa"/>
              <w:right w:w="108" w:type="dxa"/>
            </w:tcMar>
            <w:vAlign w:val="center"/>
          </w:tcPr>
          <w:p w14:paraId="7BA36446">
            <w:pPr>
              <w:pStyle w:val="52"/>
              <w:spacing w:before="0" w:after="0" w:line="240" w:lineRule="auto"/>
              <w:ind w:left="0" w:firstLine="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拟建项目符合国家和地方产业政策、危险废物污染防治技术政策、危险废物污染防治规划的相关要求；拟建项目区域无洪水、潮水或内涝威胁，设施所在标高位于重现期不小于100年一遇的洪水位之上，不在现有和各类规划中的水库等人工蓄水设施的淹没区和保护区；项目危废运输仅在厂内进行，不涉及厂</w:t>
            </w:r>
            <w:r>
              <w:rPr>
                <w:rFonts w:hint="eastAsia" w:cs="Times New Roman"/>
                <w:color w:val="000000" w:themeColor="text1"/>
                <w:sz w:val="21"/>
                <w:szCs w:val="21"/>
                <w:lang w:val="en-US" w:eastAsia="zh-CN"/>
                <w14:textFill>
                  <w14:solidFill>
                    <w14:schemeClr w14:val="tx1"/>
                  </w14:solidFill>
                </w14:textFill>
              </w:rPr>
              <w:t>外</w:t>
            </w:r>
            <w:r>
              <w:rPr>
                <w:rFonts w:hint="default" w:ascii="Times New Roman" w:hAnsi="Times New Roman" w:cs="Times New Roman"/>
                <w:color w:val="000000" w:themeColor="text1"/>
                <w:sz w:val="21"/>
                <w:szCs w:val="21"/>
                <w:lang w:val="en-US" w:eastAsia="zh-CN"/>
                <w14:textFill>
                  <w14:solidFill>
                    <w14:schemeClr w14:val="tx1"/>
                  </w14:solidFill>
                </w14:textFill>
              </w:rPr>
              <w:t>运输；项目不设置危险废物贮存区和</w:t>
            </w:r>
            <w:r>
              <w:rPr>
                <w:rFonts w:hint="eastAsia" w:cs="Times New Roman"/>
                <w:color w:val="000000" w:themeColor="text1"/>
                <w:sz w:val="21"/>
                <w:szCs w:val="21"/>
                <w:lang w:val="en-US" w:eastAsia="zh-CN"/>
                <w14:textFill>
                  <w14:solidFill>
                    <w14:schemeClr w14:val="tx1"/>
                  </w14:solidFill>
                </w14:textFill>
              </w:rPr>
              <w:t>独立的</w:t>
            </w:r>
            <w:r>
              <w:rPr>
                <w:rFonts w:hint="default" w:ascii="Times New Roman" w:hAnsi="Times New Roman" w:cs="Times New Roman"/>
                <w:color w:val="000000" w:themeColor="text1"/>
                <w:sz w:val="21"/>
                <w:szCs w:val="21"/>
                <w:lang w:val="en-US" w:eastAsia="zh-CN"/>
                <w14:textFill>
                  <w14:solidFill>
                    <w14:schemeClr w14:val="tx1"/>
                  </w14:solidFill>
                </w14:textFill>
              </w:rPr>
              <w:t>预处理区，</w:t>
            </w:r>
            <w:r>
              <w:rPr>
                <w:rFonts w:hint="eastAsia" w:cs="Times New Roman"/>
                <w:color w:val="000000" w:themeColor="text1"/>
                <w:sz w:val="21"/>
                <w:szCs w:val="21"/>
                <w:lang w:val="en-US" w:eastAsia="zh-CN"/>
                <w14:textFill>
                  <w14:solidFill>
                    <w14:schemeClr w14:val="tx1"/>
                  </w14:solidFill>
                </w14:textFill>
              </w:rPr>
              <w:t>投料点</w:t>
            </w:r>
            <w:r>
              <w:rPr>
                <w:rFonts w:hint="default" w:ascii="Times New Roman" w:hAnsi="Times New Roman" w:cs="Times New Roman"/>
                <w:color w:val="000000" w:themeColor="text1"/>
                <w:sz w:val="21"/>
                <w:szCs w:val="21"/>
                <w:lang w:val="en-US" w:eastAsia="zh-CN"/>
                <w14:textFill>
                  <w14:solidFill>
                    <w14:schemeClr w14:val="tx1"/>
                  </w14:solidFill>
                </w14:textFill>
              </w:rPr>
              <w:t>位于厂区东侧，办公区及生活区位于厂区南侧，符合分开设置要求</w:t>
            </w:r>
          </w:p>
        </w:tc>
        <w:tc>
          <w:tcPr>
            <w:tcW w:w="366" w:type="pct"/>
            <w:gridSpan w:val="2"/>
            <w:tcBorders>
              <w:tl2br w:val="nil"/>
              <w:tr2bl w:val="nil"/>
            </w:tcBorders>
            <w:tcMar>
              <w:left w:w="108" w:type="dxa"/>
              <w:right w:w="108" w:type="dxa"/>
            </w:tcMar>
            <w:vAlign w:val="center"/>
          </w:tcPr>
          <w:p w14:paraId="4067659E">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6B33E15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1D6699B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3093" w:type="pct"/>
            <w:gridSpan w:val="3"/>
            <w:tcBorders>
              <w:tl2br w:val="nil"/>
              <w:tr2bl w:val="nil"/>
            </w:tcBorders>
            <w:tcMar>
              <w:left w:w="108" w:type="dxa"/>
              <w:right w:w="108" w:type="dxa"/>
            </w:tcMar>
            <w:vAlign w:val="center"/>
          </w:tcPr>
          <w:p w14:paraId="3735B5E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协同处置危险废物的水泥窑应为设计熟料生产规模不小于2000吨/天的新型干法水泥窑，窑尾烟气采用高效布袋（含电袋复合）除尘器作为除尘设施，水泥窑及窑尾余热利用系统窑尾排气筒（以下简称窑尾排气筒）配备满足《固定污染源烟气排放连续监测系统技术要求及检测方法》（HJ/T76）要求，并安装与当地环境保护主管部门联网的颗粒物、氮氧化物和二氧化硫浓度在线监测设备。对于改造利用原有设施协同处置危险废物的水泥窑，在改造之前，原有设施的监督性监测结果应连续两年符合《水泥工业大气污染物排放标准》（GB4915）的要求，并且无其他环境违法行为</w:t>
            </w:r>
          </w:p>
        </w:tc>
        <w:tc>
          <w:tcPr>
            <w:tcW w:w="1137" w:type="pct"/>
            <w:tcBorders>
              <w:tl2br w:val="nil"/>
              <w:tr2bl w:val="nil"/>
            </w:tcBorders>
            <w:tcMar>
              <w:left w:w="108" w:type="dxa"/>
              <w:right w:w="108" w:type="dxa"/>
            </w:tcMar>
            <w:vAlign w:val="center"/>
          </w:tcPr>
          <w:p w14:paraId="0CAC0D2B">
            <w:pPr>
              <w:pStyle w:val="52"/>
              <w:spacing w:before="0" w:after="0" w:line="240" w:lineRule="auto"/>
              <w:ind w:left="0" w:firstLine="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拟建项目依托的水泥生产线为日产水泥熟料3200t的新型干法窑，窑尾设置低氮燃烧+SNCR+增湿塔（急冷）+电除尘+布袋除尘+100m排气筒治理措施，且安装与当地生态环境部门联网的污染物在线监测设备，且满足连续两年达标的要求，并无其他环境违法行为</w:t>
            </w:r>
          </w:p>
        </w:tc>
        <w:tc>
          <w:tcPr>
            <w:tcW w:w="366" w:type="pct"/>
            <w:gridSpan w:val="2"/>
            <w:tcBorders>
              <w:tl2br w:val="nil"/>
              <w:tr2bl w:val="nil"/>
            </w:tcBorders>
            <w:tcMar>
              <w:left w:w="108" w:type="dxa"/>
              <w:right w:w="108" w:type="dxa"/>
            </w:tcMar>
            <w:vAlign w:val="center"/>
          </w:tcPr>
          <w:p w14:paraId="22C794E8">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0A63E5C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395E991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3093" w:type="pct"/>
            <w:gridSpan w:val="3"/>
            <w:tcBorders>
              <w:tl2br w:val="nil"/>
              <w:tr2bl w:val="nil"/>
            </w:tcBorders>
            <w:tcMar>
              <w:left w:w="108" w:type="dxa"/>
              <w:right w:w="108" w:type="dxa"/>
            </w:tcMar>
            <w:vAlign w:val="center"/>
          </w:tcPr>
          <w:p w14:paraId="73356DA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危险废物预处理中心和</w:t>
            </w:r>
            <w:r>
              <w:rPr>
                <w:rFonts w:hint="default" w:ascii="Times New Roman" w:hAnsi="Times New Roman" w:cs="Times New Roman"/>
                <w:color w:val="000000" w:themeColor="text1"/>
                <w:sz w:val="21"/>
                <w:szCs w:val="21"/>
                <w:highlight w:val="none"/>
                <w14:textFill>
                  <w14:solidFill>
                    <w14:schemeClr w14:val="tx1"/>
                  </w14:solidFill>
                </w14:textFill>
              </w:rPr>
              <w:t>水泥生产企业厂区内应建设危险废物专用贮存设施，贮存设施的选址、设计及运行管理应满足《危险废物贮存污染控制标准》（GB18597）和《危险废物收集 贮存 运输技术规范》(HJ2025)的相关要求。采用集中经营模式时，对于仅有一条协同处置危险废物水泥生产线的水泥生产企业，厂区内的危险废物贮存设施容量应不小于危险废物日协同处置能力的10倍。贮存挥发性危险废物的贮存设施应具有较好的密闭性，贮</w:t>
            </w:r>
            <w:r>
              <w:rPr>
                <w:rFonts w:hint="default" w:ascii="Times New Roman" w:hAnsi="Times New Roman" w:cs="Times New Roman"/>
                <w:color w:val="000000" w:themeColor="text1"/>
                <w:sz w:val="21"/>
                <w:szCs w:val="21"/>
                <w14:textFill>
                  <w14:solidFill>
                    <w14:schemeClr w14:val="tx1"/>
                  </w14:solidFill>
                </w14:textFill>
              </w:rPr>
              <w:t>存设施内采用微负压抽气设计，排出的废气应导入水泥窑高温区，如篦冷机的靠近窑头端（采用窑门罩抽气作为窑头余热发电热源的水泥窑除外）或分解炉三次风入口处，或经过其他气体净化装置处理后达标排放。采用导入水泥窑高温区的方式处理废气的贮存设施，还应同时配置其他气体净化装置，以备在水泥窑停窑期间使用。盛装危险废物的容器在再次盛装其他危险废物前应进行清洗。危险废物贮存的其他要求应符合《水泥窑协同处置固体废物环境保护技术规范》（HJ662）和《危险废物收集 贮存 运输技术规范》（HJ2025）中的相关规定。</w:t>
            </w:r>
          </w:p>
        </w:tc>
        <w:tc>
          <w:tcPr>
            <w:tcW w:w="1137" w:type="pct"/>
            <w:tcBorders>
              <w:tl2br w:val="nil"/>
              <w:tr2bl w:val="nil"/>
            </w:tcBorders>
            <w:tcMar>
              <w:left w:w="108" w:type="dxa"/>
              <w:right w:w="108" w:type="dxa"/>
            </w:tcMar>
            <w:vAlign w:val="center"/>
          </w:tcPr>
          <w:p w14:paraId="7AE6926C">
            <w:pPr>
              <w:pStyle w:val="52"/>
              <w:spacing w:before="0" w:after="0" w:line="240" w:lineRule="auto"/>
              <w:ind w:left="0" w:firstLine="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拟建项目预处理过程设置在投料系统内，</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不设置</w:t>
            </w:r>
            <w:r>
              <w:rPr>
                <w:rFonts w:hint="eastAsia" w:cs="Times New Roman"/>
                <w:color w:val="000000" w:themeColor="text1"/>
                <w:sz w:val="21"/>
                <w:szCs w:val="21"/>
                <w:highlight w:val="none"/>
                <w:lang w:val="en-US" w:eastAsia="zh-CN"/>
                <w14:textFill>
                  <w14:solidFill>
                    <w14:schemeClr w14:val="tx1"/>
                  </w14:solidFill>
                </w14:textFill>
              </w:rPr>
              <w:t>独立的预处理中心</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及危险废物专用贮存设施；</w:t>
            </w:r>
            <w:r>
              <w:rPr>
                <w:rFonts w:hint="default" w:ascii="Times New Roman" w:hAnsi="Times New Roman" w:cs="Times New Roman"/>
                <w:color w:val="000000" w:themeColor="text1"/>
                <w:sz w:val="21"/>
                <w:szCs w:val="21"/>
                <w:lang w:val="en-US" w:eastAsia="zh-CN"/>
                <w14:textFill>
                  <w14:solidFill>
                    <w14:schemeClr w14:val="tx1"/>
                  </w14:solidFill>
                </w14:textFill>
              </w:rPr>
              <w:t>本项目仅定向“点对点”协同处置新疆兴发化工有限公司生产过程产生的HW11精（蒸）馏残渣（900-013-11），不处置其他产废单位的危废</w:t>
            </w:r>
          </w:p>
        </w:tc>
        <w:tc>
          <w:tcPr>
            <w:tcW w:w="366" w:type="pct"/>
            <w:gridSpan w:val="2"/>
            <w:tcBorders>
              <w:tl2br w:val="nil"/>
              <w:tr2bl w:val="nil"/>
            </w:tcBorders>
            <w:tcMar>
              <w:left w:w="108" w:type="dxa"/>
              <w:right w:w="108" w:type="dxa"/>
            </w:tcMar>
            <w:vAlign w:val="center"/>
          </w:tcPr>
          <w:p w14:paraId="653EA766">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35D4A7C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13248519">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3093" w:type="pct"/>
            <w:gridSpan w:val="3"/>
            <w:tcBorders>
              <w:tl2br w:val="nil"/>
              <w:tr2bl w:val="nil"/>
            </w:tcBorders>
            <w:tcMar>
              <w:left w:w="108" w:type="dxa"/>
              <w:right w:w="108" w:type="dxa"/>
            </w:tcMar>
            <w:vAlign w:val="center"/>
          </w:tcPr>
          <w:p w14:paraId="3FD7A826">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针对直接投入水泥窑进行协同处置会对水泥生产和污染控制产生不利影响的危险废物，危险废物预处理中心和采用集中经营模式的协同处置单位应根据其特性和入窑要求设置危险废物预处理设施。危险废物的预处理设施应布置在室内车间。含挥发或半挥发性成分的危险废物的预处理车间应具有较好的密闭性，车间内应设置通风换气装置并采用微负压抽气设计，排出的废气应导入水泥窑高温区，如篦冷机的靠近窑头端（采用窑门罩抽气作为窑头余热发电热源的水泥窑除外）或分解炉三次风入口处，或经过其他气体净化装置处理后达标排放。采用导入水泥窑高温区的方式处理废气的预处理车间，还应同时配置其他气体净化装置，以备在水泥窑停窑期间使用。采用独立排气筒的预处理设施（如烘干机、预烧炉等）排放废气应经过气体净化装置处理后达标排放。对固态危险废物进行破碎和研磨预处理的车间，应配备除尘装置和与之配套的除尘灰处置系统。液态危险废物预处理车间应设置堵截泄漏的裙角和泄漏液体收集装置</w:t>
            </w:r>
          </w:p>
        </w:tc>
        <w:tc>
          <w:tcPr>
            <w:tcW w:w="1137" w:type="pct"/>
            <w:tcBorders>
              <w:tl2br w:val="nil"/>
              <w:tr2bl w:val="nil"/>
            </w:tcBorders>
            <w:tcMar>
              <w:left w:w="108" w:type="dxa"/>
              <w:right w:w="108" w:type="dxa"/>
            </w:tcMar>
            <w:vAlign w:val="center"/>
          </w:tcPr>
          <w:p w14:paraId="0E9EC168">
            <w:pPr>
              <w:pStyle w:val="52"/>
              <w:spacing w:before="0" w:after="0" w:line="240" w:lineRule="auto"/>
              <w:ind w:left="0" w:firstLine="0"/>
              <w:jc w:val="both"/>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拟建项目预处理过程设置在投料系统内，不设置独立的预处理中心</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本项目仅定向“点对点”协同处置新疆兴发化工有限公司生产过程产生的HW11精（蒸）馏残渣（900-013-11），不处置其他产废单位的危废</w:t>
            </w:r>
          </w:p>
        </w:tc>
        <w:tc>
          <w:tcPr>
            <w:tcW w:w="366" w:type="pct"/>
            <w:gridSpan w:val="2"/>
            <w:tcBorders>
              <w:tl2br w:val="nil"/>
              <w:tr2bl w:val="nil"/>
            </w:tcBorders>
            <w:tcMar>
              <w:left w:w="108" w:type="dxa"/>
              <w:right w:w="108" w:type="dxa"/>
            </w:tcMar>
            <w:vAlign w:val="center"/>
          </w:tcPr>
          <w:p w14:paraId="1B19AC45">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600495A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0F50080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3093" w:type="pct"/>
            <w:gridSpan w:val="3"/>
            <w:tcBorders>
              <w:tl2br w:val="nil"/>
              <w:tr2bl w:val="nil"/>
            </w:tcBorders>
            <w:tcMar>
              <w:left w:w="108" w:type="dxa"/>
              <w:right w:w="108" w:type="dxa"/>
            </w:tcMar>
            <w:vAlign w:val="center"/>
          </w:tcPr>
          <w:p w14:paraId="6F2BD48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从生料磨或水泥磨投加的危险废物的厂内输送设施可利用水泥生产常规原料、燃料和产品输送设施，其他危险废物厂内输送设施应专门配置，不能用于水泥生产常规原料、燃料和产品的输送。危险废物的物流出入口以及转运、输送路线应远离办公和生活服务设施。移动式输送设备（如各种运输车辆）在厂内运输危险废物时，应按照专用路线行驶。危险废物的管道输送设备应保持良好的密闭性，防止危险废物的滴漏和溢出；非密闭输送设备（如传送带、提升机等）和移动式输送设备（如铲斗车等）应采取防护措施（如加设防护罩等），防止粉尘飘散、挥发性气体逸散和危险废物遗撒，移动式输送设备还应定期进行清洗。输送危险废物的管道、传送带应在显眼处设置安全警告标识。厂内危险废物输送设备管理、维护产生的各种废物均应作为危险废物进行管理和处置</w:t>
            </w:r>
          </w:p>
        </w:tc>
        <w:tc>
          <w:tcPr>
            <w:tcW w:w="1137" w:type="pct"/>
            <w:tcBorders>
              <w:tl2br w:val="nil"/>
              <w:tr2bl w:val="nil"/>
            </w:tcBorders>
            <w:tcMar>
              <w:left w:w="108" w:type="dxa"/>
              <w:right w:w="108" w:type="dxa"/>
            </w:tcMar>
            <w:vAlign w:val="center"/>
          </w:tcPr>
          <w:p w14:paraId="71CE4743">
            <w:pPr>
              <w:pStyle w:val="52"/>
              <w:spacing w:before="0" w:after="0" w:line="240" w:lineRule="auto"/>
              <w:ind w:left="0" w:firstLine="0"/>
              <w:jc w:val="both"/>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本项目危险废物的运输仅涉及厂内运输，项目严格按照“指南”中要求输送危险废物，采用专用输送工具、专用路线，远离办公生活区，同时液态危险废物输送管道采取</w:t>
            </w:r>
            <w:r>
              <w:rPr>
                <w:rFonts w:hint="eastAsia" w:cs="Times New Roman"/>
                <w:color w:val="000000" w:themeColor="text1"/>
                <w:sz w:val="21"/>
                <w:szCs w:val="21"/>
                <w:highlight w:val="none"/>
                <w:lang w:val="en-US" w:eastAsia="zh-CN"/>
                <w14:textFill>
                  <w14:solidFill>
                    <w14:schemeClr w14:val="tx1"/>
                  </w14:solidFill>
                </w14:textFill>
              </w:rPr>
              <w:t>架空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密闭措施以防止危险废物滴漏和溢出</w:t>
            </w:r>
          </w:p>
        </w:tc>
        <w:tc>
          <w:tcPr>
            <w:tcW w:w="366" w:type="pct"/>
            <w:gridSpan w:val="2"/>
            <w:tcBorders>
              <w:tl2br w:val="nil"/>
              <w:tr2bl w:val="nil"/>
            </w:tcBorders>
            <w:tcMar>
              <w:left w:w="108" w:type="dxa"/>
              <w:right w:w="108" w:type="dxa"/>
            </w:tcMar>
            <w:vAlign w:val="center"/>
          </w:tcPr>
          <w:p w14:paraId="1E2DE3CD">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6DF0DF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restart"/>
            <w:tcBorders>
              <w:tl2br w:val="nil"/>
              <w:tr2bl w:val="nil"/>
            </w:tcBorders>
            <w:tcMar>
              <w:left w:w="108" w:type="dxa"/>
              <w:right w:w="108" w:type="dxa"/>
            </w:tcMar>
            <w:vAlign w:val="center"/>
          </w:tcPr>
          <w:p w14:paraId="4ABABD3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《水泥窑协同处置工业废物设计规范》（GB50634-2010）</w:t>
            </w:r>
          </w:p>
        </w:tc>
        <w:tc>
          <w:tcPr>
            <w:tcW w:w="473" w:type="pct"/>
            <w:vMerge w:val="restart"/>
            <w:tcBorders>
              <w:tl2br w:val="nil"/>
              <w:tr2bl w:val="nil"/>
            </w:tcBorders>
            <w:tcMar>
              <w:left w:w="108" w:type="dxa"/>
              <w:right w:w="108" w:type="dxa"/>
            </w:tcMar>
            <w:vAlign w:val="center"/>
          </w:tcPr>
          <w:p w14:paraId="499EE7B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工业废物的主要类别及品质要求</w:t>
            </w:r>
          </w:p>
        </w:tc>
        <w:tc>
          <w:tcPr>
            <w:tcW w:w="2619" w:type="pct"/>
            <w:gridSpan w:val="2"/>
            <w:tcBorders>
              <w:tl2br w:val="nil"/>
              <w:tr2bl w:val="nil"/>
            </w:tcBorders>
            <w:tcMar>
              <w:left w:w="108" w:type="dxa"/>
              <w:right w:w="108" w:type="dxa"/>
            </w:tcMar>
            <w:vAlign w:val="center"/>
          </w:tcPr>
          <w:p w14:paraId="54C0262F">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5.1水泥窑协同处置工业废物的分类</w:t>
            </w:r>
          </w:p>
          <w:p w14:paraId="20FB0B1B">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5.1.1水泥窑协同处置工业废物，按照工业废物在水泥窑系统的主要作用，可分为替代原料、替代燃料、水泥窑销毁处置三种类别。</w:t>
            </w:r>
          </w:p>
          <w:p w14:paraId="5DBF8F57">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5.1.2作为替代原料的工业废物，主要要求及判别依据为：</w:t>
            </w:r>
          </w:p>
          <w:p w14:paraId="36D0BF37">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工业废物中有用成分CaO、SiO</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、Al</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O</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、Fe</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2</w:t>
            </w:r>
            <w:r>
              <w:rPr>
                <w:rFonts w:hint="default" w:ascii="Times New Roman" w:hAnsi="Times New Roman" w:cs="Times New Roman"/>
                <w:color w:val="000000" w:themeColor="text1"/>
                <w:sz w:val="21"/>
                <w:szCs w:val="21"/>
                <w:highlight w:val="none"/>
                <w14:textFill>
                  <w14:solidFill>
                    <w14:schemeClr w14:val="tx1"/>
                  </w14:solidFill>
                </w14:textFill>
              </w:rPr>
              <w:t>O</w:t>
            </w:r>
            <w:r>
              <w:rPr>
                <w:rFonts w:hint="default" w:ascii="Times New Roman" w:hAnsi="Times New Roman" w:cs="Times New Roman"/>
                <w:color w:val="000000" w:themeColor="text1"/>
                <w:sz w:val="21"/>
                <w:szCs w:val="21"/>
                <w:highlight w:val="none"/>
                <w:vertAlign w:val="subscript"/>
                <w14:textFill>
                  <w14:solidFill>
                    <w14:schemeClr w14:val="tx1"/>
                  </w14:solidFill>
                </w14:textFill>
              </w:rPr>
              <w:t>3</w:t>
            </w:r>
            <w:r>
              <w:rPr>
                <w:rFonts w:hint="default" w:ascii="Times New Roman" w:hAnsi="Times New Roman" w:cs="Times New Roman"/>
                <w:color w:val="000000" w:themeColor="text1"/>
                <w:sz w:val="21"/>
                <w:szCs w:val="21"/>
                <w:highlight w:val="none"/>
                <w14:textFill>
                  <w14:solidFill>
                    <w14:schemeClr w14:val="tx1"/>
                  </w14:solidFill>
                </w14:textFill>
              </w:rPr>
              <w:t>灼烧基含量总和应达到80%以上。</w:t>
            </w:r>
          </w:p>
          <w:p w14:paraId="4111B8BC">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5.1.3作为燃料替代利用的工业废物，主要要求及判别依据为：</w:t>
            </w:r>
          </w:p>
          <w:p w14:paraId="1DC26AE6">
            <w:pPr>
              <w:pStyle w:val="52"/>
              <w:spacing w:before="0" w:after="0" w:line="240" w:lineRule="auto"/>
              <w:ind w:left="0" w:firstLine="0"/>
              <w:jc w:val="both"/>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入窑实物基废物的热值应大于11MJ/kg</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p>
          <w:p w14:paraId="34BD5090">
            <w:pPr>
              <w:pStyle w:val="52"/>
              <w:spacing w:before="0" w:after="0" w:line="240" w:lineRule="auto"/>
              <w:ind w:left="0" w:firstLine="0"/>
              <w:jc w:val="both"/>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入窑灰分含量应小于50%</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p>
          <w:p w14:paraId="15D3817A">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入窑水分含量应小于20%；或经过干化预处理后，入系统水分应小于20%。</w:t>
            </w:r>
          </w:p>
          <w:p w14:paraId="3947E23E">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5.1.4不满足5.1.2、5.1.3所列条件的工业废物均视同水泥窑系统销毁处置。</w:t>
            </w:r>
          </w:p>
        </w:tc>
        <w:tc>
          <w:tcPr>
            <w:tcW w:w="1137" w:type="pct"/>
            <w:tcBorders>
              <w:tl2br w:val="nil"/>
              <w:tr2bl w:val="nil"/>
            </w:tcBorders>
            <w:tcMar>
              <w:left w:w="108" w:type="dxa"/>
              <w:right w:w="108" w:type="dxa"/>
            </w:tcMar>
            <w:vAlign w:val="center"/>
          </w:tcPr>
          <w:p w14:paraId="60744334">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本项目通过水泥窑定向“点对点”协同处置危险废物，所处置工业废物属替代燃料，具体以入厂检验结果为依据</w:t>
            </w:r>
          </w:p>
        </w:tc>
        <w:tc>
          <w:tcPr>
            <w:tcW w:w="366" w:type="pct"/>
            <w:gridSpan w:val="2"/>
            <w:tcBorders>
              <w:tl2br w:val="nil"/>
              <w:tr2bl w:val="nil"/>
            </w:tcBorders>
            <w:tcMar>
              <w:left w:w="108" w:type="dxa"/>
              <w:right w:w="108" w:type="dxa"/>
            </w:tcMar>
            <w:vAlign w:val="center"/>
          </w:tcPr>
          <w:p w14:paraId="480CBEF2">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263F361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4C32C03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9232E1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5223A1F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5.2品质控制要求</w:t>
            </w:r>
          </w:p>
          <w:p w14:paraId="0733F66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5.2.1工业废物作为替代原、燃料的品质应满足水泥工厂产品方案的要求。</w:t>
            </w:r>
          </w:p>
          <w:p w14:paraId="27EC03A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5.2.2使用工业废物作为替代原、燃料后，生产出的水泥产品应符合现行国家标准《通用硅酸盐水泥》GB175的规定。</w:t>
            </w:r>
          </w:p>
          <w:p w14:paraId="4AE2A34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5.2.3水泥窑协同处置工业废物后，水泥熟料和水泥产品中重金属含量应符合现行国家标准《水泥工厂设计规范》GB50295的规定。</w:t>
            </w:r>
          </w:p>
        </w:tc>
        <w:tc>
          <w:tcPr>
            <w:tcW w:w="1137" w:type="pct"/>
            <w:tcBorders>
              <w:tl2br w:val="nil"/>
              <w:tr2bl w:val="nil"/>
            </w:tcBorders>
            <w:tcMar>
              <w:left w:w="108" w:type="dxa"/>
              <w:right w:w="108" w:type="dxa"/>
            </w:tcMar>
            <w:vAlign w:val="center"/>
          </w:tcPr>
          <w:p w14:paraId="35CA041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本项目拟处置工业废物作为替代</w:t>
            </w:r>
            <w:r>
              <w:rPr>
                <w:rFonts w:hint="default" w:ascii="Times New Roman" w:hAnsi="Times New Roman" w:cs="Times New Roman"/>
                <w:color w:val="000000" w:themeColor="text1"/>
                <w:sz w:val="21"/>
                <w:szCs w:val="21"/>
                <w:highlight w:val="none"/>
                <w14:textFill>
                  <w14:solidFill>
                    <w14:schemeClr w14:val="tx1"/>
                  </w14:solidFill>
                </w14:textFill>
              </w:rPr>
              <w:t>燃料后</w:t>
            </w:r>
            <w:r>
              <w:rPr>
                <w:rFonts w:hint="default" w:ascii="Times New Roman" w:hAnsi="Times New Roman" w:cs="Times New Roman"/>
                <w:color w:val="000000" w:themeColor="text1"/>
                <w:sz w:val="21"/>
                <w:szCs w:val="21"/>
                <w14:textFill>
                  <w14:solidFill>
                    <w14:schemeClr w14:val="tx1"/>
                  </w14:solidFill>
                </w14:textFill>
              </w:rPr>
              <w:t>，生产出的水泥产品符合现行国家标准《通用硅酸盐水泥》GB175的规定</w:t>
            </w:r>
          </w:p>
        </w:tc>
        <w:tc>
          <w:tcPr>
            <w:tcW w:w="366" w:type="pct"/>
            <w:gridSpan w:val="2"/>
            <w:tcBorders>
              <w:tl2br w:val="nil"/>
              <w:tr2bl w:val="nil"/>
            </w:tcBorders>
            <w:tcMar>
              <w:left w:w="108" w:type="dxa"/>
              <w:right w:w="108" w:type="dxa"/>
            </w:tcMar>
            <w:vAlign w:val="center"/>
          </w:tcPr>
          <w:p w14:paraId="7EA70110">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3488C9A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17CC0EF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120E071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工业废物的接收、运输与贮存</w:t>
            </w:r>
          </w:p>
        </w:tc>
        <w:tc>
          <w:tcPr>
            <w:tcW w:w="2619" w:type="pct"/>
            <w:gridSpan w:val="2"/>
            <w:tcBorders>
              <w:tl2br w:val="nil"/>
              <w:tr2bl w:val="nil"/>
            </w:tcBorders>
            <w:tcMar>
              <w:left w:w="108" w:type="dxa"/>
              <w:right w:w="108" w:type="dxa"/>
            </w:tcMar>
            <w:vAlign w:val="center"/>
          </w:tcPr>
          <w:p w14:paraId="2CF0181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7.1工业废物的接收</w:t>
            </w:r>
          </w:p>
          <w:p w14:paraId="07CD1F4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7.1.1工业废物的接收必须进行计量，计量设施宜选用动态汽车衡，计量站旁应设置抽样检查停车检查区，并宜与水泥生产线物料计量设施共用。</w:t>
            </w:r>
          </w:p>
          <w:p w14:paraId="57925E7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7.1.2如单独设置工业废物计量汽车衡，汽车衡的规格应按运输车最大满载重量的1.7倍设置。</w:t>
            </w:r>
          </w:p>
          <w:p w14:paraId="25434BE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7.1.3危险废物的接收应单独计量。</w:t>
            </w:r>
          </w:p>
          <w:p w14:paraId="2660685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7.1.4厂区内部工业废物的卸、装料作业区及转运站宜布置在厂区内远离建筑物的一侧。</w:t>
            </w:r>
          </w:p>
          <w:p w14:paraId="49FC0AE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7.1.5</w:t>
            </w:r>
            <w:r>
              <w:rPr>
                <w:rFonts w:hint="default" w:ascii="Times New Roman" w:hAnsi="Times New Roman" w:cs="Times New Roman"/>
                <w:color w:val="000000" w:themeColor="text1"/>
                <w:sz w:val="21"/>
                <w:szCs w:val="21"/>
                <w:highlight w:val="none"/>
                <w14:textFill>
                  <w14:solidFill>
                    <w14:schemeClr w14:val="tx1"/>
                  </w14:solidFill>
                </w14:textFill>
              </w:rPr>
              <w:t>工业废物卸料及装车空间应采用密封的构筑物或建筑物，并应配置通风、降尘、除臭系统，同时应保持系统与车辆卸料动作联动</w:t>
            </w:r>
            <w:r>
              <w:rPr>
                <w:rFonts w:hint="default" w:ascii="Times New Roman" w:hAnsi="Times New Roman" w:cs="Times New Roman"/>
                <w:color w:val="000000" w:themeColor="text1"/>
                <w:sz w:val="21"/>
                <w:szCs w:val="21"/>
                <w14:textFill>
                  <w14:solidFill>
                    <w14:schemeClr w14:val="tx1"/>
                  </w14:solidFill>
                </w14:textFill>
              </w:rPr>
              <w:t>。</w:t>
            </w:r>
          </w:p>
          <w:p w14:paraId="1E8A7DB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7.1.6工业废物进厂应设置质量检验，工业废物卸料、转运作业区应设置车辆作业指示标牌和安全警示标志。</w:t>
            </w:r>
          </w:p>
        </w:tc>
        <w:tc>
          <w:tcPr>
            <w:tcW w:w="1137" w:type="pct"/>
            <w:tcBorders>
              <w:tl2br w:val="nil"/>
              <w:tr2bl w:val="nil"/>
            </w:tcBorders>
            <w:tcMar>
              <w:left w:w="108" w:type="dxa"/>
              <w:right w:w="108" w:type="dxa"/>
            </w:tcMar>
            <w:vAlign w:val="center"/>
          </w:tcPr>
          <w:p w14:paraId="58B6661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本项目液态危险废物通过</w:t>
            </w:r>
            <w:r>
              <w:rPr>
                <w:rFonts w:hint="eastAsia" w:cs="Times New Roman"/>
                <w:color w:val="000000" w:themeColor="text1"/>
                <w:sz w:val="21"/>
                <w:szCs w:val="21"/>
                <w:lang w:val="en-US" w:eastAsia="zh-CN"/>
                <w14:textFill>
                  <w14:solidFill>
                    <w14:schemeClr w14:val="tx1"/>
                  </w14:solidFill>
                </w14:textFill>
              </w:rPr>
              <w:t>架空</w:t>
            </w:r>
            <w:r>
              <w:rPr>
                <w:rFonts w:hint="default" w:ascii="Times New Roman" w:hAnsi="Times New Roman" w:cs="Times New Roman"/>
                <w:color w:val="000000" w:themeColor="text1"/>
                <w:sz w:val="21"/>
                <w:szCs w:val="21"/>
                <w:lang w:val="en-US" w:eastAsia="zh-CN"/>
                <w14:textFill>
                  <w14:solidFill>
                    <w14:schemeClr w14:val="tx1"/>
                  </w14:solidFill>
                </w14:textFill>
              </w:rPr>
              <w:t>管道输送至水泥窑内，入窑前通过电磁流量计进行计量</w:t>
            </w:r>
            <w:r>
              <w:rPr>
                <w:rFonts w:hint="eastAsia" w:cs="Times New Roman"/>
                <w:color w:val="000000" w:themeColor="text1"/>
                <w:sz w:val="21"/>
                <w:szCs w:val="21"/>
                <w:lang w:val="en-US" w:eastAsia="zh-CN"/>
                <w14:textFill>
                  <w14:solidFill>
                    <w14:schemeClr w14:val="tx1"/>
                  </w14:solidFill>
                </w14:textFill>
              </w:rPr>
              <w:t>；固态危险废物在通过全封闭投料系统送入水泥窑</w:t>
            </w:r>
            <w:r>
              <w:rPr>
                <w:rFonts w:hint="default" w:ascii="Times New Roman" w:hAnsi="Times New Roman" w:cs="Times New Roman"/>
                <w:color w:val="000000" w:themeColor="text1"/>
                <w:sz w:val="21"/>
                <w:szCs w:val="21"/>
                <w:lang w:val="en-US" w:eastAsia="zh-CN"/>
                <w14:textFill>
                  <w14:solidFill>
                    <w14:schemeClr w14:val="tx1"/>
                  </w14:solidFill>
                </w14:textFill>
              </w:rPr>
              <w:t>内</w:t>
            </w:r>
            <w:r>
              <w:rPr>
                <w:rFonts w:hint="eastAsia" w:cs="Times New Roman"/>
                <w:color w:val="000000" w:themeColor="text1"/>
                <w:sz w:val="21"/>
                <w:szCs w:val="21"/>
                <w:lang w:val="en-US" w:eastAsia="zh-CN"/>
                <w14:textFill>
                  <w14:solidFill>
                    <w14:schemeClr w14:val="tx1"/>
                  </w14:solidFill>
                </w14:textFill>
              </w:rPr>
              <w:t>，入窑前通过计量称</w:t>
            </w:r>
            <w:r>
              <w:rPr>
                <w:rFonts w:hint="default" w:ascii="Times New Roman" w:hAnsi="Times New Roman" w:cs="Times New Roman"/>
                <w:color w:val="000000" w:themeColor="text1"/>
                <w:sz w:val="21"/>
                <w:szCs w:val="21"/>
                <w:lang w:val="en-US" w:eastAsia="zh-CN"/>
                <w14:textFill>
                  <w14:solidFill>
                    <w14:schemeClr w14:val="tx1"/>
                  </w14:solidFill>
                </w14:textFill>
              </w:rPr>
              <w:t>进行称量</w:t>
            </w: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项目上料系统设置在</w:t>
            </w:r>
            <w:r>
              <w:rPr>
                <w:rFonts w:hint="default" w:ascii="Times New Roman" w:hAnsi="Times New Roman" w:cs="Times New Roman"/>
                <w:color w:val="000000" w:themeColor="text1"/>
                <w:sz w:val="21"/>
                <w:szCs w:val="21"/>
                <w:highlight w:val="none"/>
                <w14:textFill>
                  <w14:solidFill>
                    <w14:schemeClr w14:val="tx1"/>
                  </w14:solidFill>
                </w14:textFill>
              </w:rPr>
              <w:t>密闭</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厂房</w:t>
            </w:r>
            <w:r>
              <w:rPr>
                <w:rFonts w:hint="default" w:ascii="Times New Roman" w:hAnsi="Times New Roman" w:cs="Times New Roman"/>
                <w:color w:val="000000" w:themeColor="text1"/>
                <w:sz w:val="21"/>
                <w:szCs w:val="21"/>
                <w:highlight w:val="none"/>
                <w14:textFill>
                  <w14:solidFill>
                    <w14:schemeClr w14:val="tx1"/>
                  </w14:solidFill>
                </w14:textFill>
              </w:rPr>
              <w:t>内；</w:t>
            </w:r>
            <w:r>
              <w:rPr>
                <w:rFonts w:hint="eastAsia" w:cs="Times New Roman"/>
                <w:color w:val="000000" w:themeColor="text1"/>
                <w:sz w:val="21"/>
                <w:szCs w:val="21"/>
                <w:highlight w:val="none"/>
                <w:lang w:val="en-US" w:eastAsia="zh-CN"/>
                <w14:textFill>
                  <w14:solidFill>
                    <w14:schemeClr w14:val="tx1"/>
                  </w14:solidFill>
                </w14:textFill>
              </w:rPr>
              <w:t>项目</w:t>
            </w:r>
            <w:r>
              <w:rPr>
                <w:rFonts w:hint="default" w:ascii="Times New Roman" w:hAnsi="Times New Roman" w:cs="Times New Roman"/>
                <w:color w:val="000000" w:themeColor="text1"/>
                <w:sz w:val="21"/>
                <w:szCs w:val="21"/>
                <w14:textFill>
                  <w14:solidFill>
                    <w14:schemeClr w14:val="tx1"/>
                  </w14:solidFill>
                </w14:textFill>
              </w:rPr>
              <w:t>按要求设置废物入厂检验</w:t>
            </w:r>
            <w:r>
              <w:rPr>
                <w:rFonts w:hint="eastAsia" w:cs="Times New Roman"/>
                <w:color w:val="000000" w:themeColor="text1"/>
                <w:sz w:val="21"/>
                <w:szCs w:val="21"/>
                <w:lang w:val="en-US" w:eastAsia="zh-CN"/>
                <w14:textFill>
                  <w14:solidFill>
                    <w14:schemeClr w14:val="tx1"/>
                  </w14:solidFill>
                </w14:textFill>
              </w:rPr>
              <w:t>系统</w:t>
            </w:r>
            <w:r>
              <w:rPr>
                <w:rFonts w:hint="default" w:ascii="Times New Roman" w:hAnsi="Times New Roman" w:cs="Times New Roman"/>
                <w:color w:val="000000" w:themeColor="text1"/>
                <w:sz w:val="21"/>
                <w:szCs w:val="21"/>
                <w14:textFill>
                  <w14:solidFill>
                    <w14:schemeClr w14:val="tx1"/>
                  </w14:solidFill>
                </w14:textFill>
              </w:rPr>
              <w:t>，卸料作业区设置车辆作业指示标牌和安全警示标志</w:t>
            </w:r>
          </w:p>
        </w:tc>
        <w:tc>
          <w:tcPr>
            <w:tcW w:w="366" w:type="pct"/>
            <w:gridSpan w:val="2"/>
            <w:tcBorders>
              <w:tl2br w:val="nil"/>
              <w:tr2bl w:val="nil"/>
            </w:tcBorders>
            <w:tcMar>
              <w:left w:w="108" w:type="dxa"/>
              <w:right w:w="108" w:type="dxa"/>
            </w:tcMar>
            <w:vAlign w:val="center"/>
          </w:tcPr>
          <w:p w14:paraId="08CD7FE7">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12E5D59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698C3A7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2C2D1A0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6149E8D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7.2工业废物的输送</w:t>
            </w:r>
          </w:p>
          <w:p w14:paraId="7604BAE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7.2.1厂内工业废物的输送应依据工业废物的性质、输送能力、输送距离、输送高度等结合工艺布置选择输送设备。</w:t>
            </w:r>
          </w:p>
          <w:p w14:paraId="41C0C48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7.2.2工业废物的输送宜采用密闭方式进行，并应符合以下规定：</w:t>
            </w:r>
          </w:p>
          <w:p w14:paraId="52FD79C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1.危险废物要根据其成分，用符合现行国家标准《危险废物贮存污染控制标准》GB18597的专门容器分类收集输送。</w:t>
            </w:r>
          </w:p>
          <w:p w14:paraId="299C3F0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2.粉尘状的工业废物其输送转运点应设置收尘装置。</w:t>
            </w:r>
          </w:p>
          <w:p w14:paraId="5506921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3.有异味产生的工业废物其输送过程应设置防止异味扩散的装置。</w:t>
            </w:r>
          </w:p>
          <w:p w14:paraId="78650B0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4.工业废物输送过程中应采取防泄漏、防散落、防破损的措施。</w:t>
            </w:r>
          </w:p>
          <w:p w14:paraId="7672DEF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7.2.3液态工业废物可采用管道泵送，并应符合以下规定：</w:t>
            </w:r>
          </w:p>
          <w:p w14:paraId="6650494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1.根据所输送工业废物的物理特性及所在地区的气候采取伴热管及保温处理措施。</w:t>
            </w:r>
          </w:p>
          <w:p w14:paraId="134C1AE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2.泵送管道应分段采用法兰连接，其连接段长度应按照废物的易凝结程度选择。</w:t>
            </w:r>
          </w:p>
          <w:p w14:paraId="6DE652A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3.管道泵送宜配置压缩空气伴行吹堵。</w:t>
            </w:r>
          </w:p>
        </w:tc>
        <w:tc>
          <w:tcPr>
            <w:tcW w:w="1137" w:type="pct"/>
            <w:tcBorders>
              <w:tl2br w:val="nil"/>
              <w:tr2bl w:val="nil"/>
            </w:tcBorders>
            <w:tcMar>
              <w:left w:w="108" w:type="dxa"/>
              <w:right w:w="108" w:type="dxa"/>
            </w:tcMar>
            <w:vAlign w:val="center"/>
          </w:tcPr>
          <w:p w14:paraId="2569EAF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本项目根据废物性质选择</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不同的运输方式，其中固态危险废物在厂内采取叉车运输方式输送，液态废物通过</w:t>
            </w:r>
            <w:r>
              <w:rPr>
                <w:rFonts w:hint="eastAsia" w:cs="Times New Roman"/>
                <w:color w:val="000000" w:themeColor="text1"/>
                <w:sz w:val="21"/>
                <w:szCs w:val="21"/>
                <w:highlight w:val="none"/>
                <w:lang w:val="en-US" w:eastAsia="zh-CN"/>
                <w14:textFill>
                  <w14:solidFill>
                    <w14:schemeClr w14:val="tx1"/>
                  </w14:solidFill>
                </w14:textFill>
              </w:rPr>
              <w:t>架空密闭</w:t>
            </w:r>
            <w:r>
              <w:rPr>
                <w:rFonts w:hint="default" w:ascii="Times New Roman" w:hAnsi="Times New Roman" w:cs="Times New Roman"/>
                <w:color w:val="000000" w:themeColor="text1"/>
                <w:sz w:val="21"/>
                <w:szCs w:val="21"/>
                <w:highlight w:val="none"/>
                <w14:textFill>
                  <w14:solidFill>
                    <w14:schemeClr w14:val="tx1"/>
                  </w14:solidFill>
                </w14:textFill>
              </w:rPr>
              <w:t>管道</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直接输送进入窑内，在采取防泄漏、防散落及防破损措施后输送过程</w:t>
            </w:r>
            <w:r>
              <w:rPr>
                <w:rFonts w:hint="default" w:ascii="Times New Roman" w:hAnsi="Times New Roman" w:cs="Times New Roman"/>
                <w:color w:val="000000" w:themeColor="text1"/>
                <w:sz w:val="21"/>
                <w:szCs w:val="21"/>
                <w:highlight w:val="none"/>
                <w14:textFill>
                  <w14:solidFill>
                    <w14:schemeClr w14:val="tx1"/>
                  </w14:solidFill>
                </w14:textFill>
              </w:rPr>
              <w:t>可有效防止粉尘、异味扩散</w:t>
            </w:r>
          </w:p>
        </w:tc>
        <w:tc>
          <w:tcPr>
            <w:tcW w:w="366" w:type="pct"/>
            <w:gridSpan w:val="2"/>
            <w:tcBorders>
              <w:tl2br w:val="nil"/>
              <w:tr2bl w:val="nil"/>
            </w:tcBorders>
            <w:tcMar>
              <w:left w:w="108" w:type="dxa"/>
              <w:right w:w="108" w:type="dxa"/>
            </w:tcMar>
            <w:vAlign w:val="center"/>
          </w:tcPr>
          <w:p w14:paraId="47D31E59">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25509A7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6F2920E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660684F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3D50806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7.3工业废物的运输车辆</w:t>
            </w:r>
          </w:p>
          <w:p w14:paraId="2F0FE89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7.3.1一般工业废物的运输车辆，应依据工业废物的特性选择，宜选用同一型号、规格的车辆。</w:t>
            </w:r>
          </w:p>
          <w:p w14:paraId="66EE3B6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7.3.2运输过程中有挥发性恶臭气体逸出的工业废物，应选用密封式车辆运输。</w:t>
            </w:r>
          </w:p>
          <w:p w14:paraId="75A392F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7.3.3危险废物的运输车辆，必须按危险废物特性进行分类包装运输，并应设置危险废物专用警示标志。</w:t>
            </w:r>
          </w:p>
        </w:tc>
        <w:tc>
          <w:tcPr>
            <w:tcW w:w="1137" w:type="pct"/>
            <w:tcBorders>
              <w:tl2br w:val="nil"/>
              <w:tr2bl w:val="nil"/>
            </w:tcBorders>
            <w:tcMar>
              <w:left w:w="108" w:type="dxa"/>
              <w:right w:w="108" w:type="dxa"/>
            </w:tcMar>
            <w:vAlign w:val="center"/>
          </w:tcPr>
          <w:p w14:paraId="1369D0A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w:t>
            </w:r>
            <w:r>
              <w:rPr>
                <w:rFonts w:hint="default" w:ascii="Times New Roman" w:hAnsi="Times New Roman" w:cs="Times New Roman"/>
                <w:color w:val="000000" w:themeColor="text1"/>
                <w:sz w:val="21"/>
                <w:szCs w:val="21"/>
                <w:highlight w:val="none"/>
                <w14:textFill>
                  <w14:solidFill>
                    <w14:schemeClr w14:val="tx1"/>
                  </w14:solidFill>
                </w14:textFill>
              </w:rPr>
              <w:t>项目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仅涉及危险废物厂内运输，</w:t>
            </w:r>
            <w:r>
              <w:rPr>
                <w:rFonts w:hint="eastAsia" w:cs="Times New Roman"/>
                <w:color w:val="000000" w:themeColor="text1"/>
                <w:sz w:val="21"/>
                <w:szCs w:val="21"/>
                <w:highlight w:val="none"/>
                <w:lang w:val="en-US" w:eastAsia="zh-CN"/>
                <w14:textFill>
                  <w14:solidFill>
                    <w14:schemeClr w14:val="tx1"/>
                  </w14:solidFill>
                </w14:textFill>
              </w:rPr>
              <w:t>固态危险废物在厂内采取叉车运输方式输送，液态废物通过架空密闭管道直接输送进入窑内</w:t>
            </w:r>
            <w:r>
              <w:rPr>
                <w:rFonts w:hint="default" w:ascii="Times New Roman" w:hAnsi="Times New Roman" w:cs="Times New Roman"/>
                <w:color w:val="000000" w:themeColor="text1"/>
                <w:sz w:val="21"/>
                <w:szCs w:val="21"/>
                <w:highlight w:val="none"/>
                <w14:textFill>
                  <w14:solidFill>
                    <w14:schemeClr w14:val="tx1"/>
                  </w14:solidFill>
                </w14:textFill>
              </w:rPr>
              <w:t>，</w:t>
            </w:r>
            <w:r>
              <w:rPr>
                <w:rFonts w:hint="eastAsia" w:cs="Times New Roman"/>
                <w:color w:val="000000" w:themeColor="text1"/>
                <w:sz w:val="21"/>
                <w:szCs w:val="21"/>
                <w:highlight w:val="none"/>
                <w:lang w:val="en-US" w:eastAsia="zh-CN"/>
                <w14:textFill>
                  <w14:solidFill>
                    <w14:schemeClr w14:val="tx1"/>
                  </w14:solidFill>
                </w14:textFill>
              </w:rPr>
              <w:t>输送过程</w:t>
            </w:r>
            <w:r>
              <w:rPr>
                <w:rFonts w:hint="default" w:ascii="Times New Roman" w:hAnsi="Times New Roman" w:cs="Times New Roman"/>
                <w:color w:val="000000" w:themeColor="text1"/>
                <w:sz w:val="21"/>
                <w:szCs w:val="21"/>
                <w14:textFill>
                  <w14:solidFill>
                    <w14:schemeClr w14:val="tx1"/>
                  </w14:solidFill>
                </w14:textFill>
              </w:rPr>
              <w:t>设置危险废物专用警示标志</w:t>
            </w:r>
          </w:p>
        </w:tc>
        <w:tc>
          <w:tcPr>
            <w:tcW w:w="366" w:type="pct"/>
            <w:gridSpan w:val="2"/>
            <w:tcBorders>
              <w:tl2br w:val="nil"/>
              <w:tr2bl w:val="nil"/>
            </w:tcBorders>
            <w:tcMar>
              <w:left w:w="108" w:type="dxa"/>
              <w:right w:w="108" w:type="dxa"/>
            </w:tcMar>
            <w:vAlign w:val="center"/>
          </w:tcPr>
          <w:p w14:paraId="55B59C31">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27DB077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2CD9EEB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7B3A0E6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工业废物预处理系统</w:t>
            </w:r>
          </w:p>
        </w:tc>
        <w:tc>
          <w:tcPr>
            <w:tcW w:w="2619" w:type="pct"/>
            <w:gridSpan w:val="2"/>
            <w:tcBorders>
              <w:tl2br w:val="nil"/>
              <w:tr2bl w:val="nil"/>
            </w:tcBorders>
            <w:tcMar>
              <w:left w:w="108" w:type="dxa"/>
              <w:right w:w="108" w:type="dxa"/>
            </w:tcMar>
            <w:vAlign w:val="center"/>
          </w:tcPr>
          <w:p w14:paraId="1BB699D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8.1一般规定</w:t>
            </w:r>
          </w:p>
          <w:p w14:paraId="67E0767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8.1.1预处理系统工艺布置应采取防止异味、粉尘的散发、溶析及渗漏等措施。</w:t>
            </w:r>
          </w:p>
        </w:tc>
        <w:tc>
          <w:tcPr>
            <w:tcW w:w="1137" w:type="pct"/>
            <w:tcBorders>
              <w:tl2br w:val="nil"/>
              <w:tr2bl w:val="nil"/>
            </w:tcBorders>
            <w:tcMar>
              <w:left w:w="108" w:type="dxa"/>
              <w:right w:w="108" w:type="dxa"/>
            </w:tcMar>
            <w:vAlign w:val="center"/>
          </w:tcPr>
          <w:p w14:paraId="09496BE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根据项目所处置危险废物特性，本项目所处置危险废物无需进行预处理</w:t>
            </w:r>
          </w:p>
        </w:tc>
        <w:tc>
          <w:tcPr>
            <w:tcW w:w="366" w:type="pct"/>
            <w:gridSpan w:val="2"/>
            <w:tcBorders>
              <w:tl2br w:val="nil"/>
              <w:tr2bl w:val="nil"/>
            </w:tcBorders>
            <w:tcMar>
              <w:left w:w="108" w:type="dxa"/>
              <w:right w:w="108" w:type="dxa"/>
            </w:tcMar>
            <w:vAlign w:val="center"/>
          </w:tcPr>
          <w:p w14:paraId="3082FAAB">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202869E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008FD33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2B0CF90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6493A30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8.2工业废物破碎、配伍系统</w:t>
            </w:r>
          </w:p>
          <w:p w14:paraId="1BB0FF7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8.2.1工业废物的破碎、配伍系统的工艺布置，应依据工业废物的来源、贮存系统的工艺布置、水泥窑接口系统工艺条件等确定。</w:t>
            </w:r>
          </w:p>
          <w:p w14:paraId="4B06CBC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8.2.2应依据待处置工业废物的磨蚀性、来料粒度、出料粒度要求等选择破碎机的形式和破碎级数。</w:t>
            </w:r>
          </w:p>
          <w:p w14:paraId="0C552EA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8.2.3作为替代原料的工业废物，其破碎应优先选择与现有生产线共用破碎机。需单独设置破碎时，应依据物料的特性进行破碎机选型，并应优先选用单段破碎。</w:t>
            </w:r>
          </w:p>
          <w:p w14:paraId="215A25E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8.2.4工业废物替代燃料破碎系统宜采用多级破碎。</w:t>
            </w:r>
          </w:p>
          <w:p w14:paraId="69D53D1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8.2.5危险废物破碎机应设置防爆通道及不可破碎物排出通道。</w:t>
            </w:r>
          </w:p>
          <w:p w14:paraId="39ED698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8.2.6应采用分选工艺去除工业废物中对水泥生产有害的组分，对富集的有害组分应采取后续处置措施。</w:t>
            </w:r>
          </w:p>
          <w:p w14:paraId="1E46884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8.2.7工业废物的分选宜选用组合分选装置。如需采用多级装备组合，各设备的处理能力应按照工业废物分选的能力要求进行匹配。</w:t>
            </w:r>
          </w:p>
          <w:p w14:paraId="5EFFE87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8.2.8处置危险废物的分选设备应设置安全防爆装置。</w:t>
            </w:r>
          </w:p>
          <w:p w14:paraId="75D8B98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8.2.9采用混合搅拌配伍的工业废物，所选择的混料器若采用螺旋结构，应设置为可正、反转，并应可实现缠绕条状废物自解套。</w:t>
            </w:r>
          </w:p>
          <w:p w14:paraId="206A8ED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8.2.10处置危险废物的混合搅拌配伍设备，应设置温度、可燃气体成分与浓度监测，并应配置观察孔、防爆阀接口等设施。</w:t>
            </w:r>
          </w:p>
          <w:p w14:paraId="41CC7F9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8.2.11工业废物替代燃料进行水分、热值、有害组分调配时，若采用干燥、分选、输送等设备联用可满足均化要求，则不宜设置独立的混合配伍装置。</w:t>
            </w:r>
          </w:p>
        </w:tc>
        <w:tc>
          <w:tcPr>
            <w:tcW w:w="1137" w:type="pct"/>
            <w:tcBorders>
              <w:tl2br w:val="nil"/>
              <w:tr2bl w:val="nil"/>
            </w:tcBorders>
            <w:tcMar>
              <w:left w:w="108" w:type="dxa"/>
              <w:right w:w="108" w:type="dxa"/>
            </w:tcMar>
            <w:vAlign w:val="center"/>
          </w:tcPr>
          <w:p w14:paraId="1AF1C0AF">
            <w:pPr>
              <w:pStyle w:val="52"/>
              <w:spacing w:before="0" w:after="0" w:line="240" w:lineRule="auto"/>
              <w:ind w:left="0" w:firstLine="0"/>
              <w:jc w:val="both"/>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根据项目所处置危险废物特性，拟建项目预处理过程设置在投料系统内，</w:t>
            </w:r>
            <w:r>
              <w:rPr>
                <w:rFonts w:hint="eastAsia" w:cs="Times New Roman"/>
                <w:color w:val="000000" w:themeColor="text1"/>
                <w:sz w:val="21"/>
                <w:szCs w:val="21"/>
                <w:lang w:val="en-US" w:eastAsia="zh-CN"/>
                <w14:textFill>
                  <w14:solidFill>
                    <w14:schemeClr w14:val="tx1"/>
                  </w14:solidFill>
                </w14:textFill>
              </w:rPr>
              <w:t>通过板喂机将固态废物送至打散机内进行打散破碎，而后通过大倾角皮带机输送至缓冲料斗内，称量后送入水泥窑内焚烧处置</w:t>
            </w:r>
          </w:p>
        </w:tc>
        <w:tc>
          <w:tcPr>
            <w:tcW w:w="366" w:type="pct"/>
            <w:gridSpan w:val="2"/>
            <w:tcBorders>
              <w:tl2br w:val="nil"/>
              <w:tr2bl w:val="nil"/>
            </w:tcBorders>
            <w:tcMar>
              <w:left w:w="108" w:type="dxa"/>
              <w:right w:w="108" w:type="dxa"/>
            </w:tcMar>
            <w:vAlign w:val="center"/>
          </w:tcPr>
          <w:p w14:paraId="52DADC20">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3D4BD38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3E440AE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3E15A89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w:t>
            </w:r>
            <w:r>
              <w:rPr>
                <w:rFonts w:hint="default"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环境保护</w:t>
            </w:r>
          </w:p>
        </w:tc>
        <w:tc>
          <w:tcPr>
            <w:tcW w:w="2619" w:type="pct"/>
            <w:gridSpan w:val="2"/>
            <w:tcBorders>
              <w:tl2br w:val="nil"/>
              <w:tr2bl w:val="nil"/>
            </w:tcBorders>
            <w:tcMar>
              <w:left w:w="108" w:type="dxa"/>
              <w:right w:w="108" w:type="dxa"/>
            </w:tcMar>
            <w:vAlign w:val="center"/>
          </w:tcPr>
          <w:p w14:paraId="09FB60B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10.1一般规定</w:t>
            </w:r>
          </w:p>
          <w:p w14:paraId="306C2D0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10.1.1水泥窑协同处置工业废物须进行环境影响评价。</w:t>
            </w:r>
          </w:p>
          <w:p w14:paraId="2D5E686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10.1.2水泥窑协同处置工业废物的水泥厂，与居住区之间留有的卫生防护距离，应符合相应现行国家标准《水泥厂卫生防护距离标准》GB18068的有关规定。</w:t>
            </w:r>
          </w:p>
          <w:p w14:paraId="0B6C5EB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10.1.3水泥窑协同处置工业废物时，采取的处置方案须安全环保。产品或排放物中所含有毒有害物质浓度须符合现行国家相应产品及污染物排放标准的有关规定。</w:t>
            </w:r>
          </w:p>
          <w:p w14:paraId="777C67F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10.1.4防治污染的环保设施必须与水泥窑协同处置工业废物主体工程同时设计、同时施工、同时投产使用。</w:t>
            </w:r>
          </w:p>
        </w:tc>
        <w:tc>
          <w:tcPr>
            <w:tcW w:w="1137" w:type="pct"/>
            <w:tcBorders>
              <w:tl2br w:val="nil"/>
              <w:tr2bl w:val="nil"/>
            </w:tcBorders>
            <w:tcMar>
              <w:left w:w="108" w:type="dxa"/>
              <w:right w:w="108" w:type="dxa"/>
            </w:tcMar>
            <w:vAlign w:val="center"/>
          </w:tcPr>
          <w:p w14:paraId="46C7328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本项目按要求进行环境影响评价；《水泥厂卫生防护距离标准》GB18068和《非金属矿物制品业卫生防护距离 第1部分：水泥制造业》（GB18068.1-2012）均已废止；本评价根据《大气有害物质无组织排放卫生防护距离推导技术导则》计算本项目卫生防护距离</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本项目将严格执行环保“三同时”制度</w:t>
            </w:r>
          </w:p>
        </w:tc>
        <w:tc>
          <w:tcPr>
            <w:tcW w:w="366" w:type="pct"/>
            <w:gridSpan w:val="2"/>
            <w:tcBorders>
              <w:tl2br w:val="nil"/>
              <w:tr2bl w:val="nil"/>
            </w:tcBorders>
            <w:tcMar>
              <w:left w:w="108" w:type="dxa"/>
              <w:right w:w="108" w:type="dxa"/>
            </w:tcMar>
            <w:vAlign w:val="center"/>
          </w:tcPr>
          <w:p w14:paraId="5AAA6060">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1004D83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0" w:type="pct"/>
        </w:trPr>
        <w:tc>
          <w:tcPr>
            <w:tcW w:w="402" w:type="pct"/>
            <w:vMerge w:val="continue"/>
            <w:tcBorders>
              <w:tl2br w:val="nil"/>
              <w:tr2bl w:val="nil"/>
            </w:tcBorders>
            <w:tcMar>
              <w:left w:w="108" w:type="dxa"/>
              <w:right w:w="108" w:type="dxa"/>
            </w:tcMar>
            <w:vAlign w:val="center"/>
          </w:tcPr>
          <w:p w14:paraId="3F5AB0C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2394BFF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5090F99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10.2环境保护 </w:t>
            </w:r>
          </w:p>
          <w:p w14:paraId="7949F6E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10.2.1应根据处置工业废物的特性及建厂地区的气候条件确定物料的贮存型式，贮存容器和贮存场所均应符合现行国家标准《一般工业固体废物贮存、处置场污染控制标准》GB18599、《危险废物贮存污染控制标准》GB18597的规定。</w:t>
            </w:r>
          </w:p>
          <w:p w14:paraId="1A9A234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10.2.2废物处理、输送、装卸过程均应密闭。其处置全过程均应做好防风、防雨、防晒、防渗、防漏、防冲刷浸泡、防有毒有害气体散发等的设计。</w:t>
            </w:r>
          </w:p>
          <w:p w14:paraId="5731C20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10.2.3应严格控制工业废物焚烧过程,抑制烟气中各种污染物的产生。对烟气必须采取综合处理措施：水泥窑协同处置危险废物，其烟气排放应符合现行国家标准《危险废物焚烧污染控制标准》GB18484 中的有关规定；协同处置一般工业废物，其烟气排放应符合现行国家标准《工业炉窑大气污染物排放标准》GB9078、《水泥工业大气污染物排放标准》GB4915中的有关规定。</w:t>
            </w:r>
          </w:p>
          <w:p w14:paraId="096AE61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10.2.4水泥窑协同处置工业废物除尘及气体净化设备应根据生产设备的能力、工业废物的特性配置高效除尘净化设备。</w:t>
            </w:r>
          </w:p>
          <w:p w14:paraId="3C9D5DF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10.2.5除尘净化设备应与其对应的生产工艺设备应设置联锁运行装置。</w:t>
            </w:r>
          </w:p>
          <w:p w14:paraId="181FE7C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10.2.6破碎易形成扬尘的工业废物，其破碎设备及转运应附设收尘设备。烟气净化系统的除尘设备应选用袋式除尘器，并应根据烟气性质选择滤袋和袋笼材质。不得使用静电除尘和机械除尘装置。</w:t>
            </w:r>
          </w:p>
          <w:p w14:paraId="23D4F40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10.2.7应采用雨污分流排水系统，废物运输车辆及贮存容器的冲洗废水、生产废水以及生活污水不得与雨水合流排放。</w:t>
            </w:r>
          </w:p>
          <w:p w14:paraId="1945247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10.2.8危险废物贮存设施应按照现行国家标准《危险废物贮存污染控制标准》GB18597的要求设置泄漏液体收集装置及气体导出口和气体净化装置。</w:t>
            </w:r>
          </w:p>
          <w:p w14:paraId="05A3612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10.2.9各类废物渗滤液、冲洗运输车辆及贮存设施的废水应按其性质分类收集处理。</w:t>
            </w:r>
          </w:p>
          <w:p w14:paraId="3F445E5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10.2.10各类废物处置、堆存区域内的排水应采取初期雨水、地坪冲洗水的收集措施，经收集池收集的废水及作业区的初期雨水必须经处理、并应符合现行国家标准《污水综合排放标准》GB8978的规定后排放。</w:t>
            </w:r>
          </w:p>
          <w:p w14:paraId="74D5618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10.2.11工业废物处置过程中的废水经过处理后应优先回用。回用水质应符合现行国家标准《城市污水再生利用 城市杂用水水质》GB/T 18920的规定。当废水需直接排入水体时</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其水质应符合现行国家标准《污水综合排放标准》GB8978对应的最高允许排放浓度标准值。严禁将未经处理的废物渗滤液及污水以任何方式直接排放或随意倾倒。</w:t>
            </w:r>
          </w:p>
          <w:p w14:paraId="207257E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10.2.12工业废物处置过程中产生的恶臭污染物的控制与防治应符合现行国家标准《恶臭污染物排放标准》GB14554的有关规定。</w:t>
            </w:r>
          </w:p>
        </w:tc>
        <w:tc>
          <w:tcPr>
            <w:tcW w:w="1137" w:type="pct"/>
            <w:tcBorders>
              <w:tl2br w:val="nil"/>
              <w:tr2bl w:val="nil"/>
            </w:tcBorders>
            <w:tcMar>
              <w:left w:w="108" w:type="dxa"/>
              <w:right w:w="108" w:type="dxa"/>
            </w:tcMar>
            <w:vAlign w:val="center"/>
          </w:tcPr>
          <w:p w14:paraId="6B8DE5FE">
            <w:pPr>
              <w:pStyle w:val="52"/>
              <w:spacing w:before="0" w:after="0" w:line="240" w:lineRule="auto"/>
              <w:ind w:left="0" w:firstLine="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w:t>
            </w:r>
            <w:r>
              <w:rPr>
                <w:rFonts w:hint="default" w:ascii="Times New Roman" w:hAnsi="Times New Roman" w:cs="Times New Roman"/>
                <w:color w:val="000000" w:themeColor="text1"/>
                <w:sz w:val="21"/>
                <w:szCs w:val="21"/>
                <w:lang w:val="en-US" w:eastAsia="zh-CN"/>
                <w14:textFill>
                  <w14:solidFill>
                    <w14:schemeClr w14:val="tx1"/>
                  </w14:solidFill>
                </w14:textFill>
              </w:rPr>
              <w:t>不设置</w:t>
            </w:r>
            <w:r>
              <w:rPr>
                <w:rFonts w:hint="default" w:ascii="Times New Roman" w:hAnsi="Times New Roman" w:cs="Times New Roman"/>
                <w:color w:val="000000" w:themeColor="text1"/>
                <w:sz w:val="21"/>
                <w:szCs w:val="21"/>
                <w14:textFill>
                  <w14:solidFill>
                    <w14:schemeClr w14:val="tx1"/>
                  </w14:solidFill>
                </w14:textFill>
              </w:rPr>
              <w:t>危险废物贮存库</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废物处理、输送、装卸过程均密闭</w:t>
            </w:r>
            <w:r>
              <w:rPr>
                <w:rFonts w:hint="default" w:ascii="Times New Roman" w:hAnsi="Times New Roman" w:cs="Times New Roman"/>
                <w:color w:val="000000" w:themeColor="text1"/>
                <w:sz w:val="21"/>
                <w:szCs w:val="21"/>
                <w:lang w:eastAsia="zh-CN"/>
                <w14:textFill>
                  <w14:solidFill>
                    <w14:schemeClr w14:val="tx1"/>
                  </w14:solidFill>
                </w14:textFill>
              </w:rPr>
              <w:t>；</w:t>
            </w:r>
          </w:p>
          <w:p w14:paraId="5B7C1EC4">
            <w:pPr>
              <w:pStyle w:val="52"/>
              <w:keepNext w:val="0"/>
              <w:keepLines w:val="0"/>
              <w:pageBreakBefore w:val="0"/>
              <w:widowControl w:val="0"/>
              <w:kinsoku/>
              <w:wordWrap w:val="0"/>
              <w:overflowPunct/>
              <w:topLinePunct w:val="0"/>
              <w:autoSpaceDE w:val="0"/>
              <w:autoSpaceDN w:val="0"/>
              <w:bidi w:val="0"/>
              <w:adjustRightInd w:val="0"/>
              <w:snapToGrid/>
              <w:spacing w:before="0" w:after="0" w:line="240" w:lineRule="auto"/>
              <w:ind w:left="0" w:firstLine="0"/>
              <w:jc w:val="both"/>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窑尾烟气采取“</w:t>
            </w:r>
            <w:r>
              <w:rPr>
                <w:rFonts w:hint="default" w:ascii="Times New Roman" w:hAnsi="Times New Roman" w:cs="Times New Roman"/>
                <w:color w:val="000000" w:themeColor="text1"/>
                <w:sz w:val="21"/>
                <w:szCs w:val="21"/>
                <w:lang w:val="en-US" w:eastAsia="zh-CN"/>
                <w14:textFill>
                  <w14:solidFill>
                    <w14:schemeClr w14:val="tx1"/>
                  </w14:solidFill>
                </w14:textFill>
              </w:rPr>
              <w:t>低氮燃烧+SNCR+增湿塔（急冷）+电除尘+布袋除尘+100m排气筒</w:t>
            </w:r>
            <w:r>
              <w:rPr>
                <w:rFonts w:hint="default" w:ascii="Times New Roman" w:hAnsi="Times New Roman" w:cs="Times New Roman"/>
                <w:color w:val="000000" w:themeColor="text1"/>
                <w:sz w:val="21"/>
                <w:szCs w:val="21"/>
                <w14:textFill>
                  <w14:solidFill>
                    <w14:schemeClr w14:val="tx1"/>
                  </w14:solidFill>
                </w14:textFill>
              </w:rPr>
              <w:t>”综合处理措施，其烟气排放符合现行国家标准《危险废物焚烧污染控制标准》（GB18484-2020）、《水泥工业大气污染物排放标准》（GB4915-2013）（含2025年修改单）中的有关规定</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企业水泥窑配备有</w:t>
            </w:r>
            <w:r>
              <w:rPr>
                <w:rFonts w:hint="default" w:ascii="Times New Roman" w:hAnsi="Times New Roman" w:cs="Times New Roman"/>
                <w:color w:val="000000" w:themeColor="text1"/>
                <w:sz w:val="21"/>
                <w:szCs w:val="21"/>
                <w14:textFill>
                  <w14:solidFill>
                    <w14:schemeClr w14:val="tx1"/>
                  </w14:solidFill>
                </w14:textFill>
              </w:rPr>
              <w:t>高效除尘净化设备</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危险废物贮存库满足《危险废物贮存污染控制标准》（GB18597-2023）的要求</w:t>
            </w:r>
          </w:p>
        </w:tc>
        <w:tc>
          <w:tcPr>
            <w:tcW w:w="366" w:type="pct"/>
            <w:gridSpan w:val="2"/>
            <w:tcBorders>
              <w:tl2br w:val="nil"/>
              <w:tr2bl w:val="nil"/>
            </w:tcBorders>
            <w:tcMar>
              <w:left w:w="108" w:type="dxa"/>
              <w:right w:w="108" w:type="dxa"/>
            </w:tcMar>
            <w:vAlign w:val="center"/>
          </w:tcPr>
          <w:p w14:paraId="7A83B992">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70F0FCC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restart"/>
            <w:tcBorders>
              <w:tl2br w:val="nil"/>
              <w:tr2bl w:val="nil"/>
            </w:tcBorders>
            <w:tcMar>
              <w:left w:w="108" w:type="dxa"/>
              <w:right w:w="108" w:type="dxa"/>
            </w:tcMar>
            <w:vAlign w:val="center"/>
          </w:tcPr>
          <w:p w14:paraId="5C49D64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《水泥窑协同处置固体废物污染防治技术政策》</w:t>
            </w:r>
          </w:p>
        </w:tc>
        <w:tc>
          <w:tcPr>
            <w:tcW w:w="473" w:type="pct"/>
            <w:vMerge w:val="restart"/>
            <w:tcBorders>
              <w:tl2br w:val="nil"/>
              <w:tr2bl w:val="nil"/>
            </w:tcBorders>
            <w:tcMar>
              <w:left w:w="108" w:type="dxa"/>
              <w:right w:w="108" w:type="dxa"/>
            </w:tcMar>
            <w:vAlign w:val="center"/>
          </w:tcPr>
          <w:p w14:paraId="1654CCD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源头控制</w:t>
            </w:r>
          </w:p>
        </w:tc>
        <w:tc>
          <w:tcPr>
            <w:tcW w:w="2619" w:type="pct"/>
            <w:gridSpan w:val="2"/>
            <w:tcBorders>
              <w:tl2br w:val="nil"/>
              <w:tr2bl w:val="nil"/>
            </w:tcBorders>
            <w:tcMar>
              <w:left w:w="108" w:type="dxa"/>
              <w:right w:w="108" w:type="dxa"/>
            </w:tcMar>
            <w:vAlign w:val="center"/>
          </w:tcPr>
          <w:p w14:paraId="587D1A6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协同处置固体废物应利用现有新型干法水泥窑，并采用窑磨一体化运行方式。处置固体废物应采用单线设计熟料生产规模2000吨/日及以上的水泥窑。本技术政策发布之后新建、改建或扩建处置危险废物的水泥企业，应选择单线设计熟料生产规模4000吨/日及以上水泥窑；新建、改建或扩建处置其他固体废物的水泥企业，应选择单线设计熟料生产规模3000吨/日及以上水泥窑。</w:t>
            </w:r>
          </w:p>
        </w:tc>
        <w:tc>
          <w:tcPr>
            <w:tcW w:w="1137" w:type="pct"/>
            <w:tcBorders>
              <w:tl2br w:val="nil"/>
              <w:tr2bl w:val="nil"/>
            </w:tcBorders>
            <w:tcMar>
              <w:left w:w="108" w:type="dxa"/>
              <w:right w:w="108" w:type="dxa"/>
            </w:tcMar>
            <w:vAlign w:val="center"/>
          </w:tcPr>
          <w:p w14:paraId="287305C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用于协同处置危险废物的水泥窑为已投入运行的新型干法回转窑，并采用窑磨一体化运行方式，依托的熟料生产线生产规模为3200吨/日。改造后的生产设备及污染物排放情况满足《水泥窑协同处置固体废物污染控制标准》（GB30485-2013）的要求。考虑到本政策发布较早，因此选择生产线规模要求以</w:t>
            </w:r>
            <w:r>
              <w:rPr>
                <w:rFonts w:hint="default" w:ascii="Times New Roman" w:hAnsi="Times New Roman" w:cs="Times New Roman"/>
                <w:smallCaps/>
                <w:color w:val="000000" w:themeColor="text1"/>
                <w:sz w:val="21"/>
                <w:szCs w:val="21"/>
                <w14:textFill>
                  <w14:solidFill>
                    <w14:schemeClr w14:val="tx1"/>
                  </w14:solidFill>
                </w14:textFill>
              </w:rPr>
              <w:t>《产业结构调整指导目录（2019年本）》和《水泥窑协同处置危险废物经营许可证审查指南》中规定为准</w:t>
            </w:r>
          </w:p>
        </w:tc>
        <w:tc>
          <w:tcPr>
            <w:tcW w:w="367" w:type="pct"/>
            <w:gridSpan w:val="3"/>
            <w:tcBorders>
              <w:tl2br w:val="nil"/>
              <w:tr2bl w:val="nil"/>
            </w:tcBorders>
            <w:tcMar>
              <w:left w:w="108" w:type="dxa"/>
              <w:right w:w="108" w:type="dxa"/>
            </w:tcMar>
            <w:vAlign w:val="center"/>
          </w:tcPr>
          <w:p w14:paraId="06B2FD0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500720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5A4FAE4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950991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67E8737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应根据生产工艺与技术装备，合理确定水泥窑协同处置固体废物的种类及处置规模。严禁利用水泥窑协同处置具有放射性、爆炸性和反应性废物，未经拆解的废家用电器、废电池和电子产品，含汞的温度计、血压计、荧光灯管和开关，铬渣，以及未知特性和未经过检测的不明性质废物。</w:t>
            </w:r>
          </w:p>
        </w:tc>
        <w:tc>
          <w:tcPr>
            <w:tcW w:w="1137" w:type="pct"/>
            <w:tcBorders>
              <w:tl2br w:val="nil"/>
              <w:tr2bl w:val="nil"/>
            </w:tcBorders>
            <w:tcMar>
              <w:left w:w="108" w:type="dxa"/>
              <w:right w:w="108" w:type="dxa"/>
            </w:tcMar>
            <w:vAlign w:val="center"/>
          </w:tcPr>
          <w:p w14:paraId="58D97E03">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pacing w:val="-6"/>
                <w:sz w:val="21"/>
                <w:szCs w:val="21"/>
                <w:highlight w:val="none"/>
                <w:lang w:val="en-US" w:eastAsia="zh-CN"/>
                <w14:textFill>
                  <w14:solidFill>
                    <w14:schemeClr w14:val="tx1"/>
                  </w14:solidFill>
                </w14:textFill>
              </w:rPr>
              <w:t>本项目仅定向“点对点”协同处置新疆兴发化工有限公司生产过程产生的HW11精（蒸）馏残渣（900-013-11），不处置上述禁止处置废物</w:t>
            </w:r>
          </w:p>
        </w:tc>
        <w:tc>
          <w:tcPr>
            <w:tcW w:w="367" w:type="pct"/>
            <w:gridSpan w:val="3"/>
            <w:tcBorders>
              <w:tl2br w:val="nil"/>
              <w:tr2bl w:val="nil"/>
            </w:tcBorders>
            <w:tcMar>
              <w:left w:w="108" w:type="dxa"/>
              <w:right w:w="108" w:type="dxa"/>
            </w:tcMar>
            <w:vAlign w:val="center"/>
          </w:tcPr>
          <w:p w14:paraId="2DB4DAA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7538082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17849C1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3D8D82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6CAB5369">
            <w:pPr>
              <w:pStyle w:val="52"/>
              <w:spacing w:before="0" w:after="0" w:line="240" w:lineRule="auto"/>
              <w:ind w:left="0" w:firstLine="0"/>
              <w:jc w:val="both"/>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（三）</w:t>
            </w:r>
            <w:r>
              <w:rPr>
                <w:rFonts w:hint="default" w:ascii="Times New Roman" w:hAnsi="Times New Roman" w:cs="Times New Roman"/>
                <w:color w:val="000000" w:themeColor="text1"/>
                <w:sz w:val="21"/>
                <w:szCs w:val="21"/>
                <w:highlight w:val="none"/>
                <w14:textFill>
                  <w14:solidFill>
                    <w14:schemeClr w14:val="tx1"/>
                  </w14:solidFill>
                </w14:textFill>
              </w:rPr>
              <w:t>新建水泥窑协同处置危险废物的企业在试生产期间，应按照《水泥窑协同处置固体废物环境保护技术规范》（HJ662-2013）要求对水泥窑协同处置设施进行性能测试，以检验和评价水泥窑在协同处置危险废物的过程中对有机化合物的焚毁去除能力以及对污染物排放的控制效果。</w:t>
            </w:r>
            <w:r>
              <w:rPr>
                <w:rFonts w:hint="default" w:ascii="Times New Roman" w:hAnsi="Times New Roman" w:cs="Times New Roman"/>
                <w:color w:val="000000" w:themeColor="text1"/>
                <w:sz w:val="21"/>
                <w:szCs w:val="21"/>
                <w14:textFill>
                  <w14:solidFill>
                    <w14:schemeClr w14:val="tx1"/>
                  </w14:solidFill>
                </w14:textFill>
              </w:rPr>
              <w:t>利用水泥窑协同处置医疗废物，必须满足《水泥窑协同处置固体废物环境保护技术规范（HJ662-2013）的相关要求。</w:t>
            </w:r>
          </w:p>
        </w:tc>
        <w:tc>
          <w:tcPr>
            <w:tcW w:w="1137" w:type="pct"/>
            <w:tcBorders>
              <w:tl2br w:val="nil"/>
              <w:tr2bl w:val="nil"/>
            </w:tcBorders>
            <w:tcMar>
              <w:left w:w="108" w:type="dxa"/>
              <w:right w:w="108" w:type="dxa"/>
            </w:tcMar>
            <w:vAlign w:val="center"/>
          </w:tcPr>
          <w:p w14:paraId="7F62CA89">
            <w:pPr>
              <w:pStyle w:val="52"/>
              <w:spacing w:before="0" w:after="0" w:line="240" w:lineRule="auto"/>
              <w:ind w:left="0" w:firstLine="0"/>
              <w:jc w:val="both"/>
              <w:rPr>
                <w:rFonts w:hint="default" w:ascii="Times New Roman" w:hAnsi="Times New Roman" w:eastAsia="宋体" w:cs="Times New Roman"/>
                <w:color w:val="000000" w:themeColor="text1"/>
                <w:spacing w:val="-6"/>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本项目在试生产前企业需按照</w:t>
            </w:r>
            <w:r>
              <w:rPr>
                <w:rFonts w:hint="default" w:ascii="Times New Roman" w:hAnsi="Times New Roman" w:cs="Times New Roman"/>
                <w:color w:val="000000" w:themeColor="text1"/>
                <w:sz w:val="21"/>
                <w:szCs w:val="21"/>
                <w14:textFill>
                  <w14:solidFill>
                    <w14:schemeClr w14:val="tx1"/>
                  </w14:solidFill>
                </w14:textFill>
              </w:rPr>
              <w:t>《水泥窑协同处置固体废物环境保护技术规范》（HJ662-2013）</w:t>
            </w:r>
            <w:r>
              <w:rPr>
                <w:rFonts w:hint="eastAsia" w:cs="Times New Roman"/>
                <w:color w:val="000000" w:themeColor="text1"/>
                <w:sz w:val="21"/>
                <w:szCs w:val="21"/>
                <w:lang w:val="en-US" w:eastAsia="zh-CN"/>
                <w14:textFill>
                  <w14:solidFill>
                    <w14:schemeClr w14:val="tx1"/>
                  </w14:solidFill>
                </w14:textFill>
              </w:rPr>
              <w:t>要求对协同处置设施进行新能测试</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满足要求后方可通过验收</w:t>
            </w:r>
          </w:p>
        </w:tc>
        <w:tc>
          <w:tcPr>
            <w:tcW w:w="367" w:type="pct"/>
            <w:gridSpan w:val="3"/>
            <w:tcBorders>
              <w:tl2br w:val="nil"/>
              <w:tr2bl w:val="nil"/>
            </w:tcBorders>
            <w:tcMar>
              <w:left w:w="108" w:type="dxa"/>
              <w:right w:w="108" w:type="dxa"/>
            </w:tcMar>
            <w:vAlign w:val="center"/>
          </w:tcPr>
          <w:p w14:paraId="1CE8FE6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A18555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0AA26E9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253FF86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清洁生产</w:t>
            </w:r>
          </w:p>
        </w:tc>
        <w:tc>
          <w:tcPr>
            <w:tcW w:w="2619" w:type="pct"/>
            <w:gridSpan w:val="2"/>
            <w:tcBorders>
              <w:tl2br w:val="nil"/>
              <w:tr2bl w:val="nil"/>
            </w:tcBorders>
            <w:tcMar>
              <w:left w:w="108" w:type="dxa"/>
              <w:right w:w="108" w:type="dxa"/>
            </w:tcMar>
            <w:vAlign w:val="center"/>
          </w:tcPr>
          <w:p w14:paraId="24DA419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（一）水泥窑协同处置固体废物，应对进场接收、贮存与输送、预处理和入窑处置等场所或设施采取密闭、负压或其他防漏散、防飞扬、防恶臭的有效措施。</w:t>
            </w:r>
          </w:p>
        </w:tc>
        <w:tc>
          <w:tcPr>
            <w:tcW w:w="1137" w:type="pct"/>
            <w:tcBorders>
              <w:tl2br w:val="nil"/>
              <w:tr2bl w:val="nil"/>
            </w:tcBorders>
            <w:tcMar>
              <w:left w:w="108" w:type="dxa"/>
              <w:right w:w="108" w:type="dxa"/>
            </w:tcMar>
            <w:vAlign w:val="center"/>
          </w:tcPr>
          <w:p w14:paraId="6C51203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项目对进场接收、输送和入窑处置等场所或设施采取有效密闭措施</w:t>
            </w:r>
          </w:p>
        </w:tc>
        <w:tc>
          <w:tcPr>
            <w:tcW w:w="367" w:type="pct"/>
            <w:gridSpan w:val="3"/>
            <w:tcBorders>
              <w:tl2br w:val="nil"/>
              <w:tr2bl w:val="nil"/>
            </w:tcBorders>
            <w:tcMar>
              <w:left w:w="108" w:type="dxa"/>
              <w:right w:w="108" w:type="dxa"/>
            </w:tcMar>
            <w:vAlign w:val="center"/>
          </w:tcPr>
          <w:p w14:paraId="415666B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5507424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D96761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7FD778B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19270D3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固体废物在水泥企业应分类贮存，贮存设施应单独建设，不应与水泥生产原燃料或产品混合贮存。危险废物贮存还应满足《危险废物贮存污染控制标准》（GB18597）和《危险废物收集贮存运输技术规范》（HJ2025-2012）要求。</w:t>
            </w:r>
          </w:p>
        </w:tc>
        <w:tc>
          <w:tcPr>
            <w:tcW w:w="1137" w:type="pct"/>
            <w:tcBorders>
              <w:tl2br w:val="nil"/>
              <w:tr2bl w:val="nil"/>
            </w:tcBorders>
            <w:tcMar>
              <w:left w:w="108" w:type="dxa"/>
              <w:right w:w="108" w:type="dxa"/>
            </w:tcMar>
            <w:vAlign w:val="center"/>
          </w:tcPr>
          <w:p w14:paraId="163D2B65">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项目协同处置的危险废物</w:t>
            </w:r>
            <w:r>
              <w:rPr>
                <w:rFonts w:hint="default" w:ascii="Times New Roman" w:hAnsi="Times New Roman" w:cs="Times New Roman"/>
                <w:color w:val="000000" w:themeColor="text1"/>
                <w:sz w:val="21"/>
                <w:szCs w:val="21"/>
                <w:lang w:val="en-US" w:eastAsia="zh-CN"/>
                <w14:textFill>
                  <w14:solidFill>
                    <w14:schemeClr w14:val="tx1"/>
                  </w14:solidFill>
                </w14:textFill>
              </w:rPr>
              <w:t>不在厂区内贮存</w:t>
            </w:r>
          </w:p>
        </w:tc>
        <w:tc>
          <w:tcPr>
            <w:tcW w:w="367" w:type="pct"/>
            <w:gridSpan w:val="3"/>
            <w:tcBorders>
              <w:tl2br w:val="nil"/>
              <w:tr2bl w:val="nil"/>
            </w:tcBorders>
            <w:tcMar>
              <w:left w:w="108" w:type="dxa"/>
              <w:right w:w="108" w:type="dxa"/>
            </w:tcMar>
            <w:vAlign w:val="center"/>
          </w:tcPr>
          <w:p w14:paraId="3EECEBE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703FF8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3E7FD23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4851A3F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74A5F11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三）严格控制水泥窑协同处置入窑废物中重金属含量及投加量；水泥熟料中可浸出重金属含量限值应满足《水泥窑协同处置固体废物技术规范》（GB30760-2014）的相关要求。水泥窑协同处置重金属类危险废物时，应提高对水泥熟料重金属浸出浓度的检测频次。严格控制入窑废物中氯元素的含量，保证水泥窑能稳定运行和水泥熟料质量，同时遏制二噁英类污染物的产生。</w:t>
            </w:r>
          </w:p>
        </w:tc>
        <w:tc>
          <w:tcPr>
            <w:tcW w:w="1137" w:type="pct"/>
            <w:tcBorders>
              <w:tl2br w:val="nil"/>
              <w:tr2bl w:val="nil"/>
            </w:tcBorders>
            <w:tcMar>
              <w:left w:w="108" w:type="dxa"/>
              <w:right w:w="108" w:type="dxa"/>
            </w:tcMar>
            <w:vAlign w:val="center"/>
          </w:tcPr>
          <w:p w14:paraId="1F0DF6EF">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auto"/>
                <w:sz w:val="21"/>
                <w:szCs w:val="21"/>
                <w:highlight w:val="none"/>
              </w:rPr>
              <w:t>项目入窑废物中</w:t>
            </w:r>
            <w:r>
              <w:rPr>
                <w:rFonts w:hint="eastAsia" w:cs="Times New Roman"/>
                <w:color w:val="auto"/>
                <w:sz w:val="21"/>
                <w:szCs w:val="21"/>
                <w:highlight w:val="none"/>
                <w:lang w:val="en-US" w:eastAsia="zh-CN"/>
              </w:rPr>
              <w:t>不含</w:t>
            </w:r>
            <w:r>
              <w:rPr>
                <w:rFonts w:hint="default" w:ascii="Times New Roman" w:hAnsi="Times New Roman" w:cs="Times New Roman"/>
                <w:color w:val="auto"/>
                <w:sz w:val="21"/>
                <w:szCs w:val="21"/>
                <w:highlight w:val="none"/>
              </w:rPr>
              <w:t>重金属</w:t>
            </w:r>
            <w:r>
              <w:rPr>
                <w:rFonts w:hint="eastAsia" w:cs="Times New Roman"/>
                <w:color w:val="auto"/>
                <w:sz w:val="21"/>
                <w:szCs w:val="21"/>
                <w:highlight w:val="none"/>
                <w:lang w:val="en-US" w:eastAsia="zh-CN"/>
              </w:rPr>
              <w:t>和氯元素，符合</w:t>
            </w:r>
            <w:r>
              <w:rPr>
                <w:rFonts w:hint="default" w:ascii="Times New Roman" w:hAnsi="Times New Roman" w:cs="Times New Roman"/>
                <w:color w:val="auto"/>
                <w:sz w:val="21"/>
                <w:szCs w:val="21"/>
                <w:highlight w:val="none"/>
              </w:rPr>
              <w:t>《水泥窑协同处置固体废物技术规范》（GB/T30760-2014）的相关要求</w:t>
            </w:r>
          </w:p>
        </w:tc>
        <w:tc>
          <w:tcPr>
            <w:tcW w:w="367" w:type="pct"/>
            <w:gridSpan w:val="3"/>
            <w:tcBorders>
              <w:tl2br w:val="nil"/>
              <w:tr2bl w:val="nil"/>
            </w:tcBorders>
            <w:tcMar>
              <w:left w:w="108" w:type="dxa"/>
              <w:right w:w="108" w:type="dxa"/>
            </w:tcMar>
            <w:vAlign w:val="center"/>
          </w:tcPr>
          <w:p w14:paraId="40E1394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48F2825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0C208C7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315E608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22FA263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四）固体废物入窑投加位置及投加方式应根据水泥窑运行条件及预处理情况在满足《水泥窑协同处置固体废物环境保护技术规范》（HJ662-2013）要求的同时，根据固体废物的成分、热值等参数进行合理配伍，保障固体废物投加后水泥窑能稳定运行。含有机挥发性物质的废物、含恶臭废物及含氰废物不能投入生料制备系统，应从高温段投入水泥窑。</w:t>
            </w:r>
          </w:p>
        </w:tc>
        <w:tc>
          <w:tcPr>
            <w:tcW w:w="1137" w:type="pct"/>
            <w:tcBorders>
              <w:tl2br w:val="nil"/>
              <w:tr2bl w:val="nil"/>
            </w:tcBorders>
            <w:tcMar>
              <w:left w:w="108" w:type="dxa"/>
              <w:right w:w="108" w:type="dxa"/>
            </w:tcMar>
            <w:vAlign w:val="center"/>
          </w:tcPr>
          <w:p w14:paraId="0AA7E186">
            <w:pPr>
              <w:pStyle w:val="52"/>
              <w:keepNext w:val="0"/>
              <w:keepLines w:val="0"/>
              <w:pageBreakBefore w:val="0"/>
              <w:widowControl w:val="0"/>
              <w:kinsoku/>
              <w:wordWrap w:val="0"/>
              <w:overflowPunct/>
              <w:topLinePunct w:val="0"/>
              <w:autoSpaceDE w:val="0"/>
              <w:autoSpaceDN w:val="0"/>
              <w:bidi w:val="0"/>
              <w:adjustRightInd w:val="0"/>
              <w:snapToGrid/>
              <w:spacing w:before="0" w:after="0" w:line="240" w:lineRule="auto"/>
              <w:ind w:left="0" w:firstLine="0"/>
              <w:jc w:val="both"/>
              <w:textAlignment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项目危险废物入窑投加位置及投加方式满足《水泥窑协同处置固体废物环境保护技术规范》（HJ662-2013）要求，且根据固体废物的成分、热值等参数进行合理配伍，保障固体废物投加后水泥窑能稳定运行</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项目</w:t>
            </w:r>
            <w:r>
              <w:rPr>
                <w:rFonts w:hint="eastAsia" w:cs="Times New Roman"/>
                <w:color w:val="000000" w:themeColor="text1"/>
                <w:sz w:val="21"/>
                <w:szCs w:val="21"/>
                <w:highlight w:val="none"/>
                <w:lang w:val="en-US" w:eastAsia="zh-CN"/>
                <w14:textFill>
                  <w14:solidFill>
                    <w14:schemeClr w14:val="tx1"/>
                  </w14:solidFill>
                </w14:textFill>
              </w:rPr>
              <w:t>不将任何废物投入</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生料制备系统</w:t>
            </w:r>
            <w:r>
              <w:rPr>
                <w:rFonts w:hint="eastAsia" w:cs="Times New Roman"/>
                <w:color w:val="000000" w:themeColor="text1"/>
                <w:sz w:val="21"/>
                <w:szCs w:val="21"/>
                <w:highlight w:val="none"/>
                <w:lang w:val="en-US" w:eastAsia="zh-CN"/>
                <w14:textFill>
                  <w14:solidFill>
                    <w14:schemeClr w14:val="tx1"/>
                  </w14:solidFill>
                </w14:textFill>
              </w:rPr>
              <w:t>内</w:t>
            </w:r>
          </w:p>
        </w:tc>
        <w:tc>
          <w:tcPr>
            <w:tcW w:w="367" w:type="pct"/>
            <w:gridSpan w:val="3"/>
            <w:tcBorders>
              <w:tl2br w:val="nil"/>
              <w:tr2bl w:val="nil"/>
            </w:tcBorders>
            <w:tcMar>
              <w:left w:w="108" w:type="dxa"/>
              <w:right w:w="108" w:type="dxa"/>
            </w:tcMar>
            <w:vAlign w:val="center"/>
          </w:tcPr>
          <w:p w14:paraId="7894BA0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53DFBEA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2A8169E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26529BD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0E8AB4D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（五）水泥窑协同处置固体废物应按照废物特性和水泥生产要求配置相应的投加计量和自动控制进料装置。</w:t>
            </w:r>
          </w:p>
        </w:tc>
        <w:tc>
          <w:tcPr>
            <w:tcW w:w="1137" w:type="pct"/>
            <w:tcBorders>
              <w:tl2br w:val="nil"/>
              <w:tr2bl w:val="nil"/>
            </w:tcBorders>
            <w:tcMar>
              <w:left w:w="108" w:type="dxa"/>
              <w:right w:w="108" w:type="dxa"/>
            </w:tcMar>
            <w:vAlign w:val="center"/>
          </w:tcPr>
          <w:p w14:paraId="1FE82A5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拟建项目按照废物特性和水泥生产要求配置相应的投加计量和自动控制进料装置</w:t>
            </w:r>
          </w:p>
        </w:tc>
        <w:tc>
          <w:tcPr>
            <w:tcW w:w="367" w:type="pct"/>
            <w:gridSpan w:val="3"/>
            <w:tcBorders>
              <w:tl2br w:val="nil"/>
              <w:tr2bl w:val="nil"/>
            </w:tcBorders>
            <w:tcMar>
              <w:left w:w="108" w:type="dxa"/>
              <w:right w:w="108" w:type="dxa"/>
            </w:tcMar>
            <w:vAlign w:val="center"/>
          </w:tcPr>
          <w:p w14:paraId="3CF4B60D">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32A934B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0DE11E1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6548FE7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末端治理</w:t>
            </w:r>
          </w:p>
        </w:tc>
        <w:tc>
          <w:tcPr>
            <w:tcW w:w="2619" w:type="pct"/>
            <w:gridSpan w:val="2"/>
            <w:tcBorders>
              <w:tl2br w:val="nil"/>
              <w:tr2bl w:val="nil"/>
            </w:tcBorders>
            <w:tcMar>
              <w:left w:w="108" w:type="dxa"/>
              <w:right w:w="108" w:type="dxa"/>
            </w:tcMar>
            <w:vAlign w:val="center"/>
          </w:tcPr>
          <w:p w14:paraId="7916914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水泥窑协同处置固体废物设施，窑尾烟气除尘应采用高效袋式除尘器</w:t>
            </w:r>
          </w:p>
        </w:tc>
        <w:tc>
          <w:tcPr>
            <w:tcW w:w="1137" w:type="pct"/>
            <w:tcBorders>
              <w:tl2br w:val="nil"/>
              <w:tr2bl w:val="nil"/>
            </w:tcBorders>
            <w:tcMar>
              <w:left w:w="108" w:type="dxa"/>
              <w:right w:w="108" w:type="dxa"/>
            </w:tcMar>
            <w:vAlign w:val="center"/>
          </w:tcPr>
          <w:p w14:paraId="57F8E305">
            <w:pPr>
              <w:pStyle w:val="52"/>
              <w:spacing w:before="0" w:after="0" w:line="240" w:lineRule="auto"/>
              <w:ind w:left="0" w:firstLine="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拟建项目窑尾烟气</w:t>
            </w:r>
            <w:r>
              <w:rPr>
                <w:rFonts w:hint="default" w:ascii="Times New Roman" w:hAnsi="Times New Roman" w:cs="Times New Roman"/>
                <w:color w:val="000000" w:themeColor="text1"/>
                <w:sz w:val="21"/>
                <w:szCs w:val="21"/>
                <w:lang w:val="en-US" w:eastAsia="zh-CN"/>
                <w14:textFill>
                  <w14:solidFill>
                    <w14:schemeClr w14:val="tx1"/>
                  </w14:solidFill>
                </w14:textFill>
              </w:rPr>
              <w:t>配备有高效袋式除尘器</w:t>
            </w:r>
          </w:p>
        </w:tc>
        <w:tc>
          <w:tcPr>
            <w:tcW w:w="367" w:type="pct"/>
            <w:gridSpan w:val="3"/>
            <w:tcBorders>
              <w:tl2br w:val="nil"/>
              <w:tr2bl w:val="nil"/>
            </w:tcBorders>
            <w:tcMar>
              <w:left w:w="108" w:type="dxa"/>
              <w:right w:w="108" w:type="dxa"/>
            </w:tcMar>
            <w:vAlign w:val="center"/>
          </w:tcPr>
          <w:p w14:paraId="7ED9FDE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6C9B820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21F7210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23ADD2E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00FCC76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协同处置固体废物产生的渗滤液、车辆清洗废水及协同处置废物过程产生的其他废水，可经适当预处理后送入城市污水处理厂处理，或单独设置污水处理装置处理达标后回用，如果废水产生量小可直接喷入水泥窑内焚烧处置。严禁将未经处理的渗滤液及废水以任何形式直接排放。</w:t>
            </w:r>
          </w:p>
        </w:tc>
        <w:tc>
          <w:tcPr>
            <w:tcW w:w="1137" w:type="pct"/>
            <w:tcBorders>
              <w:tl2br w:val="nil"/>
              <w:tr2bl w:val="nil"/>
            </w:tcBorders>
            <w:tcMar>
              <w:left w:w="108" w:type="dxa"/>
              <w:right w:w="108" w:type="dxa"/>
            </w:tcMar>
            <w:vAlign w:val="center"/>
          </w:tcPr>
          <w:p w14:paraId="02FD4017">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项目不产生生产废水，</w:t>
            </w:r>
            <w:r>
              <w:rPr>
                <w:rFonts w:hint="default" w:ascii="Times New Roman" w:hAnsi="Times New Roman" w:cs="Times New Roman"/>
                <w:color w:val="000000" w:themeColor="text1"/>
                <w:sz w:val="21"/>
                <w:szCs w:val="21"/>
                <w14:textFill>
                  <w14:solidFill>
                    <w14:schemeClr w14:val="tx1"/>
                  </w14:solidFill>
                </w14:textFill>
              </w:rPr>
              <w:t>化验室</w:t>
            </w:r>
            <w:r>
              <w:rPr>
                <w:rFonts w:hint="eastAsia" w:cs="Times New Roman"/>
                <w:color w:val="000000" w:themeColor="text1"/>
                <w:sz w:val="21"/>
                <w:szCs w:val="21"/>
                <w:lang w:val="en-US" w:eastAsia="zh-CN"/>
                <w14:textFill>
                  <w14:solidFill>
                    <w14:schemeClr w14:val="tx1"/>
                  </w14:solidFill>
                </w14:textFill>
              </w:rPr>
              <w:t>废物委托有资质单位拉运处置，不外排</w:t>
            </w:r>
          </w:p>
        </w:tc>
        <w:tc>
          <w:tcPr>
            <w:tcW w:w="367" w:type="pct"/>
            <w:gridSpan w:val="3"/>
            <w:tcBorders>
              <w:tl2br w:val="nil"/>
              <w:tr2bl w:val="nil"/>
            </w:tcBorders>
            <w:tcMar>
              <w:left w:w="108" w:type="dxa"/>
              <w:right w:w="108" w:type="dxa"/>
            </w:tcMar>
            <w:vAlign w:val="center"/>
          </w:tcPr>
          <w:p w14:paraId="24071FA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49AD9C2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58067B1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2A70552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514EE7C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水泥企业应建立监测制度，定期开展自行监测。重点加强对窑尾废气中氯化氢、氟化氢、重金属和二噁英类污染物的监测。</w:t>
            </w:r>
          </w:p>
          <w:p w14:paraId="08765BE0">
            <w:pPr>
              <w:pStyle w:val="52"/>
              <w:spacing w:before="0" w:after="0" w:line="240" w:lineRule="auto"/>
              <w:ind w:left="0" w:firstLine="0"/>
              <w:jc w:val="both"/>
              <w:rPr>
                <w:rFonts w:hint="default" w:ascii="Times New Roman" w:hAnsi="Times New Roman" w:eastAsia="仿宋"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水泥窑排气筒必须安装大气污染物自动在线监测装置，监测数据信息应按照《国家重点监控企业污染源监督性监测及信息公开办法（试行）》的要求进行公开。</w:t>
            </w:r>
          </w:p>
        </w:tc>
        <w:tc>
          <w:tcPr>
            <w:tcW w:w="1137" w:type="pct"/>
            <w:tcBorders>
              <w:tl2br w:val="nil"/>
              <w:tr2bl w:val="nil"/>
            </w:tcBorders>
            <w:tcMar>
              <w:left w:w="108" w:type="dxa"/>
              <w:right w:w="108" w:type="dxa"/>
            </w:tcMar>
            <w:vAlign w:val="center"/>
          </w:tcPr>
          <w:p w14:paraId="434C19D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现有水泥窑已配套有在线监测设备，本次环评也提出了完善的环境监控计划</w:t>
            </w:r>
          </w:p>
        </w:tc>
        <w:tc>
          <w:tcPr>
            <w:tcW w:w="367" w:type="pct"/>
            <w:gridSpan w:val="3"/>
            <w:tcBorders>
              <w:tl2br w:val="nil"/>
              <w:tr2bl w:val="nil"/>
            </w:tcBorders>
            <w:tcMar>
              <w:left w:w="108" w:type="dxa"/>
              <w:right w:w="108" w:type="dxa"/>
            </w:tcMar>
            <w:vAlign w:val="center"/>
          </w:tcPr>
          <w:p w14:paraId="493D9F6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1744EF6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55D4F96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2D7C530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0F5F0541">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水泥窑旁路放风系统排出的废气不能直接排放，应与窑尾烟气混合处理或单独处理。旁路放风排气筒污染物排放限值和监测方法应执行《水泥窑协同处置固体废物污染控制标准》（GB30485-2013）的相关要求。</w:t>
            </w:r>
          </w:p>
        </w:tc>
        <w:tc>
          <w:tcPr>
            <w:tcW w:w="1137" w:type="pct"/>
            <w:tcBorders>
              <w:tl2br w:val="nil"/>
              <w:tr2bl w:val="nil"/>
            </w:tcBorders>
            <w:tcMar>
              <w:left w:w="108" w:type="dxa"/>
              <w:right w:w="108" w:type="dxa"/>
            </w:tcMar>
            <w:vAlign w:val="center"/>
          </w:tcPr>
          <w:p w14:paraId="6715A47E">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本项目不设置水泥窑旁路放风系统</w:t>
            </w:r>
          </w:p>
        </w:tc>
        <w:tc>
          <w:tcPr>
            <w:tcW w:w="367" w:type="pct"/>
            <w:gridSpan w:val="3"/>
            <w:tcBorders>
              <w:tl2br w:val="nil"/>
              <w:tr2bl w:val="nil"/>
            </w:tcBorders>
            <w:tcMar>
              <w:left w:w="108" w:type="dxa"/>
              <w:right w:w="108" w:type="dxa"/>
            </w:tcMar>
            <w:vAlign w:val="center"/>
          </w:tcPr>
          <w:p w14:paraId="0290D72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377DE45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1EABDA0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tcBorders>
              <w:tl2br w:val="nil"/>
              <w:tr2bl w:val="nil"/>
            </w:tcBorders>
            <w:tcMar>
              <w:left w:w="108" w:type="dxa"/>
              <w:right w:w="108" w:type="dxa"/>
            </w:tcMar>
            <w:vAlign w:val="center"/>
          </w:tcPr>
          <w:p w14:paraId="44A941D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二次污染防治</w:t>
            </w:r>
          </w:p>
        </w:tc>
        <w:tc>
          <w:tcPr>
            <w:tcW w:w="2619" w:type="pct"/>
            <w:gridSpan w:val="2"/>
            <w:tcBorders>
              <w:tl2br w:val="nil"/>
              <w:tr2bl w:val="nil"/>
            </w:tcBorders>
            <w:tcMar>
              <w:left w:w="108" w:type="dxa"/>
              <w:right w:w="108" w:type="dxa"/>
            </w:tcMar>
            <w:vAlign w:val="center"/>
          </w:tcPr>
          <w:p w14:paraId="418D2C5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协同处置固体废物水泥窑的窑尾除尘灰宜返回原料系统，但为避免汞等挥发性重金属在窑内过度积累而排出的窑尾除尘灰和旁路放风粉尘不应返回原料系统。</w:t>
            </w:r>
          </w:p>
        </w:tc>
        <w:tc>
          <w:tcPr>
            <w:tcW w:w="1137" w:type="pct"/>
            <w:tcBorders>
              <w:tl2br w:val="nil"/>
              <w:tr2bl w:val="nil"/>
            </w:tcBorders>
            <w:tcMar>
              <w:left w:w="108" w:type="dxa"/>
              <w:right w:w="108" w:type="dxa"/>
            </w:tcMar>
            <w:vAlign w:val="center"/>
          </w:tcPr>
          <w:p w14:paraId="139B224B">
            <w:pPr>
              <w:pStyle w:val="52"/>
              <w:spacing w:before="0" w:after="0" w:line="240" w:lineRule="auto"/>
              <w:ind w:left="0" w:firstLine="0"/>
              <w:jc w:val="both"/>
              <w:rPr>
                <w:rFonts w:hint="default" w:ascii="Times New Roman" w:hAnsi="Times New Roman" w:cs="Times New Roman"/>
                <w:color w:val="000000" w:themeColor="text1"/>
                <w:spacing w:val="-4"/>
                <w:sz w:val="21"/>
                <w:szCs w:val="21"/>
                <w14:textFill>
                  <w14:solidFill>
                    <w14:schemeClr w14:val="tx1"/>
                  </w14:solidFill>
                </w14:textFill>
              </w:rPr>
            </w:pPr>
            <w:r>
              <w:rPr>
                <w:rFonts w:hint="default" w:ascii="Times New Roman" w:hAnsi="Times New Roman" w:cs="Times New Roman"/>
                <w:color w:val="000000" w:themeColor="text1"/>
                <w:spacing w:val="-4"/>
                <w:sz w:val="21"/>
                <w:szCs w:val="21"/>
                <w14:textFill>
                  <w14:solidFill>
                    <w14:schemeClr w14:val="tx1"/>
                  </w14:solidFill>
                </w14:textFill>
              </w:rPr>
              <w:t>拟建项目窑尾除尘灰不返回原料系统，直接掺入熟料产品</w:t>
            </w:r>
          </w:p>
        </w:tc>
        <w:tc>
          <w:tcPr>
            <w:tcW w:w="367" w:type="pct"/>
            <w:gridSpan w:val="3"/>
            <w:tcBorders>
              <w:tl2br w:val="nil"/>
              <w:tr2bl w:val="nil"/>
            </w:tcBorders>
            <w:tcMar>
              <w:left w:w="108" w:type="dxa"/>
              <w:right w:w="108" w:type="dxa"/>
            </w:tcMar>
            <w:vAlign w:val="center"/>
          </w:tcPr>
          <w:p w14:paraId="47553D3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E4FDE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restart"/>
            <w:tcBorders>
              <w:tl2br w:val="nil"/>
              <w:tr2bl w:val="nil"/>
            </w:tcBorders>
            <w:tcMar>
              <w:left w:w="108" w:type="dxa"/>
              <w:right w:w="108" w:type="dxa"/>
            </w:tcMar>
            <w:vAlign w:val="center"/>
          </w:tcPr>
          <w:p w14:paraId="0148239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《水泥窑协同处置固体废物环境保护技术规范》</w:t>
            </w:r>
          </w:p>
        </w:tc>
        <w:tc>
          <w:tcPr>
            <w:tcW w:w="473" w:type="pct"/>
            <w:vMerge w:val="restart"/>
            <w:tcBorders>
              <w:tl2br w:val="nil"/>
              <w:tr2bl w:val="nil"/>
            </w:tcBorders>
            <w:tcMar>
              <w:left w:w="108" w:type="dxa"/>
              <w:right w:w="108" w:type="dxa"/>
            </w:tcMar>
            <w:vAlign w:val="center"/>
          </w:tcPr>
          <w:p w14:paraId="0B6350C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协同处置设施技术要求</w:t>
            </w:r>
          </w:p>
        </w:tc>
        <w:tc>
          <w:tcPr>
            <w:tcW w:w="2619" w:type="pct"/>
            <w:gridSpan w:val="2"/>
            <w:tcBorders>
              <w:tl2br w:val="nil"/>
              <w:tr2bl w:val="nil"/>
            </w:tcBorders>
            <w:tcMar>
              <w:left w:w="108" w:type="dxa"/>
              <w:right w:w="108" w:type="dxa"/>
            </w:tcMar>
            <w:vAlign w:val="center"/>
          </w:tcPr>
          <w:p w14:paraId="173C6B2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4.1水泥窑</w:t>
            </w:r>
          </w:p>
          <w:p w14:paraId="46671E7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4.1.1满足以下条件的水泥窑可用于协同处置固体废物：</w:t>
            </w:r>
          </w:p>
          <w:p w14:paraId="1E44680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a）窑型为新型干法水泥窑。</w:t>
            </w:r>
          </w:p>
          <w:p w14:paraId="3F6C55C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b）单线设计熟料生产规模不小于2000吨/日。</w:t>
            </w:r>
          </w:p>
          <w:p w14:paraId="24E06B9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c）对于改造利用原有设施协同处置固体废物的水泥窑，在改造之前原有设施应连续两年达到GB4915的要求。</w:t>
            </w:r>
          </w:p>
        </w:tc>
        <w:tc>
          <w:tcPr>
            <w:tcW w:w="1137" w:type="pct"/>
            <w:tcBorders>
              <w:tl2br w:val="nil"/>
              <w:tr2bl w:val="nil"/>
            </w:tcBorders>
            <w:tcMar>
              <w:left w:w="108" w:type="dxa"/>
              <w:right w:w="108" w:type="dxa"/>
            </w:tcMar>
            <w:vAlign w:val="center"/>
          </w:tcPr>
          <w:p w14:paraId="5DE1C51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本项目水泥窑为新型干法水泥窑，单线设计熟料生产规模3200吨/日，现有水泥窑连续两年达到GB4915的要求</w:t>
            </w:r>
          </w:p>
        </w:tc>
        <w:tc>
          <w:tcPr>
            <w:tcW w:w="367" w:type="pct"/>
            <w:gridSpan w:val="3"/>
            <w:tcBorders>
              <w:tl2br w:val="nil"/>
              <w:tr2bl w:val="nil"/>
            </w:tcBorders>
            <w:tcMar>
              <w:left w:w="108" w:type="dxa"/>
              <w:right w:w="108" w:type="dxa"/>
            </w:tcMar>
            <w:vAlign w:val="center"/>
          </w:tcPr>
          <w:p w14:paraId="42DC40A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DB2D4A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54248EE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2B013C2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0E18F50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4.1.2用于协同处置固体废物的水泥窑应具备以下功能：</w:t>
            </w:r>
          </w:p>
          <w:p w14:paraId="1E9ED60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a）采用窑磨一体机模式。</w:t>
            </w:r>
          </w:p>
          <w:p w14:paraId="0D42C6B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b）配备在线监测设备，保证运行工况的稳定：包括窑头烟气温度、压力；窑表面温度；窑尾烟气温度、压力、O</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浓度；分解炉或最低一级旋风筒出口烟气温度、压力、O</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浓度；顶级旋风筒出口烟气温度、压力、O</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、CO浓度。</w:t>
            </w:r>
          </w:p>
          <w:p w14:paraId="265ED2E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c）水泥窑及窑尾余热利用系统采用高效布袋除尘器作为烟气除尘设施，保证排放烟气中颗粒物浓度满足GB30485的要求。水泥窑及窑尾余热利用系统排气筒配备粉尘、NOx、SO</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浓度在线监测设备，连续监测装置需满足HJ/T76的要求，并与当地监控中心联网，保证污染物排放达标。</w:t>
            </w:r>
          </w:p>
          <w:p w14:paraId="6E24FD0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d）配备窑灰返窑装置，将除尘器等烟气处理装置收集的窑灰返回送往生料入窑系统。</w:t>
            </w:r>
          </w:p>
        </w:tc>
        <w:tc>
          <w:tcPr>
            <w:tcW w:w="1137" w:type="pct"/>
            <w:tcBorders>
              <w:tl2br w:val="nil"/>
              <w:tr2bl w:val="nil"/>
            </w:tcBorders>
            <w:tcMar>
              <w:left w:w="108" w:type="dxa"/>
              <w:right w:w="108" w:type="dxa"/>
            </w:tcMar>
            <w:vAlign w:val="center"/>
          </w:tcPr>
          <w:p w14:paraId="72268A0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本项目采用窑磨一体机模式，已有在线监测设备保证运行工况的稳定，窑尾烟气采用布袋除尘作为烟气除尘设施，颗粒无排放满足GB30485的要求，窑尾排气筒已配备粉尘、NO</w:t>
            </w:r>
            <w:r>
              <w:rPr>
                <w:rFonts w:hint="default" w:ascii="Times New Roman" w:hAnsi="Times New Roman" w:cs="Times New Roman"/>
                <w:color w:val="000000" w:themeColor="text1"/>
                <w:sz w:val="21"/>
                <w:szCs w:val="21"/>
                <w:vertAlign w:val="subscript"/>
                <w14:textFill>
                  <w14:solidFill>
                    <w14:schemeClr w14:val="tx1"/>
                  </w14:solidFill>
                </w14:textFill>
              </w:rPr>
              <w:t>x</w:t>
            </w:r>
            <w:r>
              <w:rPr>
                <w:rFonts w:hint="default" w:ascii="Times New Roman" w:hAnsi="Times New Roman" w:cs="Times New Roman"/>
                <w:color w:val="000000" w:themeColor="text1"/>
                <w:sz w:val="21"/>
                <w:szCs w:val="21"/>
                <w14:textFill>
                  <w14:solidFill>
                    <w14:schemeClr w14:val="tx1"/>
                  </w14:solidFill>
                </w14:textFill>
              </w:rPr>
              <w:t>、SO</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浓度在线监测设备并与当地监控中心联网。已配备窑灰返窑装置，将除尘器等烟气处理装置收集的窑灰返回送往生料入窑系统</w:t>
            </w:r>
          </w:p>
        </w:tc>
        <w:tc>
          <w:tcPr>
            <w:tcW w:w="367" w:type="pct"/>
            <w:gridSpan w:val="3"/>
            <w:tcBorders>
              <w:tl2br w:val="nil"/>
              <w:tr2bl w:val="nil"/>
            </w:tcBorders>
            <w:tcMar>
              <w:left w:w="108" w:type="dxa"/>
              <w:right w:w="108" w:type="dxa"/>
            </w:tcMar>
            <w:vAlign w:val="center"/>
          </w:tcPr>
          <w:p w14:paraId="2131335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7B29A3D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64B556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586A9A4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22E7671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4.1.3用于协同处置固体废物的水泥生产设施所在位置应该满足以下条件：</w:t>
            </w:r>
          </w:p>
          <w:p w14:paraId="4E331E2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a）符合城市总体发展规划、城市工业发展规划要求。</w:t>
            </w:r>
          </w:p>
          <w:p w14:paraId="7620D53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b）所在区域无洪水、潮水或内涝威胁。设施所在标高应位于重现期不小于100年一遇的洪水位之上，并建设在现有和各类规划中的水库等人工蓄水设施的淹没区和保护区之外。</w:t>
            </w:r>
          </w:p>
          <w:p w14:paraId="6F75E9E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c）协同处置危险废物的设施，经当地环境保护行政主管部门批准的环境影响评价结论确认与居民区、商业区、学校、医院等环境敏感区的距离满足环境保护的需要。</w:t>
            </w:r>
          </w:p>
          <w:p w14:paraId="39024CE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d）协同处置危险废物的，其运输路线应不经过居民区、商业区、学校、医院等环境敏感区。</w:t>
            </w:r>
          </w:p>
        </w:tc>
        <w:tc>
          <w:tcPr>
            <w:tcW w:w="1137" w:type="pct"/>
            <w:tcBorders>
              <w:tl2br w:val="nil"/>
              <w:tr2bl w:val="nil"/>
            </w:tcBorders>
            <w:tcMar>
              <w:left w:w="108" w:type="dxa"/>
              <w:right w:w="108" w:type="dxa"/>
            </w:tcMar>
            <w:vAlign w:val="center"/>
          </w:tcPr>
          <w:p w14:paraId="413201B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本项目符合相关规划要求。符合防洪要求。经预测，本项目各污染物落地浓度均满足环境质量标准，无需设置大气防护距离。</w:t>
            </w:r>
            <w:r>
              <w:rPr>
                <w:rFonts w:hint="default" w:ascii="Times New Roman" w:hAnsi="Times New Roman" w:cs="Times New Roman"/>
                <w:color w:val="000000" w:themeColor="text1"/>
                <w:sz w:val="21"/>
                <w:szCs w:val="21"/>
                <w:lang w:val="en-US" w:eastAsia="zh-CN"/>
                <w14:textFill>
                  <w14:solidFill>
                    <w14:schemeClr w14:val="tx1"/>
                  </w14:solidFill>
                </w14:textFill>
              </w:rPr>
              <w:t>本项目危险废物仅涉及厂内运输，运输路线不会经过居民区、商业区、学校及医院等环境敏感区</w:t>
            </w:r>
          </w:p>
        </w:tc>
        <w:tc>
          <w:tcPr>
            <w:tcW w:w="367" w:type="pct"/>
            <w:gridSpan w:val="3"/>
            <w:tcBorders>
              <w:tl2br w:val="nil"/>
              <w:tr2bl w:val="nil"/>
            </w:tcBorders>
            <w:tcMar>
              <w:left w:w="108" w:type="dxa"/>
              <w:right w:w="108" w:type="dxa"/>
            </w:tcMar>
            <w:vAlign w:val="center"/>
          </w:tcPr>
          <w:p w14:paraId="50CAC5B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21A314F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1A68CD5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C0B7E3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731F6AC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 xml:space="preserve">4.2固体废物投加设施 </w:t>
            </w:r>
          </w:p>
          <w:p w14:paraId="6C3EAF1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4.2.1固体废物投加设施应该满足以下条件：</w:t>
            </w:r>
          </w:p>
          <w:p w14:paraId="579A76B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a）能实现自动进料，并配置可调节投加速率的计量装置实现定量投料。</w:t>
            </w:r>
          </w:p>
          <w:p w14:paraId="4B92DC1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w:t>
            </w:r>
            <w:r>
              <w:rPr>
                <w:rFonts w:hint="default" w:ascii="Times New Roman" w:hAnsi="Times New Roman" w:cs="Times New Roman"/>
                <w:color w:val="000000" w:themeColor="text1"/>
                <w:sz w:val="21"/>
                <w:szCs w:val="21"/>
                <w:highlight w:val="none"/>
                <w14:textFill>
                  <w14:solidFill>
                    <w14:schemeClr w14:val="tx1"/>
                  </w14:solidFill>
                </w14:textFill>
              </w:rPr>
              <w:t>固体废物输送装置和投加口应保持密闭</w:t>
            </w:r>
            <w:r>
              <w:rPr>
                <w:rFonts w:hint="default" w:ascii="Times New Roman" w:hAnsi="Times New Roman" w:cs="Times New Roman"/>
                <w:color w:val="000000" w:themeColor="text1"/>
                <w:sz w:val="21"/>
                <w:szCs w:val="21"/>
                <w14:textFill>
                  <w14:solidFill>
                    <w14:schemeClr w14:val="tx1"/>
                  </w14:solidFill>
                </w14:textFill>
              </w:rPr>
              <w:t>，固体废物投加口应具有防回火功能。</w:t>
            </w:r>
          </w:p>
          <w:p w14:paraId="4C102BA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c）保持进料通畅以防止固体废物搭桥堵塞。</w:t>
            </w:r>
          </w:p>
          <w:p w14:paraId="39509AD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d）配置可实时显示固体废物投加状况的在线监视系统。</w:t>
            </w:r>
          </w:p>
          <w:p w14:paraId="6A71AA1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e）具有自动联机停机功能，当水泥窑或烟气处理设施因故障停止运转，或者当窑内温</w:t>
            </w:r>
          </w:p>
          <w:p w14:paraId="154B38A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度、压力、窑转速、烟气中氧含量等运行参数偏离设定值时，或者烟气排放超过标准设定值</w:t>
            </w:r>
          </w:p>
          <w:p w14:paraId="6AA430D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时，可自动停止固体废物投加。</w:t>
            </w:r>
          </w:p>
          <w:p w14:paraId="5AE5D42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f）处理腐蚀性废物时，投加和输送装置应采用防腐材料。</w:t>
            </w:r>
          </w:p>
          <w:p w14:paraId="19E8B52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4.2.2固体废物在水泥窑中投加位置应根据固体废物特性从以下三处选择（参见附录A）：</w:t>
            </w:r>
          </w:p>
          <w:p w14:paraId="7C280B8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a）窑头高温段，包括主燃烧器投加点和窑门罩投加点。</w:t>
            </w:r>
          </w:p>
          <w:p w14:paraId="79F6BEF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b）窑尾高温段，包括分解炉、窑尾烟室和上升烟道投加点。</w:t>
            </w:r>
          </w:p>
          <w:p w14:paraId="2E3EB6E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c）生料配料系统（生料磨）。</w:t>
            </w:r>
          </w:p>
          <w:p w14:paraId="23C2A11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4.2.3不同位置的投加设施应满足以下特殊要求：</w:t>
            </w:r>
          </w:p>
          <w:p w14:paraId="7F70B9F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a）生料磨投加可借用常规生料投料设施。</w:t>
            </w:r>
          </w:p>
          <w:p w14:paraId="0CE66E1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b）主燃烧器投加设施应采用多通道燃烧器，并配备泵力或气力输送装置；窑门罩投加设施应配备泵力输送装置，并在窑门罩的适当位置开设投料口。</w:t>
            </w:r>
          </w:p>
          <w:p w14:paraId="2A1B3B1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窑尾投加设施应配备泵力、气力或机械传输带输送装置，并在窑尾烟室、上升烟道或分解炉的适当位置开设投料口；可对分解炉燃烧器的气固相通道进行适当改造，使之适合液态或小颗粒状废物的输送和投加。</w:t>
            </w:r>
          </w:p>
        </w:tc>
        <w:tc>
          <w:tcPr>
            <w:tcW w:w="1137" w:type="pct"/>
            <w:tcBorders>
              <w:tl2br w:val="nil"/>
              <w:tr2bl w:val="nil"/>
            </w:tcBorders>
            <w:tcMar>
              <w:left w:w="108" w:type="dxa"/>
              <w:right w:w="108" w:type="dxa"/>
            </w:tcMar>
            <w:vAlign w:val="center"/>
          </w:tcPr>
          <w:p w14:paraId="1D080F0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本项目危废按照特性设置投加设施及投加位置，符合规范</w:t>
            </w:r>
          </w:p>
        </w:tc>
        <w:tc>
          <w:tcPr>
            <w:tcW w:w="367" w:type="pct"/>
            <w:gridSpan w:val="3"/>
            <w:tcBorders>
              <w:tl2br w:val="nil"/>
              <w:tr2bl w:val="nil"/>
            </w:tcBorders>
            <w:tcMar>
              <w:left w:w="108" w:type="dxa"/>
              <w:right w:w="108" w:type="dxa"/>
            </w:tcMar>
            <w:vAlign w:val="center"/>
          </w:tcPr>
          <w:p w14:paraId="13CBDD7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211BF64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5D794C3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735A955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29DD7F5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4.3固体废物贮存设施</w:t>
            </w:r>
          </w:p>
          <w:p w14:paraId="016774E0">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4.3.</w:t>
            </w:r>
            <w:r>
              <w:rPr>
                <w:rFonts w:hint="default" w:ascii="Times New Roman" w:hAnsi="Times New Roman" w:cs="Times New Roman"/>
                <w:color w:val="000000" w:themeColor="text1"/>
                <w:sz w:val="21"/>
                <w:szCs w:val="21"/>
                <w:highlight w:val="none"/>
                <w14:textFill>
                  <w14:solidFill>
                    <w14:schemeClr w14:val="tx1"/>
                  </w14:solidFill>
                </w14:textFill>
              </w:rPr>
              <w:t>1固体废物贮存设施应专门建设，以保证固体废物不与水泥生产原料、燃料和产品混合贮存。</w:t>
            </w:r>
          </w:p>
          <w:p w14:paraId="025E48E9">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4.3.2固体废物贮存设施内应专门设置不明性质废物暂存区。不明性质废物暂存区应与其他固体废物贮存区隔离，并设有专门的存取通道。</w:t>
            </w:r>
          </w:p>
          <w:p w14:paraId="0F06C29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4.3.3固体废物贮存设施应符合GB50016等相关消防规范的要求。与水泥窑窑体、分解炉和预热器保持一定的安全距离；贮存设施内应张贴严禁烟火的明显标识；应根据固体废物特性、贮存和卸载区条件配置相应的消防警报设备和灭火药剂；贮存设施中的电子设备应接地，并装备抗静电设备；应设置防爆通讯设备并保持通畅完好。</w:t>
            </w:r>
          </w:p>
          <w:p w14:paraId="4FB102D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4.3.4危险废物贮存设施的设计、安全防护、污染防治等应满足GB18597和HJ/T176中的相关要求；危险废物贮存区应标有明确的安全警告和清晰的撤离路线；危险废物贮存区及附近应配备紧急人体清洗冲淋设施，并标明用途。</w:t>
            </w:r>
          </w:p>
        </w:tc>
        <w:tc>
          <w:tcPr>
            <w:tcW w:w="1137" w:type="pct"/>
            <w:tcBorders>
              <w:tl2br w:val="nil"/>
              <w:tr2bl w:val="nil"/>
            </w:tcBorders>
            <w:tcMar>
              <w:left w:w="108" w:type="dxa"/>
              <w:right w:w="108" w:type="dxa"/>
            </w:tcMar>
            <w:vAlign w:val="center"/>
          </w:tcPr>
          <w:p w14:paraId="7672A9B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w:t>
            </w:r>
            <w:r>
              <w:rPr>
                <w:rFonts w:hint="default" w:ascii="Times New Roman" w:hAnsi="Times New Roman" w:cs="Times New Roman"/>
                <w:color w:val="000000" w:themeColor="text1"/>
                <w:sz w:val="21"/>
                <w:szCs w:val="21"/>
                <w:lang w:val="en-US" w:eastAsia="zh-CN"/>
                <w14:textFill>
                  <w14:solidFill>
                    <w14:schemeClr w14:val="tx1"/>
                  </w14:solidFill>
                </w14:textFill>
              </w:rPr>
              <w:t>不设置</w:t>
            </w:r>
            <w:r>
              <w:rPr>
                <w:rFonts w:hint="default" w:ascii="Times New Roman" w:hAnsi="Times New Roman" w:cs="Times New Roman"/>
                <w:color w:val="000000" w:themeColor="text1"/>
                <w:sz w:val="21"/>
                <w:szCs w:val="21"/>
                <w14:textFill>
                  <w14:solidFill>
                    <w14:schemeClr w14:val="tx1"/>
                  </w14:solidFill>
                </w14:textFill>
              </w:rPr>
              <w:t>危废贮存库</w:t>
            </w:r>
          </w:p>
        </w:tc>
        <w:tc>
          <w:tcPr>
            <w:tcW w:w="367" w:type="pct"/>
            <w:gridSpan w:val="3"/>
            <w:tcBorders>
              <w:tl2br w:val="nil"/>
              <w:tr2bl w:val="nil"/>
            </w:tcBorders>
            <w:tcMar>
              <w:left w:w="108" w:type="dxa"/>
              <w:right w:w="108" w:type="dxa"/>
            </w:tcMar>
            <w:vAlign w:val="center"/>
          </w:tcPr>
          <w:p w14:paraId="3D81F91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2FA4C8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04A4F6C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3765B9C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0390E17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4.4固体废物预处理设施</w:t>
            </w:r>
          </w:p>
          <w:p w14:paraId="4EBA63F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4.4.1固体废物的破碎、研磨、混合搅拌等预处理设施有较好的密闭性，并保证与操作人员隔离；含挥发性和半挥发性有毒有害成分的固体废物的预处理设施应布置在室内车间，车间内应设置通风换气装置，排出气体应通过处理后排放或导入水泥窑高温区焚烧。</w:t>
            </w:r>
          </w:p>
          <w:p w14:paraId="496814A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4.4.2预处理设施所用材料需适应固体废物特性以确保不被腐蚀，并不与固体废物发生任何反应。</w:t>
            </w:r>
          </w:p>
          <w:p w14:paraId="2A0618F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4.4.3预处理设施应符合GB50016等相关消防规范的要求。区域内应配备防火防爆装置，灭火用水储量大于50m</w:t>
            </w:r>
            <w:r>
              <w:rPr>
                <w:rFonts w:hint="default" w:ascii="Times New Roman" w:hAnsi="Times New Roman" w:cs="Times New Roman"/>
                <w:color w:val="000000" w:themeColor="text1"/>
                <w:sz w:val="21"/>
                <w:szCs w:val="21"/>
                <w:vertAlign w:val="super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；配备防爆通讯设备并保持通畅完好。对易燃性固体废物进行预处理的破碎仓和混合搅拌仓，为防止发生火灾爆炸等事故，应优先配备氮气充入装置。</w:t>
            </w:r>
          </w:p>
          <w:p w14:paraId="6758B39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4.4.4危险废物预处理区域及附近应配备紧急人体清洗冲淋设施，并标明用途。</w:t>
            </w:r>
          </w:p>
          <w:p w14:paraId="4C69156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4.4.5应根据固体废物特性及入窑要求，确定预处理工艺流程和预处理设施：</w:t>
            </w:r>
          </w:p>
          <w:p w14:paraId="3D2223A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a）从配料系统入窑的固态废物，其预处理设施应具有破碎和配料的功能；也可根据需要配备烘干等装置。</w:t>
            </w:r>
          </w:p>
          <w:p w14:paraId="1094774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b）从窑尾入窑的固态废物，其预处理设施应具有破碎和混合搅拌的功能；也可根据需要配备分选和筛分等装置。</w:t>
            </w:r>
          </w:p>
          <w:p w14:paraId="56E192A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c）从窑头入窑的固态废物，其预处理设施应具有破碎、分选和精筛的功能。</w:t>
            </w:r>
          </w:p>
          <w:p w14:paraId="24BD4D0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d）液态废物，其预处理设施应具有混合搅拌功能，若液态废物中有较大的颗粒物，可在混合搅拌系统内配加研磨装置；也可根据需要配备沉淀、中和、过滤等装置。</w:t>
            </w:r>
          </w:p>
          <w:p w14:paraId="635DD26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e）半固态（浆状）废物，其预处理设施应具有混合搅拌的功能；也可根据需要配备破碎、筛分、分选、高速研磨等装置。</w:t>
            </w:r>
          </w:p>
        </w:tc>
        <w:tc>
          <w:tcPr>
            <w:tcW w:w="1137" w:type="pct"/>
            <w:tcBorders>
              <w:tl2br w:val="nil"/>
              <w:tr2bl w:val="nil"/>
            </w:tcBorders>
            <w:tcMar>
              <w:left w:w="108" w:type="dxa"/>
              <w:right w:w="108" w:type="dxa"/>
            </w:tcMar>
            <w:vAlign w:val="center"/>
          </w:tcPr>
          <w:p w14:paraId="19B055B8">
            <w:pPr>
              <w:pStyle w:val="52"/>
              <w:spacing w:before="0" w:after="0" w:line="240" w:lineRule="auto"/>
              <w:ind w:left="0" w:firstLine="0"/>
              <w:rPr>
                <w:rFonts w:hint="default" w:ascii="Times New Roman" w:hAnsi="Times New Roman" w:cs="Times New Roman"/>
                <w:color w:val="000000" w:themeColor="text1"/>
                <w:sz w:val="21"/>
                <w:szCs w:val="21"/>
                <w:lang w:val="en-US"/>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根据项目特点及危险废物特性，</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拟建项目</w:t>
            </w:r>
            <w:r>
              <w:rPr>
                <w:rFonts w:hint="eastAsia" w:cs="Times New Roman"/>
                <w:color w:val="000000" w:themeColor="text1"/>
                <w:sz w:val="21"/>
                <w:szCs w:val="21"/>
                <w:highlight w:val="none"/>
                <w:lang w:val="en-US" w:eastAsia="zh-CN"/>
                <w14:textFill>
                  <w14:solidFill>
                    <w14:schemeClr w14:val="tx1"/>
                  </w14:solidFill>
                </w14:textFill>
              </w:rPr>
              <w:t>固态废物</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预处理过程设置在投料系统内，</w:t>
            </w:r>
            <w:r>
              <w:rPr>
                <w:rFonts w:hint="eastAsia" w:cs="Times New Roman"/>
                <w:color w:val="000000" w:themeColor="text1"/>
                <w:sz w:val="21"/>
                <w:szCs w:val="21"/>
                <w:highlight w:val="none"/>
                <w:lang w:val="en-US" w:eastAsia="zh-CN"/>
                <w14:textFill>
                  <w14:solidFill>
                    <w14:schemeClr w14:val="tx1"/>
                  </w14:solidFill>
                </w14:textFill>
              </w:rPr>
              <w:t>投料系统全密闭；液态废物无需进行预处理</w:t>
            </w:r>
          </w:p>
        </w:tc>
        <w:tc>
          <w:tcPr>
            <w:tcW w:w="367" w:type="pct"/>
            <w:gridSpan w:val="3"/>
            <w:tcBorders>
              <w:tl2br w:val="nil"/>
              <w:tr2bl w:val="nil"/>
            </w:tcBorders>
            <w:tcMar>
              <w:left w:w="108" w:type="dxa"/>
              <w:right w:w="108" w:type="dxa"/>
            </w:tcMar>
            <w:vAlign w:val="center"/>
          </w:tcPr>
          <w:p w14:paraId="70808C0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6A54216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CD1CE7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5D6749E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410FF43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4.5固体废物厂内输送设施</w:t>
            </w:r>
          </w:p>
          <w:p w14:paraId="5711FA5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4.5.1在固体废物装卸场所、贮存场所、预处理区域、投加区域等各个区域之间，应根据固体废物特性和设施要求配备必要的输送设备。</w:t>
            </w:r>
          </w:p>
          <w:p w14:paraId="4FC070C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4.5.2固体废物的物流出入口以及转运、输送路线应远离办公和生活服务设施。</w:t>
            </w:r>
          </w:p>
          <w:p w14:paraId="376A5D7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4.5.3输送设备所用材料应适应固体废物特性，确保不被腐蚀和不与固体废物发生任何反应。</w:t>
            </w:r>
          </w:p>
          <w:p w14:paraId="6775F5C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4.5.4管道输送设备应保持良好的密闭性能，防止固体废物的滴漏和溢出。</w:t>
            </w:r>
          </w:p>
          <w:p w14:paraId="406972B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4.5.5非密闭输送设备（如传送带、抓料斗等）应采取防护措施（如加设防护罩），防止粉尘飘散。</w:t>
            </w:r>
          </w:p>
          <w:p w14:paraId="04E9299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4.5.6移动式输送设备，应采取措施防止粉尘飘散和固体废物遗撒。</w:t>
            </w:r>
          </w:p>
          <w:p w14:paraId="6142FC3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4.5.7厂内输送危险废物的管道、传送带应在显眼处标有安全警告信息。</w:t>
            </w:r>
          </w:p>
        </w:tc>
        <w:tc>
          <w:tcPr>
            <w:tcW w:w="1137" w:type="pct"/>
            <w:tcBorders>
              <w:tl2br w:val="nil"/>
              <w:tr2bl w:val="nil"/>
            </w:tcBorders>
            <w:tcMar>
              <w:left w:w="108" w:type="dxa"/>
              <w:right w:w="108" w:type="dxa"/>
            </w:tcMar>
            <w:vAlign w:val="center"/>
          </w:tcPr>
          <w:p w14:paraId="03E7DF3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本项目固体废物厂内输送采用专用转运车辆，固体废物的物流出入口以及转运、输送路线远离办公和生活服务设施。危废入窑采用密闭皮带和管道输送，具有防渗漏措施</w:t>
            </w:r>
          </w:p>
        </w:tc>
        <w:tc>
          <w:tcPr>
            <w:tcW w:w="367" w:type="pct"/>
            <w:gridSpan w:val="3"/>
            <w:tcBorders>
              <w:tl2br w:val="nil"/>
              <w:tr2bl w:val="nil"/>
            </w:tcBorders>
            <w:tcMar>
              <w:left w:w="108" w:type="dxa"/>
              <w:right w:w="108" w:type="dxa"/>
            </w:tcMar>
            <w:vAlign w:val="center"/>
          </w:tcPr>
          <w:p w14:paraId="4171FB2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ED25CC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21946E1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7EE8972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4327CD2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4.6分析化验室</w:t>
            </w:r>
          </w:p>
          <w:p w14:paraId="1D66AA1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4.6.1</w:t>
            </w:r>
            <w:r>
              <w:rPr>
                <w:rFonts w:hint="default" w:ascii="Times New Roman" w:hAnsi="Times New Roman" w:cs="Times New Roman"/>
                <w:color w:val="000000" w:themeColor="text1"/>
                <w:sz w:val="21"/>
                <w:szCs w:val="21"/>
                <w:highlight w:val="none"/>
                <w14:textFill>
                  <w14:solidFill>
                    <w14:schemeClr w14:val="tx1"/>
                  </w14:solidFill>
                </w14:textFill>
              </w:rPr>
              <w:t>从事固体废物协同处置的企业，应在原有水泥生产分析化验室的基础上，增加必要的固体废物分析化验设备</w:t>
            </w:r>
            <w:r>
              <w:rPr>
                <w:rFonts w:hint="default" w:ascii="Times New Roman" w:hAnsi="Times New Roman" w:cs="Times New Roman"/>
                <w:color w:val="000000" w:themeColor="text1"/>
                <w:sz w:val="21"/>
                <w:szCs w:val="21"/>
                <w14:textFill>
                  <w14:solidFill>
                    <w14:schemeClr w14:val="tx1"/>
                  </w14:solidFill>
                </w14:textFill>
              </w:rPr>
              <w:t>。</w:t>
            </w:r>
          </w:p>
          <w:p w14:paraId="2CF1923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4.6.2分析化验室应具备以下检测能力：</w:t>
            </w:r>
          </w:p>
          <w:p w14:paraId="57564D3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a）具备HJ/T20要求的采样制样能力、工具和仪器。</w:t>
            </w:r>
          </w:p>
          <w:p w14:paraId="2DB3035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所协同处置的固体废物、水泥生产原料中汞（Hg）、镉（Cd）、铊（Tl）、砷（As）、镍（Ni）、铅（Pb）、铬（Cr）、锡（Sn）、锑（Sb）、铜（Cu）、锰（Mn）、铍（Be）、锌（Zn）、钒（V）、钴（Co）、钼（Mo）、氟（F）、氯（Cl）和硫（S）的分析。</w:t>
            </w:r>
          </w:p>
          <w:p w14:paraId="1C7715C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c）相容性测试，一般需要配备粘度仪、搅拌仪、温度计、压力计、pH 计、反应气体收集装置等。</w:t>
            </w:r>
          </w:p>
          <w:p w14:paraId="07E028F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d）满足GB5085.1要求的腐蚀性检测；满足GB5085.4要求的易燃性检测；满足GB5085.5要求的反应性检测。</w:t>
            </w:r>
          </w:p>
          <w:p w14:paraId="050F262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e）满足GB4915和GB30485监测要求的烟气污染物检测。</w:t>
            </w:r>
          </w:p>
          <w:p w14:paraId="0B2BCDC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f）满足其他相关标准中要求的水泥产品环境安全性检测。</w:t>
            </w:r>
          </w:p>
          <w:p w14:paraId="59E686E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4.6.3分析化验室应设有样品保存库，用于贮存备份样品；样品保存库应可以确保危险固体废物样品贮存2年而不使固体废物性质发生变化，并满足相应的消防要求。</w:t>
            </w:r>
          </w:p>
          <w:p w14:paraId="1471875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4.6.4本标准第4.6.2条a）、b）以及c）款为企业必须具备的条件，其他分析项目如果不具备条件，可经当地环保部门许可后委托有资质的分析监测机构进行采样分析监测。</w:t>
            </w:r>
          </w:p>
        </w:tc>
        <w:tc>
          <w:tcPr>
            <w:tcW w:w="1137" w:type="pct"/>
            <w:tcBorders>
              <w:tl2br w:val="nil"/>
              <w:tr2bl w:val="nil"/>
            </w:tcBorders>
            <w:tcMar>
              <w:left w:w="108" w:type="dxa"/>
              <w:right w:w="108" w:type="dxa"/>
            </w:tcMar>
            <w:vAlign w:val="center"/>
          </w:tcPr>
          <w:p w14:paraId="058DFD9A">
            <w:pPr>
              <w:pStyle w:val="52"/>
              <w:spacing w:before="0" w:after="0" w:line="240" w:lineRule="auto"/>
              <w:ind w:left="0" w:firstLine="0"/>
              <w:jc w:val="both"/>
              <w:rPr>
                <w:rFonts w:hint="default" w:ascii="Times New Roman" w:hAnsi="Times New Roman" w:cs="Times New Roman"/>
                <w:color w:val="000000" w:themeColor="text1"/>
                <w:sz w:val="21"/>
                <w:szCs w:val="21"/>
                <w:highlight w:val="yellow"/>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w:t>
            </w:r>
            <w:r>
              <w:rPr>
                <w:rFonts w:hint="default" w:ascii="Times New Roman" w:hAnsi="Times New Roman" w:cs="Times New Roman"/>
                <w:color w:val="000000" w:themeColor="text1"/>
                <w:sz w:val="21"/>
                <w:szCs w:val="21"/>
                <w:highlight w:val="none"/>
                <w14:textFill>
                  <w14:solidFill>
                    <w14:schemeClr w14:val="tx1"/>
                  </w14:solidFill>
                </w14:textFill>
              </w:rPr>
              <w:t>水泥厂现有化验室，对化验室进行升级</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配备必要的分析化验设备</w:t>
            </w:r>
            <w:r>
              <w:rPr>
                <w:rFonts w:hint="default" w:ascii="Times New Roman" w:hAnsi="Times New Roman" w:cs="Times New Roman"/>
                <w:color w:val="000000" w:themeColor="text1"/>
                <w:sz w:val="21"/>
                <w:szCs w:val="21"/>
                <w:highlight w:val="none"/>
                <w14:textFill>
                  <w14:solidFill>
                    <w14:schemeClr w14:val="tx1"/>
                  </w14:solidFill>
                </w14:textFill>
              </w:rPr>
              <w:t>。</w:t>
            </w:r>
          </w:p>
          <w:p w14:paraId="5CAA1C4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（1）本项目分析化验室必须具备以下检测能力：</w:t>
            </w:r>
          </w:p>
          <w:p w14:paraId="155E82B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1）具备HJ/T20要求的采样制样能力、工具和仪器。</w:t>
            </w:r>
          </w:p>
          <w:p w14:paraId="62FE575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2）具备危险废物、预处理产物、水泥生产常规原料和燃料中的重金属以及硫（S）、氯（Cl）、氟（F）含量的分析能力。</w:t>
            </w:r>
          </w:p>
          <w:p w14:paraId="39EBED9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3）相容性测试，一般需要配备粘度仪、搅拌仪、温度计、压力计、pH计、反应气体收集装置等。</w:t>
            </w:r>
          </w:p>
          <w:p w14:paraId="52E4893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（2）下列分析项目如果不具备条件，可经当地环保部门许可后委托有资质的分析监测机构进行采样分析监测：</w:t>
            </w:r>
          </w:p>
          <w:p w14:paraId="442B2C9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1）满足GB5085.1要求的腐蚀性检测；满足GB5085.4要求的易燃性检测；满足GB5085.5要求的反应性检测。</w:t>
            </w:r>
          </w:p>
          <w:p w14:paraId="52B79D6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2）满足GB4915和GB30485监测要求的烟气污染物检测。</w:t>
            </w:r>
          </w:p>
          <w:p w14:paraId="41A4BFD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3）满足其他相关标准中要求的水泥产品环境安全性检测。</w:t>
            </w:r>
          </w:p>
          <w:p w14:paraId="5F7F057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（3）分析化验室应设有样品保存库，用于贮存备份样品；样品保存库应可以确保危险固体废物样品贮存2年而不使固体废物性质发生变化，并满足相应的消防要求。</w:t>
            </w:r>
          </w:p>
        </w:tc>
        <w:tc>
          <w:tcPr>
            <w:tcW w:w="367" w:type="pct"/>
            <w:gridSpan w:val="3"/>
            <w:tcBorders>
              <w:tl2br w:val="nil"/>
              <w:tr2bl w:val="nil"/>
            </w:tcBorders>
            <w:tcMar>
              <w:left w:w="108" w:type="dxa"/>
              <w:right w:w="108" w:type="dxa"/>
            </w:tcMar>
            <w:vAlign w:val="center"/>
          </w:tcPr>
          <w:p w14:paraId="2336ACB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4DD8F4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1CAA973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4B4EB0F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固体废物特性要求</w:t>
            </w:r>
          </w:p>
        </w:tc>
        <w:tc>
          <w:tcPr>
            <w:tcW w:w="2619" w:type="pct"/>
            <w:gridSpan w:val="2"/>
            <w:tcBorders>
              <w:tl2br w:val="nil"/>
              <w:tr2bl w:val="nil"/>
            </w:tcBorders>
            <w:tcMar>
              <w:left w:w="108" w:type="dxa"/>
              <w:right w:w="108" w:type="dxa"/>
            </w:tcMar>
            <w:vAlign w:val="center"/>
          </w:tcPr>
          <w:p w14:paraId="1AA04F9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5.1禁止进入水泥窑协同处置的废物</w:t>
            </w:r>
          </w:p>
          <w:p w14:paraId="525F801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禁止在水泥窑中协同处置以下废物：</w:t>
            </w:r>
          </w:p>
          <w:p w14:paraId="3F12265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a）放射性废物。</w:t>
            </w:r>
          </w:p>
          <w:p w14:paraId="4773AC6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b）爆炸物及反应性废物。</w:t>
            </w:r>
          </w:p>
          <w:p w14:paraId="7A5E512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c）未经拆解的废电池、废家用电器和电子产品。</w:t>
            </w:r>
          </w:p>
          <w:p w14:paraId="397538B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d）含汞的温度计、血压计、荧光灯管和开关。</w:t>
            </w:r>
          </w:p>
          <w:p w14:paraId="2345C47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e）铬渣。</w:t>
            </w:r>
          </w:p>
          <w:p w14:paraId="5E73BA0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f）未知特性和未经鉴定的废物。</w:t>
            </w:r>
          </w:p>
        </w:tc>
        <w:tc>
          <w:tcPr>
            <w:tcW w:w="1137" w:type="pct"/>
            <w:tcBorders>
              <w:tl2br w:val="nil"/>
              <w:tr2bl w:val="nil"/>
            </w:tcBorders>
            <w:tcMar>
              <w:left w:w="108" w:type="dxa"/>
              <w:right w:w="108" w:type="dxa"/>
            </w:tcMar>
            <w:vAlign w:val="center"/>
          </w:tcPr>
          <w:p w14:paraId="491A8CD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本项目不接收处置表列禁止在水泥窑中协同处置的废物</w:t>
            </w:r>
          </w:p>
        </w:tc>
        <w:tc>
          <w:tcPr>
            <w:tcW w:w="367" w:type="pct"/>
            <w:gridSpan w:val="3"/>
            <w:tcBorders>
              <w:tl2br w:val="nil"/>
              <w:tr2bl w:val="nil"/>
            </w:tcBorders>
            <w:tcMar>
              <w:left w:w="108" w:type="dxa"/>
              <w:right w:w="108" w:type="dxa"/>
            </w:tcMar>
            <w:vAlign w:val="center"/>
          </w:tcPr>
          <w:p w14:paraId="4D2FA23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957D8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35632EA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5380F19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426C57D5">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 xml:space="preserve">5.2入窑协同处置的固体废物特性要求 </w:t>
            </w:r>
          </w:p>
          <w:p w14:paraId="6C108586">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5.2.1入窑固体废物应具有稳定的化学组成和物理特性，其化学组成、理化性质等不应对水泥生产过程和水泥产品质量产生不利影响。</w:t>
            </w:r>
          </w:p>
          <w:p w14:paraId="591F4846">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5.2.2入窑固体废物中如含有表1中所列重金属成分，其含量应该满足本标准第6.6.7条的要求。</w:t>
            </w:r>
          </w:p>
          <w:p w14:paraId="032A52DF">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5.2.3入窑固体废物中氯（Cl）和氟（F）元素的含量不应对水泥生产和水泥产品质量造成不利影响，其含量应该满足本标准第6.6.8条的要求。</w:t>
            </w:r>
          </w:p>
          <w:p w14:paraId="5C95844A">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5.2.4入窑固体废物中硫（S）元素含量应满足本标准第6.6.9条的要求。</w:t>
            </w:r>
          </w:p>
          <w:p w14:paraId="21118AA0">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5.2.5具有腐蚀性的固体废物，应经过预处理降低废物腐蚀性或对设施进行防腐性改造，确保不对设施造成腐蚀后方可进行协同处置。</w:t>
            </w:r>
          </w:p>
        </w:tc>
        <w:tc>
          <w:tcPr>
            <w:tcW w:w="1137" w:type="pct"/>
            <w:tcBorders>
              <w:tl2br w:val="nil"/>
              <w:tr2bl w:val="nil"/>
            </w:tcBorders>
            <w:tcMar>
              <w:left w:w="108" w:type="dxa"/>
              <w:right w:w="108" w:type="dxa"/>
            </w:tcMar>
            <w:vAlign w:val="center"/>
          </w:tcPr>
          <w:p w14:paraId="5F46A65B">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本项目所处置危险废物中不含氯</w:t>
            </w:r>
            <w:r>
              <w:rPr>
                <w:rFonts w:hint="eastAsia" w:cs="Times New Roman"/>
                <w:color w:val="000000" w:themeColor="text1"/>
                <w:sz w:val="21"/>
                <w:szCs w:val="21"/>
                <w:highlight w:val="none"/>
                <w:lang w:val="en-US"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氟元素</w:t>
            </w:r>
            <w:r>
              <w:rPr>
                <w:rFonts w:hint="eastAsia" w:cs="Times New Roman"/>
                <w:color w:val="000000" w:themeColor="text1"/>
                <w:sz w:val="21"/>
                <w:szCs w:val="21"/>
                <w:highlight w:val="none"/>
                <w:lang w:val="en-US" w:eastAsia="zh-CN"/>
                <w14:textFill>
                  <w14:solidFill>
                    <w14:schemeClr w14:val="tx1"/>
                  </w14:solidFill>
                </w14:textFill>
              </w:rPr>
              <w:t>和重金属元素</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，项目的建设不会对水泥生产和产品造成不利影响</w:t>
            </w:r>
            <w:r>
              <w:rPr>
                <w:rFonts w:hint="eastAsia" w:cs="Times New Roman"/>
                <w:color w:val="000000" w:themeColor="text1"/>
                <w:sz w:val="21"/>
                <w:szCs w:val="21"/>
                <w:highlight w:val="none"/>
                <w:lang w:val="en-US" w:eastAsia="zh-CN"/>
                <w14:textFill>
                  <w14:solidFill>
                    <w14:schemeClr w14:val="tx1"/>
                  </w14:solidFill>
                </w14:textFill>
              </w:rPr>
              <w:t>，入窑废物</w:t>
            </w:r>
            <w:r>
              <w:rPr>
                <w:rFonts w:hint="default" w:ascii="Times New Roman" w:hAnsi="Times New Roman" w:cs="Times New Roman"/>
                <w:color w:val="000000" w:themeColor="text1"/>
                <w:sz w:val="21"/>
                <w:szCs w:val="21"/>
                <w:highlight w:val="none"/>
                <w14:textFill>
                  <w14:solidFill>
                    <w14:schemeClr w14:val="tx1"/>
                  </w14:solidFill>
                </w14:textFill>
              </w:rPr>
              <w:t>满足《水泥窑协同处置固体废物环境保护技术规范》（HJ662-2013）的入窑标准要求</w:t>
            </w:r>
          </w:p>
        </w:tc>
        <w:tc>
          <w:tcPr>
            <w:tcW w:w="367" w:type="pct"/>
            <w:gridSpan w:val="3"/>
            <w:tcBorders>
              <w:tl2br w:val="nil"/>
              <w:tr2bl w:val="nil"/>
            </w:tcBorders>
            <w:tcMar>
              <w:left w:w="108" w:type="dxa"/>
              <w:right w:w="108" w:type="dxa"/>
            </w:tcMar>
            <w:vAlign w:val="center"/>
          </w:tcPr>
          <w:p w14:paraId="40C853B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1361F5A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09A2DC5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F4C190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607117B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5.3替代混合材的废物特性要求</w:t>
            </w:r>
          </w:p>
          <w:p w14:paraId="2B36545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5.3.1作为替代混合材的固体废物应该满足国家或者行业有关标准，并且不对水泥质量产生不利影响。</w:t>
            </w:r>
          </w:p>
          <w:p w14:paraId="7186656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5.3.2下列废物不能作为混合材原料：</w:t>
            </w:r>
          </w:p>
          <w:p w14:paraId="73D45E2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a）危险废物；</w:t>
            </w:r>
          </w:p>
          <w:p w14:paraId="5DC87FB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b）有机废物；</w:t>
            </w:r>
          </w:p>
          <w:p w14:paraId="189D08B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国家法律、法规另有规定的除外。</w:t>
            </w:r>
          </w:p>
        </w:tc>
        <w:tc>
          <w:tcPr>
            <w:tcW w:w="1137" w:type="pct"/>
            <w:tcBorders>
              <w:tl2br w:val="nil"/>
              <w:tr2bl w:val="nil"/>
            </w:tcBorders>
            <w:tcMar>
              <w:left w:w="108" w:type="dxa"/>
              <w:right w:w="108" w:type="dxa"/>
            </w:tcMar>
            <w:vAlign w:val="center"/>
          </w:tcPr>
          <w:p w14:paraId="7BD1F5FC">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本项目危险废物不作为混合材原料</w:t>
            </w:r>
          </w:p>
        </w:tc>
        <w:tc>
          <w:tcPr>
            <w:tcW w:w="367" w:type="pct"/>
            <w:gridSpan w:val="3"/>
            <w:tcBorders>
              <w:tl2br w:val="nil"/>
              <w:tr2bl w:val="nil"/>
            </w:tcBorders>
            <w:tcMar>
              <w:left w:w="108" w:type="dxa"/>
              <w:right w:w="108" w:type="dxa"/>
            </w:tcMar>
            <w:vAlign w:val="center"/>
          </w:tcPr>
          <w:p w14:paraId="649FA39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325ED3C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1DF57B0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3FA6146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协同处置运行操作技术要求</w:t>
            </w:r>
          </w:p>
        </w:tc>
        <w:tc>
          <w:tcPr>
            <w:tcW w:w="2619" w:type="pct"/>
            <w:gridSpan w:val="2"/>
            <w:tcBorders>
              <w:tl2br w:val="nil"/>
              <w:tr2bl w:val="nil"/>
            </w:tcBorders>
            <w:tcMar>
              <w:left w:w="108" w:type="dxa"/>
              <w:right w:w="108" w:type="dxa"/>
            </w:tcMar>
            <w:vAlign w:val="center"/>
          </w:tcPr>
          <w:p w14:paraId="445B2AE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6.1固体废物的准入评估</w:t>
            </w:r>
          </w:p>
          <w:p w14:paraId="49E90FC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6.1.1为保证协同处置过程不影响水泥生产过程和操作运行安全，确保烟气排放达标，在协同处置企业与固体废物产生企业签订协同处置合同及固体废物运输到协同处置企业之前，应对拟协同处置的固体废物进行取样及特性分析。</w:t>
            </w:r>
          </w:p>
          <w:p w14:paraId="550C91A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6.1.2在对拟协同处置的固体废物进行取样和特性分析前，应该对固体废物产生过程进行调查分析，在此基础上制定取样分析方案；样品采集完成后，针对本标准第5章要求的项目以及确保运输、贮存和协同处置全过程安全、水泥生产安全、烟气排放和水泥产品质量满足标准所要求的项目，开展分析测试。固体废物特性经双方确认后在协同处置合同中注明。取样频率和取样方法应参照HJ/T20和HJ/T298要求执行。</w:t>
            </w:r>
          </w:p>
          <w:p w14:paraId="1E9A33A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6.1.3在完成样品分析测试以后，根据下列要求对固体废物是否可以进厂协同处置进行判断：</w:t>
            </w:r>
          </w:p>
          <w:p w14:paraId="279A66E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a）该类固体废物不属于禁止进入水泥窑协同处置的废物类别，危险废物类别符合危险废物经营许可证规定的类别要求，满足国家和当地的相关法律和法规；</w:t>
            </w:r>
          </w:p>
          <w:p w14:paraId="30193B2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b）协同处置企业具有协同处置该类固体废物的能力，协同处置过程中的人员健康和环境安全风险能够得到有效控制；</w:t>
            </w:r>
          </w:p>
          <w:p w14:paraId="4805E70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c）该类固体废物的协同处置不会对水泥的稳定生产、烟气排放、水泥产品质量产生不利影响。</w:t>
            </w:r>
          </w:p>
          <w:p w14:paraId="4D2B9F5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6.1.4对于同一产废单位同一生产工艺产生的不同批次固体废物，在生产工艺操作参数未改变的前提下，可以仅对首批次固体废物进行采样分析，其后产生的固体废物采样分析在第6.3节制定处置方案时进行。</w:t>
            </w:r>
          </w:p>
          <w:p w14:paraId="75B3EA3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6.1.5对入厂前固体废物采集分析的样品，经双方确认后封装保存，用于事故和纠纷的调查。备份样品应该保存到停止协同处置该种固体废物之后。如果在保存期间备份样品的特性发生变化，应更换备份样品，保证备份样品特性与所协同处置固体废物特性一致。</w:t>
            </w:r>
          </w:p>
        </w:tc>
        <w:tc>
          <w:tcPr>
            <w:tcW w:w="1137" w:type="pct"/>
            <w:tcBorders>
              <w:tl2br w:val="nil"/>
              <w:tr2bl w:val="nil"/>
            </w:tcBorders>
            <w:tcMar>
              <w:left w:w="108" w:type="dxa"/>
              <w:right w:w="108" w:type="dxa"/>
            </w:tcMar>
            <w:vAlign w:val="center"/>
          </w:tcPr>
          <w:p w14:paraId="12512A28">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w:t>
            </w:r>
            <w:r>
              <w:rPr>
                <w:rFonts w:hint="eastAsia" w:cs="Times New Roman"/>
                <w:color w:val="000000" w:themeColor="text1"/>
                <w:sz w:val="21"/>
                <w:szCs w:val="21"/>
                <w:lang w:val="en-US" w:eastAsia="zh-CN"/>
                <w14:textFill>
                  <w14:solidFill>
                    <w14:schemeClr w14:val="tx1"/>
                  </w14:solidFill>
                </w14:textFill>
              </w:rPr>
              <w:t>仅处置新疆兴发化工有限公司产生的精蒸馏残渣，项目入窑废物满足入窑相关要求</w:t>
            </w:r>
          </w:p>
        </w:tc>
        <w:tc>
          <w:tcPr>
            <w:tcW w:w="367" w:type="pct"/>
            <w:gridSpan w:val="3"/>
            <w:tcBorders>
              <w:tl2br w:val="nil"/>
              <w:tr2bl w:val="nil"/>
            </w:tcBorders>
            <w:tcMar>
              <w:left w:w="108" w:type="dxa"/>
              <w:right w:w="108" w:type="dxa"/>
            </w:tcMar>
            <w:vAlign w:val="center"/>
          </w:tcPr>
          <w:p w14:paraId="3C637AC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7D4F5C3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3E43139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18B6C54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56367C1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6.2固体废物的接收与分析</w:t>
            </w:r>
          </w:p>
          <w:p w14:paraId="0CA06BA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6.2.1入厂时固体废物的检查</w:t>
            </w:r>
          </w:p>
          <w:p w14:paraId="69D3659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a）在固体废物进入协同处置企业时，首先通过表观和气味，初步判断入厂固体废物是否与签订的合同标注的固体废物类别一致，并对固体废物进行称重，确认符合签订的合同。</w:t>
            </w:r>
          </w:p>
          <w:p w14:paraId="45EFBB2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b)对于危险废物，还应进行下列各项的检查：</w:t>
            </w:r>
          </w:p>
          <w:p w14:paraId="4CED152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1）检查危险废物标签是否符合要求，所标注内容应与《危险废物转移联单》和签订的合同一致。</w:t>
            </w:r>
          </w:p>
          <w:p w14:paraId="44E0AF3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2）通过表观和气味初步判断的危险废物类别是否与《危险废物转移联单》一致。</w:t>
            </w:r>
          </w:p>
          <w:p w14:paraId="1F8594F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3）对危险废物进行称重的重量是否与《危险废物转移联单》一致。</w:t>
            </w:r>
          </w:p>
          <w:p w14:paraId="78C040A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4）检查危险废物包装是否符合要求，应无破损和泄漏现象。</w:t>
            </w:r>
          </w:p>
          <w:p w14:paraId="71EEA02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5）必要时，进行放射性检验。</w:t>
            </w:r>
          </w:p>
          <w:p w14:paraId="0298381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在完成上述检查并确认符合各项要求时，固体废物方可进入贮存库或预处理车间。</w:t>
            </w:r>
          </w:p>
          <w:p w14:paraId="18E5112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按照6.2.1条a）、b)款的规定进行检查后，如果拟入厂固体废物与转移联单或所签订合同的标注的废物类别不一致，或者危险废物包装发生破损或泄漏，应立即与固体废物产生单位、运输单位和运输责任人联系，共同进行现场判断。拟入厂危险废物与《危险废物转移联单》不一致时还应及时向当地环境保护行政主管部门报告。如果在协同处置企业现有条件下可以进行协同处置，并确保在固体废物分析、贮存、运输、预处理和协同处置过程中不会对生产安全和环境保护产生不利影响，可以进入协同处置企业贮存库或者预处理车间，经特性分析鉴别后按照常规程序进行协同处置。如果无法确定废物特性，将该批次废物作为不明性质废物，按照第9.3节规定处理。 如果确定协同处置企业无法处置该批次固体废物，应立即向当地环境保护行政主管部门报告，并退回到固体废物产生单位，或送至有关主管部门指定的专业处置单位。必要时应通知当地安全生产行政主管部门和公安部门。</w:t>
            </w:r>
          </w:p>
        </w:tc>
        <w:tc>
          <w:tcPr>
            <w:tcW w:w="1137" w:type="pct"/>
            <w:tcBorders>
              <w:tl2br w:val="nil"/>
              <w:tr2bl w:val="nil"/>
            </w:tcBorders>
            <w:tcMar>
              <w:left w:w="108" w:type="dxa"/>
              <w:right w:w="108" w:type="dxa"/>
            </w:tcMar>
            <w:vAlign w:val="center"/>
          </w:tcPr>
          <w:p w14:paraId="604057F5">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本项目按要求对入厂固废进行接收与分析</w:t>
            </w:r>
          </w:p>
        </w:tc>
        <w:tc>
          <w:tcPr>
            <w:tcW w:w="367" w:type="pct"/>
            <w:gridSpan w:val="3"/>
            <w:tcBorders>
              <w:tl2br w:val="nil"/>
              <w:tr2bl w:val="nil"/>
            </w:tcBorders>
            <w:tcMar>
              <w:left w:w="108" w:type="dxa"/>
              <w:right w:w="108" w:type="dxa"/>
            </w:tcMar>
            <w:vAlign w:val="center"/>
          </w:tcPr>
          <w:p w14:paraId="3628EC0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3B57B98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5FA574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1DDF357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4EE423C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6.2.2入厂后固体废物的检验</w:t>
            </w:r>
          </w:p>
          <w:p w14:paraId="4AFEB30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a）固体废物入厂后应及时进行取样分析，以判断固体废物特性是否与合同注明的固体废物特性一致。如果发现固体废物特性与合同注明的固体废物特性不一致，应参照第6.2.1条c）款的规定进行处理。</w:t>
            </w:r>
          </w:p>
          <w:p w14:paraId="7775CC1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b）协同处置企业应对各个产废单位的相关信息进行定期的统计分析，评估其管理的能力和固体废物的稳定性，并根据评估情况适当减少检验频次。</w:t>
            </w:r>
          </w:p>
        </w:tc>
        <w:tc>
          <w:tcPr>
            <w:tcW w:w="1137" w:type="pct"/>
            <w:tcBorders>
              <w:tl2br w:val="nil"/>
              <w:tr2bl w:val="nil"/>
            </w:tcBorders>
            <w:tcMar>
              <w:left w:w="108" w:type="dxa"/>
              <w:right w:w="108" w:type="dxa"/>
            </w:tcMar>
            <w:vAlign w:val="center"/>
          </w:tcPr>
          <w:p w14:paraId="5FA8EFCF">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本项目按要求对入厂固废进行取样分析</w:t>
            </w:r>
          </w:p>
        </w:tc>
        <w:tc>
          <w:tcPr>
            <w:tcW w:w="367" w:type="pct"/>
            <w:gridSpan w:val="3"/>
            <w:tcBorders>
              <w:tl2br w:val="nil"/>
              <w:tr2bl w:val="nil"/>
            </w:tcBorders>
            <w:tcMar>
              <w:left w:w="108" w:type="dxa"/>
              <w:right w:w="108" w:type="dxa"/>
            </w:tcMar>
            <w:vAlign w:val="center"/>
          </w:tcPr>
          <w:p w14:paraId="1F2FE49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08DF492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4906839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55D0E6D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2ECF211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6.2.3制定协同处置方案</w:t>
            </w:r>
          </w:p>
          <w:p w14:paraId="04BA83F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以固体废物入厂后的分析检测结果为依据，制定固体废物协同处置方案。固体废物协同处置方案应包括固体废物贮存、输送、预处理和入窑协同处置技术流程、配伍和技术参数，以及安全风险和相应的安全操作提示。</w:t>
            </w:r>
          </w:p>
          <w:p w14:paraId="1234548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b）制定协同处置方案时应注意以下关键环节：</w:t>
            </w:r>
          </w:p>
          <w:p w14:paraId="0BFD1B6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1)按固体废物特性进行分类，不同固体废物在预处理的混合、搅拌过程中，确保不发生导致急剧增温、爆炸、燃烧的化学反应，不产生有害气体，禁止将不相容的固体废物进行混合。</w:t>
            </w:r>
          </w:p>
          <w:p w14:paraId="4E53B19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2)固体废物及其混合物在贮存、厂内运输、预处理和入窑焚烧过程中不对所接触材料造成腐蚀破坏。</w:t>
            </w:r>
          </w:p>
          <w:p w14:paraId="2F335FF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3)入窑固体废物中有害物质的含量和投加速率满足本标准相关要求，防止对水泥生产和水泥质量造成不利影响。</w:t>
            </w:r>
          </w:p>
          <w:p w14:paraId="18CDD37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c）在制定协同处置方案的过程中，如果无法确认是否可以满足第6.2.3条b）款的要求，应通过相容性测试确认。</w:t>
            </w:r>
          </w:p>
          <w:p w14:paraId="2E63EFC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6.2.4固体废物入厂检查和检验结果应该记录备案，与固体废物协同处置方案共同入档保存。入厂检查和检验结果记录及固体废物协同处置方案的保存时间不应低于3年。</w:t>
            </w:r>
          </w:p>
        </w:tc>
        <w:tc>
          <w:tcPr>
            <w:tcW w:w="1137" w:type="pct"/>
            <w:tcBorders>
              <w:tl2br w:val="nil"/>
              <w:tr2bl w:val="nil"/>
            </w:tcBorders>
            <w:tcMar>
              <w:left w:w="108" w:type="dxa"/>
              <w:right w:w="108" w:type="dxa"/>
            </w:tcMar>
            <w:vAlign w:val="center"/>
          </w:tcPr>
          <w:p w14:paraId="491EE80A">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本项目按要求制定协同处置方案</w:t>
            </w:r>
          </w:p>
        </w:tc>
        <w:tc>
          <w:tcPr>
            <w:tcW w:w="367" w:type="pct"/>
            <w:gridSpan w:val="3"/>
            <w:tcBorders>
              <w:tl2br w:val="nil"/>
              <w:tr2bl w:val="nil"/>
            </w:tcBorders>
            <w:tcMar>
              <w:left w:w="108" w:type="dxa"/>
              <w:right w:w="108" w:type="dxa"/>
            </w:tcMar>
            <w:vAlign w:val="center"/>
          </w:tcPr>
          <w:p w14:paraId="0E535B7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66D2DFF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5119694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137E113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39D6D1A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6.3固体废物贮存的技术要求</w:t>
            </w:r>
          </w:p>
          <w:p w14:paraId="2A3C284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6.3.1固体废物应与水泥厂常规原料、燃料和产品分开贮存，禁止共用同一贮存设施。</w:t>
            </w:r>
          </w:p>
          <w:p w14:paraId="1065BC7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6.3.2在液态废物贮存区应设置足够数量的砂土等吸附物质，以用于液态废物泄漏后阻止其向外溢出。吸附危险废物后的吸附物质应作为危险废物进行管理和处置。</w:t>
            </w:r>
          </w:p>
          <w:p w14:paraId="7D29C9C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6.3.3危险废物贮存设施的操作运行和管理应满足GB18597和HJ/T176中的相关要求。</w:t>
            </w:r>
          </w:p>
          <w:p w14:paraId="43A32C4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6.3.4不明性质废物在水泥厂内的暂存时间不得超过1周。</w:t>
            </w:r>
          </w:p>
        </w:tc>
        <w:tc>
          <w:tcPr>
            <w:tcW w:w="1137" w:type="pct"/>
            <w:tcBorders>
              <w:tl2br w:val="nil"/>
              <w:tr2bl w:val="nil"/>
            </w:tcBorders>
            <w:tcMar>
              <w:left w:w="108" w:type="dxa"/>
              <w:right w:w="108" w:type="dxa"/>
            </w:tcMar>
            <w:vAlign w:val="center"/>
          </w:tcPr>
          <w:p w14:paraId="12F33275">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本项目固体废物贮存满足技术要求，</w:t>
            </w:r>
            <w:r>
              <w:rPr>
                <w:rFonts w:hint="eastAsia" w:cs="Times New Roman"/>
                <w:color w:val="000000" w:themeColor="text1"/>
                <w:sz w:val="21"/>
                <w:szCs w:val="21"/>
                <w:lang w:val="en-US" w:eastAsia="zh-CN"/>
                <w14:textFill>
                  <w14:solidFill>
                    <w14:schemeClr w14:val="tx1"/>
                  </w14:solidFill>
                </w14:textFill>
              </w:rPr>
              <w:t>项目拟处置的危险废物不在项目</w:t>
            </w:r>
            <w:r>
              <w:rPr>
                <w:rFonts w:hint="default" w:ascii="Times New Roman" w:hAnsi="Times New Roman" w:cs="Times New Roman"/>
                <w:color w:val="000000" w:themeColor="text1"/>
                <w:sz w:val="21"/>
                <w:szCs w:val="21"/>
                <w:lang w:val="en-US" w:eastAsia="zh-CN"/>
                <w14:textFill>
                  <w14:solidFill>
                    <w14:schemeClr w14:val="tx1"/>
                  </w14:solidFill>
                </w14:textFill>
              </w:rPr>
              <w:t>厂区内设置</w:t>
            </w:r>
            <w:r>
              <w:rPr>
                <w:rFonts w:hint="default" w:ascii="Times New Roman" w:hAnsi="Times New Roman" w:cs="Times New Roman"/>
                <w:color w:val="000000" w:themeColor="text1"/>
                <w:sz w:val="21"/>
                <w:szCs w:val="21"/>
                <w14:textFill>
                  <w14:solidFill>
                    <w14:schemeClr w14:val="tx1"/>
                  </w14:solidFill>
                </w14:textFill>
              </w:rPr>
              <w:t>贮存区</w:t>
            </w:r>
          </w:p>
        </w:tc>
        <w:tc>
          <w:tcPr>
            <w:tcW w:w="367" w:type="pct"/>
            <w:gridSpan w:val="3"/>
            <w:tcBorders>
              <w:tl2br w:val="nil"/>
              <w:tr2bl w:val="nil"/>
            </w:tcBorders>
            <w:tcMar>
              <w:left w:w="108" w:type="dxa"/>
              <w:right w:w="108" w:type="dxa"/>
            </w:tcMar>
            <w:vAlign w:val="center"/>
          </w:tcPr>
          <w:p w14:paraId="2D3C09E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57AEAA0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080D80F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48AA09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4FF2E90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6.4固体废物预处理的技术要求</w:t>
            </w:r>
          </w:p>
          <w:p w14:paraId="253C095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6.4.1应根据入厂固体废物的特性和入窑固体废物的要求，按照固体废物协同处置方案，对固体废物进行破碎、筛分、分选、中和、沉淀、干燥、配伍、混合、搅拌、均质等预处理。</w:t>
            </w:r>
          </w:p>
          <w:p w14:paraId="25B8789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6.4.2预处理后的固体废物应该具备以下特性：</w:t>
            </w:r>
          </w:p>
          <w:p w14:paraId="5B0AD40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a）满足本标准第5章要求。</w:t>
            </w:r>
          </w:p>
          <w:p w14:paraId="4EFA915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b）理化性质均匀，保证水泥窑运行工况的连续稳定。</w:t>
            </w:r>
          </w:p>
          <w:p w14:paraId="0F9DB57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c）满足协同处置水泥企业已有设施进行输送、投加的要求。</w:t>
            </w:r>
          </w:p>
          <w:p w14:paraId="65794C1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6.4.3应采取措施，保证预处理操作区域的环境质量满足GBZ2的要求。</w:t>
            </w:r>
          </w:p>
          <w:p w14:paraId="37E55B9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6.4.4应及时更换预处理区域内的过期消防器材和消防材料，以保证消防器材和消防材料的有效性。</w:t>
            </w:r>
          </w:p>
          <w:p w14:paraId="1B27E8E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6.4.5预处理区应设置足够数量的砂土或碎木屑，以用于液态废物泄漏后阻止其向外的溢出。</w:t>
            </w:r>
          </w:p>
          <w:p w14:paraId="00942C8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6.4.6危险废物预处理产生的各种废物均应作为危险废物进行管理和处置。</w:t>
            </w:r>
          </w:p>
        </w:tc>
        <w:tc>
          <w:tcPr>
            <w:tcW w:w="1137" w:type="pct"/>
            <w:tcBorders>
              <w:tl2br w:val="nil"/>
              <w:tr2bl w:val="nil"/>
            </w:tcBorders>
            <w:tcMar>
              <w:left w:w="108" w:type="dxa"/>
              <w:right w:w="108" w:type="dxa"/>
            </w:tcMar>
            <w:vAlign w:val="center"/>
          </w:tcPr>
          <w:p w14:paraId="53D2D154">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根据入厂</w:t>
            </w:r>
            <w:r>
              <w:rPr>
                <w:rFonts w:hint="default" w:ascii="Times New Roman" w:hAnsi="Times New Roman" w:cs="Times New Roman"/>
                <w:color w:val="000000" w:themeColor="text1"/>
                <w:sz w:val="21"/>
                <w:szCs w:val="21"/>
                <w:lang w:val="en-US" w:eastAsia="zh-CN"/>
                <w14:textFill>
                  <w14:solidFill>
                    <w14:schemeClr w14:val="tx1"/>
                  </w14:solidFill>
                </w14:textFill>
              </w:rPr>
              <w:t>危险废物</w:t>
            </w:r>
            <w:r>
              <w:rPr>
                <w:rFonts w:hint="default" w:ascii="Times New Roman" w:hAnsi="Times New Roman" w:cs="Times New Roman"/>
                <w:color w:val="000000" w:themeColor="text1"/>
                <w:sz w:val="21"/>
                <w:szCs w:val="21"/>
                <w14:textFill>
                  <w14:solidFill>
                    <w14:schemeClr w14:val="tx1"/>
                  </w14:solidFill>
                </w14:textFill>
              </w:rPr>
              <w:t>的特性，</w:t>
            </w:r>
            <w:r>
              <w:rPr>
                <w:rFonts w:hint="default" w:ascii="Times New Roman" w:hAnsi="Times New Roman" w:cs="Times New Roman"/>
                <w:color w:val="000000" w:themeColor="text1"/>
                <w:sz w:val="21"/>
                <w:szCs w:val="21"/>
                <w:lang w:val="en-US" w:eastAsia="zh-CN"/>
                <w14:textFill>
                  <w14:solidFill>
                    <w14:schemeClr w14:val="tx1"/>
                  </w14:solidFill>
                </w14:textFill>
              </w:rPr>
              <w:t>拟建项目</w:t>
            </w:r>
            <w:r>
              <w:rPr>
                <w:rFonts w:hint="eastAsia" w:cs="Times New Roman"/>
                <w:color w:val="000000" w:themeColor="text1"/>
                <w:sz w:val="21"/>
                <w:szCs w:val="21"/>
                <w:lang w:val="en-US" w:eastAsia="zh-CN"/>
                <w14:textFill>
                  <w14:solidFill>
                    <w14:schemeClr w14:val="tx1"/>
                  </w14:solidFill>
                </w14:textFill>
              </w:rPr>
              <w:t>固态废物</w:t>
            </w:r>
            <w:r>
              <w:rPr>
                <w:rFonts w:hint="default" w:ascii="Times New Roman" w:hAnsi="Times New Roman" w:cs="Times New Roman"/>
                <w:color w:val="000000" w:themeColor="text1"/>
                <w:sz w:val="21"/>
                <w:szCs w:val="21"/>
                <w:lang w:val="en-US" w:eastAsia="zh-CN"/>
                <w14:textFill>
                  <w14:solidFill>
                    <w14:schemeClr w14:val="tx1"/>
                  </w14:solidFill>
                </w14:textFill>
              </w:rPr>
              <w:t>预处理过程设置在投料系统内，</w:t>
            </w:r>
            <w:r>
              <w:rPr>
                <w:rFonts w:hint="eastAsia" w:cs="Times New Roman"/>
                <w:color w:val="000000" w:themeColor="text1"/>
                <w:sz w:val="21"/>
                <w:szCs w:val="21"/>
                <w:lang w:val="en-US" w:eastAsia="zh-CN"/>
                <w14:textFill>
                  <w14:solidFill>
                    <w14:schemeClr w14:val="tx1"/>
                  </w14:solidFill>
                </w14:textFill>
              </w:rPr>
              <w:t>投料系统全密闭；液态废物无需进行预处理</w:t>
            </w:r>
          </w:p>
        </w:tc>
        <w:tc>
          <w:tcPr>
            <w:tcW w:w="367" w:type="pct"/>
            <w:gridSpan w:val="3"/>
            <w:tcBorders>
              <w:tl2br w:val="nil"/>
              <w:tr2bl w:val="nil"/>
            </w:tcBorders>
            <w:tcMar>
              <w:left w:w="108" w:type="dxa"/>
              <w:right w:w="108" w:type="dxa"/>
            </w:tcMar>
            <w:vAlign w:val="center"/>
          </w:tcPr>
          <w:p w14:paraId="7CA50AE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5C8947E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4F066D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69BB9CE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17E4A46D">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6.5固体废物厂内输送的技术要求</w:t>
            </w:r>
          </w:p>
          <w:p w14:paraId="50D16B0E">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6.5.1在进行固体废物的厂内输送时，应采取必要的措施防止固体废物的扬尘、溢出和泄漏。</w:t>
            </w:r>
          </w:p>
          <w:p w14:paraId="092A0624">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6.5.2固体废物运输车辆应定期进行清洗。</w:t>
            </w:r>
          </w:p>
          <w:p w14:paraId="5A222164">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6.5.3采用车辆在厂内运输危险废物时，应按照运输车辆的专用路线行驶。</w:t>
            </w:r>
          </w:p>
          <w:p w14:paraId="4518FF37">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6.5.4厂内危险废物输送设施管理、维护产生的各种废物均应作为危险废物进行管理和处置。</w:t>
            </w:r>
          </w:p>
        </w:tc>
        <w:tc>
          <w:tcPr>
            <w:tcW w:w="1137" w:type="pct"/>
            <w:tcBorders>
              <w:tl2br w:val="nil"/>
              <w:tr2bl w:val="nil"/>
            </w:tcBorders>
            <w:tcMar>
              <w:left w:w="108" w:type="dxa"/>
              <w:right w:w="108" w:type="dxa"/>
            </w:tcMar>
            <w:vAlign w:val="center"/>
          </w:tcPr>
          <w:p w14:paraId="7254162C">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危险废物采取</w:t>
            </w:r>
            <w:r>
              <w:rPr>
                <w:rFonts w:hint="default" w:ascii="Times New Roman" w:hAnsi="Times New Roman" w:cs="Times New Roman"/>
                <w:color w:val="000000" w:themeColor="text1"/>
                <w:sz w:val="21"/>
                <w:szCs w:val="21"/>
                <w:highlight w:val="none"/>
                <w14:textFill>
                  <w14:solidFill>
                    <w14:schemeClr w14:val="tx1"/>
                  </w14:solidFill>
                </w14:textFill>
              </w:rPr>
              <w:t>厂内输送</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方式，运输全过程采用专用运输车辆及专用路线，并采取</w:t>
            </w:r>
            <w:r>
              <w:rPr>
                <w:rFonts w:hint="default" w:ascii="Times New Roman" w:hAnsi="Times New Roman" w:cs="Times New Roman"/>
                <w:color w:val="000000" w:themeColor="text1"/>
                <w:sz w:val="21"/>
                <w:szCs w:val="21"/>
                <w:highlight w:val="none"/>
                <w14:textFill>
                  <w14:solidFill>
                    <w14:schemeClr w14:val="tx1"/>
                  </w14:solidFill>
                </w14:textFill>
              </w:rPr>
              <w:t>密闭车辆防止固体废物的扬尘、溢出和泄漏，车辆定期清洗</w:t>
            </w:r>
            <w:r>
              <w:rPr>
                <w:rFonts w:hint="default" w:ascii="Times New Roman" w:hAnsi="Times New Roman"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维护费用按危险废物进行管理和处置</w:t>
            </w:r>
          </w:p>
        </w:tc>
        <w:tc>
          <w:tcPr>
            <w:tcW w:w="367" w:type="pct"/>
            <w:gridSpan w:val="3"/>
            <w:tcBorders>
              <w:tl2br w:val="nil"/>
              <w:tr2bl w:val="nil"/>
            </w:tcBorders>
            <w:tcMar>
              <w:left w:w="108" w:type="dxa"/>
              <w:right w:w="108" w:type="dxa"/>
            </w:tcMar>
            <w:vAlign w:val="center"/>
          </w:tcPr>
          <w:p w14:paraId="6C86FE6E">
            <w:pPr>
              <w:pStyle w:val="52"/>
              <w:spacing w:before="0" w:after="0" w:line="240" w:lineRule="auto"/>
              <w:ind w:left="0" w:firstLine="0"/>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符合</w:t>
            </w:r>
          </w:p>
        </w:tc>
      </w:tr>
      <w:tr w14:paraId="3077F52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BE70FC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7E741A9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0ECBA2B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6.6固体废物投加的技术要求</w:t>
            </w:r>
          </w:p>
          <w:p w14:paraId="62407AA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6.6.1根据固体废物的特性和进料装置的要求和投加口的工况特点，选择适当的固体废物投加位置。</w:t>
            </w:r>
          </w:p>
          <w:p w14:paraId="5E76B6A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6.6.2固体废物投加时应保证窑系统工况的稳定。</w:t>
            </w:r>
          </w:p>
          <w:p w14:paraId="4FC77D1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6.6.3在主燃烧器投加的技术要求</w:t>
            </w:r>
          </w:p>
          <w:p w14:paraId="584EF70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a）具有以下特性的固体废物宜在主燃烧器投加：</w:t>
            </w:r>
          </w:p>
          <w:p w14:paraId="32CAF47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1）液态或易于气力输送的粉状废物；</w:t>
            </w:r>
          </w:p>
          <w:p w14:paraId="63402C9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2）含POPs物质或高氯、高毒、难降解有机物质的废物；</w:t>
            </w:r>
          </w:p>
          <w:p w14:paraId="58E547C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3）热值高、含水率低的有机废液。</w:t>
            </w:r>
          </w:p>
          <w:p w14:paraId="47E5842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b）在主燃烧器投加固体废物操作中应满足以下条件：</w:t>
            </w:r>
          </w:p>
          <w:p w14:paraId="766F743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1）通过泵力输送投加的液态废物不应含有沉淀物，以免堵塞燃烧器喷嘴；</w:t>
            </w:r>
          </w:p>
          <w:p w14:paraId="295984E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2）通过气力输送投加的粉状废物，从多通道燃烧器的不同通道喷入窑内，若废物灰分含量高，尽可能喷入更远的距离，尽量达到固相反应带。</w:t>
            </w:r>
          </w:p>
        </w:tc>
        <w:tc>
          <w:tcPr>
            <w:tcW w:w="1137" w:type="pct"/>
            <w:vMerge w:val="restart"/>
            <w:tcBorders>
              <w:tl2br w:val="nil"/>
              <w:tr2bl w:val="nil"/>
            </w:tcBorders>
            <w:tcMar>
              <w:left w:w="108" w:type="dxa"/>
              <w:right w:w="108" w:type="dxa"/>
            </w:tcMar>
            <w:vAlign w:val="center"/>
          </w:tcPr>
          <w:p w14:paraId="7F4083E1">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本项目按技术要求投加固体废物</w:t>
            </w:r>
          </w:p>
        </w:tc>
        <w:tc>
          <w:tcPr>
            <w:tcW w:w="367" w:type="pct"/>
            <w:gridSpan w:val="3"/>
            <w:vMerge w:val="restart"/>
            <w:tcBorders>
              <w:tl2br w:val="nil"/>
              <w:tr2bl w:val="nil"/>
            </w:tcBorders>
            <w:tcMar>
              <w:left w:w="108" w:type="dxa"/>
              <w:right w:w="108" w:type="dxa"/>
            </w:tcMar>
            <w:vAlign w:val="center"/>
          </w:tcPr>
          <w:p w14:paraId="72C003B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3A9DB23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7B2F791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6FF5E51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78A25AA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6.6.4在窑门罩投加的技术要求</w:t>
            </w:r>
          </w:p>
          <w:p w14:paraId="13E13D7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a）窑门罩宜投加不适于在窑头主燃烧器投加的液体废物，如各种低热值液态废物。</w:t>
            </w:r>
          </w:p>
          <w:p w14:paraId="24217BD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b）在窑门罩投加固态废物时应采用特殊设计的投加设施。投加时应确保将固态废物投</w:t>
            </w:r>
          </w:p>
          <w:p w14:paraId="59F9388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至固相反应带，确保废物反应完全。</w:t>
            </w:r>
          </w:p>
          <w:p w14:paraId="66AFED8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c）在窑门罩投加的液态废物应通过泵力输送至窑门罩喷入窑内。</w:t>
            </w:r>
          </w:p>
        </w:tc>
        <w:tc>
          <w:tcPr>
            <w:tcW w:w="1137" w:type="pct"/>
            <w:vMerge w:val="continue"/>
            <w:tcBorders>
              <w:tl2br w:val="nil"/>
              <w:tr2bl w:val="nil"/>
            </w:tcBorders>
            <w:tcMar>
              <w:left w:w="108" w:type="dxa"/>
              <w:right w:w="108" w:type="dxa"/>
            </w:tcMar>
            <w:vAlign w:val="center"/>
          </w:tcPr>
          <w:p w14:paraId="78630C4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367" w:type="pct"/>
            <w:gridSpan w:val="3"/>
            <w:vMerge w:val="continue"/>
            <w:tcBorders>
              <w:tl2br w:val="nil"/>
              <w:tr2bl w:val="nil"/>
            </w:tcBorders>
            <w:tcMar>
              <w:left w:w="108" w:type="dxa"/>
              <w:right w:w="108" w:type="dxa"/>
            </w:tcMar>
            <w:vAlign w:val="center"/>
          </w:tcPr>
          <w:p w14:paraId="5983AED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r>
      <w:tr w14:paraId="4DBCFE2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35AAF68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644E1AA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6725B6D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6.6.5在窑尾投加的技术要求</w:t>
            </w:r>
          </w:p>
          <w:p w14:paraId="3E72FE7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a）含POPs物质和高氯、高毒、难降解有机物质的固体废物优先从窑头投加。若受物</w:t>
            </w:r>
          </w:p>
          <w:p w14:paraId="44CE6A1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理特性限制需要从窑尾投加时，优先选择从窑尾烟室投加点。</w:t>
            </w:r>
          </w:p>
          <w:p w14:paraId="7D7812D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b）含水率高或块状废物应优先选择从窑尾烟室投入。</w:t>
            </w:r>
          </w:p>
          <w:p w14:paraId="2455813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c）在窑尾投加的液态、浆状废物应通过泵力输送，粉状废物应通过密闭的机械传送装置或气力输送，大块状废物应通过机械传送装置输送。</w:t>
            </w:r>
          </w:p>
        </w:tc>
        <w:tc>
          <w:tcPr>
            <w:tcW w:w="1137" w:type="pct"/>
            <w:vMerge w:val="continue"/>
            <w:tcBorders>
              <w:tl2br w:val="nil"/>
              <w:tr2bl w:val="nil"/>
            </w:tcBorders>
            <w:tcMar>
              <w:left w:w="108" w:type="dxa"/>
              <w:right w:w="108" w:type="dxa"/>
            </w:tcMar>
            <w:vAlign w:val="center"/>
          </w:tcPr>
          <w:p w14:paraId="679EFA2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367" w:type="pct"/>
            <w:gridSpan w:val="3"/>
            <w:vMerge w:val="continue"/>
            <w:tcBorders>
              <w:tl2br w:val="nil"/>
              <w:tr2bl w:val="nil"/>
            </w:tcBorders>
            <w:tcMar>
              <w:left w:w="108" w:type="dxa"/>
              <w:right w:w="108" w:type="dxa"/>
            </w:tcMar>
            <w:vAlign w:val="center"/>
          </w:tcPr>
          <w:p w14:paraId="774942E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r>
      <w:tr w14:paraId="7EC36C6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17E8398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5DEC5FE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5BCB365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6.6.6在生料磨只能投加不含有机物和挥发半挥发性重金属的固态废物。</w:t>
            </w:r>
          </w:p>
        </w:tc>
        <w:tc>
          <w:tcPr>
            <w:tcW w:w="1137" w:type="pct"/>
            <w:vMerge w:val="continue"/>
            <w:tcBorders>
              <w:tl2br w:val="nil"/>
              <w:tr2bl w:val="nil"/>
            </w:tcBorders>
            <w:tcMar>
              <w:left w:w="108" w:type="dxa"/>
              <w:right w:w="108" w:type="dxa"/>
            </w:tcMar>
            <w:vAlign w:val="center"/>
          </w:tcPr>
          <w:p w14:paraId="6CD4F95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367" w:type="pct"/>
            <w:gridSpan w:val="3"/>
            <w:vMerge w:val="continue"/>
            <w:tcBorders>
              <w:tl2br w:val="nil"/>
              <w:tr2bl w:val="nil"/>
            </w:tcBorders>
            <w:tcMar>
              <w:left w:w="108" w:type="dxa"/>
              <w:right w:w="108" w:type="dxa"/>
            </w:tcMar>
            <w:vAlign w:val="center"/>
          </w:tcPr>
          <w:p w14:paraId="59AB52F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r>
      <w:tr w14:paraId="39564DA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7C2A541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22D8261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4878469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6.6.8协同处置企业应根据水泥生产工艺特点，控制随物料入窑的氯（Cl）和氟（F）元素的投加量，以保证水泥的正常生产和熟料质量符合国家标准。入窑物料中氟元素含量不应大于0.5％，氯元素含量不应大于0.04％。</w:t>
            </w:r>
          </w:p>
        </w:tc>
        <w:tc>
          <w:tcPr>
            <w:tcW w:w="1137" w:type="pct"/>
            <w:tcBorders>
              <w:tl2br w:val="nil"/>
              <w:tr2bl w:val="nil"/>
            </w:tcBorders>
            <w:tcMar>
              <w:left w:w="108" w:type="dxa"/>
              <w:right w:w="108" w:type="dxa"/>
            </w:tcMar>
            <w:vAlign w:val="center"/>
          </w:tcPr>
          <w:p w14:paraId="3DBB6188">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新增</w:t>
            </w:r>
            <w:r>
              <w:rPr>
                <w:rFonts w:hint="default" w:ascii="Times New Roman" w:hAnsi="Times New Roman" w:cs="Times New Roman"/>
                <w:color w:val="000000" w:themeColor="text1"/>
                <w:sz w:val="21"/>
                <w:szCs w:val="21"/>
                <w:highlight w:val="none"/>
                <w14:textFill>
                  <w14:solidFill>
                    <w14:schemeClr w14:val="tx1"/>
                  </w14:solidFill>
                </w14:textFill>
              </w:rPr>
              <w:t>入窑物料中</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不含</w:t>
            </w:r>
            <w:r>
              <w:rPr>
                <w:rFonts w:hint="default" w:ascii="Times New Roman" w:hAnsi="Times New Roman" w:cs="Times New Roman"/>
                <w:color w:val="000000" w:themeColor="text1"/>
                <w:sz w:val="21"/>
                <w:szCs w:val="21"/>
                <w:highlight w:val="none"/>
                <w14:textFill>
                  <w14:solidFill>
                    <w14:schemeClr w14:val="tx1"/>
                  </w14:solidFill>
                </w14:textFill>
              </w:rPr>
              <w:t>氟元素</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和氯元素</w:t>
            </w:r>
          </w:p>
        </w:tc>
        <w:tc>
          <w:tcPr>
            <w:tcW w:w="367" w:type="pct"/>
            <w:gridSpan w:val="3"/>
            <w:tcBorders>
              <w:tl2br w:val="nil"/>
              <w:tr2bl w:val="nil"/>
            </w:tcBorders>
            <w:tcMar>
              <w:left w:w="108" w:type="dxa"/>
              <w:right w:w="108" w:type="dxa"/>
            </w:tcMar>
            <w:vAlign w:val="center"/>
          </w:tcPr>
          <w:p w14:paraId="11FEC70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4A84F55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53B518C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C4B9D0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6388D7C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6.6.9协同处置企业应控制物料中硫元素的投加量。通过配料系统投加的物料中硫化物硫与有机硫总含量不应大于0.014％；从窑头、窑尾高温区投加的全硫与配料系统投加的硫酸盐硫总投加量不应大于3000mg/kg-cli。</w:t>
            </w:r>
          </w:p>
        </w:tc>
        <w:tc>
          <w:tcPr>
            <w:tcW w:w="1137" w:type="pct"/>
            <w:tcBorders>
              <w:tl2br w:val="nil"/>
              <w:tr2bl w:val="nil"/>
            </w:tcBorders>
            <w:tcMar>
              <w:left w:w="108" w:type="dxa"/>
              <w:right w:w="108" w:type="dxa"/>
            </w:tcMar>
            <w:vAlign w:val="center"/>
          </w:tcPr>
          <w:p w14:paraId="4D511B31">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本项目从窑尾高温区投加的全硫与配料系统投加的硫总投加量为</w:t>
            </w:r>
            <w:r>
              <w:rPr>
                <w:rFonts w:hint="eastAsia" w:cs="Times New Roman"/>
                <w:color w:val="000000" w:themeColor="text1"/>
                <w:sz w:val="21"/>
                <w:szCs w:val="21"/>
                <w:highlight w:val="none"/>
                <w:lang w:val="en-US" w:eastAsia="zh-CN"/>
                <w14:textFill>
                  <w14:solidFill>
                    <w14:schemeClr w14:val="tx1"/>
                  </w14:solidFill>
                </w14:textFill>
              </w:rPr>
              <w:t>726.552</w:t>
            </w:r>
            <w:r>
              <w:rPr>
                <w:rFonts w:hint="default" w:ascii="Times New Roman" w:hAnsi="Times New Roman" w:cs="Times New Roman"/>
                <w:color w:val="000000" w:themeColor="text1"/>
                <w:sz w:val="21"/>
                <w:szCs w:val="21"/>
                <w:highlight w:val="none"/>
                <w14:textFill>
                  <w14:solidFill>
                    <w14:schemeClr w14:val="tx1"/>
                  </w14:solidFill>
                </w14:textFill>
              </w:rPr>
              <w:t>mg/kg-cli</w:t>
            </w:r>
          </w:p>
        </w:tc>
        <w:tc>
          <w:tcPr>
            <w:tcW w:w="367" w:type="pct"/>
            <w:gridSpan w:val="3"/>
            <w:tcBorders>
              <w:tl2br w:val="nil"/>
              <w:tr2bl w:val="nil"/>
            </w:tcBorders>
            <w:tcMar>
              <w:left w:w="108" w:type="dxa"/>
              <w:right w:w="108" w:type="dxa"/>
            </w:tcMar>
            <w:vAlign w:val="center"/>
          </w:tcPr>
          <w:p w14:paraId="735932D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37B5427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50F518DB">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752615A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协同处置污染物排放控制要求</w:t>
            </w:r>
          </w:p>
        </w:tc>
        <w:tc>
          <w:tcPr>
            <w:tcW w:w="2619" w:type="pct"/>
            <w:gridSpan w:val="2"/>
            <w:tcBorders>
              <w:tl2br w:val="nil"/>
              <w:tr2bl w:val="nil"/>
            </w:tcBorders>
            <w:tcMar>
              <w:left w:w="108" w:type="dxa"/>
              <w:right w:w="108" w:type="dxa"/>
            </w:tcMar>
            <w:vAlign w:val="center"/>
          </w:tcPr>
          <w:p w14:paraId="1B75135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7.1窑灰排放和旁路放风控制</w:t>
            </w:r>
          </w:p>
          <w:p w14:paraId="07E2438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7.1.1为避免外循环过程中挥发性元素（Hg、Tl）在窑内的过度累积，协同处置水泥企业在发现排放烟气中Hg或Tl浓度过高时宜将除尘器收集的窑灰中的一部分排出水泥窑循环系统。</w:t>
            </w:r>
          </w:p>
          <w:p w14:paraId="4741C470">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7.1.2为避免内循环过程中挥发性元素和物质（Pb、Cd、As和碱金属氯化物、碱金属硫酸盐等）在窑内的过渡积累，协同处置企业可定期进行旁路放风。</w:t>
            </w:r>
          </w:p>
          <w:p w14:paraId="1E86B10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7.1.3未经处置的从水泥窑循环系统排出的窑灰和旁路放风收集的粉尘不得再返回水泥窑生产熟料。</w:t>
            </w:r>
          </w:p>
          <w:p w14:paraId="16E39A0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7.1.4从水泥窑循环系统排出的窑灰和旁路放风收集的粉尘若采用直接掺加入水泥熟料的处置方式，应严格控制其掺加比例，确保水泥产品中的氯、碱、硫含量满足要求，水泥产品环境安全性满足相关标准的要求。</w:t>
            </w:r>
          </w:p>
          <w:p w14:paraId="6C3EA0E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7.1.5水泥窑旁路放风排气筒大气污染物排放限值按照GB30485的要求执行。</w:t>
            </w:r>
          </w:p>
        </w:tc>
        <w:tc>
          <w:tcPr>
            <w:tcW w:w="1137" w:type="pct"/>
            <w:tcBorders>
              <w:tl2br w:val="nil"/>
              <w:tr2bl w:val="nil"/>
            </w:tcBorders>
            <w:tcMar>
              <w:left w:w="108" w:type="dxa"/>
              <w:right w:w="108" w:type="dxa"/>
            </w:tcMar>
            <w:vAlign w:val="center"/>
          </w:tcPr>
          <w:p w14:paraId="241565DF">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w:t>
            </w:r>
            <w:r>
              <w:rPr>
                <w:rFonts w:hint="default" w:ascii="Times New Roman" w:hAnsi="Times New Roman" w:cs="Times New Roman"/>
                <w:color w:val="000000" w:themeColor="text1"/>
                <w:sz w:val="21"/>
                <w:szCs w:val="21"/>
                <w:lang w:val="en-US" w:eastAsia="zh-CN"/>
                <w14:textFill>
                  <w14:solidFill>
                    <w14:schemeClr w14:val="tx1"/>
                  </w14:solidFill>
                </w14:textFill>
              </w:rPr>
              <w:t>不设置</w:t>
            </w:r>
            <w:r>
              <w:rPr>
                <w:rFonts w:hint="default" w:ascii="Times New Roman" w:hAnsi="Times New Roman" w:cs="Times New Roman"/>
                <w:color w:val="000000" w:themeColor="text1"/>
                <w:sz w:val="21"/>
                <w:szCs w:val="21"/>
                <w14:textFill>
                  <w14:solidFill>
                    <w14:schemeClr w14:val="tx1"/>
                  </w14:solidFill>
                </w14:textFill>
              </w:rPr>
              <w:t>旁路放风系统，从水泥窑循环系统排出的窑灰和旁路放风收集的粉尘不再返回水泥窑生产熟料，直接掺加入水泥熟料的处置方式，并严格控制其掺加比例，确保水泥产品中的氯、碱、硫含量满足要求，水泥产品环境安全性满足相关标准的要求</w:t>
            </w:r>
          </w:p>
        </w:tc>
        <w:tc>
          <w:tcPr>
            <w:tcW w:w="367" w:type="pct"/>
            <w:gridSpan w:val="3"/>
            <w:tcBorders>
              <w:tl2br w:val="nil"/>
              <w:tr2bl w:val="nil"/>
            </w:tcBorders>
            <w:tcMar>
              <w:left w:w="108" w:type="dxa"/>
              <w:right w:w="108" w:type="dxa"/>
            </w:tcMar>
            <w:vAlign w:val="center"/>
          </w:tcPr>
          <w:p w14:paraId="5B3D534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6CF6427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AF6D58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509002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3485CA1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7.2水泥产品环境安全性控制</w:t>
            </w:r>
          </w:p>
          <w:p w14:paraId="1DAD357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w:t>
            </w:r>
            <w:r>
              <w:rPr>
                <w:rFonts w:hint="default" w:ascii="Times New Roman" w:hAnsi="Times New Roman" w:cs="Times New Roman"/>
                <w:color w:val="000000" w:themeColor="text1"/>
                <w:sz w:val="21"/>
                <w:szCs w:val="21"/>
                <w:lang w:val="en-US" w:eastAsia="zh-CN"/>
                <w14:textFill>
                  <w14:solidFill>
                    <w14:schemeClr w14:val="tx1"/>
                  </w14:solidFill>
                </w14:textFill>
              </w:rPr>
              <w:t>1</w:t>
            </w:r>
            <w:r>
              <w:rPr>
                <w:rFonts w:hint="default" w:ascii="Times New Roman" w:hAnsi="Times New Roman" w:cs="Times New Roman"/>
                <w:color w:val="000000" w:themeColor="text1"/>
                <w:sz w:val="21"/>
                <w:szCs w:val="21"/>
                <w14:textFill>
                  <w14:solidFill>
                    <w14:schemeClr w14:val="tx1"/>
                  </w14:solidFill>
                </w14:textFill>
              </w:rPr>
              <w:t>生产的水泥产品质量应满足GB175的要求。</w:t>
            </w:r>
          </w:p>
          <w:p w14:paraId="583D7C6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7.2.2协同处置固体废物的水泥窑生产的水泥产品中污染物的浸出应满足国家相关标准。</w:t>
            </w:r>
          </w:p>
          <w:p w14:paraId="7C512E9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7.2.3协同处置固体废物的水泥窑生产的水泥产品的检测按照国家相关标准中的规定执行。</w:t>
            </w:r>
          </w:p>
        </w:tc>
        <w:tc>
          <w:tcPr>
            <w:tcW w:w="1137" w:type="pct"/>
            <w:tcBorders>
              <w:tl2br w:val="nil"/>
              <w:tr2bl w:val="nil"/>
            </w:tcBorders>
            <w:tcMar>
              <w:left w:w="108" w:type="dxa"/>
              <w:right w:w="108" w:type="dxa"/>
            </w:tcMar>
            <w:vAlign w:val="center"/>
          </w:tcPr>
          <w:p w14:paraId="76CB798C">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本项目严格控制水泥产品质量满足GB175的要求</w:t>
            </w:r>
          </w:p>
        </w:tc>
        <w:tc>
          <w:tcPr>
            <w:tcW w:w="367" w:type="pct"/>
            <w:gridSpan w:val="3"/>
            <w:tcBorders>
              <w:tl2br w:val="nil"/>
              <w:tr2bl w:val="nil"/>
            </w:tcBorders>
            <w:tcMar>
              <w:left w:w="108" w:type="dxa"/>
              <w:right w:w="108" w:type="dxa"/>
            </w:tcMar>
            <w:vAlign w:val="center"/>
          </w:tcPr>
          <w:p w14:paraId="3C81866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6EF75E6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755A8E0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7AA69E4A">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6B4D7D2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7.3烟气排放控制</w:t>
            </w:r>
          </w:p>
          <w:p w14:paraId="0A6A1F7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7.3.1水泥窑协同处置固体废物的排放烟气应满足GB30485的要求。</w:t>
            </w:r>
          </w:p>
          <w:p w14:paraId="5215D7B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7.3.2按照GB30485的要求对协同处置固体废物水泥窑排放烟气进行监测。</w:t>
            </w:r>
          </w:p>
          <w:p w14:paraId="1312D2ED">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7.3.3水泥窑及窑尾余热利用系统排气筒总有机碳（TOC）因协同处置固体废物增加的浓度应满足GB30485的要求。</w:t>
            </w:r>
          </w:p>
          <w:p w14:paraId="0EADAC5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TOC因协同处置固体废物增加的浓度的测定步骤如下：（1）测定水泥窑未协同处置固体废物时的TOC背景排放浓度；（2）测定水泥窑协同处置固体废物时的TOC排放浓度；（3）水泥窑协同处置固体废物时的TOC排放浓度与未协同处置固体废物时的TOC背景排放浓度之差即为TOC因协同处置固体废物增加的浓度。其中，当水泥生产原料来源未改变时，未协同处置固体废物时的TOC背景排放浓度可采用前次测定的数值。</w:t>
            </w:r>
          </w:p>
        </w:tc>
        <w:tc>
          <w:tcPr>
            <w:tcW w:w="1137" w:type="pct"/>
            <w:tcBorders>
              <w:tl2br w:val="nil"/>
              <w:tr2bl w:val="nil"/>
            </w:tcBorders>
            <w:tcMar>
              <w:left w:w="108" w:type="dxa"/>
              <w:right w:w="108" w:type="dxa"/>
            </w:tcMar>
            <w:vAlign w:val="center"/>
          </w:tcPr>
          <w:p w14:paraId="07F0BC2C">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本项目窑尾排放烟气满足GB30485的要求，评价提出了监测计划，窑尾排气筒总有机碳（TOC）因协同处置固体废物增加的浓度满足GB30485的要求</w:t>
            </w:r>
          </w:p>
        </w:tc>
        <w:tc>
          <w:tcPr>
            <w:tcW w:w="367" w:type="pct"/>
            <w:gridSpan w:val="3"/>
            <w:tcBorders>
              <w:tl2br w:val="nil"/>
              <w:tr2bl w:val="nil"/>
            </w:tcBorders>
            <w:tcMar>
              <w:left w:w="108" w:type="dxa"/>
              <w:right w:w="108" w:type="dxa"/>
            </w:tcMar>
            <w:vAlign w:val="center"/>
          </w:tcPr>
          <w:p w14:paraId="69FDEC0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2DE7496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33AFB6F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251464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1F80FCE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7.4废水排放控制</w:t>
            </w:r>
          </w:p>
          <w:p w14:paraId="0FDD68F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7.4.1固体废物贮存和预处理设施以及固体废物运输车辆清洗产生的废水应经收集后按照GB30485的要求进行处理。</w:t>
            </w:r>
          </w:p>
          <w:p w14:paraId="1C09F37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7.4.2危险废物预处理设施和危险废物运输车辆清洗产生的废水处理污泥应作为危险废物进行管理和处置。</w:t>
            </w:r>
          </w:p>
        </w:tc>
        <w:tc>
          <w:tcPr>
            <w:tcW w:w="1137" w:type="pct"/>
            <w:tcBorders>
              <w:tl2br w:val="nil"/>
              <w:tr2bl w:val="nil"/>
            </w:tcBorders>
            <w:tcMar>
              <w:left w:w="108" w:type="dxa"/>
              <w:right w:w="108" w:type="dxa"/>
            </w:tcMar>
            <w:vAlign w:val="center"/>
          </w:tcPr>
          <w:p w14:paraId="14433350">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lang w:val="en-US"/>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w:t>
            </w:r>
            <w:r>
              <w:rPr>
                <w:rFonts w:hint="eastAsia" w:cs="Times New Roman"/>
                <w:color w:val="000000" w:themeColor="text1"/>
                <w:sz w:val="21"/>
                <w:szCs w:val="21"/>
                <w:lang w:val="en-US" w:eastAsia="zh-CN"/>
                <w14:textFill>
                  <w14:solidFill>
                    <w14:schemeClr w14:val="tx1"/>
                  </w14:solidFill>
                </w14:textFill>
              </w:rPr>
              <w:t>不产生</w:t>
            </w:r>
            <w:r>
              <w:rPr>
                <w:rFonts w:hint="default" w:ascii="Times New Roman" w:hAnsi="Times New Roman" w:cs="Times New Roman"/>
                <w:color w:val="000000" w:themeColor="text1"/>
                <w:sz w:val="21"/>
                <w:szCs w:val="21"/>
                <w:lang w:val="en-US" w:eastAsia="zh-CN"/>
                <w14:textFill>
                  <w14:solidFill>
                    <w14:schemeClr w14:val="tx1"/>
                  </w14:solidFill>
                </w14:textFill>
              </w:rPr>
              <w:t>生产废水</w:t>
            </w:r>
            <w:r>
              <w:rPr>
                <w:rFonts w:hint="eastAsia" w:cs="Times New Roman"/>
                <w:color w:val="000000" w:themeColor="text1"/>
                <w:sz w:val="21"/>
                <w:szCs w:val="21"/>
                <w:lang w:val="en-US" w:eastAsia="zh-CN"/>
                <w14:textFill>
                  <w14:solidFill>
                    <w14:schemeClr w14:val="tx1"/>
                  </w14:solidFill>
                </w14:textFill>
              </w:rPr>
              <w:t>，化验室废物委托有资质单位处置</w:t>
            </w:r>
          </w:p>
        </w:tc>
        <w:tc>
          <w:tcPr>
            <w:tcW w:w="367" w:type="pct"/>
            <w:gridSpan w:val="3"/>
            <w:tcBorders>
              <w:tl2br w:val="nil"/>
              <w:tr2bl w:val="nil"/>
            </w:tcBorders>
            <w:tcMar>
              <w:left w:w="108" w:type="dxa"/>
              <w:right w:w="108" w:type="dxa"/>
            </w:tcMar>
            <w:vAlign w:val="center"/>
          </w:tcPr>
          <w:p w14:paraId="281C913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786CB5E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7E16543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52CC2FA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6A376AD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7.5其他污染物排放控制</w:t>
            </w:r>
          </w:p>
          <w:p w14:paraId="18BBB4F7">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7.5.1固体废物贮存、预处理等设施产生的废气应导入水泥窑高温区焚烧；或经过处理达到GB14554规定的限值后排放。</w:t>
            </w:r>
          </w:p>
          <w:p w14:paraId="4A5E1999">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7.5.2协同处置固体废物的水泥生产企业厂界恶臭污染物限值应按照GB14554执行。</w:t>
            </w:r>
          </w:p>
        </w:tc>
        <w:tc>
          <w:tcPr>
            <w:tcW w:w="1137" w:type="pct"/>
            <w:tcBorders>
              <w:tl2br w:val="nil"/>
              <w:tr2bl w:val="nil"/>
            </w:tcBorders>
            <w:tcMar>
              <w:left w:w="108" w:type="dxa"/>
              <w:right w:w="108" w:type="dxa"/>
            </w:tcMar>
            <w:vAlign w:val="center"/>
          </w:tcPr>
          <w:p w14:paraId="37488C6C">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不设置</w:t>
            </w:r>
            <w:r>
              <w:rPr>
                <w:rFonts w:hint="default" w:ascii="Times New Roman" w:hAnsi="Times New Roman" w:cs="Times New Roman"/>
                <w:color w:val="000000" w:themeColor="text1"/>
                <w:sz w:val="21"/>
                <w:szCs w:val="21"/>
                <w:highlight w:val="none"/>
                <w14:textFill>
                  <w14:solidFill>
                    <w14:schemeClr w14:val="tx1"/>
                  </w14:solidFill>
                </w14:textFill>
              </w:rPr>
              <w:t>危废贮存库</w:t>
            </w:r>
            <w:r>
              <w:rPr>
                <w:rFonts w:hint="eastAsia" w:cs="Times New Roman"/>
                <w:color w:val="000000" w:themeColor="text1"/>
                <w:sz w:val="21"/>
                <w:szCs w:val="21"/>
                <w:highlight w:val="none"/>
                <w:lang w:eastAsia="zh-CN"/>
                <w14:textFill>
                  <w14:solidFill>
                    <w14:schemeClr w14:val="tx1"/>
                  </w14:solidFill>
                </w14:textFill>
              </w:rPr>
              <w:t>，</w:t>
            </w:r>
            <w:r>
              <w:rPr>
                <w:rFonts w:hint="default" w:ascii="Times New Roman" w:hAnsi="Times New Roman" w:cs="Times New Roman"/>
                <w:color w:val="000000" w:themeColor="text1"/>
                <w:sz w:val="21"/>
                <w:szCs w:val="21"/>
                <w:highlight w:val="none"/>
                <w14:textFill>
                  <w14:solidFill>
                    <w14:schemeClr w14:val="tx1"/>
                  </w14:solidFill>
                </w14:textFill>
              </w:rPr>
              <w:t>根据入厂危险废物的特性，拟建项目固态废物预处理过程设置在投料系统内，投料系统全密闭；液态废物无需进行预处理</w:t>
            </w:r>
          </w:p>
        </w:tc>
        <w:tc>
          <w:tcPr>
            <w:tcW w:w="367" w:type="pct"/>
            <w:gridSpan w:val="3"/>
            <w:tcBorders>
              <w:tl2br w:val="nil"/>
              <w:tr2bl w:val="nil"/>
            </w:tcBorders>
            <w:tcMar>
              <w:left w:w="108" w:type="dxa"/>
              <w:right w:w="108" w:type="dxa"/>
            </w:tcMar>
            <w:vAlign w:val="center"/>
          </w:tcPr>
          <w:p w14:paraId="1EEDC07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24E8196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2350320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tcBorders>
              <w:tl2br w:val="nil"/>
              <w:tr2bl w:val="nil"/>
            </w:tcBorders>
            <w:tcMar>
              <w:left w:w="108" w:type="dxa"/>
              <w:right w:w="108" w:type="dxa"/>
            </w:tcMar>
            <w:vAlign w:val="center"/>
          </w:tcPr>
          <w:p w14:paraId="1A03E261">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协同处置危险废物设施性能测试（试烧）要求</w:t>
            </w:r>
          </w:p>
        </w:tc>
        <w:tc>
          <w:tcPr>
            <w:tcW w:w="2619" w:type="pct"/>
            <w:gridSpan w:val="2"/>
            <w:tcBorders>
              <w:tl2br w:val="nil"/>
              <w:tr2bl w:val="nil"/>
            </w:tcBorders>
            <w:tcMar>
              <w:left w:w="108" w:type="dxa"/>
              <w:right w:w="108" w:type="dxa"/>
            </w:tcMar>
            <w:vAlign w:val="center"/>
          </w:tcPr>
          <w:p w14:paraId="564E63F7">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8.1.1协同处置企业在首次开展危险废物协同处置之前，应对协同处置设施进行性能测试以检验和评价水泥窑在协同处置危险废物的过程中对有机化合物的焚毁去除能力以及对污染物排放的控制效果。性能测试包括未投加废物的空白测试和投加危险废物的试烧测试。</w:t>
            </w:r>
          </w:p>
          <w:p w14:paraId="3D20C296">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8.1.2空白测试工况为未投加危险废物进行正常水泥生产时的工况，并采用窑磨一体机模式。</w:t>
            </w:r>
          </w:p>
          <w:p w14:paraId="5F2DCB37">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8.1.3进行试烧测试时，应选择危险废物协同处置时的设计工况作为测试工况，采用窑磨一体机模式，按照危险废物设计的最大投加速率稳定投加危险废物，持续时间不小于12小时。</w:t>
            </w:r>
          </w:p>
        </w:tc>
        <w:tc>
          <w:tcPr>
            <w:tcW w:w="1137" w:type="pct"/>
            <w:tcBorders>
              <w:tl2br w:val="nil"/>
              <w:tr2bl w:val="nil"/>
            </w:tcBorders>
            <w:tcMar>
              <w:left w:w="108" w:type="dxa"/>
              <w:right w:w="108" w:type="dxa"/>
            </w:tcMar>
            <w:vAlign w:val="center"/>
          </w:tcPr>
          <w:p w14:paraId="25B1CDB2">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本项目实施后按要求开展协同处置危险废物设施性能测试</w:t>
            </w:r>
          </w:p>
        </w:tc>
        <w:tc>
          <w:tcPr>
            <w:tcW w:w="367" w:type="pct"/>
            <w:gridSpan w:val="3"/>
            <w:tcBorders>
              <w:tl2br w:val="nil"/>
              <w:tr2bl w:val="nil"/>
            </w:tcBorders>
            <w:tcMar>
              <w:left w:w="108" w:type="dxa"/>
              <w:right w:w="108" w:type="dxa"/>
            </w:tcMar>
            <w:vAlign w:val="center"/>
          </w:tcPr>
          <w:p w14:paraId="7755492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31D38B0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0E794CFF">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p>
        </w:tc>
        <w:tc>
          <w:tcPr>
            <w:tcW w:w="473" w:type="pct"/>
            <w:tcBorders>
              <w:tl2br w:val="nil"/>
              <w:tr2bl w:val="nil"/>
            </w:tcBorders>
            <w:tcMar>
              <w:left w:w="108" w:type="dxa"/>
              <w:right w:w="108" w:type="dxa"/>
            </w:tcMar>
            <w:vAlign w:val="center"/>
          </w:tcPr>
          <w:p w14:paraId="148713FE">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特殊废物协同处置技术要求</w:t>
            </w:r>
          </w:p>
        </w:tc>
        <w:tc>
          <w:tcPr>
            <w:tcW w:w="2619" w:type="pct"/>
            <w:gridSpan w:val="2"/>
            <w:tcBorders>
              <w:tl2br w:val="nil"/>
              <w:tr2bl w:val="nil"/>
            </w:tcBorders>
            <w:tcMar>
              <w:left w:w="108" w:type="dxa"/>
              <w:right w:w="108" w:type="dxa"/>
            </w:tcMar>
            <w:vAlign w:val="center"/>
          </w:tcPr>
          <w:p w14:paraId="50237A82">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9.2应急事件废物</w:t>
            </w:r>
          </w:p>
          <w:p w14:paraId="32B697F8">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9.2.1协同处置应急事件废物应经当地省级环境保护主管部门的批准并接受其技术指导。</w:t>
            </w:r>
          </w:p>
          <w:p w14:paraId="090BB3A3">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9.2.2在对应急事件废物进行协同处置之前，应该根据废物产生源特性对废物进行必要的检测，确定废物特性后按照本标准要求确定协同处置方案。</w:t>
            </w:r>
          </w:p>
          <w:p w14:paraId="46EF6935">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9.2.3如果应急事件废物难以确定特性，应将该废物作为不明性质废物，按照第9.3节规定处理。</w:t>
            </w:r>
          </w:p>
          <w:p w14:paraId="2AF3B61C">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9.2.4应优先选择具有危险废物经营许可证的水泥窑设施对应急事件废物进行协同处置。如果受条件限制，经当地省级环境保护主管部门批准，可选择不具有危险废物经营许可证的水泥窑设施，该设施及相应的协同处置过程应满足本标准危险废物协同处置的相关要求，但第4.1.1条b款、10.1条除外。</w:t>
            </w:r>
          </w:p>
          <w:p w14:paraId="054A5CA6">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9.2.5如果预计协同处置时间不超过3个月，可以不经性能测试直接进行协同处置。如果预计协同处置时间超过3个月，则应按照协同处置方案确定的工况参数进行性能测试。性能测试时的试烧废物可采用拟协同处置的应急事件废物，有机标识物及其投加不受第 8.1.4、8.1.5、8.1.7条的限制。标识物可采用废物本身含有物质，按照设计的废物投加速率和废物本身含量投加。其他性能测试要求按照本标准第8章的相关规定执行。</w:t>
            </w:r>
          </w:p>
          <w:p w14:paraId="6D3F06D4">
            <w:pPr>
              <w:pStyle w:val="52"/>
              <w:spacing w:before="0" w:after="0" w:line="240" w:lineRule="auto"/>
              <w:ind w:left="0" w:firstLine="0"/>
              <w:jc w:val="both"/>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9.2.6如果应急事件废物的协同处置时间超过1年，则不适用第9.2.4和9.2.5条的特殊规定，按常规危险废物协同处置的相关要求进行管理。</w:t>
            </w:r>
          </w:p>
        </w:tc>
        <w:tc>
          <w:tcPr>
            <w:tcW w:w="1137" w:type="pct"/>
            <w:tcBorders>
              <w:tl2br w:val="nil"/>
              <w:tr2bl w:val="nil"/>
            </w:tcBorders>
            <w:tcMar>
              <w:left w:w="108" w:type="dxa"/>
              <w:right w:w="108" w:type="dxa"/>
            </w:tcMar>
            <w:vAlign w:val="center"/>
          </w:tcPr>
          <w:p w14:paraId="2FF7020A">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本项目按要求处置应急事件废物</w:t>
            </w:r>
          </w:p>
        </w:tc>
        <w:tc>
          <w:tcPr>
            <w:tcW w:w="367" w:type="pct"/>
            <w:gridSpan w:val="3"/>
            <w:tcBorders>
              <w:tl2br w:val="nil"/>
              <w:tr2bl w:val="nil"/>
            </w:tcBorders>
            <w:tcMar>
              <w:left w:w="108" w:type="dxa"/>
              <w:right w:w="108" w:type="dxa"/>
            </w:tcMar>
            <w:vAlign w:val="center"/>
          </w:tcPr>
          <w:p w14:paraId="0124F18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符合</w:t>
            </w:r>
          </w:p>
        </w:tc>
      </w:tr>
      <w:tr w14:paraId="6866DD1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restart"/>
            <w:tcBorders>
              <w:tl2br w:val="nil"/>
              <w:tr2bl w:val="nil"/>
            </w:tcBorders>
            <w:tcMar>
              <w:left w:w="108" w:type="dxa"/>
              <w:right w:w="108" w:type="dxa"/>
            </w:tcMar>
            <w:vAlign w:val="center"/>
          </w:tcPr>
          <w:p w14:paraId="7319A16C">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《关于进一步加强危险废物环境治理 严密防控环境风险的指导意见》(环固体〔2025〕10号)</w:t>
            </w:r>
          </w:p>
        </w:tc>
        <w:tc>
          <w:tcPr>
            <w:tcW w:w="473" w:type="pct"/>
            <w:tcBorders>
              <w:tl2br w:val="nil"/>
              <w:tr2bl w:val="nil"/>
            </w:tcBorders>
            <w:tcMar>
              <w:left w:w="108" w:type="dxa"/>
              <w:right w:w="108" w:type="dxa"/>
            </w:tcMar>
            <w:vAlign w:val="center"/>
          </w:tcPr>
          <w:p w14:paraId="1B030C09">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提升危险废物收集处置保障能力</w:t>
            </w:r>
          </w:p>
        </w:tc>
        <w:tc>
          <w:tcPr>
            <w:tcW w:w="2619" w:type="pct"/>
            <w:gridSpan w:val="2"/>
            <w:tcBorders>
              <w:tl2br w:val="nil"/>
              <w:tr2bl w:val="nil"/>
            </w:tcBorders>
            <w:tcMar>
              <w:left w:w="108" w:type="dxa"/>
              <w:right w:w="108" w:type="dxa"/>
            </w:tcMar>
            <w:vAlign w:val="center"/>
          </w:tcPr>
          <w:p w14:paraId="3A6A7CA0">
            <w:pPr>
              <w:pStyle w:val="52"/>
              <w:spacing w:before="0" w:after="0" w:line="240" w:lineRule="auto"/>
              <w:ind w:left="0" w:firstLine="0"/>
              <w:jc w:val="both"/>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进一步提升危险废物规范收集转运效率</w:t>
            </w:r>
            <w:r>
              <w:rPr>
                <w:rFonts w:hint="eastAsia" w:cs="Times New Roman"/>
                <w:color w:val="000000" w:themeColor="text1"/>
                <w:sz w:val="21"/>
                <w:szCs w:val="21"/>
                <w:highlight w:val="none"/>
                <w:lang w:eastAsia="zh-CN"/>
                <w14:textFill>
                  <w14:solidFill>
                    <w14:schemeClr w14:val="tx1"/>
                  </w14:solidFill>
                </w14:textFill>
              </w:rPr>
              <w:t>。推动转移快捷化。危险废物转移遵循就近原则，不鼓励大规模、长距离转运处置危险废物。深化废铅蓄电池跨省转移按照省内转移管理试点，适时研究扩大纳入试点的危险废物种类。鼓励开展区域合作的省份间简化危险废物跨省转移审批程序，提高危险废物转移效率。</w:t>
            </w:r>
          </w:p>
        </w:tc>
        <w:tc>
          <w:tcPr>
            <w:tcW w:w="1137" w:type="pct"/>
            <w:tcBorders>
              <w:tl2br w:val="nil"/>
              <w:tr2bl w:val="nil"/>
            </w:tcBorders>
            <w:tcMar>
              <w:left w:w="108" w:type="dxa"/>
              <w:right w:w="108" w:type="dxa"/>
            </w:tcMar>
            <w:vAlign w:val="center"/>
          </w:tcPr>
          <w:p w14:paraId="7AA59A81">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本项目利用企业现有水泥窑协同处置</w:t>
            </w:r>
            <w:r>
              <w:rPr>
                <w:rFonts w:hint="default" w:ascii="Times New Roman" w:hAnsi="Times New Roman" w:cs="Times New Roman"/>
                <w:color w:val="000000" w:themeColor="text1"/>
                <w:sz w:val="21"/>
                <w:szCs w:val="21"/>
                <w:highlight w:val="none"/>
                <w14:textFill>
                  <w14:solidFill>
                    <w14:schemeClr w14:val="tx1"/>
                  </w14:solidFill>
                </w14:textFill>
              </w:rPr>
              <w:t>新疆兴发化工有限公司产生的精蒸馏残渣，</w:t>
            </w:r>
            <w:r>
              <w:rPr>
                <w:rFonts w:hint="eastAsia" w:cs="Times New Roman"/>
                <w:color w:val="000000" w:themeColor="text1"/>
                <w:sz w:val="21"/>
                <w:szCs w:val="21"/>
                <w:highlight w:val="none"/>
                <w:lang w:val="en-US" w:eastAsia="zh-CN"/>
                <w14:textFill>
                  <w14:solidFill>
                    <w14:schemeClr w14:val="tx1"/>
                  </w14:solidFill>
                </w14:textFill>
              </w:rPr>
              <w:t>本项目建成后可有效提高相邻企业兴发化工对其危险废物的转移效率，缩短危险废物转运距离，</w:t>
            </w:r>
            <w:r>
              <w:rPr>
                <w:rFonts w:hint="default" w:ascii="Times New Roman" w:hAnsi="Times New Roman" w:cs="Times New Roman"/>
                <w:color w:val="000000" w:themeColor="text1"/>
                <w:sz w:val="21"/>
                <w:szCs w:val="21"/>
                <w:highlight w:val="none"/>
                <w14:textFill>
                  <w14:solidFill>
                    <w14:schemeClr w14:val="tx1"/>
                  </w14:solidFill>
                </w14:textFill>
              </w:rPr>
              <w:t>降低企业处置成本及运输过程环境风险</w:t>
            </w:r>
          </w:p>
        </w:tc>
        <w:tc>
          <w:tcPr>
            <w:tcW w:w="367" w:type="pct"/>
            <w:gridSpan w:val="3"/>
            <w:tcBorders>
              <w:tl2br w:val="nil"/>
              <w:tr2bl w:val="nil"/>
            </w:tcBorders>
            <w:tcMar>
              <w:left w:w="108" w:type="dxa"/>
              <w:right w:w="108" w:type="dxa"/>
            </w:tcMar>
            <w:vAlign w:val="center"/>
          </w:tcPr>
          <w:p w14:paraId="0CBCEC3F">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r w14:paraId="0CB6DB6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02A6B872">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7D345D12">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优化危险废物利用处置方式</w:t>
            </w:r>
          </w:p>
        </w:tc>
        <w:tc>
          <w:tcPr>
            <w:tcW w:w="2619" w:type="pct"/>
            <w:gridSpan w:val="2"/>
            <w:tcBorders>
              <w:tl2br w:val="nil"/>
              <w:tr2bl w:val="nil"/>
            </w:tcBorders>
            <w:tcMar>
              <w:left w:w="108" w:type="dxa"/>
              <w:right w:w="108" w:type="dxa"/>
            </w:tcMar>
            <w:vAlign w:val="center"/>
          </w:tcPr>
          <w:p w14:paraId="6C1141C2">
            <w:pPr>
              <w:pStyle w:val="52"/>
              <w:spacing w:before="0" w:after="0" w:line="240" w:lineRule="auto"/>
              <w:ind w:left="0" w:firstLine="0"/>
              <w:jc w:val="both"/>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优化危险废物利用处置结构</w:t>
            </w:r>
            <w:r>
              <w:rPr>
                <w:rFonts w:hint="eastAsia" w:cs="Times New Roman"/>
                <w:color w:val="000000" w:themeColor="text1"/>
                <w:sz w:val="21"/>
                <w:szCs w:val="21"/>
                <w:highlight w:val="none"/>
                <w:lang w:eastAsia="zh-CN"/>
                <w14:textFill>
                  <w14:solidFill>
                    <w14:schemeClr w14:val="tx1"/>
                  </w14:solidFill>
                </w14:textFill>
              </w:rPr>
              <w:t>。促进再生利用。推广危险废物利用先进技术，推动健全危险废物循环利用体系。深化“无废集团”“无废园区”建设试点，引导有条件的大型企业集团和工业园区内部共享危险废物利用处置设施，推动危险废物“点对点”定向利用，简化手续，减轻负担。</w:t>
            </w:r>
          </w:p>
        </w:tc>
        <w:tc>
          <w:tcPr>
            <w:tcW w:w="1137" w:type="pct"/>
            <w:tcBorders>
              <w:tl2br w:val="nil"/>
              <w:tr2bl w:val="nil"/>
            </w:tcBorders>
            <w:tcMar>
              <w:left w:w="108" w:type="dxa"/>
              <w:right w:w="108" w:type="dxa"/>
            </w:tcMar>
            <w:vAlign w:val="center"/>
          </w:tcPr>
          <w:p w14:paraId="69DFD505">
            <w:pPr>
              <w:pStyle w:val="52"/>
              <w:spacing w:before="0" w:after="0" w:line="240" w:lineRule="auto"/>
              <w:ind w:left="0" w:firstLine="0"/>
              <w:jc w:val="both"/>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新疆兴悦化工有限公司东侧与新疆兴发化工有限公司相邻，且两公司控股股东均为宜昌兴发集团有限责任公司，精蒸馏残渣具有较高的热值，具备替代燃料（煤炭）的功能，由兴发公司产生的精蒸馏残渣交兴悦公司处置满足危险废物循环利用要求，属于危险废物“点对点”定向利用范围</w:t>
            </w:r>
          </w:p>
        </w:tc>
        <w:tc>
          <w:tcPr>
            <w:tcW w:w="367" w:type="pct"/>
            <w:gridSpan w:val="3"/>
            <w:tcBorders>
              <w:tl2br w:val="nil"/>
              <w:tr2bl w:val="nil"/>
            </w:tcBorders>
            <w:tcMar>
              <w:left w:w="108" w:type="dxa"/>
              <w:right w:w="108" w:type="dxa"/>
            </w:tcMar>
            <w:vAlign w:val="center"/>
          </w:tcPr>
          <w:p w14:paraId="0FCC1A29">
            <w:pPr>
              <w:pStyle w:val="52"/>
              <w:spacing w:before="0" w:after="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r w14:paraId="6E041EB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18C60F7">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60A8FD1D">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0702FE6B">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完善处置结构。新建危险废物单套集中焚烧处置设施处置能力原则上应大于3万吨/年。引导水泥窑协同处置危险废物设施更好发挥作为危险废物利用处置能力有益补充的作用，重点处理贮存和填埋量大、类别单一的危险废物。</w:t>
            </w:r>
          </w:p>
        </w:tc>
        <w:tc>
          <w:tcPr>
            <w:tcW w:w="1137" w:type="pct"/>
            <w:tcBorders>
              <w:tl2br w:val="nil"/>
              <w:tr2bl w:val="nil"/>
            </w:tcBorders>
            <w:tcMar>
              <w:left w:w="108" w:type="dxa"/>
              <w:right w:w="108" w:type="dxa"/>
            </w:tcMar>
            <w:vAlign w:val="center"/>
          </w:tcPr>
          <w:p w14:paraId="05EAF2DB">
            <w:pPr>
              <w:pStyle w:val="52"/>
              <w:spacing w:before="0" w:after="0" w:line="240" w:lineRule="auto"/>
              <w:ind w:left="0" w:firstLine="0"/>
              <w:jc w:val="both"/>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本项目通过利用企业现有水泥窑，仅协同处置新疆兴发化工有限公司产生的HW11精（蒸）馏残渣（900-013-11），不处置其他类别危险废物</w:t>
            </w:r>
          </w:p>
        </w:tc>
        <w:tc>
          <w:tcPr>
            <w:tcW w:w="367" w:type="pct"/>
            <w:gridSpan w:val="3"/>
            <w:tcBorders>
              <w:tl2br w:val="nil"/>
              <w:tr2bl w:val="nil"/>
            </w:tcBorders>
            <w:tcMar>
              <w:left w:w="108" w:type="dxa"/>
              <w:right w:w="108" w:type="dxa"/>
            </w:tcMar>
            <w:vAlign w:val="center"/>
          </w:tcPr>
          <w:p w14:paraId="61369EBC">
            <w:pPr>
              <w:pStyle w:val="52"/>
              <w:spacing w:before="0" w:after="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r w14:paraId="4A4FCA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49DBEE3">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0BCB1330">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2E615694">
            <w:pPr>
              <w:pStyle w:val="52"/>
              <w:spacing w:before="0" w:after="0" w:line="240" w:lineRule="auto"/>
              <w:ind w:left="0" w:firstLine="0"/>
              <w:jc w:val="both"/>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提升危险废物利用处置水平</w:t>
            </w:r>
            <w:r>
              <w:rPr>
                <w:rFonts w:hint="eastAsia" w:cs="Times New Roman"/>
                <w:color w:val="000000" w:themeColor="text1"/>
                <w:sz w:val="21"/>
                <w:szCs w:val="21"/>
                <w:highlight w:val="none"/>
                <w:lang w:eastAsia="zh-CN"/>
                <w14:textFill>
                  <w14:solidFill>
                    <w14:schemeClr w14:val="tx1"/>
                  </w14:solidFill>
                </w14:textFill>
              </w:rPr>
              <w:t>。提升设施建设和运行水平。推进危险废物利用处置设施提标改造，提升现有设施运行管理水平。鼓励开展危险废物利用处置集团化建设和专业化运营。</w:t>
            </w:r>
          </w:p>
        </w:tc>
        <w:tc>
          <w:tcPr>
            <w:tcW w:w="1137" w:type="pct"/>
            <w:tcBorders>
              <w:tl2br w:val="nil"/>
              <w:tr2bl w:val="nil"/>
            </w:tcBorders>
            <w:tcMar>
              <w:left w:w="108" w:type="dxa"/>
              <w:right w:w="108" w:type="dxa"/>
            </w:tcMar>
            <w:vAlign w:val="center"/>
          </w:tcPr>
          <w:p w14:paraId="74E4C5ED">
            <w:pPr>
              <w:pStyle w:val="52"/>
              <w:spacing w:before="0" w:after="0" w:line="240" w:lineRule="auto"/>
              <w:ind w:left="0" w:firstLine="0"/>
              <w:jc w:val="both"/>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新疆兴悦化工有限公司东侧与新疆兴发化工有限公司相邻，且两公司控股股东均为宜昌兴发集团有限责任公司，本项目建成后运行方式符合危险废物利用处置集团化建设的鼓励内容</w:t>
            </w:r>
          </w:p>
        </w:tc>
        <w:tc>
          <w:tcPr>
            <w:tcW w:w="367" w:type="pct"/>
            <w:gridSpan w:val="3"/>
            <w:tcBorders>
              <w:tl2br w:val="nil"/>
              <w:tr2bl w:val="nil"/>
            </w:tcBorders>
            <w:tcMar>
              <w:left w:w="108" w:type="dxa"/>
              <w:right w:w="108" w:type="dxa"/>
            </w:tcMar>
            <w:vAlign w:val="center"/>
          </w:tcPr>
          <w:p w14:paraId="69D99948">
            <w:pPr>
              <w:pStyle w:val="52"/>
              <w:spacing w:before="0" w:after="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r w14:paraId="581085E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3E2CF887">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473" w:type="pct"/>
            <w:vMerge w:val="restart"/>
            <w:tcBorders>
              <w:tl2br w:val="nil"/>
              <w:tr2bl w:val="nil"/>
            </w:tcBorders>
            <w:tcMar>
              <w:left w:w="108" w:type="dxa"/>
              <w:right w:w="108" w:type="dxa"/>
            </w:tcMar>
            <w:vAlign w:val="center"/>
          </w:tcPr>
          <w:p w14:paraId="104156C5">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健全危险废物环境管理体系</w:t>
            </w:r>
          </w:p>
        </w:tc>
        <w:tc>
          <w:tcPr>
            <w:tcW w:w="2619" w:type="pct"/>
            <w:gridSpan w:val="2"/>
            <w:tcBorders>
              <w:tl2br w:val="nil"/>
              <w:tr2bl w:val="nil"/>
            </w:tcBorders>
            <w:tcMar>
              <w:left w:w="108" w:type="dxa"/>
              <w:right w:w="108" w:type="dxa"/>
            </w:tcMar>
            <w:vAlign w:val="center"/>
          </w:tcPr>
          <w:p w14:paraId="793DD92F">
            <w:pPr>
              <w:pStyle w:val="52"/>
              <w:spacing w:before="0" w:after="0" w:line="240" w:lineRule="auto"/>
              <w:ind w:left="0" w:firstLine="0"/>
              <w:jc w:val="both"/>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深化危险废物规范化环境管理</w:t>
            </w:r>
            <w:r>
              <w:rPr>
                <w:rFonts w:hint="eastAsia" w:cs="Times New Roman"/>
                <w:color w:val="000000" w:themeColor="text1"/>
                <w:sz w:val="21"/>
                <w:szCs w:val="21"/>
                <w:highlight w:val="none"/>
                <w:lang w:eastAsia="zh-CN"/>
                <w14:textFill>
                  <w14:solidFill>
                    <w14:schemeClr w14:val="tx1"/>
                  </w14:solidFill>
                </w14:textFill>
              </w:rPr>
              <w:t>。严格落实企业主体责任。产生、收集、贮存、运输、利用、处置危险废物的单位承担危险废物污染防治的主体责任，要严格落实危险废物污染环境防治相关法律制度和标准等要求，采取有效措施，减少危险废物的产生量、促进再生利用、降低危害性，提升危险废物规范化环境管理水平。</w:t>
            </w:r>
          </w:p>
        </w:tc>
        <w:tc>
          <w:tcPr>
            <w:tcW w:w="1137" w:type="pct"/>
            <w:tcBorders>
              <w:tl2br w:val="nil"/>
              <w:tr2bl w:val="nil"/>
            </w:tcBorders>
            <w:tcMar>
              <w:left w:w="108" w:type="dxa"/>
              <w:right w:w="108" w:type="dxa"/>
            </w:tcMar>
            <w:vAlign w:val="center"/>
          </w:tcPr>
          <w:p w14:paraId="6315CFD3">
            <w:pPr>
              <w:pStyle w:val="52"/>
              <w:spacing w:before="0" w:after="0" w:line="240" w:lineRule="auto"/>
              <w:ind w:left="0" w:firstLine="0"/>
              <w:jc w:val="both"/>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本项目在进行水泥窑协同处置危险废物过程中将积极承担危险废物污染防治主体责任，落实相关法律法规和标准要求，满足再生利用、降低危害性的要求</w:t>
            </w:r>
          </w:p>
        </w:tc>
        <w:tc>
          <w:tcPr>
            <w:tcW w:w="367" w:type="pct"/>
            <w:gridSpan w:val="3"/>
            <w:tcBorders>
              <w:tl2br w:val="nil"/>
              <w:tr2bl w:val="nil"/>
            </w:tcBorders>
            <w:tcMar>
              <w:left w:w="108" w:type="dxa"/>
              <w:right w:w="108" w:type="dxa"/>
            </w:tcMar>
            <w:vAlign w:val="center"/>
          </w:tcPr>
          <w:p w14:paraId="5C23EC1D">
            <w:pPr>
              <w:pStyle w:val="52"/>
              <w:spacing w:before="0" w:after="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r w14:paraId="597F1C5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FD63EDA">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473" w:type="pct"/>
            <w:vMerge w:val="continue"/>
            <w:tcBorders>
              <w:tl2br w:val="nil"/>
              <w:tr2bl w:val="nil"/>
            </w:tcBorders>
            <w:tcMar>
              <w:left w:w="108" w:type="dxa"/>
              <w:right w:w="108" w:type="dxa"/>
            </w:tcMar>
            <w:vAlign w:val="center"/>
          </w:tcPr>
          <w:p w14:paraId="4AC77F9A">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2619" w:type="pct"/>
            <w:gridSpan w:val="2"/>
            <w:tcBorders>
              <w:tl2br w:val="nil"/>
              <w:tr2bl w:val="nil"/>
            </w:tcBorders>
            <w:tcMar>
              <w:left w:w="108" w:type="dxa"/>
              <w:right w:w="108" w:type="dxa"/>
            </w:tcMar>
            <w:vAlign w:val="center"/>
          </w:tcPr>
          <w:p w14:paraId="4F04E67C">
            <w:pPr>
              <w:pStyle w:val="52"/>
              <w:spacing w:before="0" w:after="0" w:line="240" w:lineRule="auto"/>
              <w:ind w:left="0" w:firstLine="0"/>
              <w:jc w:val="both"/>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强化危险废物信息化环境管理</w:t>
            </w:r>
            <w:r>
              <w:rPr>
                <w:rFonts w:hint="eastAsia" w:cs="Times New Roman"/>
                <w:color w:val="000000" w:themeColor="text1"/>
                <w:sz w:val="21"/>
                <w:szCs w:val="21"/>
                <w:highlight w:val="none"/>
                <w:lang w:eastAsia="zh-CN"/>
                <w14:textFill>
                  <w14:solidFill>
                    <w14:schemeClr w14:val="tx1"/>
                  </w14:solidFill>
                </w14:textFill>
              </w:rPr>
              <w:t>。强化全过程管控。加快建设运用全国危险废物全过程环境管理信息系统，实现危险废物产生情况在线申报、管理计划在线备案、转移联单在线运行、利用处置情况在线报告和全过程实时动态信息化追溯。鼓励有条件的地方开展危险废物收集、运输、利用、处置网上交易和第三方支付试点，探索废物流、资金流、信息流“三流合一”，加强对危险废物流向的跟踪管控。</w:t>
            </w:r>
          </w:p>
        </w:tc>
        <w:tc>
          <w:tcPr>
            <w:tcW w:w="1137" w:type="pct"/>
            <w:tcBorders>
              <w:tl2br w:val="nil"/>
              <w:tr2bl w:val="nil"/>
            </w:tcBorders>
            <w:tcMar>
              <w:left w:w="108" w:type="dxa"/>
              <w:right w:w="108" w:type="dxa"/>
            </w:tcMar>
            <w:vAlign w:val="center"/>
          </w:tcPr>
          <w:p w14:paraId="7AE42DF6">
            <w:pPr>
              <w:pStyle w:val="52"/>
              <w:spacing w:before="0" w:after="0" w:line="240" w:lineRule="auto"/>
              <w:ind w:left="0" w:firstLine="0"/>
              <w:jc w:val="both"/>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本项目在危险废物利用过程中将按照相关要求落实危险废物产生情况在线申报、管理计划在线备案、转移联单在线运行、利用处置情况在线报告和全过程实时动态信息化追溯</w:t>
            </w:r>
          </w:p>
        </w:tc>
        <w:tc>
          <w:tcPr>
            <w:tcW w:w="367" w:type="pct"/>
            <w:gridSpan w:val="3"/>
            <w:tcBorders>
              <w:tl2br w:val="nil"/>
              <w:tr2bl w:val="nil"/>
            </w:tcBorders>
            <w:tcMar>
              <w:left w:w="108" w:type="dxa"/>
              <w:right w:w="108" w:type="dxa"/>
            </w:tcMar>
            <w:vAlign w:val="center"/>
          </w:tcPr>
          <w:p w14:paraId="01170D19">
            <w:pPr>
              <w:pStyle w:val="52"/>
              <w:spacing w:before="0" w:after="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r w14:paraId="4DDB37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02" w:type="pct"/>
            <w:vMerge w:val="continue"/>
            <w:tcBorders>
              <w:tl2br w:val="nil"/>
              <w:tr2bl w:val="nil"/>
            </w:tcBorders>
            <w:tcMar>
              <w:left w:w="108" w:type="dxa"/>
              <w:right w:w="108" w:type="dxa"/>
            </w:tcMar>
            <w:vAlign w:val="center"/>
          </w:tcPr>
          <w:p w14:paraId="694CD952">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p>
        </w:tc>
        <w:tc>
          <w:tcPr>
            <w:tcW w:w="473" w:type="pct"/>
            <w:tcBorders>
              <w:tl2br w:val="nil"/>
              <w:tr2bl w:val="nil"/>
            </w:tcBorders>
            <w:tcMar>
              <w:left w:w="108" w:type="dxa"/>
              <w:right w:w="108" w:type="dxa"/>
            </w:tcMar>
            <w:vAlign w:val="center"/>
          </w:tcPr>
          <w:p w14:paraId="012A924F">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促进危险废物精细化环境管理</w:t>
            </w:r>
          </w:p>
        </w:tc>
        <w:tc>
          <w:tcPr>
            <w:tcW w:w="2619" w:type="pct"/>
            <w:gridSpan w:val="2"/>
            <w:tcBorders>
              <w:tl2br w:val="nil"/>
              <w:tr2bl w:val="nil"/>
            </w:tcBorders>
            <w:tcMar>
              <w:left w:w="108" w:type="dxa"/>
              <w:right w:w="108" w:type="dxa"/>
            </w:tcMar>
            <w:vAlign w:val="center"/>
          </w:tcPr>
          <w:p w14:paraId="10DE53C6">
            <w:pPr>
              <w:pStyle w:val="52"/>
              <w:spacing w:before="0" w:after="0" w:line="240" w:lineRule="auto"/>
              <w:ind w:left="0" w:firstLine="0"/>
              <w:jc w:val="both"/>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深化制度改革创新。强化环境影响评价与危险废物经营许可制度衔接，支持有条件地区将危险废物经营许可要求纳入排污许可，探索“一证式”管理。研究建立危险废物再生利用环境风险评估标准和评估方法，鼓励出台危险废物利用污染控制地方标准</w:t>
            </w:r>
          </w:p>
        </w:tc>
        <w:tc>
          <w:tcPr>
            <w:tcW w:w="1137" w:type="pct"/>
            <w:tcBorders>
              <w:tl2br w:val="nil"/>
              <w:tr2bl w:val="nil"/>
            </w:tcBorders>
            <w:tcMar>
              <w:left w:w="108" w:type="dxa"/>
              <w:right w:w="108" w:type="dxa"/>
            </w:tcMar>
            <w:vAlign w:val="center"/>
          </w:tcPr>
          <w:p w14:paraId="24F97179">
            <w:pPr>
              <w:pStyle w:val="52"/>
              <w:spacing w:before="0" w:after="0" w:line="240" w:lineRule="auto"/>
              <w:ind w:left="0" w:firstLine="0"/>
              <w:jc w:val="both"/>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本项目正在办理环境影响评价手续，待项目建成后将及时落实危险废物经营许可证制度和排污许可制度相关要求</w:t>
            </w:r>
          </w:p>
        </w:tc>
        <w:tc>
          <w:tcPr>
            <w:tcW w:w="367" w:type="pct"/>
            <w:gridSpan w:val="3"/>
            <w:tcBorders>
              <w:tl2br w:val="nil"/>
              <w:tr2bl w:val="nil"/>
            </w:tcBorders>
            <w:tcMar>
              <w:left w:w="108" w:type="dxa"/>
              <w:right w:w="108" w:type="dxa"/>
            </w:tcMar>
            <w:vAlign w:val="center"/>
          </w:tcPr>
          <w:p w14:paraId="3218906C">
            <w:pPr>
              <w:pStyle w:val="52"/>
              <w:spacing w:before="0" w:after="0" w:line="240" w:lineRule="auto"/>
              <w:ind w:left="0" w:leftChars="0" w:right="0" w:rightChars="0" w:firstLine="0" w:firstLineChars="0"/>
              <w:jc w:val="center"/>
              <w:rPr>
                <w:rFonts w:hint="default"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符合</w:t>
            </w:r>
          </w:p>
        </w:tc>
      </w:tr>
    </w:tbl>
    <w:p w14:paraId="241D7D5A">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rPr>
        <w:t>2.</w:t>
      </w:r>
      <w:r>
        <w:rPr>
          <w:rFonts w:hint="default" w:ascii="Times New Roman" w:hAnsi="Times New Roman" w:cs="Times New Roman"/>
          <w:b/>
          <w:bCs w:val="0"/>
          <w:kern w:val="2"/>
          <w:sz w:val="24"/>
          <w:szCs w:val="24"/>
          <w:highlight w:val="none"/>
          <w:lang w:val="en-US" w:eastAsia="zh-CN"/>
        </w:rPr>
        <w:t>9</w:t>
      </w:r>
      <w:r>
        <w:rPr>
          <w:rFonts w:hint="default" w:ascii="Times New Roman" w:hAnsi="Times New Roman" w:eastAsia="宋体" w:cs="Times New Roman"/>
          <w:b/>
          <w:bCs w:val="0"/>
          <w:kern w:val="2"/>
          <w:sz w:val="24"/>
          <w:szCs w:val="24"/>
          <w:highlight w:val="none"/>
        </w:rPr>
        <w:t>.2规划符合性分析</w:t>
      </w:r>
    </w:p>
    <w:p w14:paraId="24ECCC3F">
      <w:pPr>
        <w:keepNext w:val="0"/>
        <w:keepLines w:val="0"/>
        <w:pageBreakBefore w:val="0"/>
        <w:widowControl/>
        <w:kinsoku/>
        <w:wordWrap/>
        <w:overflowPunct/>
        <w:topLinePunct w:val="0"/>
        <w:autoSpaceDE/>
        <w:autoSpaceDN/>
        <w:bidi w:val="0"/>
        <w:adjustRightInd/>
        <w:snapToGrid w:val="0"/>
        <w:spacing w:line="240" w:lineRule="auto"/>
        <w:ind w:left="-34" w:right="-34"/>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w:t>
      </w:r>
      <w:r>
        <w:rPr>
          <w:rFonts w:hint="default" w:ascii="Times New Roman" w:hAnsi="Times New Roman" w:eastAsia="宋体" w:cs="Times New Roman"/>
          <w:b/>
          <w:bCs/>
          <w:sz w:val="24"/>
          <w:szCs w:val="24"/>
          <w:highlight w:val="none"/>
          <w:lang w:val="en-US" w:eastAsia="zh-CN"/>
        </w:rPr>
        <w:t>2.</w:t>
      </w:r>
      <w:r>
        <w:rPr>
          <w:rFonts w:hint="default" w:ascii="Times New Roman" w:hAnsi="Times New Roman" w:cs="Times New Roman"/>
          <w:b/>
          <w:bCs/>
          <w:sz w:val="24"/>
          <w:szCs w:val="24"/>
          <w:highlight w:val="none"/>
          <w:lang w:val="en-US" w:eastAsia="zh-CN"/>
        </w:rPr>
        <w:t>9</w:t>
      </w:r>
      <w:r>
        <w:rPr>
          <w:rFonts w:hint="default" w:ascii="Times New Roman" w:hAnsi="Times New Roman" w:eastAsia="宋体" w:cs="Times New Roman"/>
          <w:b/>
          <w:bCs/>
          <w:sz w:val="24"/>
          <w:szCs w:val="24"/>
          <w:highlight w:val="none"/>
          <w:lang w:val="en-US" w:eastAsia="zh-CN"/>
        </w:rPr>
        <w:t>-</w:t>
      </w:r>
      <w:r>
        <w:rPr>
          <w:rFonts w:hint="eastAsia" w:cs="Times New Roman"/>
          <w:b/>
          <w:bCs/>
          <w:sz w:val="24"/>
          <w:szCs w:val="24"/>
          <w:highlight w:val="none"/>
          <w:lang w:val="en-US" w:eastAsia="zh-CN"/>
        </w:rPr>
        <w:t>2</w:t>
      </w:r>
      <w:r>
        <w:rPr>
          <w:rFonts w:hint="default" w:ascii="Times New Roman" w:hAnsi="Times New Roman" w:eastAsia="宋体" w:cs="Times New Roman"/>
          <w:b/>
          <w:bCs/>
          <w:sz w:val="24"/>
          <w:szCs w:val="24"/>
          <w:highlight w:val="none"/>
        </w:rPr>
        <w:t xml:space="preserve"> 相关规划</w:t>
      </w:r>
      <w:r>
        <w:rPr>
          <w:rFonts w:hint="default" w:ascii="Times New Roman" w:hAnsi="Times New Roman" w:eastAsia="宋体" w:cs="Times New Roman"/>
          <w:b/>
          <w:bCs/>
          <w:sz w:val="24"/>
          <w:szCs w:val="24"/>
          <w:highlight w:val="none"/>
          <w:lang w:val="en-US" w:eastAsia="zh-CN"/>
        </w:rPr>
        <w:t>及环境准入要求符合性分析</w:t>
      </w:r>
    </w:p>
    <w:tbl>
      <w:tblPr>
        <w:tblStyle w:val="39"/>
        <w:tblW w:w="5000" w:type="pct"/>
        <w:tblInd w:w="0" w:type="dxa"/>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Layout w:type="autofit"/>
        <w:tblCellMar>
          <w:top w:w="0" w:type="dxa"/>
          <w:left w:w="0" w:type="dxa"/>
          <w:bottom w:w="0" w:type="dxa"/>
          <w:right w:w="0" w:type="dxa"/>
        </w:tblCellMar>
      </w:tblPr>
      <w:tblGrid>
        <w:gridCol w:w="1336"/>
        <w:gridCol w:w="4870"/>
        <w:gridCol w:w="31"/>
        <w:gridCol w:w="2279"/>
      </w:tblGrid>
      <w:tr w14:paraId="660DA2D1">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5000" w:type="pct"/>
            <w:gridSpan w:val="4"/>
            <w:tcBorders>
              <w:tl2br w:val="nil"/>
              <w:tr2bl w:val="nil"/>
            </w:tcBorders>
            <w:noWrap w:val="0"/>
            <w:tcMar>
              <w:top w:w="0" w:type="dxa"/>
              <w:left w:w="108" w:type="dxa"/>
              <w:bottom w:w="0" w:type="dxa"/>
              <w:right w:w="108" w:type="dxa"/>
            </w:tcMar>
            <w:vAlign w:val="center"/>
          </w:tcPr>
          <w:p w14:paraId="7D01A1F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相关规划</w:t>
            </w:r>
          </w:p>
        </w:tc>
      </w:tr>
      <w:tr w14:paraId="2DF4C549">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784" w:type="pct"/>
            <w:tcBorders>
              <w:tl2br w:val="nil"/>
              <w:tr2bl w:val="nil"/>
            </w:tcBorders>
            <w:noWrap w:val="0"/>
            <w:tcMar>
              <w:top w:w="0" w:type="dxa"/>
              <w:left w:w="108" w:type="dxa"/>
              <w:bottom w:w="0" w:type="dxa"/>
              <w:right w:w="108" w:type="dxa"/>
            </w:tcMar>
            <w:vAlign w:val="center"/>
          </w:tcPr>
          <w:p w14:paraId="685458C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规划名称</w:t>
            </w:r>
          </w:p>
        </w:tc>
        <w:tc>
          <w:tcPr>
            <w:tcW w:w="2878" w:type="pct"/>
            <w:gridSpan w:val="2"/>
            <w:tcBorders>
              <w:tl2br w:val="nil"/>
              <w:tr2bl w:val="nil"/>
            </w:tcBorders>
            <w:noWrap w:val="0"/>
            <w:tcMar>
              <w:top w:w="0" w:type="dxa"/>
              <w:left w:w="108" w:type="dxa"/>
              <w:bottom w:w="0" w:type="dxa"/>
              <w:right w:w="108" w:type="dxa"/>
            </w:tcMar>
            <w:vAlign w:val="center"/>
          </w:tcPr>
          <w:p w14:paraId="31811D3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规划条件</w:t>
            </w:r>
          </w:p>
        </w:tc>
        <w:tc>
          <w:tcPr>
            <w:tcW w:w="1336" w:type="pct"/>
            <w:tcBorders>
              <w:tl2br w:val="nil"/>
              <w:tr2bl w:val="nil"/>
            </w:tcBorders>
            <w:noWrap w:val="0"/>
            <w:tcMar>
              <w:top w:w="0" w:type="dxa"/>
              <w:left w:w="108" w:type="dxa"/>
              <w:bottom w:w="0" w:type="dxa"/>
              <w:right w:w="108" w:type="dxa"/>
            </w:tcMar>
            <w:vAlign w:val="center"/>
          </w:tcPr>
          <w:p w14:paraId="72582F6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与项目有关内容</w:t>
            </w:r>
          </w:p>
        </w:tc>
      </w:tr>
      <w:tr w14:paraId="1F163B09">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403" w:hRule="atLeast"/>
        </w:trPr>
        <w:tc>
          <w:tcPr>
            <w:tcW w:w="784" w:type="pct"/>
            <w:vMerge w:val="restart"/>
            <w:tcBorders>
              <w:tl2br w:val="nil"/>
              <w:tr2bl w:val="nil"/>
            </w:tcBorders>
            <w:noWrap w:val="0"/>
            <w:tcMar>
              <w:top w:w="0" w:type="dxa"/>
              <w:left w:w="108" w:type="dxa"/>
              <w:bottom w:w="0" w:type="dxa"/>
              <w:right w:w="108" w:type="dxa"/>
            </w:tcMar>
            <w:vAlign w:val="center"/>
          </w:tcPr>
          <w:p w14:paraId="4D8CF00C">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sz w:val="21"/>
                <w:highlight w:val="none"/>
                <w:lang w:val="en-US" w:eastAsia="zh-CN" w:bidi="ar-SA"/>
              </w:rPr>
            </w:pPr>
            <w:r>
              <w:rPr>
                <w:rFonts w:hint="default" w:ascii="Times New Roman" w:hAnsi="Times New Roman" w:eastAsia="宋体" w:cs="Times New Roman"/>
                <w:b w:val="0"/>
                <w:bCs w:val="0"/>
                <w:sz w:val="21"/>
                <w:highlight w:val="none"/>
              </w:rPr>
              <w:t>《新疆生态环境保护“十四五”规划》</w:t>
            </w:r>
          </w:p>
        </w:tc>
        <w:tc>
          <w:tcPr>
            <w:tcW w:w="2878" w:type="pct"/>
            <w:gridSpan w:val="2"/>
            <w:tcBorders>
              <w:tl2br w:val="nil"/>
              <w:tr2bl w:val="nil"/>
            </w:tcBorders>
            <w:noWrap w:val="0"/>
            <w:tcMar>
              <w:top w:w="0" w:type="dxa"/>
              <w:left w:w="108" w:type="dxa"/>
              <w:bottom w:w="0" w:type="dxa"/>
              <w:right w:w="108" w:type="dxa"/>
            </w:tcMar>
            <w:vAlign w:val="center"/>
          </w:tcPr>
          <w:p w14:paraId="427BB78D">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sz w:val="21"/>
                <w:highlight w:val="none"/>
              </w:rPr>
            </w:pPr>
            <w:r>
              <w:rPr>
                <w:rFonts w:hint="default" w:ascii="Times New Roman" w:hAnsi="Times New Roman" w:eastAsia="宋体" w:cs="Times New Roman"/>
                <w:b w:val="0"/>
                <w:bCs w:val="0"/>
                <w:sz w:val="21"/>
                <w:highlight w:val="none"/>
              </w:rPr>
              <w:t>提升危险废物收集与利用处置能力。适时修订《自治区危险废物利用处置设施建设布局指导意见》，稳步推进准东、甘泉堡、“奎—独—乌”、哈密、巴州、阿克苏等重点区域综合性危险废物处置设施建设，协调推动南疆三地州、伊犁河谷等区域解决危险废物利用处置能力不足问题。积极引导重点产废企业自建危险废物利用设施，支持大型企业集团内部共享危险废物利用处置设施，推进工业废盐、废催化剂、煤焦油、电解铝大修渣等利用处置设施建设，适度发展水泥窑协同处置危险废物，引导推进有害废物处理处置能力建设，引导推进含油污泥处置、废矿物油回收利用能力过剩问题化解和布局优化。坚持兵地统筹、区域协同规划和建设危险废物利用处置设施，实现疆内危险废物处置能力与产废情况总体匹配。深入推进油气田开采历史遗留含油污泥、磺化泥浆、黄金选矿行业氰化尾渣、铜冶炼行业砷渣以及石棉矿选矿废渣等调查和污染治理。</w:t>
            </w:r>
          </w:p>
        </w:tc>
        <w:tc>
          <w:tcPr>
            <w:tcW w:w="1336" w:type="pct"/>
            <w:tcBorders>
              <w:tl2br w:val="nil"/>
              <w:tr2bl w:val="nil"/>
            </w:tcBorders>
            <w:noWrap w:val="0"/>
            <w:tcMar>
              <w:top w:w="0" w:type="dxa"/>
              <w:left w:w="108" w:type="dxa"/>
              <w:bottom w:w="0" w:type="dxa"/>
              <w:right w:w="108" w:type="dxa"/>
            </w:tcMar>
            <w:vAlign w:val="center"/>
          </w:tcPr>
          <w:p w14:paraId="1402D1EC">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sz w:val="21"/>
                <w:highlight w:val="none"/>
                <w:lang w:val="en-US" w:eastAsia="zh-CN"/>
              </w:rPr>
            </w:pPr>
            <w:r>
              <w:rPr>
                <w:rFonts w:hint="default" w:ascii="Times New Roman" w:hAnsi="Times New Roman" w:eastAsia="宋体" w:cs="Times New Roman"/>
                <w:b w:val="0"/>
                <w:bCs w:val="0"/>
                <w:sz w:val="21"/>
                <w:highlight w:val="none"/>
                <w:lang w:val="en-US" w:eastAsia="zh-CN"/>
              </w:rPr>
              <w:t>本项目为依托现水泥窑协同处置危险废物项目，项目实施后将有效缓解南疆三地州等区域危险废物利用处置能力不足问题，符合《新疆生态环境保护“十四五”规划》要求</w:t>
            </w:r>
          </w:p>
        </w:tc>
      </w:tr>
      <w:tr w14:paraId="68101FC4">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784" w:type="pct"/>
            <w:tcBorders>
              <w:tl2br w:val="nil"/>
              <w:tr2bl w:val="nil"/>
            </w:tcBorders>
            <w:noWrap w:val="0"/>
            <w:tcMar>
              <w:top w:w="0" w:type="dxa"/>
              <w:left w:w="108" w:type="dxa"/>
              <w:bottom w:w="0" w:type="dxa"/>
              <w:right w:w="108" w:type="dxa"/>
            </w:tcMar>
            <w:vAlign w:val="center"/>
          </w:tcPr>
          <w:p w14:paraId="181F859E">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sz w:val="21"/>
                <w:highlight w:val="none"/>
                <w:lang w:eastAsia="zh-CN"/>
              </w:rPr>
            </w:pPr>
            <w:r>
              <w:rPr>
                <w:rFonts w:hint="default" w:ascii="Times New Roman" w:hAnsi="Times New Roman" w:eastAsia="宋体" w:cs="Times New Roman"/>
                <w:b w:val="0"/>
                <w:bCs w:val="0"/>
                <w:sz w:val="21"/>
                <w:highlight w:val="none"/>
                <w:lang w:eastAsia="zh-CN"/>
              </w:rPr>
              <w:t>《</w:t>
            </w:r>
            <w:r>
              <w:rPr>
                <w:rFonts w:hint="default" w:ascii="Times New Roman" w:hAnsi="Times New Roman" w:eastAsia="宋体" w:cs="Times New Roman"/>
                <w:b w:val="0"/>
                <w:bCs w:val="0"/>
                <w:sz w:val="21"/>
                <w:highlight w:val="none"/>
                <w:lang w:val="en-US" w:eastAsia="zh-CN"/>
              </w:rPr>
              <w:t>阿克苏地区生态环境保护“十四五”规划</w:t>
            </w:r>
            <w:r>
              <w:rPr>
                <w:rFonts w:hint="default" w:ascii="Times New Roman" w:hAnsi="Times New Roman" w:eastAsia="宋体" w:cs="Times New Roman"/>
                <w:b w:val="0"/>
                <w:bCs w:val="0"/>
                <w:sz w:val="21"/>
                <w:highlight w:val="none"/>
                <w:lang w:eastAsia="zh-CN"/>
              </w:rPr>
              <w:t>》</w:t>
            </w:r>
          </w:p>
        </w:tc>
        <w:tc>
          <w:tcPr>
            <w:tcW w:w="2878" w:type="pct"/>
            <w:gridSpan w:val="2"/>
            <w:tcBorders>
              <w:tl2br w:val="nil"/>
              <w:tr2bl w:val="nil"/>
            </w:tcBorders>
            <w:noWrap w:val="0"/>
            <w:tcMar>
              <w:top w:w="0" w:type="dxa"/>
              <w:left w:w="108" w:type="dxa"/>
              <w:bottom w:w="0" w:type="dxa"/>
              <w:right w:w="108" w:type="dxa"/>
            </w:tcMar>
            <w:vAlign w:val="center"/>
          </w:tcPr>
          <w:p w14:paraId="2A704936">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sz w:val="21"/>
                <w:highlight w:val="none"/>
              </w:rPr>
            </w:pPr>
            <w:r>
              <w:rPr>
                <w:rFonts w:hint="default" w:ascii="Times New Roman" w:hAnsi="Times New Roman" w:eastAsia="宋体" w:cs="Times New Roman"/>
                <w:b w:val="0"/>
                <w:bCs w:val="0"/>
                <w:sz w:val="21"/>
                <w:highlight w:val="none"/>
              </w:rPr>
              <w:t>全面加强危险废物监管。制定年度监督管理计划，完善环境影响评价、危险废物申报登记、规范企业台账资料记录，建立危险废物产生单位和经营单位重点监管清单。对危险废物产生、贮存、转移以及企业委托利用处置危险废物情况、危险废物管理计划和应急预案等定期开展检查，实现危险废物产生、贮存、转移、处置的全过程无缝隙排查与监管。对检查中发现问题的企业，要求限期整改到位，确保排查到位、整改到位。各部门要共同建立危险废物联合执法机制，严格查处无证经营、违法排放、倾倒、处置危险废物等严重违法行为。</w:t>
            </w:r>
          </w:p>
        </w:tc>
        <w:tc>
          <w:tcPr>
            <w:tcW w:w="1336" w:type="pct"/>
            <w:tcBorders>
              <w:tl2br w:val="nil"/>
              <w:tr2bl w:val="nil"/>
            </w:tcBorders>
            <w:noWrap w:val="0"/>
            <w:tcMar>
              <w:top w:w="0" w:type="dxa"/>
              <w:left w:w="108" w:type="dxa"/>
              <w:bottom w:w="0" w:type="dxa"/>
              <w:right w:w="108" w:type="dxa"/>
            </w:tcMar>
            <w:vAlign w:val="center"/>
          </w:tcPr>
          <w:p w14:paraId="39EF3E4F">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sz w:val="21"/>
                <w:highlight w:val="none"/>
                <w:lang w:val="en-US" w:eastAsia="zh-CN"/>
              </w:rPr>
            </w:pPr>
            <w:r>
              <w:rPr>
                <w:rFonts w:hint="default" w:ascii="Times New Roman" w:hAnsi="Times New Roman" w:cs="Times New Roman"/>
                <w:b w:val="0"/>
                <w:bCs w:val="0"/>
                <w:sz w:val="21"/>
                <w:highlight w:val="none"/>
                <w:lang w:val="en-US" w:eastAsia="zh-CN"/>
              </w:rPr>
              <w:t>本项目在进行水泥窑协同处置危险废物过程中将加强危险废物监管，完善并落实危险废物转移及处置过程的环境管理措施，符合文件要求</w:t>
            </w:r>
          </w:p>
        </w:tc>
      </w:tr>
      <w:tr w14:paraId="6E7DD560">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tcBorders>
              <w:tl2br w:val="nil"/>
              <w:tr2bl w:val="nil"/>
            </w:tcBorders>
            <w:noWrap w:val="0"/>
            <w:tcMar>
              <w:top w:w="0" w:type="dxa"/>
              <w:left w:w="108" w:type="dxa"/>
              <w:bottom w:w="0" w:type="dxa"/>
              <w:right w:w="108" w:type="dxa"/>
            </w:tcMar>
            <w:vAlign w:val="center"/>
          </w:tcPr>
          <w:p w14:paraId="53C2D1CD">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highlight w:val="none"/>
              </w:rPr>
            </w:pPr>
            <w:r>
              <w:rPr>
                <w:rFonts w:hint="default" w:ascii="Times New Roman" w:hAnsi="Times New Roman" w:eastAsia="宋体" w:cs="Times New Roman"/>
                <w:b w:val="0"/>
                <w:bCs w:val="0"/>
                <w:sz w:val="21"/>
                <w:highlight w:val="none"/>
                <w:lang w:eastAsia="zh-CN"/>
              </w:rPr>
              <w:t>《“十四五”原材料工业发展规划》</w:t>
            </w:r>
          </w:p>
        </w:tc>
        <w:tc>
          <w:tcPr>
            <w:tcW w:w="2878" w:type="pct"/>
            <w:gridSpan w:val="2"/>
            <w:tcBorders>
              <w:tl2br w:val="nil"/>
              <w:tr2bl w:val="nil"/>
            </w:tcBorders>
            <w:noWrap w:val="0"/>
            <w:tcMar>
              <w:top w:w="0" w:type="dxa"/>
              <w:left w:w="108" w:type="dxa"/>
              <w:bottom w:w="0" w:type="dxa"/>
              <w:right w:w="108" w:type="dxa"/>
            </w:tcMar>
            <w:vAlign w:val="center"/>
          </w:tcPr>
          <w:p w14:paraId="5DB0D9F8">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default" w:ascii="Times New Roman" w:hAnsi="Times New Roman" w:eastAsia="宋体" w:cs="Times New Roman"/>
                <w:b w:val="0"/>
                <w:bCs w:val="0"/>
                <w:sz w:val="21"/>
                <w:highlight w:val="none"/>
                <w:lang w:val="en-US" w:eastAsia="zh-CN" w:bidi="ar-SA"/>
              </w:rPr>
            </w:pPr>
            <w:r>
              <w:rPr>
                <w:rFonts w:hint="default" w:ascii="Times New Roman" w:hAnsi="Times New Roman" w:eastAsia="宋体" w:cs="Times New Roman"/>
                <w:b w:val="0"/>
                <w:bCs w:val="0"/>
                <w:sz w:val="21"/>
                <w:highlight w:val="none"/>
                <w:lang w:eastAsia="zh-CN"/>
              </w:rPr>
              <w:t>加强产学研用深度融合，推进科研院所、高校、企业科研力量优化配置和资源共享，......攻克电石法聚氯乙烯生产无汞化、低温低浓度烟气脱硫脱硝、细颗粒物化学团聚强化除尘、固废（危废）协同处置及资源化利用等污染物防治和资源综合利用技术，提高资源能源利用率和超低排放水平；......推动建材行业向协同处置废弃物的循环经济发展模式转变。......全面推进原材料工业固废综合利用，重点围绕尾矿、废石、粉煤灰、赤泥、冶炼渣、电解锰渣、工业副产石膏、化工废渣、废弃纤维及复合材料等，建设一批工业资源综合利用基地，在重点地区建设尾矿废渣、磷石膏、电解锰渣等综合利用和钢铁有色协同处置含锌二次资源项目，以及煤气化炉、水泥窑、大型烧结砖隧道窑协同处置废弃物等示范线，加快实现无害化、减量化、资源化处置</w:t>
            </w:r>
          </w:p>
        </w:tc>
        <w:tc>
          <w:tcPr>
            <w:tcW w:w="1336" w:type="pct"/>
            <w:tcBorders>
              <w:tl2br w:val="nil"/>
              <w:tr2bl w:val="nil"/>
            </w:tcBorders>
            <w:noWrap w:val="0"/>
            <w:tcMar>
              <w:top w:w="0" w:type="dxa"/>
              <w:left w:w="108" w:type="dxa"/>
              <w:bottom w:w="0" w:type="dxa"/>
              <w:right w:w="108" w:type="dxa"/>
            </w:tcMar>
            <w:vAlign w:val="center"/>
          </w:tcPr>
          <w:p w14:paraId="58362EAF">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b w:val="0"/>
                <w:bCs w:val="0"/>
                <w:sz w:val="21"/>
                <w:highlight w:val="none"/>
                <w:lang w:val="en-US" w:eastAsia="zh-CN" w:bidi="ar-SA"/>
              </w:rPr>
            </w:pPr>
            <w:r>
              <w:rPr>
                <w:rFonts w:hint="default" w:ascii="Times New Roman" w:hAnsi="Times New Roman" w:eastAsia="宋体" w:cs="Times New Roman"/>
                <w:b w:val="0"/>
                <w:bCs w:val="0"/>
                <w:sz w:val="21"/>
                <w:highlight w:val="none"/>
                <w:lang w:val="en-US" w:eastAsia="zh-CN"/>
              </w:rPr>
              <w:t>本项目利用</w:t>
            </w:r>
            <w:r>
              <w:rPr>
                <w:rFonts w:hint="default" w:ascii="Times New Roman" w:hAnsi="Times New Roman" w:cs="Times New Roman"/>
                <w:b w:val="0"/>
                <w:bCs w:val="0"/>
                <w:sz w:val="21"/>
                <w:highlight w:val="none"/>
                <w:lang w:val="en-US" w:eastAsia="zh-CN"/>
              </w:rPr>
              <w:t>企业现有</w:t>
            </w:r>
            <w:r>
              <w:rPr>
                <w:rFonts w:hint="default" w:ascii="Times New Roman" w:hAnsi="Times New Roman" w:eastAsia="宋体" w:cs="Times New Roman"/>
                <w:b w:val="0"/>
                <w:bCs w:val="0"/>
                <w:sz w:val="21"/>
                <w:highlight w:val="none"/>
                <w:lang w:val="en-US" w:eastAsia="zh-CN"/>
              </w:rPr>
              <w:t>水泥窑协同处置固体废物，可实现水泥厂向协同处置废弃物的循环经济发展模式转变，符合</w:t>
            </w:r>
            <w:r>
              <w:rPr>
                <w:rFonts w:hint="default" w:ascii="Times New Roman" w:hAnsi="Times New Roman" w:cs="Times New Roman"/>
                <w:b w:val="0"/>
                <w:bCs w:val="0"/>
                <w:sz w:val="21"/>
                <w:highlight w:val="none"/>
                <w:lang w:val="en-US" w:eastAsia="zh-CN"/>
              </w:rPr>
              <w:t>文件</w:t>
            </w:r>
            <w:r>
              <w:rPr>
                <w:rFonts w:hint="default" w:ascii="Times New Roman" w:hAnsi="Times New Roman" w:eastAsia="宋体" w:cs="Times New Roman"/>
                <w:b w:val="0"/>
                <w:bCs w:val="0"/>
                <w:sz w:val="21"/>
                <w:highlight w:val="none"/>
                <w:lang w:val="en-US" w:eastAsia="zh-CN"/>
              </w:rPr>
              <w:t>中相关要求</w:t>
            </w:r>
          </w:p>
        </w:tc>
      </w:tr>
      <w:tr w14:paraId="410D08D5">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tcBorders>
              <w:tl2br w:val="nil"/>
              <w:tr2bl w:val="nil"/>
            </w:tcBorders>
            <w:noWrap w:val="0"/>
            <w:tcMar>
              <w:top w:w="0" w:type="dxa"/>
              <w:left w:w="108" w:type="dxa"/>
              <w:bottom w:w="0" w:type="dxa"/>
              <w:right w:w="108" w:type="dxa"/>
            </w:tcMar>
            <w:vAlign w:val="center"/>
          </w:tcPr>
          <w:p w14:paraId="6C8E344B">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cs="Times New Roman"/>
                <w:b w:val="0"/>
                <w:bCs w:val="0"/>
                <w:sz w:val="21"/>
                <w:highlight w:val="none"/>
                <w:lang w:eastAsia="zh-CN"/>
              </w:rPr>
            </w:pPr>
            <w:r>
              <w:rPr>
                <w:rFonts w:hint="eastAsia" w:cs="Times New Roman"/>
                <w:b w:val="0"/>
                <w:bCs w:val="0"/>
                <w:sz w:val="21"/>
                <w:highlight w:val="none"/>
                <w:lang w:eastAsia="zh-CN"/>
              </w:rPr>
              <w:t>《</w:t>
            </w:r>
            <w:r>
              <w:rPr>
                <w:rFonts w:hint="default" w:ascii="Times New Roman" w:hAnsi="Times New Roman" w:cs="Times New Roman"/>
                <w:b w:val="0"/>
                <w:bCs w:val="0"/>
                <w:sz w:val="21"/>
                <w:highlight w:val="none"/>
                <w:lang w:eastAsia="zh-CN"/>
              </w:rPr>
              <w:t>阿克苏经济技术开发区化工产业集中区总体规划（2022-2035年）</w:t>
            </w:r>
            <w:r>
              <w:rPr>
                <w:rFonts w:hint="eastAsia" w:cs="Times New Roman"/>
                <w:b w:val="0"/>
                <w:bCs w:val="0"/>
                <w:sz w:val="21"/>
                <w:highlight w:val="none"/>
                <w:lang w:eastAsia="zh-CN"/>
              </w:rPr>
              <w:t>》</w:t>
            </w:r>
          </w:p>
        </w:tc>
        <w:tc>
          <w:tcPr>
            <w:tcW w:w="2878" w:type="pct"/>
            <w:gridSpan w:val="2"/>
            <w:tcBorders>
              <w:tl2br w:val="nil"/>
              <w:tr2bl w:val="nil"/>
            </w:tcBorders>
            <w:noWrap w:val="0"/>
            <w:tcMar>
              <w:top w:w="0" w:type="dxa"/>
              <w:left w:w="108" w:type="dxa"/>
              <w:bottom w:w="0" w:type="dxa"/>
              <w:right w:w="108" w:type="dxa"/>
            </w:tcMar>
            <w:vAlign w:val="center"/>
          </w:tcPr>
          <w:p w14:paraId="74BB1BB2">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default" w:ascii="Times New Roman" w:hAnsi="Times New Roman" w:eastAsia="宋体" w:cs="Times New Roman"/>
                <w:b w:val="0"/>
                <w:bCs w:val="0"/>
                <w:sz w:val="21"/>
                <w:highlight w:val="none"/>
                <w:lang w:eastAsia="zh-CN"/>
              </w:rPr>
            </w:pPr>
            <w:r>
              <w:rPr>
                <w:rFonts w:hint="default" w:ascii="Times New Roman" w:hAnsi="Times New Roman" w:eastAsia="宋体" w:cs="Times New Roman"/>
                <w:b w:val="0"/>
                <w:bCs w:val="0"/>
                <w:sz w:val="21"/>
                <w:highlight w:val="none"/>
                <w:lang w:eastAsia="zh-CN"/>
              </w:rPr>
              <w:t>产业定位</w:t>
            </w:r>
            <w:r>
              <w:rPr>
                <w:rFonts w:hint="eastAsia" w:cs="Times New Roman"/>
                <w:b w:val="0"/>
                <w:bCs w:val="0"/>
                <w:sz w:val="21"/>
                <w:highlight w:val="none"/>
                <w:lang w:eastAsia="zh-CN"/>
              </w:rPr>
              <w:t>。</w:t>
            </w:r>
            <w:r>
              <w:rPr>
                <w:rFonts w:hint="default" w:ascii="Times New Roman" w:hAnsi="Times New Roman" w:eastAsia="宋体" w:cs="Times New Roman"/>
                <w:b w:val="0"/>
                <w:bCs w:val="0"/>
                <w:sz w:val="21"/>
                <w:highlight w:val="none"/>
                <w:lang w:eastAsia="zh-CN"/>
              </w:rPr>
              <w:t>充分利用园区的区位、环境与资源优势，适当调整既定产业发展方向，依托本地区丰富优质的石油天然气资源、水、电、土地资源，以现有产业为基础，以效益为中心，以市场为导向，以技术为依托，以加快产业拓展和产业延伸为方向，规划建设经开区化工区的产业，明确发展目标和定位，发展以天然气化工配套硫化工为基础，协同发展资源综合利用、精细化工等其他化工产业，打造一个具有集聚用户覆盖率广、附加值高、发展潜力大的产业结构体系，并不断延伸产业链，实现生产技术标准化、代谢过程循环化、资源利用多元化，逐步形成资源加工、加工制造、废物综合利用的循环经济产业园区。</w:t>
            </w:r>
          </w:p>
        </w:tc>
        <w:tc>
          <w:tcPr>
            <w:tcW w:w="1336" w:type="pct"/>
            <w:tcBorders>
              <w:tl2br w:val="nil"/>
              <w:tr2bl w:val="nil"/>
            </w:tcBorders>
            <w:noWrap w:val="0"/>
            <w:tcMar>
              <w:top w:w="0" w:type="dxa"/>
              <w:left w:w="108" w:type="dxa"/>
              <w:bottom w:w="0" w:type="dxa"/>
              <w:right w:w="108" w:type="dxa"/>
            </w:tcMar>
            <w:vAlign w:val="center"/>
          </w:tcPr>
          <w:p w14:paraId="4F417F82">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val="0"/>
                <w:bCs w:val="0"/>
                <w:sz w:val="21"/>
                <w:highlight w:val="none"/>
                <w:lang w:val="en-US" w:eastAsia="zh-CN"/>
              </w:rPr>
            </w:pPr>
            <w:r>
              <w:rPr>
                <w:rFonts w:hint="default" w:ascii="Times New Roman" w:hAnsi="Times New Roman" w:cs="Times New Roman"/>
                <w:b w:val="0"/>
                <w:bCs w:val="0"/>
                <w:sz w:val="21"/>
                <w:highlight w:val="none"/>
                <w:lang w:val="en-US" w:eastAsia="zh-CN"/>
              </w:rPr>
              <w:t>本项目</w:t>
            </w:r>
            <w:r>
              <w:rPr>
                <w:rFonts w:hint="eastAsia" w:ascii="Times New Roman" w:hAnsi="Times New Roman" w:cs="Times New Roman"/>
                <w:b w:val="0"/>
                <w:bCs w:val="0"/>
                <w:sz w:val="21"/>
                <w:highlight w:val="none"/>
                <w:lang w:val="en-US" w:eastAsia="zh-CN"/>
              </w:rPr>
              <w:t>在企业</w:t>
            </w:r>
            <w:r>
              <w:rPr>
                <w:rFonts w:hint="default" w:ascii="Times New Roman" w:hAnsi="Times New Roman" w:cs="Times New Roman"/>
                <w:b w:val="0"/>
                <w:bCs w:val="0"/>
                <w:sz w:val="21"/>
                <w:highlight w:val="none"/>
                <w:lang w:val="en-US" w:eastAsia="zh-CN"/>
              </w:rPr>
              <w:t>现有水泥窑</w:t>
            </w:r>
            <w:r>
              <w:rPr>
                <w:rFonts w:hint="eastAsia" w:ascii="Times New Roman" w:hAnsi="Times New Roman" w:cs="Times New Roman"/>
                <w:b w:val="0"/>
                <w:bCs w:val="0"/>
                <w:sz w:val="21"/>
                <w:highlight w:val="none"/>
                <w:lang w:val="en-US" w:eastAsia="zh-CN"/>
              </w:rPr>
              <w:t>的基础上，</w:t>
            </w:r>
            <w:r>
              <w:rPr>
                <w:rFonts w:hint="default" w:ascii="Times New Roman" w:hAnsi="Times New Roman" w:cs="Times New Roman"/>
                <w:b w:val="0"/>
                <w:bCs w:val="0"/>
                <w:sz w:val="21"/>
                <w:highlight w:val="none"/>
                <w:lang w:val="en-US" w:eastAsia="zh-CN"/>
              </w:rPr>
              <w:t>协同处置</w:t>
            </w:r>
            <w:r>
              <w:rPr>
                <w:rFonts w:hint="eastAsia" w:ascii="Times New Roman" w:hAnsi="Times New Roman" w:cs="Times New Roman"/>
                <w:b w:val="0"/>
                <w:bCs w:val="0"/>
                <w:sz w:val="21"/>
                <w:highlight w:val="none"/>
                <w:lang w:val="en-US" w:eastAsia="zh-CN"/>
              </w:rPr>
              <w:t>相邻企业</w:t>
            </w:r>
            <w:r>
              <w:rPr>
                <w:rFonts w:hint="default" w:ascii="Times New Roman" w:hAnsi="Times New Roman" w:cs="Times New Roman"/>
                <w:b w:val="0"/>
                <w:bCs w:val="0"/>
                <w:sz w:val="21"/>
                <w:highlight w:val="none"/>
                <w:lang w:val="en-US" w:eastAsia="zh-CN"/>
              </w:rPr>
              <w:t>新疆兴发化工有限公司产生的HW11精（蒸）馏残渣（900-013-11）</w:t>
            </w:r>
            <w:r>
              <w:rPr>
                <w:rFonts w:hint="eastAsia" w:ascii="Times New Roman" w:hAnsi="Times New Roman" w:cs="Times New Roman"/>
                <w:b w:val="0"/>
                <w:bCs w:val="0"/>
                <w:sz w:val="21"/>
                <w:highlight w:val="none"/>
                <w:lang w:val="en-US" w:eastAsia="zh-CN"/>
              </w:rPr>
              <w:t>，符合废物综合利用的循环经济产业发展理念，符合产业定位要求</w:t>
            </w:r>
          </w:p>
        </w:tc>
      </w:tr>
      <w:tr w14:paraId="0F650C56">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restart"/>
            <w:tcBorders>
              <w:tl2br w:val="nil"/>
              <w:tr2bl w:val="nil"/>
            </w:tcBorders>
            <w:noWrap w:val="0"/>
            <w:tcMar>
              <w:top w:w="0" w:type="dxa"/>
              <w:left w:w="108" w:type="dxa"/>
              <w:bottom w:w="0" w:type="dxa"/>
              <w:right w:w="108" w:type="dxa"/>
            </w:tcMar>
            <w:vAlign w:val="center"/>
          </w:tcPr>
          <w:p w14:paraId="0E2D9421">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cs="Times New Roman"/>
                <w:b w:val="0"/>
                <w:bCs w:val="0"/>
                <w:sz w:val="21"/>
                <w:highlight w:val="none"/>
                <w:lang w:eastAsia="zh-CN"/>
              </w:rPr>
            </w:pPr>
            <w:r>
              <w:rPr>
                <w:rFonts w:hint="eastAsia" w:cs="Times New Roman"/>
                <w:b w:val="0"/>
                <w:bCs w:val="0"/>
                <w:sz w:val="21"/>
                <w:highlight w:val="none"/>
                <w:lang w:eastAsia="zh-CN"/>
              </w:rPr>
              <w:t>《</w:t>
            </w:r>
            <w:r>
              <w:rPr>
                <w:rFonts w:hint="default" w:ascii="Times New Roman" w:hAnsi="Times New Roman" w:cs="Times New Roman"/>
                <w:b w:val="0"/>
                <w:bCs w:val="0"/>
                <w:sz w:val="21"/>
                <w:highlight w:val="none"/>
                <w:lang w:eastAsia="zh-CN"/>
              </w:rPr>
              <w:t>阿克苏经济技术开发区化工产业集中区总体规划（2022-2035年）环境影响报告书</w:t>
            </w:r>
            <w:r>
              <w:rPr>
                <w:rFonts w:hint="eastAsia" w:cs="Times New Roman"/>
                <w:b w:val="0"/>
                <w:bCs w:val="0"/>
                <w:sz w:val="21"/>
                <w:highlight w:val="none"/>
                <w:lang w:eastAsia="zh-CN"/>
              </w:rPr>
              <w:t>》</w:t>
            </w:r>
          </w:p>
        </w:tc>
        <w:tc>
          <w:tcPr>
            <w:tcW w:w="2878" w:type="pct"/>
            <w:gridSpan w:val="2"/>
            <w:tcBorders>
              <w:tl2br w:val="nil"/>
              <w:tr2bl w:val="nil"/>
            </w:tcBorders>
            <w:shd w:val="clear" w:color="auto" w:fill="auto"/>
            <w:noWrap w:val="0"/>
            <w:tcMar>
              <w:top w:w="0" w:type="dxa"/>
              <w:left w:w="108" w:type="dxa"/>
              <w:bottom w:w="0" w:type="dxa"/>
              <w:right w:w="108" w:type="dxa"/>
            </w:tcMar>
            <w:vAlign w:val="center"/>
          </w:tcPr>
          <w:p w14:paraId="12661B39">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default" w:ascii="Times New Roman" w:hAnsi="Times New Roman" w:eastAsia="宋体" w:cs="Times New Roman"/>
                <w:b w:val="0"/>
                <w:bCs w:val="0"/>
                <w:sz w:val="21"/>
                <w:highlight w:val="none"/>
                <w:lang w:val="en-US" w:eastAsia="zh-CN" w:bidi="ar-SA"/>
              </w:rPr>
            </w:pPr>
            <w:r>
              <w:rPr>
                <w:rFonts w:hint="default" w:ascii="Times New Roman" w:hAnsi="Times New Roman" w:eastAsia="宋体" w:cs="Times New Roman"/>
                <w:b w:val="0"/>
                <w:bCs w:val="0"/>
                <w:sz w:val="21"/>
                <w:highlight w:val="none"/>
                <w:lang w:val="en-US" w:eastAsia="zh-CN" w:bidi="ar-SA"/>
              </w:rPr>
              <w:t>新疆兴发化工有限公司为化工企业，生产二甲基亚砜，位于本园区天然气化工产业区块，符合园区定位。新疆兴悦化工有限公司采用新疆兴发化工有限公司有机废气作为部分燃料，节约能源，产生的蒸汽供应给新疆兴发化工有限公司，符合园区循环产业思路，基本符合园区定位。</w:t>
            </w:r>
          </w:p>
        </w:tc>
        <w:tc>
          <w:tcPr>
            <w:tcW w:w="1336" w:type="pct"/>
            <w:tcBorders>
              <w:tl2br w:val="nil"/>
              <w:tr2bl w:val="nil"/>
            </w:tcBorders>
            <w:noWrap w:val="0"/>
            <w:tcMar>
              <w:top w:w="0" w:type="dxa"/>
              <w:left w:w="108" w:type="dxa"/>
              <w:bottom w:w="0" w:type="dxa"/>
              <w:right w:w="108" w:type="dxa"/>
            </w:tcMar>
            <w:vAlign w:val="center"/>
          </w:tcPr>
          <w:p w14:paraId="49BFA899">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val="0"/>
                <w:bCs w:val="0"/>
                <w:sz w:val="21"/>
                <w:highlight w:val="none"/>
                <w:lang w:val="en-US" w:eastAsia="zh-CN"/>
              </w:rPr>
            </w:pPr>
            <w:r>
              <w:rPr>
                <w:rFonts w:hint="eastAsia" w:cs="Times New Roman"/>
                <w:b w:val="0"/>
                <w:bCs w:val="0"/>
                <w:sz w:val="21"/>
                <w:highlight w:val="none"/>
                <w:lang w:val="en-US" w:eastAsia="zh-CN"/>
              </w:rPr>
              <w:t>本项目在与</w:t>
            </w:r>
            <w:r>
              <w:rPr>
                <w:rFonts w:hint="default" w:ascii="Times New Roman" w:hAnsi="Times New Roman" w:eastAsia="宋体" w:cs="Times New Roman"/>
                <w:b w:val="0"/>
                <w:bCs w:val="0"/>
                <w:sz w:val="21"/>
                <w:highlight w:val="none"/>
                <w:lang w:val="en-US" w:eastAsia="zh-CN" w:bidi="ar-SA"/>
              </w:rPr>
              <w:t>新疆兴发化工有限公司</w:t>
            </w:r>
            <w:r>
              <w:rPr>
                <w:rFonts w:hint="eastAsia" w:cs="Times New Roman"/>
                <w:b w:val="0"/>
                <w:bCs w:val="0"/>
                <w:sz w:val="21"/>
                <w:highlight w:val="none"/>
                <w:lang w:val="en-US" w:eastAsia="zh-CN"/>
              </w:rPr>
              <w:t>原有关系基础上，通过本项目深入贯彻循环产业思路，符合园区定位</w:t>
            </w:r>
          </w:p>
        </w:tc>
      </w:tr>
      <w:tr w14:paraId="46BDDD02">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7DC5C002">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shd w:val="clear" w:color="auto" w:fill="auto"/>
            <w:noWrap w:val="0"/>
            <w:tcMar>
              <w:top w:w="0" w:type="dxa"/>
              <w:left w:w="108" w:type="dxa"/>
              <w:bottom w:w="0" w:type="dxa"/>
              <w:right w:w="108" w:type="dxa"/>
            </w:tcMar>
            <w:vAlign w:val="center"/>
          </w:tcPr>
          <w:p w14:paraId="1ACC2D40">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default" w:ascii="Times New Roman" w:hAnsi="Times New Roman" w:eastAsia="宋体" w:cs="Times New Roman"/>
                <w:b w:val="0"/>
                <w:bCs w:val="0"/>
                <w:sz w:val="21"/>
                <w:highlight w:val="none"/>
                <w:lang w:eastAsia="zh-CN"/>
              </w:rPr>
            </w:pPr>
            <w:r>
              <w:rPr>
                <w:rFonts w:hint="default" w:ascii="Times New Roman" w:hAnsi="Times New Roman" w:eastAsia="宋体" w:cs="Times New Roman"/>
                <w:b w:val="0"/>
                <w:bCs w:val="0"/>
                <w:sz w:val="21"/>
                <w:highlight w:val="none"/>
                <w:lang w:eastAsia="zh-CN"/>
              </w:rPr>
              <w:t>规划优化调整建议</w:t>
            </w:r>
            <w:r>
              <w:rPr>
                <w:rFonts w:hint="eastAsia" w:cs="Times New Roman"/>
                <w:b w:val="0"/>
                <w:bCs w:val="0"/>
                <w:sz w:val="21"/>
                <w:highlight w:val="none"/>
                <w:lang w:eastAsia="zh-CN"/>
              </w:rPr>
              <w:t>。产业规模调整：本化工产业集中区现状建设有新疆兴悦化工有限公司，为水泥企业，本次环评提出整改要求，新疆兴悦化工有限公司未来发展中不得新建及扩建与本化工产业集中区定位不相符项目。</w:t>
            </w:r>
          </w:p>
        </w:tc>
        <w:tc>
          <w:tcPr>
            <w:tcW w:w="1336" w:type="pct"/>
            <w:tcBorders>
              <w:tl2br w:val="nil"/>
              <w:tr2bl w:val="nil"/>
            </w:tcBorders>
            <w:noWrap w:val="0"/>
            <w:tcMar>
              <w:top w:w="0" w:type="dxa"/>
              <w:left w:w="108" w:type="dxa"/>
              <w:bottom w:w="0" w:type="dxa"/>
              <w:right w:w="108" w:type="dxa"/>
            </w:tcMar>
            <w:vAlign w:val="center"/>
          </w:tcPr>
          <w:p w14:paraId="65F672E0">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val="0"/>
                <w:bCs w:val="0"/>
                <w:sz w:val="21"/>
                <w:highlight w:val="none"/>
                <w:lang w:val="en-US" w:eastAsia="zh-CN"/>
              </w:rPr>
            </w:pPr>
            <w:r>
              <w:rPr>
                <w:rFonts w:hint="default" w:ascii="Times New Roman" w:hAnsi="Times New Roman" w:cs="Times New Roman"/>
                <w:b w:val="0"/>
                <w:bCs w:val="0"/>
                <w:sz w:val="21"/>
                <w:highlight w:val="none"/>
                <w:lang w:val="en-US" w:eastAsia="zh-CN"/>
              </w:rPr>
              <w:t>本项目</w:t>
            </w:r>
            <w:r>
              <w:rPr>
                <w:rFonts w:hint="eastAsia" w:ascii="Times New Roman" w:hAnsi="Times New Roman" w:cs="Times New Roman"/>
                <w:b w:val="0"/>
                <w:bCs w:val="0"/>
                <w:sz w:val="21"/>
                <w:highlight w:val="none"/>
                <w:lang w:val="en-US" w:eastAsia="zh-CN"/>
              </w:rPr>
              <w:t>在企业</w:t>
            </w:r>
            <w:r>
              <w:rPr>
                <w:rFonts w:hint="default" w:ascii="Times New Roman" w:hAnsi="Times New Roman" w:cs="Times New Roman"/>
                <w:b w:val="0"/>
                <w:bCs w:val="0"/>
                <w:sz w:val="21"/>
                <w:highlight w:val="none"/>
                <w:lang w:val="en-US" w:eastAsia="zh-CN"/>
              </w:rPr>
              <w:t>现有水泥窑</w:t>
            </w:r>
            <w:r>
              <w:rPr>
                <w:rFonts w:hint="eastAsia" w:ascii="Times New Roman" w:hAnsi="Times New Roman" w:cs="Times New Roman"/>
                <w:b w:val="0"/>
                <w:bCs w:val="0"/>
                <w:sz w:val="21"/>
                <w:highlight w:val="none"/>
                <w:lang w:val="en-US" w:eastAsia="zh-CN"/>
              </w:rPr>
              <w:t>的基础上，</w:t>
            </w:r>
            <w:r>
              <w:rPr>
                <w:rFonts w:hint="default" w:ascii="Times New Roman" w:hAnsi="Times New Roman" w:cs="Times New Roman"/>
                <w:b w:val="0"/>
                <w:bCs w:val="0"/>
                <w:sz w:val="21"/>
                <w:highlight w:val="none"/>
                <w:lang w:val="en-US" w:eastAsia="zh-CN"/>
              </w:rPr>
              <w:t>协同处置</w:t>
            </w:r>
            <w:r>
              <w:rPr>
                <w:rFonts w:hint="eastAsia" w:ascii="Times New Roman" w:hAnsi="Times New Roman" w:cs="Times New Roman"/>
                <w:b w:val="0"/>
                <w:bCs w:val="0"/>
                <w:sz w:val="21"/>
                <w:highlight w:val="none"/>
                <w:lang w:val="en-US" w:eastAsia="zh-CN"/>
              </w:rPr>
              <w:t>相邻企业</w:t>
            </w:r>
            <w:r>
              <w:rPr>
                <w:rFonts w:hint="default" w:ascii="Times New Roman" w:hAnsi="Times New Roman" w:cs="Times New Roman"/>
                <w:b w:val="0"/>
                <w:bCs w:val="0"/>
                <w:sz w:val="21"/>
                <w:highlight w:val="none"/>
                <w:lang w:val="en-US" w:eastAsia="zh-CN"/>
              </w:rPr>
              <w:t>新疆兴发化工有限公司产生的HW11精（蒸）馏残渣（900-013-11）</w:t>
            </w:r>
            <w:r>
              <w:rPr>
                <w:rFonts w:hint="eastAsia" w:ascii="Times New Roman" w:hAnsi="Times New Roman" w:cs="Times New Roman"/>
                <w:b w:val="0"/>
                <w:bCs w:val="0"/>
                <w:sz w:val="21"/>
                <w:highlight w:val="none"/>
                <w:lang w:val="en-US" w:eastAsia="zh-CN"/>
              </w:rPr>
              <w:t>，</w:t>
            </w:r>
            <w:r>
              <w:rPr>
                <w:rFonts w:hint="eastAsia" w:cs="Times New Roman"/>
                <w:b w:val="0"/>
                <w:bCs w:val="0"/>
                <w:sz w:val="21"/>
                <w:highlight w:val="none"/>
                <w:lang w:val="en-US" w:eastAsia="zh-CN"/>
              </w:rPr>
              <w:t>本项目的建设符合</w:t>
            </w:r>
            <w:r>
              <w:rPr>
                <w:rFonts w:hint="eastAsia" w:cs="Times New Roman"/>
                <w:b w:val="0"/>
                <w:bCs w:val="0"/>
                <w:sz w:val="21"/>
                <w:highlight w:val="none"/>
                <w:lang w:eastAsia="zh-CN"/>
              </w:rPr>
              <w:t>化工产业</w:t>
            </w:r>
            <w:r>
              <w:rPr>
                <w:rFonts w:hint="eastAsia" w:cs="Times New Roman"/>
                <w:b w:val="0"/>
                <w:bCs w:val="0"/>
                <w:sz w:val="21"/>
                <w:highlight w:val="none"/>
                <w:lang w:val="en-US" w:eastAsia="zh-CN"/>
              </w:rPr>
              <w:t>集中区</w:t>
            </w:r>
            <w:r>
              <w:rPr>
                <w:rFonts w:hint="eastAsia" w:ascii="Times New Roman" w:hAnsi="Times New Roman" w:cs="Times New Roman"/>
                <w:b w:val="0"/>
                <w:bCs w:val="0"/>
                <w:sz w:val="21"/>
                <w:highlight w:val="none"/>
                <w:lang w:val="en-US" w:eastAsia="zh-CN"/>
              </w:rPr>
              <w:t>循环经济产业发展理念，与产业定位相符</w:t>
            </w:r>
          </w:p>
        </w:tc>
      </w:tr>
      <w:tr w14:paraId="3DA487B2">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4C00C028">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shd w:val="clear" w:color="auto" w:fill="auto"/>
            <w:noWrap w:val="0"/>
            <w:tcMar>
              <w:top w:w="0" w:type="dxa"/>
              <w:left w:w="108" w:type="dxa"/>
              <w:bottom w:w="0" w:type="dxa"/>
              <w:right w:w="108" w:type="dxa"/>
            </w:tcMar>
            <w:vAlign w:val="center"/>
          </w:tcPr>
          <w:p w14:paraId="0E84400F">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default" w:ascii="Times New Roman" w:hAnsi="Times New Roman" w:eastAsia="宋体" w:cs="Times New Roman"/>
                <w:b w:val="0"/>
                <w:bCs w:val="0"/>
                <w:sz w:val="21"/>
                <w:highlight w:val="none"/>
                <w:lang w:eastAsia="zh-CN"/>
              </w:rPr>
              <w:t>规划项目规模调整建议</w:t>
            </w:r>
            <w:r>
              <w:rPr>
                <w:rFonts w:hint="eastAsia" w:cs="Times New Roman"/>
                <w:b w:val="0"/>
                <w:bCs w:val="0"/>
                <w:sz w:val="21"/>
                <w:highlight w:val="none"/>
                <w:lang w:eastAsia="zh-CN"/>
              </w:rPr>
              <w:t>：本化工产业集中区部分占地（目前已建企业为：新疆兴发化工有限公司、新疆兴悦化工有限公司、阿克苏市新发物流有限公司）位于《阿克苏经济技术开发区总体规划（2018-2035）》西侧的装备制造产业园，定位不属于化工行业。</w:t>
            </w:r>
          </w:p>
          <w:p w14:paraId="2F6DFEF0">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default" w:ascii="Times New Roman" w:hAnsi="Times New Roman" w:eastAsia="宋体" w:cs="Times New Roman"/>
                <w:b w:val="0"/>
                <w:bCs w:val="0"/>
                <w:sz w:val="21"/>
                <w:highlight w:val="none"/>
                <w:lang w:val="en-US" w:eastAsia="zh-CN" w:bidi="ar-SA"/>
              </w:rPr>
            </w:pPr>
            <w:r>
              <w:rPr>
                <w:rFonts w:hint="eastAsia" w:cs="Times New Roman"/>
                <w:b w:val="0"/>
                <w:bCs w:val="0"/>
                <w:sz w:val="21"/>
                <w:highlight w:val="none"/>
                <w:lang w:eastAsia="zh-CN"/>
              </w:rPr>
              <w:t>《阿克苏经济技术开发区总体规划（2018-2035）》后期修编，将本化工产业集中区占用的区域，修编成化工区块，阿克苏经济技术开发区管理委员会应及时制定详细修编计划，最终落实到位。</w:t>
            </w:r>
          </w:p>
        </w:tc>
        <w:tc>
          <w:tcPr>
            <w:tcW w:w="1336" w:type="pct"/>
            <w:tcBorders>
              <w:tl2br w:val="nil"/>
              <w:tr2bl w:val="nil"/>
            </w:tcBorders>
            <w:noWrap w:val="0"/>
            <w:tcMar>
              <w:top w:w="0" w:type="dxa"/>
              <w:left w:w="108" w:type="dxa"/>
              <w:bottom w:w="0" w:type="dxa"/>
              <w:right w:w="108" w:type="dxa"/>
            </w:tcMar>
            <w:vAlign w:val="center"/>
          </w:tcPr>
          <w:p w14:paraId="4E33C8E9">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val="0"/>
                <w:bCs w:val="0"/>
                <w:sz w:val="21"/>
                <w:highlight w:val="none"/>
                <w:lang w:val="en-US" w:eastAsia="zh-CN"/>
              </w:rPr>
            </w:pPr>
            <w:r>
              <w:rPr>
                <w:rFonts w:hint="eastAsia" w:cs="Times New Roman"/>
                <w:b w:val="0"/>
                <w:bCs w:val="0"/>
                <w:sz w:val="21"/>
                <w:highlight w:val="none"/>
                <w:lang w:val="en-US" w:eastAsia="zh-CN"/>
              </w:rPr>
              <w:t>本项目在</w:t>
            </w:r>
            <w:r>
              <w:rPr>
                <w:rFonts w:hint="eastAsia" w:cs="Times New Roman"/>
                <w:b w:val="0"/>
                <w:bCs w:val="0"/>
                <w:sz w:val="21"/>
                <w:highlight w:val="none"/>
                <w:lang w:eastAsia="zh-CN"/>
              </w:rPr>
              <w:t>新疆兴悦化工有限公司</w:t>
            </w:r>
            <w:r>
              <w:rPr>
                <w:rFonts w:hint="eastAsia" w:cs="Times New Roman"/>
                <w:b w:val="0"/>
                <w:bCs w:val="0"/>
                <w:sz w:val="21"/>
                <w:highlight w:val="none"/>
                <w:lang w:val="en-US" w:eastAsia="zh-CN"/>
              </w:rPr>
              <w:t>现有基础上建设，</w:t>
            </w:r>
            <w:r>
              <w:rPr>
                <w:rFonts w:hint="eastAsia" w:cs="Times New Roman"/>
                <w:b w:val="0"/>
                <w:bCs w:val="0"/>
                <w:sz w:val="21"/>
                <w:highlight w:val="none"/>
                <w:lang w:eastAsia="zh-CN"/>
              </w:rPr>
              <w:t>后期《阿克苏经济技术开发区总体规划（2018-2035）》</w:t>
            </w:r>
            <w:r>
              <w:rPr>
                <w:rFonts w:hint="eastAsia" w:cs="Times New Roman"/>
                <w:b w:val="0"/>
                <w:bCs w:val="0"/>
                <w:sz w:val="21"/>
                <w:highlight w:val="none"/>
                <w:lang w:val="en-US" w:eastAsia="zh-CN"/>
              </w:rPr>
              <w:t>进行</w:t>
            </w:r>
            <w:r>
              <w:rPr>
                <w:rFonts w:hint="eastAsia" w:cs="Times New Roman"/>
                <w:b w:val="0"/>
                <w:bCs w:val="0"/>
                <w:sz w:val="21"/>
                <w:highlight w:val="none"/>
                <w:lang w:eastAsia="zh-CN"/>
              </w:rPr>
              <w:t>修编</w:t>
            </w:r>
            <w:r>
              <w:rPr>
                <w:rFonts w:hint="eastAsia" w:cs="Times New Roman"/>
                <w:b w:val="0"/>
                <w:bCs w:val="0"/>
                <w:sz w:val="21"/>
                <w:highlight w:val="none"/>
                <w:lang w:val="en-US" w:eastAsia="zh-CN"/>
              </w:rPr>
              <w:t>时需落实规划环评要求</w:t>
            </w:r>
          </w:p>
        </w:tc>
      </w:tr>
      <w:tr w14:paraId="3668BB7A">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675B5BA7">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shd w:val="clear" w:color="auto" w:fill="auto"/>
            <w:noWrap w:val="0"/>
            <w:tcMar>
              <w:top w:w="0" w:type="dxa"/>
              <w:left w:w="108" w:type="dxa"/>
              <w:bottom w:w="0" w:type="dxa"/>
              <w:right w:w="108" w:type="dxa"/>
            </w:tcMar>
            <w:vAlign w:val="center"/>
          </w:tcPr>
          <w:p w14:paraId="3D9365EB">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default" w:ascii="Times New Roman" w:hAnsi="Times New Roman" w:eastAsia="宋体" w:cs="Times New Roman"/>
                <w:b w:val="0"/>
                <w:bCs w:val="0"/>
                <w:sz w:val="21"/>
                <w:highlight w:val="none"/>
                <w:lang w:val="en-US" w:eastAsia="zh-CN" w:bidi="ar-SA"/>
              </w:rPr>
            </w:pPr>
            <w:r>
              <w:rPr>
                <w:rFonts w:hint="eastAsia" w:cs="Times New Roman"/>
                <w:b w:val="0"/>
                <w:bCs w:val="0"/>
                <w:sz w:val="21"/>
                <w:highlight w:val="none"/>
                <w:lang w:eastAsia="zh-CN"/>
              </w:rPr>
              <w:t>化工区危险废物处理处置大体可分为两种方式：含贵金属的化工废催化剂，一般由厂家回收；其余的危废可就近委托库车红狮水泥有限公司处置，库车红狮水泥有限公司位于新疆阿克苏地区库车市牙哈镇牙哈一大队，其危险废物经营许可证编号为6529230063，经营方式为收集、贮存、处置，经营规模为10万吨/年，可处置的废物类别为《国家危险废物名录（2021年）》中13大类124种危险废物，分别为：HW04农药废物、HW06废有机溶剂与含有机溶剂废物、HW08废矿物油与含矿物油废物、HW11精（蒸）馏残渣、HW12染料、涂料废物、HW13有机树脂类废物、HW17表面处理废物、HW18焚烧处置残渣、HW21含铬废物、HW46含镍废物、HW48有色金属冶炼废物、HW49其他废物、HW5废催化剂</w:t>
            </w:r>
          </w:p>
        </w:tc>
        <w:tc>
          <w:tcPr>
            <w:tcW w:w="1336" w:type="pct"/>
            <w:tcBorders>
              <w:tl2br w:val="nil"/>
              <w:tr2bl w:val="nil"/>
            </w:tcBorders>
            <w:noWrap w:val="0"/>
            <w:tcMar>
              <w:top w:w="0" w:type="dxa"/>
              <w:left w:w="108" w:type="dxa"/>
              <w:bottom w:w="0" w:type="dxa"/>
              <w:right w:w="108" w:type="dxa"/>
            </w:tcMar>
            <w:vAlign w:val="center"/>
          </w:tcPr>
          <w:p w14:paraId="1592E512">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val="0"/>
                <w:bCs w:val="0"/>
                <w:sz w:val="21"/>
                <w:highlight w:val="none"/>
                <w:lang w:val="en-US" w:eastAsia="zh-CN"/>
              </w:rPr>
            </w:pPr>
            <w:r>
              <w:rPr>
                <w:rFonts w:hint="eastAsia" w:cs="Times New Roman"/>
                <w:b w:val="0"/>
                <w:bCs w:val="0"/>
                <w:sz w:val="21"/>
                <w:highlight w:val="none"/>
                <w:lang w:val="en-US" w:eastAsia="zh-CN"/>
              </w:rPr>
              <w:t>本项目建成后，由新疆兴发化工有限公司产生的</w:t>
            </w:r>
            <w:r>
              <w:rPr>
                <w:rFonts w:hint="eastAsia" w:cs="Times New Roman"/>
                <w:b w:val="0"/>
                <w:bCs w:val="0"/>
                <w:sz w:val="21"/>
                <w:highlight w:val="none"/>
                <w:lang w:eastAsia="zh-CN"/>
              </w:rPr>
              <w:t>HW11精（蒸）馏残渣</w:t>
            </w:r>
            <w:r>
              <w:rPr>
                <w:rFonts w:hint="eastAsia" w:cs="Times New Roman"/>
                <w:b w:val="0"/>
                <w:bCs w:val="0"/>
                <w:sz w:val="21"/>
                <w:highlight w:val="none"/>
                <w:lang w:val="en-US" w:eastAsia="zh-CN"/>
              </w:rPr>
              <w:t>不再委托库车红狮水泥有限公司处置，改为由本项目处置，可有效降低危险废物转移过程中的环境风险，提高危险废物处置效率</w:t>
            </w:r>
          </w:p>
        </w:tc>
      </w:tr>
      <w:tr w14:paraId="781B797A">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30D5ED57">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shd w:val="clear" w:color="auto" w:fill="auto"/>
            <w:noWrap w:val="0"/>
            <w:tcMar>
              <w:top w:w="0" w:type="dxa"/>
              <w:left w:w="108" w:type="dxa"/>
              <w:bottom w:w="0" w:type="dxa"/>
              <w:right w:w="108" w:type="dxa"/>
            </w:tcMar>
            <w:vAlign w:val="center"/>
          </w:tcPr>
          <w:p w14:paraId="2CA080A4">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eastAsia" w:cs="Times New Roman"/>
                <w:b w:val="0"/>
                <w:bCs w:val="0"/>
                <w:sz w:val="21"/>
                <w:highlight w:val="none"/>
                <w:lang w:eastAsia="zh-CN"/>
              </w:rPr>
              <w:t>新、改、扩建项目必须严格落实国家《产业结构调整指导目录》（2019年本）（及修改单）、《西部地区鼓励类产业目录（2020年本）》、《中国制造2025新疆行动方案》、《自治区严禁“三高”项目进新疆推动经济高质量发展实施方案》（新党厅字〔2018〕74号）等要求，对项目产品、工艺、技术、装备等属于限制类或淘汰类的，一律禁止建设。</w:t>
            </w:r>
          </w:p>
          <w:p w14:paraId="43CD7F39">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eastAsia" w:cs="Times New Roman"/>
                <w:b w:val="0"/>
                <w:bCs w:val="0"/>
                <w:sz w:val="21"/>
                <w:highlight w:val="none"/>
                <w:lang w:eastAsia="zh-CN"/>
              </w:rPr>
              <w:t>提高园区企业和项目准入门槛，鼓励能耗低、工艺先进、废气污染物排放量少的企业入区。依据《严重污染环境（大气）的淘汰工艺和设备名录》，严禁大气污染严重的企业和项目入区。</w:t>
            </w:r>
          </w:p>
        </w:tc>
        <w:tc>
          <w:tcPr>
            <w:tcW w:w="1336" w:type="pct"/>
            <w:tcBorders>
              <w:tl2br w:val="nil"/>
              <w:tr2bl w:val="nil"/>
            </w:tcBorders>
            <w:noWrap w:val="0"/>
            <w:tcMar>
              <w:top w:w="0" w:type="dxa"/>
              <w:left w:w="108" w:type="dxa"/>
              <w:bottom w:w="0" w:type="dxa"/>
              <w:right w:w="108" w:type="dxa"/>
            </w:tcMar>
            <w:vAlign w:val="center"/>
          </w:tcPr>
          <w:p w14:paraId="2D1C22F0">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b w:val="0"/>
                <w:bCs w:val="0"/>
                <w:sz w:val="21"/>
                <w:highlight w:val="none"/>
                <w:lang w:val="en-US" w:eastAsia="zh-CN"/>
              </w:rPr>
            </w:pPr>
            <w:r>
              <w:rPr>
                <w:rFonts w:hint="eastAsia" w:cs="Times New Roman"/>
                <w:b w:val="0"/>
                <w:bCs w:val="0"/>
                <w:sz w:val="21"/>
                <w:highlight w:val="none"/>
                <w:lang w:val="en-US" w:eastAsia="zh-CN"/>
              </w:rPr>
              <w:t>本项目属于《产业结构调整指导目录（2024年本）》中鼓励类项目，符合准入要求</w:t>
            </w:r>
          </w:p>
        </w:tc>
      </w:tr>
      <w:tr w14:paraId="6FBB26EA">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4D233399">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shd w:val="clear" w:color="auto" w:fill="auto"/>
            <w:noWrap w:val="0"/>
            <w:tcMar>
              <w:top w:w="0" w:type="dxa"/>
              <w:left w:w="108" w:type="dxa"/>
              <w:bottom w:w="0" w:type="dxa"/>
              <w:right w:w="108" w:type="dxa"/>
            </w:tcMar>
            <w:vAlign w:val="center"/>
          </w:tcPr>
          <w:p w14:paraId="7C39F455">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eastAsia" w:cs="Times New Roman"/>
                <w:b w:val="0"/>
                <w:bCs w:val="0"/>
                <w:sz w:val="21"/>
                <w:highlight w:val="none"/>
                <w:lang w:eastAsia="zh-CN"/>
              </w:rPr>
              <w:t>考虑到园区产业特征，对于工业粉尘，本评价建议企业优先选用袋式除尘器，运行过程中同时应定期对布袋进行反吹扫或进行定期更换。同时入区企业在工艺设计上应尽量减少含尘废气排污节点，对于含尘气体收集后能够集中治理的应进行集中治理，合用排气筒。除尘器选择上的应遵循选用的除尘器必须满足国家或地方规定的排放标准；除尘效果好；无二次污染；投资小，占地少。</w:t>
            </w:r>
          </w:p>
        </w:tc>
        <w:tc>
          <w:tcPr>
            <w:tcW w:w="1336" w:type="pct"/>
            <w:tcBorders>
              <w:tl2br w:val="nil"/>
              <w:tr2bl w:val="nil"/>
            </w:tcBorders>
            <w:noWrap w:val="0"/>
            <w:tcMar>
              <w:top w:w="0" w:type="dxa"/>
              <w:left w:w="108" w:type="dxa"/>
              <w:bottom w:w="0" w:type="dxa"/>
              <w:right w:w="108" w:type="dxa"/>
            </w:tcMar>
            <w:vAlign w:val="center"/>
          </w:tcPr>
          <w:p w14:paraId="7391F096">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b w:val="0"/>
                <w:bCs w:val="0"/>
                <w:sz w:val="21"/>
                <w:highlight w:val="none"/>
                <w:lang w:val="en-US" w:eastAsia="zh-CN"/>
              </w:rPr>
            </w:pPr>
            <w:r>
              <w:rPr>
                <w:rFonts w:hint="eastAsia" w:cs="Times New Roman"/>
                <w:b w:val="0"/>
                <w:bCs w:val="0"/>
                <w:sz w:val="21"/>
                <w:highlight w:val="none"/>
                <w:lang w:val="en-US" w:eastAsia="zh-CN"/>
              </w:rPr>
              <w:t>本项目进料系统全密闭，打散机与皮带输送设备上方各设置1套袋式除尘器+15m排气筒，污染物排放满足《水泥工业大气污染物排放标准》（GB 4915-2013）（含2025年修改单）中表1排放限值要求</w:t>
            </w:r>
          </w:p>
        </w:tc>
      </w:tr>
      <w:tr w14:paraId="5048C988">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3EEE20ED">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shd w:val="clear" w:color="auto" w:fill="auto"/>
            <w:noWrap w:val="0"/>
            <w:tcMar>
              <w:top w:w="0" w:type="dxa"/>
              <w:left w:w="108" w:type="dxa"/>
              <w:bottom w:w="0" w:type="dxa"/>
              <w:right w:w="108" w:type="dxa"/>
            </w:tcMar>
            <w:vAlign w:val="center"/>
          </w:tcPr>
          <w:p w14:paraId="5787B524">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eastAsia" w:cs="Times New Roman"/>
                <w:b w:val="0"/>
                <w:bCs w:val="0"/>
                <w:sz w:val="21"/>
                <w:highlight w:val="none"/>
                <w:lang w:eastAsia="zh-CN"/>
              </w:rPr>
              <w:t>固废处理措施：按照“减量化、资源化、无害化”的原则，对固体废物妥善处置。一般固体废物应通过项目自身或园区内企业进行综合利用，无法综合利用的就近安全处置。危险废物应立足于自身或依托园区内外危险废物集中设施处置。固体废物贮存和处置系统应满足相关污染控制技术规范和标准要求。</w:t>
            </w:r>
          </w:p>
        </w:tc>
        <w:tc>
          <w:tcPr>
            <w:tcW w:w="1336" w:type="pct"/>
            <w:tcBorders>
              <w:tl2br w:val="nil"/>
              <w:tr2bl w:val="nil"/>
            </w:tcBorders>
            <w:noWrap w:val="0"/>
            <w:tcMar>
              <w:top w:w="0" w:type="dxa"/>
              <w:left w:w="108" w:type="dxa"/>
              <w:bottom w:w="0" w:type="dxa"/>
              <w:right w:w="108" w:type="dxa"/>
            </w:tcMar>
            <w:vAlign w:val="center"/>
          </w:tcPr>
          <w:p w14:paraId="7CEE5353">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b w:val="0"/>
                <w:bCs w:val="0"/>
                <w:sz w:val="21"/>
                <w:highlight w:val="none"/>
                <w:lang w:val="en-US" w:eastAsia="zh-CN"/>
              </w:rPr>
            </w:pPr>
            <w:r>
              <w:rPr>
                <w:rFonts w:hint="eastAsia" w:cs="Times New Roman"/>
                <w:b w:val="0"/>
                <w:bCs w:val="0"/>
                <w:sz w:val="21"/>
                <w:highlight w:val="none"/>
                <w:lang w:val="en-US" w:eastAsia="zh-CN"/>
              </w:rPr>
              <w:t>本项目建成后由新疆兴发化工有限公司产生的</w:t>
            </w:r>
            <w:r>
              <w:rPr>
                <w:rFonts w:hint="eastAsia" w:cs="Times New Roman"/>
                <w:b w:val="0"/>
                <w:bCs w:val="0"/>
                <w:sz w:val="21"/>
                <w:highlight w:val="none"/>
                <w:lang w:eastAsia="zh-CN"/>
              </w:rPr>
              <w:t>HW11精（蒸）馏残渣</w:t>
            </w:r>
            <w:r>
              <w:rPr>
                <w:rFonts w:hint="eastAsia" w:cs="Times New Roman"/>
                <w:b w:val="0"/>
                <w:bCs w:val="0"/>
                <w:sz w:val="21"/>
                <w:highlight w:val="none"/>
                <w:lang w:val="en-US" w:eastAsia="zh-CN"/>
              </w:rPr>
              <w:t>可就行安全处置，处置过程</w:t>
            </w:r>
            <w:r>
              <w:rPr>
                <w:rFonts w:hint="eastAsia" w:cs="Times New Roman"/>
                <w:b w:val="0"/>
                <w:bCs w:val="0"/>
                <w:sz w:val="21"/>
                <w:highlight w:val="none"/>
                <w:lang w:eastAsia="zh-CN"/>
              </w:rPr>
              <w:t>满足相关污染控制技术规范和标准要求</w:t>
            </w:r>
          </w:p>
        </w:tc>
      </w:tr>
      <w:tr w14:paraId="1079917D">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4A46B3A3">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shd w:val="clear" w:color="auto" w:fill="auto"/>
            <w:noWrap w:val="0"/>
            <w:tcMar>
              <w:top w:w="0" w:type="dxa"/>
              <w:left w:w="108" w:type="dxa"/>
              <w:bottom w:w="0" w:type="dxa"/>
              <w:right w:w="108" w:type="dxa"/>
            </w:tcMar>
            <w:vAlign w:val="center"/>
          </w:tcPr>
          <w:p w14:paraId="4E3CACD3">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default" w:ascii="Times New Roman" w:hAnsi="Times New Roman" w:eastAsia="宋体" w:cs="Times New Roman"/>
                <w:color w:val="auto"/>
                <w:spacing w:val="-11"/>
                <w:sz w:val="21"/>
                <w:szCs w:val="21"/>
                <w:highlight w:val="none"/>
              </w:rPr>
              <w:t>改、扩建项目全面梳理现有工程的环保问题，提出整改措施</w:t>
            </w:r>
          </w:p>
        </w:tc>
        <w:tc>
          <w:tcPr>
            <w:tcW w:w="1336" w:type="pct"/>
            <w:tcBorders>
              <w:tl2br w:val="nil"/>
              <w:tr2bl w:val="nil"/>
            </w:tcBorders>
            <w:noWrap w:val="0"/>
            <w:tcMar>
              <w:top w:w="0" w:type="dxa"/>
              <w:left w:w="108" w:type="dxa"/>
              <w:bottom w:w="0" w:type="dxa"/>
              <w:right w:w="108" w:type="dxa"/>
            </w:tcMar>
            <w:vAlign w:val="center"/>
          </w:tcPr>
          <w:p w14:paraId="36566B8C">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b w:val="0"/>
                <w:bCs w:val="0"/>
                <w:sz w:val="21"/>
                <w:highlight w:val="none"/>
                <w:lang w:val="en-US" w:eastAsia="zh-CN"/>
              </w:rPr>
            </w:pPr>
            <w:r>
              <w:rPr>
                <w:rFonts w:hint="eastAsia" w:cs="Times New Roman"/>
                <w:b w:val="0"/>
                <w:bCs w:val="0"/>
                <w:sz w:val="21"/>
                <w:highlight w:val="none"/>
                <w:lang w:val="en-US" w:eastAsia="zh-CN"/>
              </w:rPr>
              <w:t>本项目已针对企业现有环保问题提出对应整改措施要求</w:t>
            </w:r>
          </w:p>
        </w:tc>
      </w:tr>
      <w:tr w14:paraId="12515FCF">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restart"/>
            <w:tcBorders>
              <w:tl2br w:val="nil"/>
              <w:tr2bl w:val="nil"/>
            </w:tcBorders>
            <w:noWrap w:val="0"/>
            <w:tcMar>
              <w:top w:w="0" w:type="dxa"/>
              <w:left w:w="108" w:type="dxa"/>
              <w:bottom w:w="0" w:type="dxa"/>
              <w:right w:w="108" w:type="dxa"/>
            </w:tcMar>
            <w:vAlign w:val="center"/>
          </w:tcPr>
          <w:p w14:paraId="53706844">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r>
              <w:rPr>
                <w:rFonts w:hint="eastAsia" w:cs="Times New Roman"/>
                <w:b w:val="0"/>
                <w:bCs w:val="0"/>
                <w:sz w:val="21"/>
                <w:highlight w:val="none"/>
                <w:lang w:eastAsia="zh-CN"/>
              </w:rPr>
              <w:t>关于《阿克苏经济技术开发区化工产业集中区总体规划(2022-2035年)环境影响报告书》的审查意见（新环审[2023]185号）</w:t>
            </w:r>
          </w:p>
        </w:tc>
        <w:tc>
          <w:tcPr>
            <w:tcW w:w="2878" w:type="pct"/>
            <w:gridSpan w:val="2"/>
            <w:tcBorders>
              <w:tl2br w:val="nil"/>
              <w:tr2bl w:val="nil"/>
            </w:tcBorders>
            <w:noWrap w:val="0"/>
            <w:tcMar>
              <w:top w:w="0" w:type="dxa"/>
              <w:left w:w="108" w:type="dxa"/>
              <w:bottom w:w="0" w:type="dxa"/>
              <w:right w:w="108" w:type="dxa"/>
            </w:tcMar>
            <w:vAlign w:val="center"/>
          </w:tcPr>
          <w:p w14:paraId="533151EB">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default" w:cs="Times New Roman"/>
                <w:b w:val="0"/>
                <w:bCs w:val="0"/>
                <w:sz w:val="21"/>
                <w:highlight w:val="none"/>
                <w:lang w:val="en-US" w:eastAsia="zh-CN"/>
              </w:rPr>
            </w:pPr>
            <w:r>
              <w:rPr>
                <w:rFonts w:hint="eastAsia" w:cs="Times New Roman"/>
                <w:b w:val="0"/>
                <w:bCs w:val="0"/>
                <w:sz w:val="21"/>
                <w:highlight w:val="none"/>
                <w:lang w:eastAsia="zh-CN"/>
              </w:rPr>
              <w:t>(一)坚决遏制“两高”行业盲目发展，优化园区产业结构、规划布局和实施时序，坚持绿色发展。结合区域实际及阿克苏经济技术开发区总体规划，依据所在产业区块功能及环保要求，合理确定园区产业结构和布局，论证园区发展天然气化工及配套硫化工的条件及规模。通过调整能源消费结构、加强资源循环利用，统筹协调推进经济和社会发展各领域，深入开展应对气候变化工作，切实增强控制温室气体排放能力。促进经济绿色低碳可持续发展、引导化工产业向绿色低碳方向转型，推动减污降碳协同管控。同时综合考虑园区企业现状情况及环境管理要求，加强环境影响评价事中事后监管，进一步督促园区企业认真执行环境影响评价制度、排污许可制度和环保验收“三同时”制度，及时发现、查处“未批先建”“未验先投”等环境违法违规行为。针对园区存在的企业产业布局不相符、污水处理厂基础配套设施不足，再生水利用率不高，环境风险防控、环境管理等环境问题等，细化整改方案和计划，并有序推进，强化园区环境综合治理，妥善解决</w:t>
            </w:r>
            <w:r>
              <w:rPr>
                <w:rFonts w:hint="eastAsia" w:cs="Times New Roman"/>
                <w:b w:val="0"/>
                <w:bCs w:val="0"/>
                <w:sz w:val="21"/>
                <w:highlight w:val="none"/>
                <w:lang w:val="en-US" w:eastAsia="zh-CN"/>
              </w:rPr>
              <w:t>现有环境问题</w:t>
            </w:r>
          </w:p>
        </w:tc>
        <w:tc>
          <w:tcPr>
            <w:tcW w:w="1336" w:type="pct"/>
            <w:tcBorders>
              <w:tl2br w:val="nil"/>
              <w:tr2bl w:val="nil"/>
            </w:tcBorders>
            <w:noWrap w:val="0"/>
            <w:tcMar>
              <w:top w:w="0" w:type="dxa"/>
              <w:left w:w="108" w:type="dxa"/>
              <w:bottom w:w="0" w:type="dxa"/>
              <w:right w:w="108" w:type="dxa"/>
            </w:tcMar>
            <w:vAlign w:val="center"/>
          </w:tcPr>
          <w:p w14:paraId="75857E87">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val="0"/>
                <w:bCs w:val="0"/>
                <w:sz w:val="21"/>
                <w:highlight w:val="none"/>
                <w:lang w:val="en-US" w:eastAsia="zh-CN"/>
              </w:rPr>
            </w:pPr>
            <w:r>
              <w:rPr>
                <w:rFonts w:hint="eastAsia" w:cs="Times New Roman"/>
                <w:b w:val="0"/>
                <w:bCs w:val="0"/>
                <w:sz w:val="21"/>
                <w:highlight w:val="none"/>
                <w:lang w:val="en-US" w:eastAsia="zh-CN"/>
              </w:rPr>
              <w:t>本项目不属于两高项目，本项目的建设</w:t>
            </w:r>
            <w:r>
              <w:rPr>
                <w:rFonts w:hint="eastAsia" w:ascii="Times New Roman" w:hAnsi="Times New Roman" w:cs="Times New Roman"/>
                <w:b w:val="0"/>
                <w:bCs w:val="0"/>
                <w:sz w:val="21"/>
                <w:highlight w:val="none"/>
                <w:lang w:val="en-US" w:eastAsia="zh-CN"/>
              </w:rPr>
              <w:t>符合园区产业定位要求，目前正在办理环评手续，项目建成后将依法执行排污许可制度和环保验收“三同时”制度</w:t>
            </w:r>
          </w:p>
        </w:tc>
      </w:tr>
      <w:tr w14:paraId="7D5B0EC3">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78AC2FB5">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noWrap w:val="0"/>
            <w:tcMar>
              <w:top w:w="0" w:type="dxa"/>
              <w:left w:w="108" w:type="dxa"/>
              <w:bottom w:w="0" w:type="dxa"/>
              <w:right w:w="108" w:type="dxa"/>
            </w:tcMar>
            <w:vAlign w:val="center"/>
          </w:tcPr>
          <w:p w14:paraId="352D4793">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eastAsia" w:cs="Times New Roman"/>
                <w:b w:val="0"/>
                <w:bCs w:val="0"/>
                <w:sz w:val="21"/>
                <w:highlight w:val="none"/>
                <w:lang w:eastAsia="zh-CN"/>
              </w:rPr>
              <w:t>(二)加强空间管控，严守生态保护红线。衔接阿克苏地区国土空间规划、阿克苏市国土空间规划及“三线一单”更新成果，进一步优化园区空间布局，完善生态环境各要素保障，重点关注区域大气环境、地下水环境、土壤环境质量，细化园区所在生态环境管控单元的管控要求，保障规划实施不突破区域生态保护红线、环境质量底线和资源利用上线。</w:t>
            </w:r>
          </w:p>
        </w:tc>
        <w:tc>
          <w:tcPr>
            <w:tcW w:w="1336" w:type="pct"/>
            <w:tcBorders>
              <w:tl2br w:val="nil"/>
              <w:tr2bl w:val="nil"/>
            </w:tcBorders>
            <w:noWrap w:val="0"/>
            <w:tcMar>
              <w:top w:w="0" w:type="dxa"/>
              <w:left w:w="108" w:type="dxa"/>
              <w:bottom w:w="0" w:type="dxa"/>
              <w:right w:w="108" w:type="dxa"/>
            </w:tcMar>
            <w:vAlign w:val="center"/>
          </w:tcPr>
          <w:p w14:paraId="373D0A0A">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val="0"/>
                <w:bCs w:val="0"/>
                <w:sz w:val="21"/>
                <w:highlight w:val="none"/>
                <w:lang w:val="en-US" w:eastAsia="zh-CN"/>
              </w:rPr>
            </w:pPr>
            <w:r>
              <w:rPr>
                <w:rFonts w:hint="eastAsia" w:cs="Times New Roman"/>
                <w:b w:val="0"/>
                <w:bCs w:val="0"/>
                <w:sz w:val="21"/>
                <w:highlight w:val="none"/>
                <w:lang w:val="en-US" w:eastAsia="zh-CN"/>
              </w:rPr>
              <w:t>本项目不涉及生态保护红线范围，本项目的建设符合国土空间规划和“三线一单”管控要求，项目的实施不会环境质量底线和资源利用上线</w:t>
            </w:r>
          </w:p>
        </w:tc>
      </w:tr>
      <w:tr w14:paraId="15C3B4F2">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7CF05D6D">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noWrap w:val="0"/>
            <w:tcMar>
              <w:top w:w="0" w:type="dxa"/>
              <w:left w:w="108" w:type="dxa"/>
              <w:bottom w:w="0" w:type="dxa"/>
              <w:right w:w="108" w:type="dxa"/>
            </w:tcMar>
            <w:vAlign w:val="center"/>
          </w:tcPr>
          <w:p w14:paraId="5C5669AE">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eastAsia" w:cs="Times New Roman"/>
                <w:b w:val="0"/>
                <w:bCs w:val="0"/>
                <w:sz w:val="21"/>
                <w:highlight w:val="none"/>
                <w:lang w:eastAsia="zh-CN"/>
              </w:rPr>
              <w:t>(三)坚守环境质量底线，严格污染物总量管控。依据规划区域及周边环境质量改善目标，落实重点行业污染防治措施，纳入日常环境管理工作，并建立考核机制。科学核定区域污染物排放总量，提出污染物协同脱除、减污降碳协同控制要求。完善园区排水、污水处理、中水利用、危废处置等相关规划内容。各类污染物排放须满足国家及自治区最新污染物排放标准要求。</w:t>
            </w:r>
          </w:p>
        </w:tc>
        <w:tc>
          <w:tcPr>
            <w:tcW w:w="1336" w:type="pct"/>
            <w:tcBorders>
              <w:tl2br w:val="nil"/>
              <w:tr2bl w:val="nil"/>
            </w:tcBorders>
            <w:noWrap w:val="0"/>
            <w:tcMar>
              <w:top w:w="0" w:type="dxa"/>
              <w:left w:w="108" w:type="dxa"/>
              <w:bottom w:w="0" w:type="dxa"/>
              <w:right w:w="108" w:type="dxa"/>
            </w:tcMar>
            <w:vAlign w:val="center"/>
          </w:tcPr>
          <w:p w14:paraId="21CE0011">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val="0"/>
                <w:bCs w:val="0"/>
                <w:sz w:val="21"/>
                <w:highlight w:val="none"/>
                <w:lang w:val="en-US" w:eastAsia="zh-CN"/>
              </w:rPr>
            </w:pPr>
            <w:r>
              <w:rPr>
                <w:rFonts w:hint="eastAsia" w:cs="Times New Roman"/>
                <w:b w:val="0"/>
                <w:bCs w:val="0"/>
                <w:sz w:val="21"/>
                <w:highlight w:val="none"/>
                <w:lang w:val="en-US" w:eastAsia="zh-CN"/>
              </w:rPr>
              <w:t>本项目建成后各项目污染物的排放均满足对应污染物排放标准要求，不会超过总量控制要求</w:t>
            </w:r>
          </w:p>
        </w:tc>
      </w:tr>
      <w:tr w14:paraId="4D7D47EA">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7CE29152">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noWrap w:val="0"/>
            <w:tcMar>
              <w:top w:w="0" w:type="dxa"/>
              <w:left w:w="108" w:type="dxa"/>
              <w:bottom w:w="0" w:type="dxa"/>
              <w:right w:w="108" w:type="dxa"/>
            </w:tcMar>
            <w:vAlign w:val="center"/>
          </w:tcPr>
          <w:p w14:paraId="5DF2910D">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eastAsia" w:cs="Times New Roman"/>
                <w:b w:val="0"/>
                <w:bCs w:val="0"/>
                <w:sz w:val="21"/>
                <w:highlight w:val="none"/>
                <w:lang w:eastAsia="zh-CN"/>
              </w:rPr>
              <w:t>(四)严格资源利用总量和强度“双控”，制定入园产业和项目的环境准入条件。尽快开展园区规划水资源论证审批工作，进一步论证园区供水的合理性与保障性。坚持“以水定产、以水定量”，优化调整园区的产业规模和布局，严格入园产业和项目的环境准入。严格按照规划产业布局入驻企业，结合区域发展定位、开发布局、生态环境保护目标，实行入园企业环保准入审核制度，不符合产业政策、行业准入条件、生态环境准入清单及自治区党委明令禁止的“三高”项目一律不得入驻园区。严格落实引进项目的生产工艺、设备、污染治理技术，以及单位产品能耗、物耗、污染物排放和资源利用率均需达到同行业国内先进水平，积极推进产业技术进步和园区循环化建设。园区水资源利用不得突破批准的水资源利用上线指标，土地资源利用不得突破国土空间规划确定的城镇开发边界。</w:t>
            </w:r>
          </w:p>
        </w:tc>
        <w:tc>
          <w:tcPr>
            <w:tcW w:w="1336" w:type="pct"/>
            <w:tcBorders>
              <w:tl2br w:val="nil"/>
              <w:tr2bl w:val="nil"/>
            </w:tcBorders>
            <w:noWrap w:val="0"/>
            <w:tcMar>
              <w:top w:w="0" w:type="dxa"/>
              <w:left w:w="108" w:type="dxa"/>
              <w:bottom w:w="0" w:type="dxa"/>
              <w:right w:w="108" w:type="dxa"/>
            </w:tcMar>
            <w:vAlign w:val="center"/>
          </w:tcPr>
          <w:p w14:paraId="29716FCE">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b w:val="0"/>
                <w:bCs w:val="0"/>
                <w:sz w:val="21"/>
                <w:highlight w:val="none"/>
                <w:lang w:val="en-US" w:eastAsia="zh-CN"/>
              </w:rPr>
            </w:pPr>
            <w:r>
              <w:rPr>
                <w:rFonts w:hint="eastAsia" w:cs="Times New Roman"/>
                <w:b w:val="0"/>
                <w:bCs w:val="0"/>
                <w:sz w:val="21"/>
                <w:highlight w:val="none"/>
                <w:lang w:val="en-US" w:eastAsia="zh-CN"/>
              </w:rPr>
              <w:t>本项目的建设符合园区准入条件要求，符合相关产业政策和行业准入条件要求，本项目建成后可有效推进园区循环化建设，不会导致园区水资源突破利用上线指标；项目将危险废物输送路线和处置严格控制在企业内，不会突破</w:t>
            </w:r>
            <w:r>
              <w:rPr>
                <w:rFonts w:hint="eastAsia" w:cs="Times New Roman"/>
                <w:b w:val="0"/>
                <w:bCs w:val="0"/>
                <w:sz w:val="21"/>
                <w:highlight w:val="none"/>
                <w:lang w:eastAsia="zh-CN"/>
              </w:rPr>
              <w:t>城镇开发边界</w:t>
            </w:r>
          </w:p>
        </w:tc>
      </w:tr>
      <w:tr w14:paraId="336A8B87">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1DC3A6A8">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noWrap w:val="0"/>
            <w:tcMar>
              <w:top w:w="0" w:type="dxa"/>
              <w:left w:w="108" w:type="dxa"/>
              <w:bottom w:w="0" w:type="dxa"/>
              <w:right w:w="108" w:type="dxa"/>
            </w:tcMar>
            <w:vAlign w:val="center"/>
          </w:tcPr>
          <w:p w14:paraId="50A1CFA7">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eastAsia" w:cs="Times New Roman"/>
                <w:b w:val="0"/>
                <w:bCs w:val="0"/>
                <w:sz w:val="21"/>
                <w:highlight w:val="none"/>
                <w:lang w:eastAsia="zh-CN"/>
              </w:rPr>
              <w:t>(五)加快完善园区环境基础设施建设，推进区域环境质量持续改善和提升。按照“清污分流”、“污污分治”原则规划、设计和建设园区排水系统、废(污)水处理系统和中水回用系统，逐步建成完整的排水和中水回用体系，提高废(污)水回用率。根据园区发展实际，制定切实可行的一般固体废物综合利用方案，严格按照国家有关规定，依法、合规处理处置危险废物。</w:t>
            </w:r>
          </w:p>
        </w:tc>
        <w:tc>
          <w:tcPr>
            <w:tcW w:w="1336" w:type="pct"/>
            <w:tcBorders>
              <w:tl2br w:val="nil"/>
              <w:tr2bl w:val="nil"/>
            </w:tcBorders>
            <w:noWrap w:val="0"/>
            <w:tcMar>
              <w:top w:w="0" w:type="dxa"/>
              <w:left w:w="108" w:type="dxa"/>
              <w:bottom w:w="0" w:type="dxa"/>
              <w:right w:w="108" w:type="dxa"/>
            </w:tcMar>
            <w:vAlign w:val="center"/>
          </w:tcPr>
          <w:p w14:paraId="05431FC5">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b w:val="0"/>
                <w:bCs w:val="0"/>
                <w:sz w:val="21"/>
                <w:highlight w:val="none"/>
                <w:lang w:val="en-US" w:eastAsia="zh-CN"/>
              </w:rPr>
            </w:pPr>
            <w:r>
              <w:rPr>
                <w:rFonts w:hint="eastAsia" w:cs="Times New Roman"/>
                <w:b w:val="0"/>
                <w:bCs w:val="0"/>
                <w:sz w:val="21"/>
                <w:highlight w:val="none"/>
                <w:lang w:val="en-US" w:eastAsia="zh-CN"/>
              </w:rPr>
              <w:t>本项目建成后，由新疆兴发化工有限公司产生的</w:t>
            </w:r>
            <w:r>
              <w:rPr>
                <w:rFonts w:hint="eastAsia" w:cs="Times New Roman"/>
                <w:b w:val="0"/>
                <w:bCs w:val="0"/>
                <w:sz w:val="21"/>
                <w:highlight w:val="none"/>
                <w:lang w:eastAsia="zh-CN"/>
              </w:rPr>
              <w:t>HW11精（蒸）馏残渣</w:t>
            </w:r>
            <w:r>
              <w:rPr>
                <w:rFonts w:hint="eastAsia" w:cs="Times New Roman"/>
                <w:b w:val="0"/>
                <w:bCs w:val="0"/>
                <w:sz w:val="21"/>
                <w:highlight w:val="none"/>
                <w:lang w:val="en-US" w:eastAsia="zh-CN"/>
              </w:rPr>
              <w:t>不再委托库车红狮水泥有限公司处置，改为由本项目处置，可有效降低危险废物转移过程中的环境风险，提高危险废物处置效率，项目在处置过程中严格遵守国家有关规定，确保处置过程合规合法</w:t>
            </w:r>
          </w:p>
        </w:tc>
      </w:tr>
      <w:tr w14:paraId="56BA4977">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5248B54F">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eastAsia" w:cs="Times New Roman"/>
                <w:b w:val="0"/>
                <w:bCs w:val="0"/>
                <w:sz w:val="21"/>
                <w:highlight w:val="none"/>
                <w:lang w:eastAsia="zh-CN"/>
              </w:rPr>
            </w:pPr>
          </w:p>
        </w:tc>
        <w:tc>
          <w:tcPr>
            <w:tcW w:w="2878" w:type="pct"/>
            <w:gridSpan w:val="2"/>
            <w:tcBorders>
              <w:tl2br w:val="nil"/>
              <w:tr2bl w:val="nil"/>
            </w:tcBorders>
            <w:noWrap w:val="0"/>
            <w:tcMar>
              <w:top w:w="0" w:type="dxa"/>
              <w:left w:w="108" w:type="dxa"/>
              <w:bottom w:w="0" w:type="dxa"/>
              <w:right w:w="108" w:type="dxa"/>
            </w:tcMar>
            <w:vAlign w:val="center"/>
          </w:tcPr>
          <w:p w14:paraId="4119EBD7">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eastAsia" w:cs="Times New Roman"/>
                <w:b w:val="0"/>
                <w:bCs w:val="0"/>
                <w:sz w:val="21"/>
                <w:highlight w:val="none"/>
                <w:lang w:eastAsia="zh-CN"/>
              </w:rPr>
            </w:pPr>
            <w:r>
              <w:rPr>
                <w:rFonts w:hint="eastAsia" w:cs="Times New Roman"/>
                <w:b w:val="0"/>
                <w:bCs w:val="0"/>
                <w:sz w:val="21"/>
                <w:highlight w:val="none"/>
                <w:lang w:eastAsia="zh-CN"/>
              </w:rPr>
              <w:t>(六)强化园区环境风险管理，强化突发环境事件应急响应联动机制，保障生态环境安全。足额配备应急物资，定期开展应急演练，不断完善突发环境事件应急预案，防控园区规划实施可能引发的环境风险。</w:t>
            </w:r>
          </w:p>
        </w:tc>
        <w:tc>
          <w:tcPr>
            <w:tcW w:w="1336" w:type="pct"/>
            <w:tcBorders>
              <w:tl2br w:val="nil"/>
              <w:tr2bl w:val="nil"/>
            </w:tcBorders>
            <w:noWrap w:val="0"/>
            <w:tcMar>
              <w:top w:w="0" w:type="dxa"/>
              <w:left w:w="108" w:type="dxa"/>
              <w:bottom w:w="0" w:type="dxa"/>
              <w:right w:w="108" w:type="dxa"/>
            </w:tcMar>
            <w:vAlign w:val="center"/>
          </w:tcPr>
          <w:p w14:paraId="05023AB7">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b w:val="0"/>
                <w:bCs w:val="0"/>
                <w:sz w:val="21"/>
                <w:highlight w:val="none"/>
                <w:lang w:val="en-US" w:eastAsia="zh-CN"/>
              </w:rPr>
            </w:pPr>
            <w:r>
              <w:rPr>
                <w:rFonts w:hint="eastAsia" w:cs="Times New Roman"/>
                <w:b w:val="0"/>
                <w:bCs w:val="0"/>
                <w:sz w:val="21"/>
                <w:highlight w:val="none"/>
                <w:lang w:val="en-US" w:eastAsia="zh-CN"/>
              </w:rPr>
              <w:t>本项目建成后企业需完善突发环境事件应急预案，并与园区突发环境应急体系衔接，足额配备应急物资的同时定期开展应急演练</w:t>
            </w:r>
          </w:p>
        </w:tc>
      </w:tr>
      <w:tr w14:paraId="75FE8C46">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5000" w:type="pct"/>
            <w:gridSpan w:val="4"/>
            <w:tcBorders>
              <w:tl2br w:val="nil"/>
              <w:tr2bl w:val="nil"/>
            </w:tcBorders>
            <w:noWrap w:val="0"/>
            <w:tcMar>
              <w:top w:w="0" w:type="dxa"/>
              <w:left w:w="108" w:type="dxa"/>
              <w:bottom w:w="0" w:type="dxa"/>
              <w:right w:w="108" w:type="dxa"/>
            </w:tcMar>
            <w:vAlign w:val="center"/>
          </w:tcPr>
          <w:p w14:paraId="0BA04B2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环境准入要求</w:t>
            </w:r>
          </w:p>
        </w:tc>
      </w:tr>
      <w:tr w14:paraId="76F6F55E">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784" w:type="pct"/>
            <w:tcBorders>
              <w:tl2br w:val="nil"/>
              <w:tr2bl w:val="nil"/>
            </w:tcBorders>
            <w:noWrap w:val="0"/>
            <w:tcMar>
              <w:top w:w="0" w:type="dxa"/>
              <w:left w:w="108" w:type="dxa"/>
              <w:bottom w:w="0" w:type="dxa"/>
              <w:right w:w="108" w:type="dxa"/>
            </w:tcMar>
            <w:vAlign w:val="center"/>
          </w:tcPr>
          <w:p w14:paraId="7863E1C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文件名称</w:t>
            </w:r>
          </w:p>
        </w:tc>
        <w:tc>
          <w:tcPr>
            <w:tcW w:w="2860" w:type="pct"/>
            <w:tcBorders>
              <w:tl2br w:val="nil"/>
              <w:tr2bl w:val="nil"/>
            </w:tcBorders>
            <w:noWrap w:val="0"/>
            <w:tcMar>
              <w:top w:w="0" w:type="dxa"/>
              <w:left w:w="108" w:type="dxa"/>
              <w:bottom w:w="0" w:type="dxa"/>
              <w:right w:w="108" w:type="dxa"/>
            </w:tcMar>
            <w:vAlign w:val="center"/>
          </w:tcPr>
          <w:p w14:paraId="6F7FE19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准入条件</w:t>
            </w:r>
          </w:p>
        </w:tc>
        <w:tc>
          <w:tcPr>
            <w:tcW w:w="1355" w:type="pct"/>
            <w:gridSpan w:val="2"/>
            <w:tcBorders>
              <w:tl2br w:val="nil"/>
              <w:tr2bl w:val="nil"/>
            </w:tcBorders>
            <w:noWrap w:val="0"/>
            <w:tcMar>
              <w:top w:w="0" w:type="dxa"/>
              <w:left w:w="108" w:type="dxa"/>
              <w:bottom w:w="0" w:type="dxa"/>
              <w:right w:w="108" w:type="dxa"/>
            </w:tcMar>
            <w:vAlign w:val="center"/>
          </w:tcPr>
          <w:p w14:paraId="3B20D05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与项目有关内容</w:t>
            </w:r>
          </w:p>
        </w:tc>
      </w:tr>
      <w:tr w14:paraId="4748C870">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1600" w:hRule="atLeast"/>
        </w:trPr>
        <w:tc>
          <w:tcPr>
            <w:tcW w:w="784" w:type="pct"/>
            <w:vMerge w:val="restart"/>
            <w:tcBorders>
              <w:tl2br w:val="nil"/>
              <w:tr2bl w:val="nil"/>
            </w:tcBorders>
            <w:noWrap w:val="0"/>
            <w:tcMar>
              <w:top w:w="0" w:type="dxa"/>
              <w:left w:w="108" w:type="dxa"/>
              <w:bottom w:w="0" w:type="dxa"/>
              <w:right w:w="108" w:type="dxa"/>
            </w:tcMar>
            <w:vAlign w:val="center"/>
          </w:tcPr>
          <w:p w14:paraId="1A3E87C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《新疆维吾尔自治区重点行业生态环境准入条件（2024年）》（新环环评发〔2024〕93号）</w:t>
            </w:r>
          </w:p>
        </w:tc>
        <w:tc>
          <w:tcPr>
            <w:tcW w:w="2860" w:type="pct"/>
            <w:tcBorders>
              <w:tl2br w:val="nil"/>
              <w:tr2bl w:val="nil"/>
            </w:tcBorders>
            <w:noWrap w:val="0"/>
            <w:tcMar>
              <w:top w:w="0" w:type="dxa"/>
              <w:left w:w="108" w:type="dxa"/>
              <w:bottom w:w="0" w:type="dxa"/>
              <w:right w:w="108" w:type="dxa"/>
            </w:tcMar>
            <w:vAlign w:val="center"/>
          </w:tcPr>
          <w:p w14:paraId="242E115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1.建设单位应依法依规组织编制环境影响评价文件，并报具有审批权限的生态环境部门审批</w:t>
            </w:r>
          </w:p>
        </w:tc>
        <w:tc>
          <w:tcPr>
            <w:tcW w:w="1355" w:type="pct"/>
            <w:gridSpan w:val="2"/>
            <w:tcBorders>
              <w:tl2br w:val="nil"/>
              <w:tr2bl w:val="nil"/>
            </w:tcBorders>
            <w:noWrap w:val="0"/>
            <w:tcMar>
              <w:top w:w="0" w:type="dxa"/>
              <w:left w:w="108" w:type="dxa"/>
              <w:bottom w:w="0" w:type="dxa"/>
              <w:right w:w="108" w:type="dxa"/>
            </w:tcMar>
            <w:vAlign w:val="center"/>
          </w:tcPr>
          <w:p w14:paraId="37853B1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cs="Times New Roman"/>
                <w:sz w:val="21"/>
                <w:highlight w:val="none"/>
                <w:lang w:val="en-US" w:eastAsia="zh-CN"/>
              </w:rPr>
              <w:t>项目正在编制环境影响评价报告</w:t>
            </w:r>
          </w:p>
        </w:tc>
      </w:tr>
      <w:tr w14:paraId="53E9594D">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5123BCA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shd w:val="clear" w:color="auto" w:fill="auto"/>
            <w:noWrap w:val="0"/>
            <w:tcMar>
              <w:top w:w="0" w:type="dxa"/>
              <w:left w:w="108" w:type="dxa"/>
              <w:bottom w:w="0" w:type="dxa"/>
              <w:right w:w="108" w:type="dxa"/>
            </w:tcMar>
            <w:vAlign w:val="center"/>
          </w:tcPr>
          <w:p w14:paraId="58C107E9">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left"/>
              <w:textAlignment w:val="auto"/>
              <w:rPr>
                <w:rFonts w:hint="default" w:ascii="Times New Roman" w:hAnsi="Times New Roman" w:eastAsia="宋体" w:cs="Times New Roman"/>
                <w:sz w:val="21"/>
                <w:highlight w:val="none"/>
                <w:lang w:val="en-US" w:eastAsia="zh-CN" w:bidi="ar-SA"/>
              </w:rPr>
            </w:pPr>
            <w:r>
              <w:rPr>
                <w:rFonts w:hint="default" w:ascii="Times New Roman" w:hAnsi="Times New Roman" w:cs="Times New Roman"/>
                <w:sz w:val="21"/>
                <w:highlight w:val="none"/>
                <w:lang w:val="en-US" w:eastAsia="zh-CN"/>
              </w:rPr>
              <w:t>2.建设项目应符合国家、自治区相关法律法规规章、产业政策要求，采用的工艺、技术和设备应符合《产业结构调整指导目录》《产业转移指导目录》《鼓励外商投资产业目录》《西部地区鼓励类产业目录》等相关要求，不得采用国家和自治区限制、淘汰或禁止使用的工艺、技术和设备。在环评审批中，严格落实国家及自治区有关行业产能替代、压减等措施。</w:t>
            </w:r>
          </w:p>
        </w:tc>
        <w:tc>
          <w:tcPr>
            <w:tcW w:w="1355" w:type="pct"/>
            <w:gridSpan w:val="2"/>
            <w:tcBorders>
              <w:tl2br w:val="nil"/>
              <w:tr2bl w:val="nil"/>
            </w:tcBorders>
            <w:shd w:val="clear" w:color="auto" w:fill="auto"/>
            <w:noWrap w:val="0"/>
            <w:tcMar>
              <w:top w:w="0" w:type="dxa"/>
              <w:left w:w="108" w:type="dxa"/>
              <w:bottom w:w="0" w:type="dxa"/>
              <w:right w:w="108" w:type="dxa"/>
            </w:tcMar>
            <w:vAlign w:val="center"/>
          </w:tcPr>
          <w:p w14:paraId="3368A568">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sz w:val="21"/>
                <w:highlight w:val="none"/>
                <w:lang w:val="en-US" w:eastAsia="zh-CN" w:bidi="ar-SA"/>
              </w:rPr>
            </w:pPr>
            <w:r>
              <w:rPr>
                <w:rFonts w:hint="default" w:ascii="Times New Roman" w:hAnsi="Times New Roman" w:cs="Times New Roman"/>
                <w:sz w:val="21"/>
                <w:highlight w:val="none"/>
                <w:lang w:val="en-US" w:eastAsia="zh-CN"/>
              </w:rPr>
              <w:t>项目的建设符合国家、自治区相关法律法规规章、产业政策等要求，工艺、技术和设备符合《产业结构调整指导目录》等文件要求</w:t>
            </w:r>
          </w:p>
        </w:tc>
      </w:tr>
      <w:tr w14:paraId="78DBA8EE">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41E51AE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7C84EF7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3.一切开发建设活动应符合国家、自治区主体功能区规划、自治区和各地颁布实施的国民经济发展规划、生态功能区划、国土空间规划、产业发展规划等相关规划及生态环境分区管控要求,符合区域（流域）或产业规划环评及审查意见要求。</w:t>
            </w:r>
          </w:p>
        </w:tc>
        <w:tc>
          <w:tcPr>
            <w:tcW w:w="1355" w:type="pct"/>
            <w:gridSpan w:val="2"/>
            <w:tcBorders>
              <w:tl2br w:val="nil"/>
              <w:tr2bl w:val="nil"/>
            </w:tcBorders>
            <w:noWrap w:val="0"/>
            <w:tcMar>
              <w:top w:w="0" w:type="dxa"/>
              <w:left w:w="108" w:type="dxa"/>
              <w:bottom w:w="0" w:type="dxa"/>
              <w:right w:w="108" w:type="dxa"/>
            </w:tcMar>
            <w:vAlign w:val="center"/>
          </w:tcPr>
          <w:p w14:paraId="79BDCCC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本项目的建设符合国家、自治区主体功能区规划等相关要求</w:t>
            </w:r>
          </w:p>
        </w:tc>
      </w:tr>
      <w:tr w14:paraId="485CABD3">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5A7A30B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1DC4E32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4.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禁止在青藏高原水土流失严重、生态脆弱的区域开展可能造成水土流失的生产建设活动。确因国家发展战略和国计民生需要建设的，应当经科学论证，并依法办理审批手续，严格控制扰动范围。涉及生态保护红线的其他要求，按照《自然资源部 生态环境部 国家林业和草原局关于加强生态保护红线管理的通知（试行）》（自然资发〔2022〕142号）执行，生态保护红线管控要求调整、更新的，从其规定。</w:t>
            </w:r>
          </w:p>
        </w:tc>
        <w:tc>
          <w:tcPr>
            <w:tcW w:w="1355" w:type="pct"/>
            <w:gridSpan w:val="2"/>
            <w:tcBorders>
              <w:tl2br w:val="nil"/>
              <w:tr2bl w:val="nil"/>
            </w:tcBorders>
            <w:noWrap w:val="0"/>
            <w:tcMar>
              <w:top w:w="0" w:type="dxa"/>
              <w:left w:w="108" w:type="dxa"/>
              <w:bottom w:w="0" w:type="dxa"/>
              <w:right w:w="108" w:type="dxa"/>
            </w:tcMar>
            <w:vAlign w:val="center"/>
          </w:tcPr>
          <w:p w14:paraId="1698DB8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项目占地不涉及上述禁止开发区域，项目建设不涉及生态保护红线范围</w:t>
            </w:r>
          </w:p>
        </w:tc>
      </w:tr>
      <w:tr w14:paraId="3CDEEF6A">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33E70B7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714D139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21"/>
                <w:highlight w:val="none"/>
              </w:rPr>
            </w:pPr>
            <w:r>
              <w:rPr>
                <w:rFonts w:hint="default" w:ascii="Times New Roman" w:hAnsi="Times New Roman" w:cs="Times New Roman"/>
                <w:sz w:val="21"/>
                <w:highlight w:val="none"/>
                <w:lang w:val="en-US" w:eastAsia="zh-CN"/>
              </w:rPr>
              <w:t>6.</w:t>
            </w:r>
            <w:r>
              <w:rPr>
                <w:rFonts w:hint="default" w:ascii="Times New Roman" w:hAnsi="Times New Roman" w:eastAsia="宋体" w:cs="Times New Roman"/>
                <w:sz w:val="21"/>
                <w:highlight w:val="none"/>
              </w:rPr>
              <w:t>建设项目用地原则上不得占用基本农田，确需占用的，应符合《中华人民共和国基本农田保护条例》相关要求；占用耕地、林地或草地的建设项目应符合国家、自治区有关规定</w:t>
            </w:r>
          </w:p>
        </w:tc>
        <w:tc>
          <w:tcPr>
            <w:tcW w:w="1355" w:type="pct"/>
            <w:gridSpan w:val="2"/>
            <w:tcBorders>
              <w:tl2br w:val="nil"/>
              <w:tr2bl w:val="nil"/>
            </w:tcBorders>
            <w:noWrap w:val="0"/>
            <w:tcMar>
              <w:top w:w="0" w:type="dxa"/>
              <w:left w:w="108" w:type="dxa"/>
              <w:bottom w:w="0" w:type="dxa"/>
              <w:right w:w="108" w:type="dxa"/>
            </w:tcMar>
            <w:vAlign w:val="center"/>
          </w:tcPr>
          <w:p w14:paraId="65E886E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本项目建设地点位于阿克苏市西工业园区内，不占用基本农田、耕地、林地及草地</w:t>
            </w:r>
          </w:p>
        </w:tc>
      </w:tr>
      <w:tr w14:paraId="05930DDC">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7392CC9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414994A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7.新建、扩建工业项目原则上应布置于依法合规设立、环境保护基础设施完善的产业园区、工业聚集区或规划矿区，并符合相关规划、规划环评及其审查意见要求；法律法规规章和政策另有规定的，从其规定。选址和厂区布置不合理的现有污染企业应根据相关要求，通过“搬迁、转产、停产”等方式限期整改，退城进园。</w:t>
            </w:r>
          </w:p>
        </w:tc>
        <w:tc>
          <w:tcPr>
            <w:tcW w:w="1355" w:type="pct"/>
            <w:gridSpan w:val="2"/>
            <w:tcBorders>
              <w:tl2br w:val="nil"/>
              <w:tr2bl w:val="nil"/>
            </w:tcBorders>
            <w:noWrap w:val="0"/>
            <w:tcMar>
              <w:top w:w="0" w:type="dxa"/>
              <w:left w:w="108" w:type="dxa"/>
              <w:bottom w:w="0" w:type="dxa"/>
              <w:right w:w="108" w:type="dxa"/>
            </w:tcMar>
            <w:vAlign w:val="center"/>
          </w:tcPr>
          <w:p w14:paraId="7136DC7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本项目建设地点位于阿克苏市西工业园区内，符合工业项目布置原则</w:t>
            </w:r>
          </w:p>
        </w:tc>
      </w:tr>
      <w:tr w14:paraId="1429A0C5">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4158B28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28F0F18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8.按照国家和自治区排污许可规定，按期持证排污、按证排污，不得无证排污。新增主要污染物排放总量的建设项目必须落实主要污染物排放总量指标来源和控制要求。石化、煤化工、燃煤发电（含热电）、钢铁、有色金属冶炼等新增主要污染物排放量的建设项目所在区域、流域控制单元环境质量未达到国家或者地方环境质量标准的，建设项目应提出有效的区域削减方案，主要污染物实行区域倍量削减，确保项目投产后区域环境质量有改善。所在区域、流域控制单元环境质量达到国家或者地方环境质量标准的，原则上建设项目主要污染物实行区域等量削减，确保项目投产后区域环境质量不恶化。区域削减方案应符合建设项目环境影响评价管理要求，同时符合国家和地方主要污染物排放总量控制要求。涉重金属的新建、改扩建项目其重金属污染物遵循“等量替代”或“减量替代”原则。</w:t>
            </w:r>
          </w:p>
        </w:tc>
        <w:tc>
          <w:tcPr>
            <w:tcW w:w="1355" w:type="pct"/>
            <w:gridSpan w:val="2"/>
            <w:tcBorders>
              <w:tl2br w:val="nil"/>
              <w:tr2bl w:val="nil"/>
            </w:tcBorders>
            <w:noWrap w:val="0"/>
            <w:tcMar>
              <w:top w:w="0" w:type="dxa"/>
              <w:left w:w="108" w:type="dxa"/>
              <w:bottom w:w="0" w:type="dxa"/>
              <w:right w:w="108" w:type="dxa"/>
            </w:tcMar>
            <w:vAlign w:val="center"/>
          </w:tcPr>
          <w:p w14:paraId="07F7765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项目建成运营前需依法重新申领排污许可证并按证排污</w:t>
            </w:r>
          </w:p>
        </w:tc>
      </w:tr>
      <w:tr w14:paraId="0A50CFA0">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7F73042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4C7535E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9.煤电、石化、化工、钢铁、有色金属冶炼、建材等六个行业建设项目应将碳排放影响评价纳入环境影响评价体系，统筹开展污染物和碳排放的源项识别、源强核算、减污降碳措施可行性论证及方案比选，提出协同控制最优方案。</w:t>
            </w:r>
          </w:p>
        </w:tc>
        <w:tc>
          <w:tcPr>
            <w:tcW w:w="1355" w:type="pct"/>
            <w:gridSpan w:val="2"/>
            <w:tcBorders>
              <w:tl2br w:val="nil"/>
              <w:tr2bl w:val="nil"/>
            </w:tcBorders>
            <w:noWrap w:val="0"/>
            <w:tcMar>
              <w:top w:w="0" w:type="dxa"/>
              <w:left w:w="108" w:type="dxa"/>
              <w:bottom w:w="0" w:type="dxa"/>
              <w:right w:w="108" w:type="dxa"/>
            </w:tcMar>
            <w:vAlign w:val="center"/>
          </w:tcPr>
          <w:p w14:paraId="20B784D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本项目已进行碳排放影响评价</w:t>
            </w:r>
          </w:p>
        </w:tc>
      </w:tr>
      <w:tr w14:paraId="46874C5A">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6352A5C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6A0D44E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cs="Times New Roman"/>
                <w:sz w:val="21"/>
                <w:highlight w:val="yellow"/>
                <w:lang w:val="en-US" w:eastAsia="zh-CN"/>
              </w:rPr>
            </w:pPr>
            <w:r>
              <w:rPr>
                <w:rFonts w:hint="default" w:ascii="Times New Roman" w:hAnsi="Times New Roman" w:cs="Times New Roman"/>
                <w:sz w:val="21"/>
                <w:highlight w:val="none"/>
                <w:lang w:val="en-US" w:eastAsia="zh-CN"/>
              </w:rPr>
              <w:t>10.存在地下水和土壤污染途径的建设项目应采取分区防渗措施，防止地下水和土壤污染。存在环境风险的建设项目，提出有效的环境风险防范措施及环境风险应急预案编制原则和要求，纳入区域环境风险应急联动机制。各类开发区、工业园区和工业聚集区应编制环境风险应急预案，并具备环境风险应急处置能力。未通过认定或不属于一般或较低安全风险的化工园区，不得新建、改扩建危险化学品生产项目（安全、环保、节能和智能化改造和与其他行业生产装置配套建设项目，太阳能、风能等可再生能源电解水制氢项目除外），引导其他石化化工项目在化工园区发展。地方政府要依法依规妥善做好未通过认定化工园区的整改或关闭，以及园区内企业的监管及处置工作。涉及《重点管控新污染物清单》《优先控制化学品名录》所列新污染物（化学物质）生产、加工使用、进出口的建设项目，应当按照国家有关规定采取禁止、限制、限排等环境风险管控措施，对于二噁英、六氯丁二烯、二氯甲烷、三氯甲烷、抗生素等已纳入排放标准的新污染物（化学物质）应进行充分论证和评价，并提出可靠的污染防治措施，确保排放满足相关标准要求，环境影响可接受。</w:t>
            </w:r>
          </w:p>
        </w:tc>
        <w:tc>
          <w:tcPr>
            <w:tcW w:w="1355" w:type="pct"/>
            <w:gridSpan w:val="2"/>
            <w:tcBorders>
              <w:tl2br w:val="nil"/>
              <w:tr2bl w:val="nil"/>
            </w:tcBorders>
            <w:noWrap w:val="0"/>
            <w:tcMar>
              <w:top w:w="0" w:type="dxa"/>
              <w:left w:w="108" w:type="dxa"/>
              <w:bottom w:w="0" w:type="dxa"/>
              <w:right w:w="108" w:type="dxa"/>
            </w:tcMar>
            <w:vAlign w:val="center"/>
          </w:tcPr>
          <w:p w14:paraId="4006C19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本项目厂区制定有分区防渗措施，在落实地下水和土壤环境风险防范措施的前提下，本项目环境风险可控。项目所处园区制定有环境风险应急预案，具备环境风险应急处置能力</w:t>
            </w:r>
          </w:p>
        </w:tc>
      </w:tr>
      <w:tr w14:paraId="27DC5D02">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1525FF1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4A50F09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11.企业排污车间或工段与环境敏感区距离应满足国家、地方规定或环境影响评价文件提出的大气环境防护距离要求，环境防护距离范围内不应有居民区、学校、医院等环境敏感目标</w:t>
            </w:r>
          </w:p>
        </w:tc>
        <w:tc>
          <w:tcPr>
            <w:tcW w:w="1355" w:type="pct"/>
            <w:gridSpan w:val="2"/>
            <w:tcBorders>
              <w:tl2br w:val="nil"/>
              <w:tr2bl w:val="nil"/>
            </w:tcBorders>
            <w:noWrap w:val="0"/>
            <w:tcMar>
              <w:top w:w="0" w:type="dxa"/>
              <w:left w:w="108" w:type="dxa"/>
              <w:bottom w:w="0" w:type="dxa"/>
              <w:right w:w="108" w:type="dxa"/>
            </w:tcMar>
            <w:vAlign w:val="center"/>
          </w:tcPr>
          <w:p w14:paraId="24F4CD2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项目周边无居民区、学校、医院等环境敏感目标，符合大气环境防护距离要求</w:t>
            </w:r>
          </w:p>
        </w:tc>
      </w:tr>
      <w:tr w14:paraId="3CA9DD9E">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50BD276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7C2C9A9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12.根据《固体废物鉴别标准 通则》（GB34330）《建设项目危险废物环境影响评价指南》，对建设项目产生的所有副产物，应依据产生来源、利用和处置过程鉴别该副产物是否属于固体废物，作为固体废物管理的副产物应按照《国家危险废物名录》《危险废物鉴别标准 通则》（GB5085.7）等进行危险废物属性判定或鉴别。环评阶段不具备开展危险特性鉴别条件的可能含有危险特性的固体废物，应明确疑似危险废物的名称、种类、可能的有害成分，并明确暂按危险废物从严管理，并要求在该类固体废物产生后开展危险特性鉴别。建设单位应持续提高资源产出率，大宗工业固体废物综合利用率应达到国家及自治区有关要求。</w:t>
            </w:r>
          </w:p>
        </w:tc>
        <w:tc>
          <w:tcPr>
            <w:tcW w:w="1355" w:type="pct"/>
            <w:gridSpan w:val="2"/>
            <w:tcBorders>
              <w:tl2br w:val="nil"/>
              <w:tr2bl w:val="nil"/>
            </w:tcBorders>
            <w:noWrap w:val="0"/>
            <w:tcMar>
              <w:top w:w="0" w:type="dxa"/>
              <w:left w:w="108" w:type="dxa"/>
              <w:bottom w:w="0" w:type="dxa"/>
              <w:right w:w="108" w:type="dxa"/>
            </w:tcMar>
            <w:vAlign w:val="center"/>
          </w:tcPr>
          <w:p w14:paraId="2364A63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cs="Times New Roman"/>
                <w:sz w:val="21"/>
                <w:highlight w:val="none"/>
                <w:lang w:val="en-US" w:eastAsia="zh-CN"/>
              </w:rPr>
            </w:pPr>
            <w:r>
              <w:rPr>
                <w:rFonts w:hint="default" w:ascii="Times New Roman" w:hAnsi="Times New Roman" w:cs="Times New Roman"/>
                <w:sz w:val="21"/>
                <w:highlight w:val="none"/>
                <w:lang w:val="en-US" w:eastAsia="zh-CN"/>
              </w:rPr>
              <w:t>本项目在进行水泥窑协同处置危险废物过程中不会产生危险废物</w:t>
            </w:r>
          </w:p>
        </w:tc>
      </w:tr>
      <w:tr w14:paraId="19719CF2">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1719" w:hRule="atLeast"/>
        </w:trPr>
        <w:tc>
          <w:tcPr>
            <w:tcW w:w="784" w:type="pct"/>
            <w:vMerge w:val="continue"/>
            <w:tcBorders>
              <w:tl2br w:val="nil"/>
              <w:tr2bl w:val="nil"/>
            </w:tcBorders>
            <w:noWrap w:val="0"/>
            <w:tcMar>
              <w:top w:w="0" w:type="dxa"/>
              <w:left w:w="108" w:type="dxa"/>
              <w:bottom w:w="0" w:type="dxa"/>
              <w:right w:w="108" w:type="dxa"/>
            </w:tcMar>
            <w:vAlign w:val="center"/>
          </w:tcPr>
          <w:p w14:paraId="6D5E810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35F5AD6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14.建设项目清洁生产水平应达到国家清洁生产标准的国际先进、国内领先水平或满足清洁生产评价指标体系中的清洁生产企业要求。无国家清洁生产标准和清洁生产评价指标体系的建设项目，其生产工艺与装备要求、资源能源利用指标、污染物产生指标、废物回收利用指标、环境管理要求等各项指标水平应达到国内同行业现有企业先进水平。</w:t>
            </w:r>
          </w:p>
        </w:tc>
        <w:tc>
          <w:tcPr>
            <w:tcW w:w="1355" w:type="pct"/>
            <w:gridSpan w:val="2"/>
            <w:tcBorders>
              <w:tl2br w:val="nil"/>
              <w:tr2bl w:val="nil"/>
            </w:tcBorders>
            <w:noWrap w:val="0"/>
            <w:tcMar>
              <w:top w:w="0" w:type="dxa"/>
              <w:left w:w="108" w:type="dxa"/>
              <w:bottom w:w="0" w:type="dxa"/>
              <w:right w:w="108" w:type="dxa"/>
            </w:tcMar>
            <w:vAlign w:val="center"/>
          </w:tcPr>
          <w:p w14:paraId="579323A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本项目属于国家推行的清洁生产技术方案。项目的实施，不仅可以实现区域内固体废物的“无害化、资源化”处置，同时可以减少水泥熟料生产的资源能源消耗量，进一步提升企业的清洁生产水平</w:t>
            </w:r>
          </w:p>
        </w:tc>
      </w:tr>
      <w:tr w14:paraId="0054A690">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90" w:hRule="atLeast"/>
        </w:trPr>
        <w:tc>
          <w:tcPr>
            <w:tcW w:w="784" w:type="pct"/>
            <w:vMerge w:val="continue"/>
            <w:tcBorders>
              <w:tl2br w:val="nil"/>
              <w:tr2bl w:val="nil"/>
            </w:tcBorders>
            <w:noWrap w:val="0"/>
            <w:tcMar>
              <w:top w:w="0" w:type="dxa"/>
              <w:left w:w="108" w:type="dxa"/>
              <w:bottom w:w="0" w:type="dxa"/>
              <w:right w:w="108" w:type="dxa"/>
            </w:tcMar>
            <w:vAlign w:val="center"/>
          </w:tcPr>
          <w:p w14:paraId="45B97A5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2860" w:type="pct"/>
            <w:tcBorders>
              <w:tl2br w:val="nil"/>
              <w:tr2bl w:val="nil"/>
            </w:tcBorders>
            <w:noWrap w:val="0"/>
            <w:tcMar>
              <w:top w:w="0" w:type="dxa"/>
              <w:left w:w="108" w:type="dxa"/>
              <w:bottom w:w="0" w:type="dxa"/>
              <w:right w:w="108" w:type="dxa"/>
            </w:tcMar>
            <w:vAlign w:val="center"/>
          </w:tcPr>
          <w:p w14:paraId="10F449A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left"/>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16.改建、扩建项目，应对现有工程的环境保护措施及效果进行全面梳理评估，针对项目原有环境污染和生态破坏提出有效防治措施并纳入竣工环保验收。</w:t>
            </w:r>
          </w:p>
        </w:tc>
        <w:tc>
          <w:tcPr>
            <w:tcW w:w="1355" w:type="pct"/>
            <w:gridSpan w:val="2"/>
            <w:tcBorders>
              <w:tl2br w:val="nil"/>
              <w:tr2bl w:val="nil"/>
            </w:tcBorders>
            <w:shd w:val="clear" w:color="auto" w:fill="auto"/>
            <w:noWrap w:val="0"/>
            <w:tcMar>
              <w:top w:w="0" w:type="dxa"/>
              <w:left w:w="108" w:type="dxa"/>
              <w:bottom w:w="0" w:type="dxa"/>
              <w:right w:w="108" w:type="dxa"/>
            </w:tcMar>
            <w:vAlign w:val="center"/>
          </w:tcPr>
          <w:p w14:paraId="044844C3">
            <w:pPr>
              <w:keepNext w:val="0"/>
              <w:keepLines w:val="0"/>
              <w:pageBreakBefore w:val="0"/>
              <w:widowControl/>
              <w:kinsoku/>
              <w:wordWrap/>
              <w:overflowPunct/>
              <w:topLinePunct w:val="0"/>
              <w:autoSpaceDE/>
              <w:autoSpaceDN/>
              <w:bidi w:val="0"/>
              <w:adjustRightInd/>
              <w:snapToGrid w:val="0"/>
              <w:spacing w:before="0" w:after="0" w:line="240" w:lineRule="auto"/>
              <w:ind w:left="0" w:leftChars="0" w:firstLine="0" w:firstLineChars="0"/>
              <w:jc w:val="center"/>
              <w:textAlignment w:val="auto"/>
              <w:rPr>
                <w:rFonts w:hint="default" w:ascii="Times New Roman" w:hAnsi="Times New Roman" w:eastAsia="宋体" w:cs="Times New Roman"/>
                <w:sz w:val="21"/>
                <w:highlight w:val="none"/>
                <w:lang w:val="en-US" w:eastAsia="zh-CN" w:bidi="ar-SA"/>
              </w:rPr>
            </w:pPr>
            <w:r>
              <w:rPr>
                <w:rFonts w:hint="default" w:ascii="Times New Roman" w:hAnsi="Times New Roman" w:cs="Times New Roman"/>
                <w:sz w:val="21"/>
                <w:highlight w:val="none"/>
                <w:lang w:val="en-US" w:eastAsia="zh-CN" w:bidi="ar-SA"/>
              </w:rPr>
              <w:t>本项目建设性质为技术改造，本报告已对企业现有工程的环境保护措施及效果进行梳理评估</w:t>
            </w:r>
          </w:p>
        </w:tc>
      </w:tr>
    </w:tbl>
    <w:p w14:paraId="5B9F064C">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2.</w:t>
      </w:r>
      <w:r>
        <w:rPr>
          <w:rFonts w:hint="default" w:ascii="Times New Roman" w:hAnsi="Times New Roman" w:cs="Times New Roman"/>
          <w:b/>
          <w:bCs w:val="0"/>
          <w:kern w:val="2"/>
          <w:sz w:val="24"/>
          <w:szCs w:val="24"/>
          <w:highlight w:val="none"/>
          <w:lang w:val="en-US" w:eastAsia="zh-CN"/>
        </w:rPr>
        <w:t>9</w:t>
      </w:r>
      <w:r>
        <w:rPr>
          <w:rFonts w:hint="default" w:ascii="Times New Roman" w:hAnsi="Times New Roman" w:eastAsia="宋体" w:cs="Times New Roman"/>
          <w:b/>
          <w:bCs w:val="0"/>
          <w:kern w:val="2"/>
          <w:sz w:val="24"/>
          <w:szCs w:val="24"/>
          <w:highlight w:val="none"/>
          <w:lang w:val="en-US" w:eastAsia="zh-CN"/>
        </w:rPr>
        <w:t>.3“三线一单”符合性分析内容</w:t>
      </w:r>
    </w:p>
    <w:p w14:paraId="04A19248">
      <w:pPr>
        <w:keepNext w:val="0"/>
        <w:keepLines w:val="0"/>
        <w:pageBreakBefore w:val="0"/>
        <w:widowControl/>
        <w:kinsoku/>
        <w:wordWrap/>
        <w:overflowPunct/>
        <w:topLinePunct w:val="0"/>
        <w:autoSpaceDE/>
        <w:autoSpaceDN/>
        <w:bidi w:val="0"/>
        <w:adjustRightInd/>
        <w:snapToGrid w:val="0"/>
        <w:spacing w:line="240" w:lineRule="auto"/>
        <w:ind w:left="-34" w:right="-34"/>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w:t>
      </w:r>
      <w:r>
        <w:rPr>
          <w:rFonts w:hint="default" w:ascii="Times New Roman" w:hAnsi="Times New Roman" w:eastAsia="宋体" w:cs="Times New Roman"/>
          <w:b/>
          <w:bCs/>
          <w:sz w:val="24"/>
          <w:szCs w:val="24"/>
          <w:highlight w:val="none"/>
          <w:lang w:val="en-US" w:eastAsia="zh-CN"/>
        </w:rPr>
        <w:t>2.</w:t>
      </w:r>
      <w:r>
        <w:rPr>
          <w:rFonts w:hint="default" w:ascii="Times New Roman" w:hAnsi="Times New Roman" w:cs="Times New Roman"/>
          <w:b/>
          <w:bCs/>
          <w:sz w:val="24"/>
          <w:szCs w:val="24"/>
          <w:highlight w:val="none"/>
          <w:lang w:val="en-US" w:eastAsia="zh-CN"/>
        </w:rPr>
        <w:t>9</w:t>
      </w:r>
      <w:r>
        <w:rPr>
          <w:rFonts w:hint="default" w:ascii="Times New Roman" w:hAnsi="Times New Roman" w:eastAsia="宋体" w:cs="Times New Roman"/>
          <w:b/>
          <w:bCs/>
          <w:sz w:val="24"/>
          <w:szCs w:val="24"/>
          <w:highlight w:val="none"/>
          <w:lang w:val="en-US" w:eastAsia="zh-CN"/>
        </w:rPr>
        <w:t>-</w:t>
      </w:r>
      <w:r>
        <w:rPr>
          <w:rFonts w:hint="eastAsia" w:cs="Times New Roman"/>
          <w:b/>
          <w:bCs/>
          <w:sz w:val="24"/>
          <w:szCs w:val="24"/>
          <w:highlight w:val="none"/>
          <w:lang w:val="en-US" w:eastAsia="zh-CN"/>
        </w:rPr>
        <w:t>3</w:t>
      </w:r>
      <w:r>
        <w:rPr>
          <w:rFonts w:hint="default" w:ascii="Times New Roman" w:hAnsi="Times New Roman" w:eastAsia="宋体" w:cs="Times New Roman"/>
          <w:b/>
          <w:bCs/>
          <w:sz w:val="24"/>
          <w:szCs w:val="24"/>
          <w:highlight w:val="none"/>
        </w:rPr>
        <w:t xml:space="preserve"> </w:t>
      </w:r>
      <w:r>
        <w:rPr>
          <w:rFonts w:hint="default" w:ascii="Times New Roman" w:hAnsi="Times New Roman" w:eastAsia="宋体" w:cs="Times New Roman"/>
          <w:b/>
          <w:bCs/>
          <w:sz w:val="24"/>
          <w:szCs w:val="24"/>
          <w:highlight w:val="none"/>
          <w:lang w:val="en-US" w:eastAsia="zh-CN"/>
        </w:rPr>
        <w:t>三线一单符合性分析内容</w:t>
      </w:r>
      <w:r>
        <w:rPr>
          <w:rFonts w:hint="default" w:ascii="Times New Roman" w:hAnsi="Times New Roman" w:eastAsia="宋体" w:cs="Times New Roman"/>
          <w:b/>
          <w:bCs/>
          <w:sz w:val="24"/>
          <w:szCs w:val="24"/>
          <w:highlight w:val="none"/>
        </w:rPr>
        <w:t>一览表</w:t>
      </w:r>
    </w:p>
    <w:tbl>
      <w:tblPr>
        <w:tblStyle w:val="39"/>
        <w:tblW w:w="5000" w:type="pct"/>
        <w:tblInd w:w="0" w:type="dxa"/>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Layout w:type="autofit"/>
        <w:tblCellMar>
          <w:top w:w="0" w:type="dxa"/>
          <w:left w:w="0" w:type="dxa"/>
          <w:bottom w:w="0" w:type="dxa"/>
          <w:right w:w="0" w:type="dxa"/>
        </w:tblCellMar>
      </w:tblPr>
      <w:tblGrid>
        <w:gridCol w:w="768"/>
        <w:gridCol w:w="5648"/>
        <w:gridCol w:w="2100"/>
      </w:tblGrid>
      <w:tr w14:paraId="10994079">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5000" w:type="pct"/>
            <w:gridSpan w:val="3"/>
            <w:tcBorders>
              <w:tl2br w:val="nil"/>
              <w:tr2bl w:val="nil"/>
            </w:tcBorders>
            <w:noWrap w:val="0"/>
            <w:tcMar>
              <w:top w:w="0" w:type="dxa"/>
              <w:left w:w="108" w:type="dxa"/>
              <w:bottom w:w="0" w:type="dxa"/>
              <w:right w:w="108" w:type="dxa"/>
            </w:tcMar>
            <w:vAlign w:val="center"/>
          </w:tcPr>
          <w:p w14:paraId="4042DE6C">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szCs w:val="21"/>
                <w:highlight w:val="none"/>
                <w:vertAlign w:val="baseline"/>
              </w:rPr>
              <w:t>《关于印发&lt;新疆维吾尔自治区“三线一单”生态环境分区管控方案&gt;的通知》(新政发〔2021〕18号)</w:t>
            </w:r>
          </w:p>
        </w:tc>
      </w:tr>
      <w:tr w14:paraId="6D738AA7">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tcBorders>
              <w:tl2br w:val="nil"/>
              <w:tr2bl w:val="nil"/>
            </w:tcBorders>
            <w:noWrap w:val="0"/>
            <w:tcMar>
              <w:top w:w="0" w:type="dxa"/>
              <w:left w:w="108" w:type="dxa"/>
              <w:bottom w:w="0" w:type="dxa"/>
              <w:right w:w="108" w:type="dxa"/>
            </w:tcMar>
            <w:vAlign w:val="center"/>
          </w:tcPr>
          <w:p w14:paraId="5C21D427">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outlineLvl w:val="9"/>
              <w:rPr>
                <w:rFonts w:hint="default" w:ascii="Times New Roman" w:hAnsi="Times New Roman" w:eastAsia="宋体" w:cs="Times New Roman"/>
                <w:sz w:val="21"/>
                <w:highlight w:val="none"/>
              </w:rPr>
            </w:pPr>
            <w:r>
              <w:rPr>
                <w:rFonts w:hint="default" w:ascii="Times New Roman" w:hAnsi="Times New Roman" w:eastAsia="宋体" w:cs="Times New Roman"/>
                <w:sz w:val="21"/>
                <w:szCs w:val="21"/>
                <w:highlight w:val="none"/>
                <w:vertAlign w:val="baseline"/>
              </w:rPr>
              <w:t>生态保护红线</w:t>
            </w: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6D9EC49A">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highlight w:val="none"/>
              </w:rPr>
            </w:pPr>
            <w:r>
              <w:rPr>
                <w:rFonts w:hint="default" w:ascii="Times New Roman" w:hAnsi="Times New Roman" w:eastAsia="宋体" w:cs="Times New Roman"/>
                <w:sz w:val="21"/>
                <w:szCs w:val="21"/>
                <w:highlight w:val="none"/>
                <w:vertAlign w:val="baseline"/>
              </w:rPr>
              <w:t>按照“生态功能不降低、面积不减少、性质不改变”的基本要求，对划定的生态保护红线实施严格管控，保障和维护国家生态安全的底线和生命线</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17FF8BEE">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vertAlign w:val="baseline"/>
                <w:lang w:val="en-US" w:eastAsia="zh-CN" w:bidi="ar-SA"/>
              </w:rPr>
            </w:pPr>
            <w:r>
              <w:rPr>
                <w:rFonts w:hint="default" w:ascii="Times New Roman" w:hAnsi="Times New Roman" w:cs="Times New Roman"/>
                <w:sz w:val="21"/>
                <w:szCs w:val="21"/>
                <w:highlight w:val="none"/>
                <w:vertAlign w:val="baseline"/>
                <w:lang w:val="en-US" w:eastAsia="zh-CN"/>
              </w:rPr>
              <w:t>本项目选址不涉及生态保护红线范围</w:t>
            </w:r>
          </w:p>
        </w:tc>
      </w:tr>
      <w:tr w14:paraId="652310E9">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tcBorders>
              <w:tl2br w:val="nil"/>
              <w:tr2bl w:val="nil"/>
            </w:tcBorders>
            <w:noWrap w:val="0"/>
            <w:tcMar>
              <w:top w:w="0" w:type="dxa"/>
              <w:left w:w="108" w:type="dxa"/>
              <w:bottom w:w="0" w:type="dxa"/>
              <w:right w:w="108" w:type="dxa"/>
            </w:tcMar>
            <w:vAlign w:val="center"/>
          </w:tcPr>
          <w:p w14:paraId="0F5A3AA3">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outlineLvl w:val="9"/>
              <w:rPr>
                <w:rFonts w:hint="default" w:ascii="Times New Roman" w:hAnsi="Times New Roman" w:eastAsia="宋体" w:cs="Times New Roman"/>
                <w:sz w:val="21"/>
                <w:highlight w:val="none"/>
              </w:rPr>
            </w:pPr>
            <w:r>
              <w:rPr>
                <w:rFonts w:hint="default" w:ascii="Times New Roman" w:hAnsi="Times New Roman" w:eastAsia="宋体" w:cs="Times New Roman"/>
                <w:sz w:val="21"/>
                <w:szCs w:val="21"/>
                <w:highlight w:val="none"/>
                <w:vertAlign w:val="baseline"/>
                <w:lang w:val="en-US" w:eastAsia="zh-CN"/>
              </w:rPr>
              <w:t>环境质量底线</w:t>
            </w: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2C223A55">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highlight w:val="none"/>
              </w:rPr>
            </w:pPr>
            <w:r>
              <w:rPr>
                <w:rFonts w:hint="default" w:ascii="Times New Roman" w:hAnsi="Times New Roman" w:eastAsia="宋体" w:cs="Times New Roman"/>
                <w:sz w:val="21"/>
                <w:szCs w:val="21"/>
                <w:highlight w:val="none"/>
                <w:vertAlign w:val="baseline"/>
              </w:rPr>
              <w:t>全区水环境质量持续改善，受污染地表水体得到优先治理，饮用水安全保障水平持续提升，地下水超采得到严格控制，地下水水质保持稳定；全区环境空气质量有所提升，重污染天数持续减少，已达标城市环境空气质量保持稳定，未达标城市环境空气质量持续改善，沙尘影响严重地区做好防风固沙、生态环境保护修复等工作；全区土壤环境质量保持稳定，污染地块安全利用水平稳中有升，土壤环境风险得到进一步管控</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7080902C">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项目建设不会对地表水及地下水造成污染；在落实大气污染</w:t>
            </w:r>
            <w:r>
              <w:rPr>
                <w:rFonts w:hint="default" w:ascii="Times New Roman" w:hAnsi="Times New Roman" w:cs="Times New Roman"/>
                <w:sz w:val="21"/>
                <w:szCs w:val="21"/>
                <w:highlight w:val="none"/>
                <w:vertAlign w:val="baseline"/>
                <w:lang w:val="en-US" w:eastAsia="zh-CN"/>
              </w:rPr>
              <w:t>各项环保</w:t>
            </w:r>
            <w:r>
              <w:rPr>
                <w:rFonts w:hint="default" w:ascii="Times New Roman" w:hAnsi="Times New Roman" w:eastAsia="宋体" w:cs="Times New Roman"/>
                <w:sz w:val="21"/>
                <w:szCs w:val="21"/>
                <w:highlight w:val="none"/>
                <w:vertAlign w:val="baseline"/>
                <w:lang w:val="en-US" w:eastAsia="zh-CN"/>
              </w:rPr>
              <w:t>要求后，项目实施不会对环境质量底线造成冲击</w:t>
            </w:r>
          </w:p>
        </w:tc>
      </w:tr>
      <w:tr w14:paraId="23877B21">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tcBorders>
              <w:tl2br w:val="nil"/>
              <w:tr2bl w:val="nil"/>
            </w:tcBorders>
            <w:noWrap w:val="0"/>
            <w:tcMar>
              <w:top w:w="0" w:type="dxa"/>
              <w:left w:w="108" w:type="dxa"/>
              <w:bottom w:w="0" w:type="dxa"/>
              <w:right w:w="108" w:type="dxa"/>
            </w:tcMar>
            <w:vAlign w:val="center"/>
          </w:tcPr>
          <w:p w14:paraId="123A4505">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outlineLvl w:val="9"/>
              <w:rPr>
                <w:rFonts w:hint="default" w:ascii="Times New Roman" w:hAnsi="Times New Roman" w:eastAsia="宋体" w:cs="Times New Roman"/>
                <w:sz w:val="21"/>
                <w:highlight w:val="none"/>
              </w:rPr>
            </w:pPr>
            <w:r>
              <w:rPr>
                <w:rFonts w:hint="default" w:ascii="Times New Roman" w:hAnsi="Times New Roman" w:eastAsia="宋体" w:cs="Times New Roman"/>
                <w:sz w:val="21"/>
                <w:szCs w:val="21"/>
                <w:highlight w:val="none"/>
                <w:vertAlign w:val="baseline"/>
                <w:lang w:val="en-US" w:eastAsia="zh-CN"/>
              </w:rPr>
              <w:t>资源利用上线</w:t>
            </w: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4B6D46F0">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highlight w:val="none"/>
              </w:rPr>
            </w:pPr>
            <w:r>
              <w:rPr>
                <w:rFonts w:hint="default" w:ascii="Times New Roman" w:hAnsi="Times New Roman" w:eastAsia="宋体" w:cs="Times New Roman"/>
                <w:sz w:val="21"/>
                <w:szCs w:val="21"/>
                <w:highlight w:val="none"/>
                <w:vertAlign w:val="baseline"/>
              </w:rPr>
              <w:t>强化节约集约利用，持续提升资源能源利用效率，水资源、土地资源、能源消耗等达到国家、自治区下达的总量和强度控制目标。加快区域低碳发展，积极推动乌鲁木齐市、昌吉市、伊宁市、和田市等4个国家级低碳试点城市</w:t>
            </w:r>
            <w:r>
              <w:rPr>
                <w:rFonts w:hint="default" w:ascii="Times New Roman" w:hAnsi="Times New Roman" w:cs="Times New Roman"/>
                <w:sz w:val="21"/>
                <w:szCs w:val="21"/>
                <w:highlight w:val="none"/>
                <w:vertAlign w:val="baseline"/>
                <w:lang w:val="en-US" w:eastAsia="zh-CN"/>
              </w:rPr>
              <w:t>发挥</w:t>
            </w:r>
            <w:r>
              <w:rPr>
                <w:rFonts w:hint="default" w:ascii="Times New Roman" w:hAnsi="Times New Roman" w:eastAsia="宋体" w:cs="Times New Roman"/>
                <w:sz w:val="21"/>
                <w:szCs w:val="21"/>
                <w:highlight w:val="none"/>
                <w:vertAlign w:val="baseline"/>
              </w:rPr>
              <w:t>低碳试点示范和引领作用</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212687F8">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rPr>
              <w:t>本项目生产过程中不消耗水资源，不会对区域水资源造成较大影响</w:t>
            </w:r>
          </w:p>
        </w:tc>
      </w:tr>
      <w:tr w14:paraId="6DD30B8A">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tcBorders>
              <w:tl2br w:val="nil"/>
              <w:tr2bl w:val="nil"/>
            </w:tcBorders>
            <w:noWrap w:val="0"/>
            <w:tcMar>
              <w:top w:w="0" w:type="dxa"/>
              <w:left w:w="108" w:type="dxa"/>
              <w:bottom w:w="0" w:type="dxa"/>
              <w:right w:w="108" w:type="dxa"/>
            </w:tcMar>
            <w:vAlign w:val="center"/>
          </w:tcPr>
          <w:p w14:paraId="373BC6F4">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outlineLvl w:val="9"/>
              <w:rPr>
                <w:rFonts w:hint="default" w:ascii="Times New Roman" w:hAnsi="Times New Roman" w:eastAsia="宋体" w:cs="Times New Roman"/>
                <w:sz w:val="21"/>
                <w:highlight w:val="none"/>
              </w:rPr>
            </w:pPr>
            <w:r>
              <w:rPr>
                <w:rFonts w:hint="default" w:ascii="Times New Roman" w:hAnsi="Times New Roman" w:eastAsia="宋体" w:cs="Times New Roman"/>
                <w:sz w:val="21"/>
                <w:szCs w:val="21"/>
                <w:highlight w:val="none"/>
                <w:vertAlign w:val="baseline"/>
              </w:rPr>
              <w:t>环境管控单元</w:t>
            </w: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1E089207">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highlight w:val="none"/>
              </w:rPr>
            </w:pPr>
            <w:r>
              <w:rPr>
                <w:rFonts w:hint="default" w:ascii="Times New Roman" w:hAnsi="Times New Roman" w:eastAsia="宋体" w:cs="Times New Roman"/>
                <w:sz w:val="21"/>
                <w:szCs w:val="21"/>
                <w:highlight w:val="none"/>
                <w:vertAlign w:val="baseline"/>
              </w:rPr>
              <w:t>自治区共划定1323个环境管控单元，分为优先保护单元、重点管控单元和一般管控单元三类，实施分类管控。优先保护单元465个，主要包括生态保护红线区和生态保护红线区以外的饮用水水源保护区、水源涵养区、防风固沙区、土地沙化防控区、水土流失防控区等一般生态空间管控区。生态保护红线区执行生态保护红线管理办法的有关要求；一般生态空间管控区应以生态环境保护优先为原则，开发建设活动应严格执行相关法律、法规要求，严守生态环境质量底线，确保生态功能不降低。重点管控单元699个，主要包括城镇建成区、工业园区和开发强度大、污染物排放强度高的工业聚集区等。重点管控单元要着力优化空间布局，不断提升资源利用效率，有针对性地加强污染物排放管控和环 境风险管控，解决生态环境质量不达标、生态环境风险高等问题。一般管控单元159个，主要包括优先保护单元和重点管控单元之外的其它区域。一般管控单元主要落实生态环境保护基本要求，推动区域环境质量持续改善</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71F779B6">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lang w:val="en-US" w:eastAsia="zh-CN"/>
              </w:rPr>
              <w:t>项目所处管控单元为阿克苏经济技术开发区，属重点管控单元，本项目采取了有效的污染防治措施，可确保污染得到有效的控制，不会对周围环境产生明显影响</w:t>
            </w:r>
          </w:p>
        </w:tc>
      </w:tr>
      <w:tr w14:paraId="6AA7DEDB">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5000" w:type="pct"/>
            <w:gridSpan w:val="3"/>
            <w:tcBorders>
              <w:tl2br w:val="nil"/>
              <w:tr2bl w:val="nil"/>
            </w:tcBorders>
            <w:noWrap w:val="0"/>
            <w:tcMar>
              <w:top w:w="0" w:type="dxa"/>
              <w:left w:w="108" w:type="dxa"/>
              <w:bottom w:w="0" w:type="dxa"/>
              <w:right w:w="108" w:type="dxa"/>
            </w:tcMar>
            <w:vAlign w:val="center"/>
          </w:tcPr>
          <w:p w14:paraId="03E61F0B">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lang w:eastAsia="zh-CN"/>
              </w:rPr>
            </w:pPr>
            <w:r>
              <w:rPr>
                <w:rFonts w:hint="default" w:ascii="Times New Roman" w:hAnsi="Times New Roman" w:eastAsia="宋体" w:cs="Times New Roman"/>
                <w:b/>
                <w:bCs/>
                <w:sz w:val="21"/>
                <w:szCs w:val="21"/>
                <w:highlight w:val="none"/>
                <w:vertAlign w:val="baseline"/>
              </w:rPr>
              <w:t>《关于印发</w:t>
            </w:r>
            <w:r>
              <w:rPr>
                <w:rFonts w:hint="default" w:ascii="Times New Roman" w:hAnsi="Times New Roman" w:cs="Times New Roman"/>
                <w:b/>
                <w:bCs/>
                <w:sz w:val="21"/>
                <w:szCs w:val="21"/>
                <w:highlight w:val="none"/>
                <w:vertAlign w:val="baseline"/>
                <w:lang w:val="en-US" w:eastAsia="zh-CN"/>
              </w:rPr>
              <w:t>阿克苏地区</w:t>
            </w:r>
            <w:r>
              <w:rPr>
                <w:rFonts w:hint="default" w:ascii="Times New Roman" w:hAnsi="Times New Roman" w:eastAsia="宋体" w:cs="Times New Roman"/>
                <w:b/>
                <w:bCs/>
                <w:sz w:val="21"/>
                <w:szCs w:val="21"/>
                <w:highlight w:val="none"/>
                <w:vertAlign w:val="baseline"/>
              </w:rPr>
              <w:t>生态环境分区管控方案</w:t>
            </w:r>
            <w:r>
              <w:rPr>
                <w:rFonts w:hint="default" w:ascii="Times New Roman" w:hAnsi="Times New Roman" w:cs="Times New Roman"/>
                <w:b/>
                <w:bCs/>
                <w:sz w:val="21"/>
                <w:szCs w:val="21"/>
                <w:highlight w:val="none"/>
                <w:vertAlign w:val="baseline"/>
                <w:lang w:eastAsia="zh-CN"/>
              </w:rPr>
              <w:t>（</w:t>
            </w:r>
            <w:r>
              <w:rPr>
                <w:rFonts w:hint="default" w:ascii="Times New Roman" w:hAnsi="Times New Roman" w:cs="Times New Roman"/>
                <w:b/>
                <w:bCs/>
                <w:sz w:val="21"/>
                <w:szCs w:val="21"/>
                <w:highlight w:val="none"/>
                <w:vertAlign w:val="baseline"/>
                <w:lang w:val="en-US" w:eastAsia="zh-CN"/>
              </w:rPr>
              <w:t>2023年版</w:t>
            </w:r>
            <w:r>
              <w:rPr>
                <w:rFonts w:hint="default" w:ascii="Times New Roman" w:hAnsi="Times New Roman" w:cs="Times New Roman"/>
                <w:b/>
                <w:bCs/>
                <w:sz w:val="21"/>
                <w:szCs w:val="21"/>
                <w:highlight w:val="none"/>
                <w:vertAlign w:val="baseline"/>
                <w:lang w:eastAsia="zh-CN"/>
              </w:rPr>
              <w:t>）</w:t>
            </w:r>
            <w:r>
              <w:rPr>
                <w:rFonts w:hint="default" w:ascii="Times New Roman" w:hAnsi="Times New Roman" w:eastAsia="宋体" w:cs="Times New Roman"/>
                <w:b/>
                <w:bCs/>
                <w:sz w:val="21"/>
                <w:szCs w:val="21"/>
                <w:highlight w:val="none"/>
                <w:vertAlign w:val="baseline"/>
              </w:rPr>
              <w:t>的通知》（</w:t>
            </w:r>
            <w:r>
              <w:rPr>
                <w:rFonts w:hint="default" w:ascii="Times New Roman" w:hAnsi="Times New Roman" w:cs="Times New Roman"/>
                <w:b/>
                <w:bCs/>
                <w:sz w:val="21"/>
                <w:szCs w:val="21"/>
                <w:highlight w:val="none"/>
                <w:vertAlign w:val="baseline"/>
                <w:lang w:eastAsia="zh-CN"/>
              </w:rPr>
              <w:t>阿</w:t>
            </w:r>
            <w:r>
              <w:rPr>
                <w:rFonts w:hint="default" w:ascii="Times New Roman" w:hAnsi="Times New Roman" w:cs="Times New Roman"/>
                <w:b/>
                <w:bCs/>
                <w:sz w:val="21"/>
                <w:szCs w:val="21"/>
                <w:highlight w:val="none"/>
                <w:vertAlign w:val="baseline"/>
                <w:lang w:val="en-US" w:eastAsia="zh-CN"/>
              </w:rPr>
              <w:t>地环字</w:t>
            </w:r>
            <w:r>
              <w:rPr>
                <w:rFonts w:hint="default" w:ascii="Times New Roman" w:hAnsi="Times New Roman" w:eastAsia="宋体" w:cs="Times New Roman"/>
                <w:b/>
                <w:bCs/>
                <w:sz w:val="21"/>
                <w:szCs w:val="21"/>
                <w:highlight w:val="none"/>
                <w:vertAlign w:val="baseline"/>
              </w:rPr>
              <w:t>[202</w:t>
            </w:r>
            <w:r>
              <w:rPr>
                <w:rFonts w:hint="default" w:ascii="Times New Roman" w:hAnsi="Times New Roman" w:cs="Times New Roman"/>
                <w:b/>
                <w:bCs/>
                <w:sz w:val="21"/>
                <w:szCs w:val="21"/>
                <w:highlight w:val="none"/>
                <w:vertAlign w:val="baseline"/>
                <w:lang w:val="en-US" w:eastAsia="zh-CN"/>
              </w:rPr>
              <w:t>4</w:t>
            </w:r>
            <w:r>
              <w:rPr>
                <w:rFonts w:hint="default" w:ascii="Times New Roman" w:hAnsi="Times New Roman" w:eastAsia="宋体" w:cs="Times New Roman"/>
                <w:b/>
                <w:bCs/>
                <w:sz w:val="21"/>
                <w:szCs w:val="21"/>
                <w:highlight w:val="none"/>
                <w:vertAlign w:val="baseline"/>
              </w:rPr>
              <w:t>]32号）</w:t>
            </w:r>
          </w:p>
        </w:tc>
      </w:tr>
      <w:tr w14:paraId="2C1BB8C9">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tcBorders>
              <w:tl2br w:val="nil"/>
              <w:tr2bl w:val="nil"/>
            </w:tcBorders>
            <w:noWrap w:val="0"/>
            <w:tcMar>
              <w:top w:w="0" w:type="dxa"/>
              <w:left w:w="108" w:type="dxa"/>
              <w:bottom w:w="0" w:type="dxa"/>
              <w:right w:w="108" w:type="dxa"/>
            </w:tcMar>
            <w:vAlign w:val="center"/>
          </w:tcPr>
          <w:p w14:paraId="4837EEAB">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center"/>
              <w:textAlignment w:val="auto"/>
              <w:outlineLvl w:val="9"/>
              <w:rPr>
                <w:rFonts w:hint="default" w:ascii="Times New Roman" w:hAnsi="Times New Roman" w:eastAsia="宋体" w:cs="Times New Roman"/>
                <w:sz w:val="21"/>
                <w:szCs w:val="21"/>
                <w:highlight w:val="none"/>
                <w:vertAlign w:val="baseline"/>
                <w:lang w:val="en-US" w:eastAsia="zh-CN" w:bidi="ar-SA"/>
              </w:rPr>
            </w:pPr>
            <w:r>
              <w:rPr>
                <w:rFonts w:hint="default" w:ascii="Times New Roman" w:hAnsi="Times New Roman" w:cs="Times New Roman"/>
                <w:sz w:val="21"/>
                <w:szCs w:val="21"/>
                <w:highlight w:val="none"/>
                <w:vertAlign w:val="baseline"/>
                <w:lang w:val="en-US" w:eastAsia="zh-CN"/>
              </w:rPr>
              <w:t>生态环境分区管控</w:t>
            </w: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1CA6B7D7">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地区共划定环境管控单元109个(不含兵团)，分为优先保护单元、重点管控单元和一般管控单元，实施分类管控。</w:t>
            </w:r>
          </w:p>
          <w:p w14:paraId="1DDE3124">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优先保护单元62个，占地区国土面积的27.56%。主要包括生态保护红线区和生态保护红线区以外的饮用水水源保护区、自然公园、重要湖库等一般生态空间管控区。优先保护单元中的生态保护红线区要严格按照国家和自治区生态保护红线管理相关规定进行管控:一般生态空间管控区应以生态环境保护优先为原则，开发建设活动严格执行相关法律法规要求，严守生态环境质量底线，确保生态功能不降低。</w:t>
            </w:r>
          </w:p>
          <w:p w14:paraId="20AEDA8E">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cs="Times New Roman"/>
                <w:sz w:val="21"/>
                <w:szCs w:val="21"/>
                <w:highlight w:val="none"/>
                <w:vertAlign w:val="baseline"/>
                <w:lang w:eastAsia="zh-CN"/>
              </w:rPr>
            </w:pPr>
            <w:r>
              <w:rPr>
                <w:rFonts w:hint="default" w:ascii="Times New Roman" w:hAnsi="Times New Roman" w:eastAsia="宋体" w:cs="Times New Roman"/>
                <w:sz w:val="21"/>
                <w:szCs w:val="21"/>
                <w:highlight w:val="none"/>
                <w:vertAlign w:val="baseline"/>
              </w:rPr>
              <w:t>重点管控单元38个，占地区国土面积的1.41%。主要包括人口集中的城镇建成区、工业开发活动集中的产业园区和矿产资源开发集中的重要矿区等。重点管控单元要着力优化空间布局，不断提升资源利用效率，有针对性加强污染物排放管控和环境风险防控，解决生态环境质量下降、生态环境风险高等问题</w:t>
            </w:r>
            <w:r>
              <w:rPr>
                <w:rFonts w:hint="default" w:ascii="Times New Roman" w:hAnsi="Times New Roman" w:cs="Times New Roman"/>
                <w:sz w:val="21"/>
                <w:szCs w:val="21"/>
                <w:highlight w:val="none"/>
                <w:vertAlign w:val="baseline"/>
                <w:lang w:eastAsia="zh-CN"/>
              </w:rPr>
              <w:t>。</w:t>
            </w:r>
          </w:p>
          <w:p w14:paraId="1FE2E16E">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firstLine="0" w:firstLineChars="0"/>
              <w:jc w:val="both"/>
              <w:textAlignment w:val="auto"/>
              <w:outlineLvl w:val="9"/>
              <w:rPr>
                <w:rFonts w:hint="default" w:ascii="Times New Roman" w:hAnsi="Times New Roman" w:eastAsia="宋体" w:cs="Times New Roman"/>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rPr>
              <w:t>一般管控单元9个，占地区国土面积的71.03%。主要包括优先保护单元、重点管控单元以外的其他区域。一般管控单元主要落实生态环境保护基本要求，推动区域环境质量持续改善。</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0A766459">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项目所处管控单元为阿克苏经济技术开发区，属重点管控单元，环境管控单元编码为ZH65290120003</w:t>
            </w:r>
          </w:p>
        </w:tc>
      </w:tr>
      <w:tr w14:paraId="0ACE14A4">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5000" w:type="pct"/>
            <w:gridSpan w:val="3"/>
            <w:tcBorders>
              <w:tl2br w:val="nil"/>
              <w:tr2bl w:val="nil"/>
            </w:tcBorders>
            <w:noWrap w:val="0"/>
            <w:tcMar>
              <w:top w:w="0" w:type="dxa"/>
              <w:left w:w="108" w:type="dxa"/>
              <w:bottom w:w="0" w:type="dxa"/>
              <w:right w:w="108" w:type="dxa"/>
            </w:tcMar>
            <w:vAlign w:val="center"/>
          </w:tcPr>
          <w:p w14:paraId="14CF7053">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b/>
                <w:bCs/>
                <w:sz w:val="21"/>
                <w:szCs w:val="21"/>
                <w:highlight w:val="none"/>
                <w:vertAlign w:val="baseline"/>
                <w:lang w:val="en-US" w:eastAsia="zh-CN"/>
              </w:rPr>
              <w:t>阿克苏经济技术开发区管控要求（</w:t>
            </w:r>
            <w:r>
              <w:rPr>
                <w:rFonts w:hint="default" w:ascii="Times New Roman" w:hAnsi="Times New Roman" w:cs="Times New Roman"/>
                <w:b/>
                <w:bCs/>
                <w:sz w:val="21"/>
                <w:szCs w:val="21"/>
                <w:highlight w:val="none"/>
                <w:vertAlign w:val="baseline"/>
                <w:lang w:val="en-US" w:eastAsia="zh-CN"/>
              </w:rPr>
              <w:t>重点管控单元</w:t>
            </w:r>
            <w:r>
              <w:rPr>
                <w:rFonts w:hint="default" w:ascii="Times New Roman" w:hAnsi="Times New Roman" w:eastAsia="宋体" w:cs="Times New Roman"/>
                <w:b/>
                <w:bCs/>
                <w:sz w:val="21"/>
                <w:szCs w:val="21"/>
                <w:highlight w:val="none"/>
                <w:vertAlign w:val="baseline"/>
                <w:lang w:val="en-US" w:eastAsia="zh-CN"/>
              </w:rPr>
              <w:t>，单元编码：</w:t>
            </w:r>
            <w:r>
              <w:rPr>
                <w:rFonts w:hint="default" w:ascii="Times New Roman" w:hAnsi="Times New Roman" w:eastAsia="宋体" w:cs="Times New Roman"/>
                <w:b/>
                <w:bCs/>
                <w:sz w:val="21"/>
                <w:szCs w:val="21"/>
                <w:highlight w:val="none"/>
                <w:vertAlign w:val="baseline"/>
              </w:rPr>
              <w:t>ZH65290120003</w:t>
            </w:r>
            <w:r>
              <w:rPr>
                <w:rFonts w:hint="default" w:ascii="Times New Roman" w:hAnsi="Times New Roman" w:eastAsia="宋体" w:cs="Times New Roman"/>
                <w:b/>
                <w:bCs/>
                <w:sz w:val="21"/>
                <w:szCs w:val="21"/>
                <w:highlight w:val="none"/>
                <w:vertAlign w:val="baseline"/>
                <w:lang w:val="en-US" w:eastAsia="zh-CN"/>
              </w:rPr>
              <w:t>）</w:t>
            </w:r>
          </w:p>
        </w:tc>
      </w:tr>
      <w:tr w14:paraId="71BF7F14">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restart"/>
            <w:tcBorders>
              <w:tl2br w:val="nil"/>
              <w:tr2bl w:val="nil"/>
            </w:tcBorders>
            <w:noWrap w:val="0"/>
            <w:tcMar>
              <w:top w:w="0" w:type="dxa"/>
              <w:left w:w="108" w:type="dxa"/>
              <w:bottom w:w="0" w:type="dxa"/>
              <w:right w:w="108" w:type="dxa"/>
            </w:tcMar>
            <w:vAlign w:val="center"/>
          </w:tcPr>
          <w:p w14:paraId="7CBDE908">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sz w:val="21"/>
                <w:szCs w:val="21"/>
                <w:highlight w:val="none"/>
                <w:vertAlign w:val="baseline"/>
                <w:lang w:val="en-US" w:eastAsia="zh-CN"/>
              </w:rPr>
              <w:t>空间布局约束</w:t>
            </w: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1A13A525">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1、新建、改建、扩建“两高”项目须符合生态环境保护法律法规和相关法定规划，满足重点污染物排放总量控制、碳排放达峰目标、生态环境准入清单、相关规划环评和相应行业建设项目环境准入条件、环评文件审批原则要求。</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2A65C645">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本项目满足污染物排放总量控制、生态环境准入清单、相关规划环评和相应行业准入条件、环评文件审批原则等要求</w:t>
            </w:r>
          </w:p>
        </w:tc>
      </w:tr>
      <w:tr w14:paraId="069B6BEF">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7F94EEB0">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298E203B">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2、新（改、扩）建化工项目应符合园区产业定位、园区规划及规划环评要求，按照有关规定设置合理的环境防护距离，环境保护距离内不得有居民区、学校、医院等环境敏感目标，避免邻避效应。</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1A71D8B6">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本项目建设符合园区产业定位、园区规划及规划环评要求，周边无居民区、学校、医院等环境敏感目标</w:t>
            </w:r>
          </w:p>
        </w:tc>
      </w:tr>
      <w:tr w14:paraId="24267C04">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55843CB2">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p>
        </w:tc>
        <w:tc>
          <w:tcPr>
            <w:tcW w:w="3316" w:type="pct"/>
            <w:tcBorders>
              <w:right w:val="single" w:color="auto" w:sz="4" w:space="0"/>
              <w:tl2br w:val="nil"/>
              <w:tr2bl w:val="nil"/>
            </w:tcBorders>
            <w:shd w:val="clear" w:color="auto" w:fill="auto"/>
            <w:noWrap w:val="0"/>
            <w:tcMar>
              <w:top w:w="0" w:type="dxa"/>
              <w:left w:w="108" w:type="dxa"/>
              <w:bottom w:w="0" w:type="dxa"/>
              <w:right w:w="108" w:type="dxa"/>
            </w:tcMar>
            <w:vAlign w:val="center"/>
          </w:tcPr>
          <w:p w14:paraId="5492E16B">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3、依据国土空间规划、生态环境分区管控和国家重大战略安排，统筹重大项目布局。</w:t>
            </w:r>
          </w:p>
        </w:tc>
        <w:tc>
          <w:tcPr>
            <w:tcW w:w="1232" w:type="pct"/>
            <w:tcBorders>
              <w:left w:val="single" w:color="auto" w:sz="4" w:space="0"/>
              <w:tl2br w:val="nil"/>
              <w:tr2bl w:val="nil"/>
            </w:tcBorders>
            <w:shd w:val="clear" w:color="auto" w:fill="auto"/>
            <w:noWrap w:val="0"/>
            <w:tcMar>
              <w:top w:w="0" w:type="dxa"/>
              <w:left w:w="108" w:type="dxa"/>
              <w:bottom w:w="0" w:type="dxa"/>
              <w:right w:w="108" w:type="dxa"/>
            </w:tcMar>
            <w:vAlign w:val="center"/>
          </w:tcPr>
          <w:p w14:paraId="26C25D0A">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bidi="ar-SA"/>
              </w:rPr>
            </w:pPr>
            <w:r>
              <w:rPr>
                <w:rFonts w:hint="default" w:ascii="Times New Roman" w:hAnsi="Times New Roman" w:cs="Times New Roman"/>
                <w:b w:val="0"/>
                <w:bCs w:val="0"/>
                <w:sz w:val="21"/>
                <w:szCs w:val="21"/>
                <w:highlight w:val="none"/>
                <w:vertAlign w:val="baseline"/>
                <w:lang w:val="en-US" w:eastAsia="zh-CN" w:bidi="ar-SA"/>
              </w:rPr>
              <w:t>本项目建设符合国土空间规划和生态环境分区管控要求</w:t>
            </w:r>
          </w:p>
        </w:tc>
      </w:tr>
      <w:tr w14:paraId="157A623E">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6C781B37">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p>
        </w:tc>
        <w:tc>
          <w:tcPr>
            <w:tcW w:w="3316" w:type="pct"/>
            <w:tcBorders>
              <w:right w:val="single" w:color="auto" w:sz="4" w:space="0"/>
              <w:tl2br w:val="nil"/>
              <w:tr2bl w:val="nil"/>
            </w:tcBorders>
            <w:shd w:val="clear" w:color="auto" w:fill="auto"/>
            <w:noWrap w:val="0"/>
            <w:tcMar>
              <w:top w:w="0" w:type="dxa"/>
              <w:left w:w="108" w:type="dxa"/>
              <w:bottom w:w="0" w:type="dxa"/>
              <w:right w:w="108" w:type="dxa"/>
            </w:tcMar>
            <w:vAlign w:val="center"/>
          </w:tcPr>
          <w:p w14:paraId="56045E3E">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4、禁止引进国家和自治区明令禁止或淘汰的产业及工艺。引进符合国家产业政策和清洁生产要求的、采用先进生产工艺和设备的、自动化程度高的、具有可靠先进的污染治理技术的生产项目。</w:t>
            </w:r>
          </w:p>
        </w:tc>
        <w:tc>
          <w:tcPr>
            <w:tcW w:w="1232" w:type="pct"/>
            <w:tcBorders>
              <w:left w:val="single" w:color="auto" w:sz="4" w:space="0"/>
              <w:tl2br w:val="nil"/>
              <w:tr2bl w:val="nil"/>
            </w:tcBorders>
            <w:shd w:val="clear" w:color="auto" w:fill="auto"/>
            <w:noWrap w:val="0"/>
            <w:tcMar>
              <w:top w:w="0" w:type="dxa"/>
              <w:left w:w="108" w:type="dxa"/>
              <w:bottom w:w="0" w:type="dxa"/>
              <w:right w:w="108" w:type="dxa"/>
            </w:tcMar>
            <w:vAlign w:val="center"/>
          </w:tcPr>
          <w:p w14:paraId="02086234">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本项目不涉及使用国家和自治区明令禁止或淘汰的产业及工艺</w:t>
            </w:r>
          </w:p>
        </w:tc>
      </w:tr>
      <w:tr w14:paraId="13B526FE">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47A2BD7F">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p>
        </w:tc>
        <w:tc>
          <w:tcPr>
            <w:tcW w:w="3316" w:type="pct"/>
            <w:tcBorders>
              <w:right w:val="single" w:color="auto" w:sz="4" w:space="0"/>
              <w:tl2br w:val="nil"/>
              <w:tr2bl w:val="nil"/>
            </w:tcBorders>
            <w:shd w:val="clear" w:color="auto" w:fill="auto"/>
            <w:noWrap w:val="0"/>
            <w:tcMar>
              <w:top w:w="0" w:type="dxa"/>
              <w:left w:w="108" w:type="dxa"/>
              <w:bottom w:w="0" w:type="dxa"/>
              <w:right w:w="108" w:type="dxa"/>
            </w:tcMar>
            <w:vAlign w:val="center"/>
          </w:tcPr>
          <w:p w14:paraId="2648909F">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5、引进建设项目应符合园区定位、产业布局。</w:t>
            </w:r>
          </w:p>
        </w:tc>
        <w:tc>
          <w:tcPr>
            <w:tcW w:w="1232" w:type="pct"/>
            <w:tcBorders>
              <w:left w:val="single" w:color="auto" w:sz="4" w:space="0"/>
              <w:tl2br w:val="nil"/>
              <w:tr2bl w:val="nil"/>
            </w:tcBorders>
            <w:shd w:val="clear" w:color="auto" w:fill="auto"/>
            <w:noWrap w:val="0"/>
            <w:tcMar>
              <w:top w:w="0" w:type="dxa"/>
              <w:left w:w="108" w:type="dxa"/>
              <w:bottom w:w="0" w:type="dxa"/>
              <w:right w:w="108" w:type="dxa"/>
            </w:tcMar>
            <w:vAlign w:val="center"/>
          </w:tcPr>
          <w:p w14:paraId="6734F7AC">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项目建设符合园区定位及产业布局要求</w:t>
            </w:r>
          </w:p>
        </w:tc>
      </w:tr>
      <w:tr w14:paraId="2DCDAF47">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5AD9F95D">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p>
        </w:tc>
        <w:tc>
          <w:tcPr>
            <w:tcW w:w="3316" w:type="pct"/>
            <w:tcBorders>
              <w:right w:val="single" w:color="auto" w:sz="4" w:space="0"/>
              <w:tl2br w:val="nil"/>
              <w:tr2bl w:val="nil"/>
            </w:tcBorders>
            <w:shd w:val="clear" w:color="auto" w:fill="auto"/>
            <w:noWrap w:val="0"/>
            <w:tcMar>
              <w:top w:w="0" w:type="dxa"/>
              <w:left w:w="108" w:type="dxa"/>
              <w:bottom w:w="0" w:type="dxa"/>
              <w:right w:w="108" w:type="dxa"/>
            </w:tcMar>
            <w:vAlign w:val="center"/>
          </w:tcPr>
          <w:p w14:paraId="45ACE9FF">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6、推动重点行业、重点企业绿色发展，严格落实水污染物排放标准和排污许可制度。加强农副食品加工、化工、建材冶金等企业综合治理和清洁化改造。支持企业积极实施节水技术改造，加强工业园区污水集中处理设施运行管理，加快再生水回用设施建设，提升园区水资源循环利用水平。对污染排放不达标的企业责令停止超标排污，采取限期整改、停产治理等措施，确保全面稳定达标排放。</w:t>
            </w:r>
          </w:p>
        </w:tc>
        <w:tc>
          <w:tcPr>
            <w:tcW w:w="1232" w:type="pct"/>
            <w:tcBorders>
              <w:left w:val="single" w:color="auto" w:sz="4" w:space="0"/>
              <w:tl2br w:val="nil"/>
              <w:tr2bl w:val="nil"/>
            </w:tcBorders>
            <w:shd w:val="clear" w:color="auto" w:fill="auto"/>
            <w:noWrap w:val="0"/>
            <w:tcMar>
              <w:top w:w="0" w:type="dxa"/>
              <w:left w:w="108" w:type="dxa"/>
              <w:bottom w:w="0" w:type="dxa"/>
              <w:right w:w="108" w:type="dxa"/>
            </w:tcMar>
            <w:vAlign w:val="center"/>
          </w:tcPr>
          <w:p w14:paraId="3610AC4E">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企业严格履行排污许可制度，各项污染物均能达标排放</w:t>
            </w:r>
          </w:p>
        </w:tc>
      </w:tr>
      <w:tr w14:paraId="574AF348">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restart"/>
            <w:tcBorders>
              <w:tl2br w:val="nil"/>
              <w:tr2bl w:val="nil"/>
            </w:tcBorders>
            <w:noWrap w:val="0"/>
            <w:tcMar>
              <w:top w:w="0" w:type="dxa"/>
              <w:left w:w="108" w:type="dxa"/>
              <w:bottom w:w="0" w:type="dxa"/>
              <w:right w:w="108" w:type="dxa"/>
            </w:tcMar>
            <w:vAlign w:val="center"/>
          </w:tcPr>
          <w:p w14:paraId="7236E2E7">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sz w:val="21"/>
                <w:szCs w:val="21"/>
                <w:highlight w:val="none"/>
                <w:vertAlign w:val="baseline"/>
                <w:lang w:val="en-US" w:eastAsia="zh-CN"/>
              </w:rPr>
              <w:t>污染物排放管控</w:t>
            </w:r>
          </w:p>
        </w:tc>
        <w:tc>
          <w:tcPr>
            <w:tcW w:w="3316" w:type="pct"/>
            <w:tcBorders>
              <w:right w:val="single" w:color="auto" w:sz="4" w:space="0"/>
              <w:tl2br w:val="nil"/>
              <w:tr2bl w:val="nil"/>
            </w:tcBorders>
            <w:shd w:val="clear" w:color="auto" w:fill="auto"/>
            <w:noWrap w:val="0"/>
            <w:tcMar>
              <w:top w:w="0" w:type="dxa"/>
              <w:left w:w="108" w:type="dxa"/>
              <w:bottom w:w="0" w:type="dxa"/>
              <w:right w:w="108" w:type="dxa"/>
            </w:tcMar>
            <w:vAlign w:val="center"/>
          </w:tcPr>
          <w:p w14:paraId="68AC5E00">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1、聚焦采暖期重污染天气治理，加大重点区域、重点行业结构调整和污染治理力度。对现有排放企业和自备电厂，对标国际国内最新标准和可行性技术，进行提标改造升级。</w:t>
            </w:r>
          </w:p>
        </w:tc>
        <w:tc>
          <w:tcPr>
            <w:tcW w:w="1232" w:type="pct"/>
            <w:tcBorders>
              <w:left w:val="single" w:color="auto" w:sz="4" w:space="0"/>
              <w:tl2br w:val="nil"/>
              <w:tr2bl w:val="nil"/>
            </w:tcBorders>
            <w:shd w:val="clear" w:color="auto" w:fill="auto"/>
            <w:noWrap w:val="0"/>
            <w:tcMar>
              <w:top w:w="0" w:type="dxa"/>
              <w:left w:w="108" w:type="dxa"/>
              <w:bottom w:w="0" w:type="dxa"/>
              <w:right w:w="108" w:type="dxa"/>
            </w:tcMar>
            <w:vAlign w:val="center"/>
          </w:tcPr>
          <w:p w14:paraId="46CD3ADE">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企业各项污染无排放满足国内最新标准要求</w:t>
            </w:r>
          </w:p>
        </w:tc>
      </w:tr>
      <w:tr w14:paraId="40F3E0CA">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02CBE876">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766146E2">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2、重点行业企业纳入重污染天气绩效分级，制定“一厂一策”应急减排清单，实现应纳尽纳；引导重点企业在秋冬季安排停产检修计划，减少冬季和采暖期排放。持续推进集中供热，充分发挥大型煤电机组供热能力。推进重点行业深度治理，实施全工况脱硫脱硝提标改造，加大无组织排放治理力度，深度开展工业炉窑综合整治。推进燃气锅炉低氮燃烧改造和65蒸吨/小时及以上燃煤锅炉超低排放改造。</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460D7EA5">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企业已纳入重污染天气绩效分级管理，制定有应急减排清单，企业冬季不生产，可减少冬季污染物排放</w:t>
            </w:r>
          </w:p>
        </w:tc>
      </w:tr>
      <w:tr w14:paraId="4460BA72">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2ADCC07F">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6AE84FF6">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3、加强入园企业风险管理，生产、使用、贮存、运输、回收、处置、排放有毒有害物质的单位应当采取有效措施，防止有毒有害物质渗漏、流失、扬散，避免土壤受到污染；入园企业应按规范强化地下水分区防渗等措施。</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58A94970">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项目制定有分区防渗措施，在危险废物暂存过程可有效避免土壤受到污染</w:t>
            </w:r>
          </w:p>
        </w:tc>
      </w:tr>
      <w:tr w14:paraId="378D84A7">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0D878EEE">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7E6BD835">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4、新（改、扩）建化工项目应按照国家及自治区相关排放标准，采取有效措施从严控制特征污染物的逸散与排放，无组织排放应达到相应标准，严禁生产废水直接外排，产生的生化污泥或盐泥等固体废物要按照国家及自治区相关标准收集、贮存、运输、利用和处置。新（改、扩）建化工项目满足重点污染物排放总量控制、相应行业建设项目环境准入条件、环评文件审批原则要求，依据区域环境质量改善目标，制定配套污染物削减方案，采取有效的污染物削减措施，腾出足够的环境容量。</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3577A6F3">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本项目水泥窑协同处置危险废物过程中，液态危险废物通过管输进入窑内，输送过程全密闭，可有效减少挥发性有机物的产生</w:t>
            </w:r>
          </w:p>
        </w:tc>
      </w:tr>
      <w:tr w14:paraId="44BF189E">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restart"/>
            <w:tcBorders>
              <w:tl2br w:val="nil"/>
              <w:tr2bl w:val="nil"/>
            </w:tcBorders>
            <w:noWrap w:val="0"/>
            <w:tcMar>
              <w:top w:w="0" w:type="dxa"/>
              <w:left w:w="108" w:type="dxa"/>
              <w:bottom w:w="0" w:type="dxa"/>
              <w:right w:w="108" w:type="dxa"/>
            </w:tcMar>
            <w:vAlign w:val="center"/>
          </w:tcPr>
          <w:p w14:paraId="7D2DCCEC">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sz w:val="21"/>
                <w:szCs w:val="21"/>
                <w:highlight w:val="none"/>
                <w:vertAlign w:val="baseline"/>
                <w:lang w:val="en-US" w:eastAsia="zh-CN"/>
              </w:rPr>
              <w:t>环境风险防控</w:t>
            </w: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1E87B4F6">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1、园区及企业应按相关规范编制突发环境事件应急预案，建立完善突发环境事件应急响应机制。</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69B801C5">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园区及企业均制定有突发环境事件应急预案，配备有突发环境事件应急响应机制</w:t>
            </w:r>
          </w:p>
        </w:tc>
      </w:tr>
      <w:tr w14:paraId="305EC193">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0EE26C43">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0AE83CE2">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2、强化地下水环境风险管控。对化学品生产企业等地下水污染源及周边区域，逐步开展地下水环境状况调查评估，加强风险管控。</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765ED2AB">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项目制定有分区防渗措施，可有效降低地下水环境风险</w:t>
            </w:r>
          </w:p>
        </w:tc>
      </w:tr>
      <w:tr w14:paraId="1BA734CE">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5D3068EC">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p>
        </w:tc>
        <w:tc>
          <w:tcPr>
            <w:tcW w:w="3316" w:type="pct"/>
            <w:tcBorders>
              <w:right w:val="single" w:color="auto" w:sz="4" w:space="0"/>
              <w:tl2br w:val="nil"/>
              <w:tr2bl w:val="nil"/>
            </w:tcBorders>
            <w:noWrap w:val="0"/>
            <w:tcMar>
              <w:top w:w="0" w:type="dxa"/>
              <w:left w:w="108" w:type="dxa"/>
              <w:bottom w:w="0" w:type="dxa"/>
              <w:right w:w="108" w:type="dxa"/>
            </w:tcMar>
            <w:vAlign w:val="center"/>
          </w:tcPr>
          <w:p w14:paraId="66828217">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3、坚持分级负责、属地为主、部门协同的环境应急责任原则，以化工园区为重点，健全防范化解突发生态环境事件风险和应急准备责任体系，严格落实企业主体责任。</w:t>
            </w:r>
          </w:p>
        </w:tc>
        <w:tc>
          <w:tcPr>
            <w:tcW w:w="1232" w:type="pct"/>
            <w:tcBorders>
              <w:left w:val="single" w:color="auto" w:sz="4" w:space="0"/>
              <w:tl2br w:val="nil"/>
              <w:tr2bl w:val="nil"/>
            </w:tcBorders>
            <w:noWrap w:val="0"/>
            <w:tcMar>
              <w:top w:w="0" w:type="dxa"/>
              <w:left w:w="108" w:type="dxa"/>
              <w:bottom w:w="0" w:type="dxa"/>
              <w:right w:w="108" w:type="dxa"/>
            </w:tcMar>
            <w:vAlign w:val="center"/>
          </w:tcPr>
          <w:p w14:paraId="190C1511">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企业严格落实环境应急主体责任，建立应急责任体系</w:t>
            </w:r>
          </w:p>
        </w:tc>
      </w:tr>
      <w:tr w14:paraId="6602A5C9">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restart"/>
            <w:tcBorders>
              <w:tl2br w:val="nil"/>
              <w:tr2bl w:val="nil"/>
            </w:tcBorders>
            <w:noWrap w:val="0"/>
            <w:tcMar>
              <w:top w:w="0" w:type="dxa"/>
              <w:left w:w="108" w:type="dxa"/>
              <w:bottom w:w="0" w:type="dxa"/>
              <w:right w:w="108" w:type="dxa"/>
            </w:tcMar>
            <w:vAlign w:val="center"/>
          </w:tcPr>
          <w:p w14:paraId="59180FC5">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sz w:val="21"/>
                <w:szCs w:val="21"/>
                <w:highlight w:val="none"/>
                <w:vertAlign w:val="baseline"/>
                <w:lang w:val="en-US" w:eastAsia="zh-CN"/>
              </w:rPr>
              <w:t>资源利用效率</w:t>
            </w:r>
          </w:p>
        </w:tc>
        <w:tc>
          <w:tcPr>
            <w:tcW w:w="3316" w:type="pct"/>
            <w:tcBorders>
              <w:right w:val="single" w:color="auto" w:sz="4" w:space="0"/>
              <w:tl2br w:val="nil"/>
              <w:tr2bl w:val="nil"/>
            </w:tcBorders>
            <w:shd w:val="clear" w:color="auto" w:fill="auto"/>
            <w:noWrap w:val="0"/>
            <w:tcMar>
              <w:top w:w="0" w:type="dxa"/>
              <w:left w:w="108" w:type="dxa"/>
              <w:bottom w:w="0" w:type="dxa"/>
              <w:right w:w="108" w:type="dxa"/>
            </w:tcMar>
            <w:vAlign w:val="center"/>
          </w:tcPr>
          <w:p w14:paraId="63CB90FF">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1、加大园区污水再生利用工程建设力度，提高园区再生水利用率。</w:t>
            </w:r>
          </w:p>
        </w:tc>
        <w:tc>
          <w:tcPr>
            <w:tcW w:w="1232" w:type="pct"/>
            <w:tcBorders>
              <w:left w:val="single" w:color="auto" w:sz="4" w:space="0"/>
              <w:tl2br w:val="nil"/>
              <w:tr2bl w:val="nil"/>
            </w:tcBorders>
            <w:shd w:val="clear" w:color="auto" w:fill="auto"/>
            <w:noWrap w:val="0"/>
            <w:tcMar>
              <w:top w:w="0" w:type="dxa"/>
              <w:left w:w="108" w:type="dxa"/>
              <w:bottom w:w="0" w:type="dxa"/>
              <w:right w:w="108" w:type="dxa"/>
            </w:tcMar>
            <w:vAlign w:val="center"/>
          </w:tcPr>
          <w:p w14:paraId="42A84DFB">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本项目</w:t>
            </w:r>
            <w:r>
              <w:rPr>
                <w:rFonts w:hint="eastAsia" w:cs="Times New Roman"/>
                <w:b w:val="0"/>
                <w:bCs w:val="0"/>
                <w:sz w:val="21"/>
                <w:szCs w:val="21"/>
                <w:highlight w:val="none"/>
                <w:vertAlign w:val="baseline"/>
                <w:lang w:val="en-US" w:eastAsia="zh-CN"/>
              </w:rPr>
              <w:t>不涉及</w:t>
            </w:r>
          </w:p>
        </w:tc>
      </w:tr>
      <w:tr w14:paraId="739608C1">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425E2BE0">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p>
        </w:tc>
        <w:tc>
          <w:tcPr>
            <w:tcW w:w="3316" w:type="pct"/>
            <w:tcBorders>
              <w:right w:val="single" w:color="auto" w:sz="4" w:space="0"/>
              <w:tl2br w:val="nil"/>
              <w:tr2bl w:val="nil"/>
            </w:tcBorders>
            <w:shd w:val="clear" w:color="auto" w:fill="auto"/>
            <w:noWrap w:val="0"/>
            <w:tcMar>
              <w:top w:w="0" w:type="dxa"/>
              <w:left w:w="108" w:type="dxa"/>
              <w:bottom w:w="0" w:type="dxa"/>
              <w:right w:w="108" w:type="dxa"/>
            </w:tcMar>
            <w:vAlign w:val="center"/>
          </w:tcPr>
          <w:p w14:paraId="639BDE6A">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2、深入实施最严格水资源管理。严守水资源开发利用控制、用水效率控制和水功能区限制纳污“三条红线”，严格实行区域用水总量和强度控制，强化用水定额管理。</w:t>
            </w:r>
          </w:p>
        </w:tc>
        <w:tc>
          <w:tcPr>
            <w:tcW w:w="1232" w:type="pct"/>
            <w:tcBorders>
              <w:left w:val="single" w:color="auto" w:sz="4" w:space="0"/>
              <w:tl2br w:val="nil"/>
              <w:tr2bl w:val="nil"/>
            </w:tcBorders>
            <w:shd w:val="clear" w:color="auto" w:fill="auto"/>
            <w:noWrap w:val="0"/>
            <w:tcMar>
              <w:top w:w="0" w:type="dxa"/>
              <w:left w:w="108" w:type="dxa"/>
              <w:bottom w:w="0" w:type="dxa"/>
              <w:right w:w="108" w:type="dxa"/>
            </w:tcMar>
            <w:vAlign w:val="center"/>
          </w:tcPr>
          <w:p w14:paraId="0CBA04C2">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本项目水资源消耗</w:t>
            </w:r>
            <w:r>
              <w:rPr>
                <w:rFonts w:hint="eastAsia" w:cs="Times New Roman"/>
                <w:b w:val="0"/>
                <w:bCs w:val="0"/>
                <w:sz w:val="21"/>
                <w:szCs w:val="21"/>
                <w:highlight w:val="none"/>
                <w:vertAlign w:val="baseline"/>
                <w:lang w:val="en-US" w:eastAsia="zh-CN"/>
              </w:rPr>
              <w:t>量较小，符合区域用水总量和强度控制要求</w:t>
            </w:r>
          </w:p>
        </w:tc>
      </w:tr>
      <w:tr w14:paraId="462E5AA7">
        <w:tblPrEx>
          <w:tblBorders>
            <w:top w:val="single" w:color="000000" w:sz="18" w:space="0"/>
            <w:left w:val="none" w:color="auto" w:sz="0" w:space="0"/>
            <w:bottom w:val="single" w:color="000000" w:sz="18" w:space="0"/>
            <w:right w:val="none" w:color="auto" w:sz="0" w:space="0"/>
            <w:insideH w:val="single" w:color="000000" w:sz="8" w:space="0"/>
            <w:insideV w:val="single" w:color="000000" w:sz="4" w:space="0"/>
          </w:tblBorders>
          <w:tblCellMar>
            <w:top w:w="0" w:type="dxa"/>
            <w:left w:w="0" w:type="dxa"/>
            <w:bottom w:w="0" w:type="dxa"/>
            <w:right w:w="0" w:type="dxa"/>
          </w:tblCellMar>
        </w:tblPrEx>
        <w:trPr>
          <w:trHeight w:val="340" w:hRule="atLeast"/>
        </w:trPr>
        <w:tc>
          <w:tcPr>
            <w:tcW w:w="451" w:type="pct"/>
            <w:vMerge w:val="continue"/>
            <w:tcBorders>
              <w:tl2br w:val="nil"/>
              <w:tr2bl w:val="nil"/>
            </w:tcBorders>
            <w:noWrap w:val="0"/>
            <w:tcMar>
              <w:top w:w="0" w:type="dxa"/>
              <w:left w:w="108" w:type="dxa"/>
              <w:bottom w:w="0" w:type="dxa"/>
              <w:right w:w="108" w:type="dxa"/>
            </w:tcMar>
            <w:vAlign w:val="center"/>
          </w:tcPr>
          <w:p w14:paraId="4FB40847">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p>
        </w:tc>
        <w:tc>
          <w:tcPr>
            <w:tcW w:w="3316" w:type="pct"/>
            <w:tcBorders>
              <w:right w:val="single" w:color="auto" w:sz="4" w:space="0"/>
              <w:tl2br w:val="nil"/>
              <w:tr2bl w:val="nil"/>
            </w:tcBorders>
            <w:shd w:val="clear" w:color="auto" w:fill="auto"/>
            <w:noWrap w:val="0"/>
            <w:tcMar>
              <w:top w:w="0" w:type="dxa"/>
              <w:left w:w="108" w:type="dxa"/>
              <w:bottom w:w="0" w:type="dxa"/>
              <w:right w:w="108" w:type="dxa"/>
            </w:tcMar>
            <w:vAlign w:val="center"/>
          </w:tcPr>
          <w:p w14:paraId="7F472BBE">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both"/>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eastAsia="宋体" w:cs="Times New Roman"/>
                <w:b w:val="0"/>
                <w:bCs w:val="0"/>
                <w:sz w:val="21"/>
                <w:szCs w:val="21"/>
                <w:highlight w:val="none"/>
                <w:vertAlign w:val="baseline"/>
                <w:lang w:val="en-US" w:eastAsia="zh-CN"/>
              </w:rPr>
              <w:t>5、严格落实国土空间规划要求，控制各类用地指标。</w:t>
            </w:r>
          </w:p>
        </w:tc>
        <w:tc>
          <w:tcPr>
            <w:tcW w:w="1232" w:type="pct"/>
            <w:tcBorders>
              <w:left w:val="single" w:color="auto" w:sz="4" w:space="0"/>
              <w:tl2br w:val="nil"/>
              <w:tr2bl w:val="nil"/>
            </w:tcBorders>
            <w:shd w:val="clear" w:color="auto" w:fill="auto"/>
            <w:noWrap w:val="0"/>
            <w:tcMar>
              <w:top w:w="0" w:type="dxa"/>
              <w:left w:w="108" w:type="dxa"/>
              <w:bottom w:w="0" w:type="dxa"/>
              <w:right w:w="108" w:type="dxa"/>
            </w:tcMar>
            <w:vAlign w:val="center"/>
          </w:tcPr>
          <w:p w14:paraId="30B0595B">
            <w:pPr>
              <w:keepNext w:val="0"/>
              <w:keepLines w:val="0"/>
              <w:pageBreakBefore w:val="0"/>
              <w:widowControl w:val="0"/>
              <w:numPr>
                <w:ilvl w:val="0"/>
                <w:numId w:val="0"/>
              </w:numPr>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宋体" w:cs="Times New Roman"/>
                <w:b w:val="0"/>
                <w:bCs w:val="0"/>
                <w:sz w:val="21"/>
                <w:szCs w:val="21"/>
                <w:highlight w:val="none"/>
                <w:vertAlign w:val="baseline"/>
                <w:lang w:val="en-US" w:eastAsia="zh-CN"/>
              </w:rPr>
            </w:pPr>
            <w:r>
              <w:rPr>
                <w:rFonts w:hint="default" w:ascii="Times New Roman" w:hAnsi="Times New Roman" w:cs="Times New Roman"/>
                <w:b w:val="0"/>
                <w:bCs w:val="0"/>
                <w:sz w:val="21"/>
                <w:szCs w:val="21"/>
                <w:highlight w:val="none"/>
                <w:vertAlign w:val="baseline"/>
                <w:lang w:val="en-US" w:eastAsia="zh-CN"/>
              </w:rPr>
              <w:t>本项目建设符合国土空间规划要求</w:t>
            </w:r>
          </w:p>
        </w:tc>
      </w:tr>
    </w:tbl>
    <w:p w14:paraId="0BFF0569">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kern w:val="0"/>
          <w:sz w:val="24"/>
          <w:szCs w:val="24"/>
          <w:highlight w:val="none"/>
          <w:lang w:val="en-US" w:eastAsia="zh-CN" w:bidi="ar-SA"/>
        </w:rPr>
        <w:sectPr>
          <w:pgSz w:w="11906" w:h="16838"/>
          <w:pgMar w:top="1440" w:right="1803" w:bottom="1440" w:left="1803" w:header="1021" w:footer="1021" w:gutter="0"/>
          <w:pgBorders>
            <w:top w:val="none" w:sz="0" w:space="0"/>
            <w:left w:val="none" w:sz="0" w:space="0"/>
            <w:bottom w:val="none" w:sz="0" w:space="0"/>
            <w:right w:val="none" w:sz="0" w:space="0"/>
          </w:pgBorders>
          <w:pgNumType w:fmt="decimal"/>
          <w:cols w:space="720" w:num="1"/>
          <w:docGrid w:linePitch="312" w:charSpace="0"/>
        </w:sectPr>
      </w:pPr>
    </w:p>
    <w:p w14:paraId="53725893">
      <w:pPr>
        <w:spacing w:line="240" w:lineRule="auto"/>
        <w:jc w:val="center"/>
        <w:rPr>
          <w:rFonts w:hint="default" w:ascii="Times New Roman" w:hAnsi="Times New Roman" w:eastAsia="宋体" w:cs="Times New Roman"/>
          <w:lang w:eastAsia="zh-CN"/>
        </w:rPr>
      </w:pPr>
      <w:bookmarkStart w:id="67" w:name="_Toc9868247"/>
      <w:r>
        <w:rPr>
          <w:rFonts w:hint="default" w:ascii="Times New Roman" w:hAnsi="Times New Roman" w:cs="Times New Roman"/>
          <w:sz w:val="24"/>
        </w:rPr>
        <mc:AlternateContent>
          <mc:Choice Requires="wps">
            <w:drawing>
              <wp:anchor distT="0" distB="0" distL="114300" distR="114300" simplePos="0" relativeHeight="251689984" behindDoc="0" locked="0" layoutInCell="1" allowOverlap="1">
                <wp:simplePos x="0" y="0"/>
                <wp:positionH relativeFrom="column">
                  <wp:posOffset>2788285</wp:posOffset>
                </wp:positionH>
                <wp:positionV relativeFrom="paragraph">
                  <wp:posOffset>2438400</wp:posOffset>
                </wp:positionV>
                <wp:extent cx="76200" cy="76200"/>
                <wp:effectExtent l="4445" t="4445" r="10795" b="10795"/>
                <wp:wrapNone/>
                <wp:docPr id="33" name="椭圆 33"/>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3" type="#_x0000_t3" style="position:absolute;left:0pt;margin-left:219.55pt;margin-top:192pt;height:6pt;width:6pt;z-index:251689984;mso-width-relative:page;mso-height-relative:page;" fillcolor="#FF0000" filled="t" stroked="t" coordsize="21600,21600" o:gfxdata="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0hT0F2QAAAAsBAAAPAAAAAAAAAAEAIAAAACIAAABkcnMvZG93bnJldi54bWxQ&#10;SwECFAAUAAAACACHTuJA/svYlfYBAAAWBAAADgAAAAAAAAABACAAAAAoAQAAZHJzL2Uyb0RvYy54&#10;bWxQSwUGAAAAAAYABgBZAQAAkAUAAAAA&#10;">
                <v:fill on="t" focussize="0,0"/>
                <v:stroke color="#000000" joinstyle="round"/>
                <v:imagedata o:title=""/>
                <o:lock v:ext="edit" aspectratio="f"/>
              </v:shape>
            </w:pict>
          </mc:Fallback>
        </mc:AlternateContent>
      </w:r>
      <w:r>
        <w:rPr>
          <w:rFonts w:hint="default" w:ascii="Times New Roman" w:hAnsi="Times New Roman" w:cs="Times New Roman"/>
          <w:sz w:val="24"/>
        </w:rPr>
        <mc:AlternateContent>
          <mc:Choice Requires="wps">
            <w:drawing>
              <wp:anchor distT="0" distB="0" distL="114300" distR="114300" simplePos="0" relativeHeight="251688960" behindDoc="0" locked="0" layoutInCell="1" allowOverlap="1">
                <wp:simplePos x="0" y="0"/>
                <wp:positionH relativeFrom="column">
                  <wp:posOffset>2827655</wp:posOffset>
                </wp:positionH>
                <wp:positionV relativeFrom="paragraph">
                  <wp:posOffset>1920875</wp:posOffset>
                </wp:positionV>
                <wp:extent cx="836930" cy="294640"/>
                <wp:effectExtent l="5080" t="4445" r="11430" b="280035"/>
                <wp:wrapNone/>
                <wp:docPr id="76" name="矩形标注 76"/>
                <wp:cNvGraphicFramePr/>
                <a:graphic xmlns:a="http://schemas.openxmlformats.org/drawingml/2006/main">
                  <a:graphicData uri="http://schemas.microsoft.com/office/word/2010/wordprocessingShape">
                    <wps:wsp>
                      <wps:cNvSpPr/>
                      <wps:spPr>
                        <a:xfrm>
                          <a:off x="0" y="0"/>
                          <a:ext cx="836930" cy="294640"/>
                        </a:xfrm>
                        <a:prstGeom prst="wedgeRectCallout">
                          <a:avLst>
                            <a:gd name="adj1" fmla="val -47723"/>
                            <a:gd name="adj2" fmla="val 137068"/>
                          </a:avLst>
                        </a:prstGeom>
                        <a:noFill/>
                        <a:ln w="9525" cap="flat" cmpd="sng">
                          <a:solidFill>
                            <a:srgbClr val="FF0000"/>
                          </a:solidFill>
                          <a:prstDash val="solid"/>
                          <a:miter/>
                          <a:headEnd type="none" w="med" len="med"/>
                          <a:tailEnd type="none" w="med" len="med"/>
                        </a:ln>
                      </wps:spPr>
                      <wps:txbx>
                        <w:txbxContent>
                          <w:p w14:paraId="7EB4DD07">
                            <w:pPr>
                              <w:jc w:val="center"/>
                              <w:rPr>
                                <w:rFonts w:hint="default" w:eastAsia="宋体"/>
                                <w:b/>
                                <w:bCs/>
                                <w:color w:val="FF0000"/>
                                <w:lang w:val="en-US" w:eastAsia="zh-CN"/>
                              </w:rPr>
                            </w:pPr>
                            <w:r>
                              <w:rPr>
                                <w:rFonts w:hint="eastAsia"/>
                                <w:b/>
                                <w:bCs/>
                                <w:color w:val="FF0000"/>
                                <w:lang w:val="en-US" w:eastAsia="zh-CN"/>
                              </w:rPr>
                              <w:t>项目位置</w:t>
                            </w:r>
                          </w:p>
                        </w:txbxContent>
                      </wps:txbx>
                      <wps:bodyPr upright="1"/>
                    </wps:wsp>
                  </a:graphicData>
                </a:graphic>
              </wp:anchor>
            </w:drawing>
          </mc:Choice>
          <mc:Fallback>
            <w:pict>
              <v:shape id="_x0000_s1026" o:spid="_x0000_s1026" o:spt="61" type="#_x0000_t61" style="position:absolute;left:0pt;margin-left:222.65pt;margin-top:151.25pt;height:23.2pt;width:65.9pt;z-index:251688960;mso-width-relative:page;mso-height-relative:page;" filled="f" stroked="t" coordsize="21600,21600" o:gfxdata="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lyiveNoAAAALAQAADwAAAAAAAAABACAAAAAiAAAAZHJzL2Rv&#10;d25yZXYueG1sUEsBAhQAFAAAAAgAh07iQA2URhY4AgAAZgQAAA4AAAAAAAAAAQAgAAAAKQEAAGRy&#10;cy9lMm9Eb2MueG1sUEsFBgAAAAAGAAYAWQEAANMFAAAAAA==&#10;" adj="492,40407">
                <v:fill on="f" focussize="0,0"/>
                <v:stroke color="#FF0000" joinstyle="miter"/>
                <v:imagedata o:title=""/>
                <o:lock v:ext="edit" aspectratio="f"/>
                <v:textbox>
                  <w:txbxContent>
                    <w:p w14:paraId="7EB4DD07">
                      <w:pPr>
                        <w:jc w:val="center"/>
                        <w:rPr>
                          <w:rFonts w:hint="default" w:eastAsia="宋体"/>
                          <w:b/>
                          <w:bCs/>
                          <w:color w:val="FF0000"/>
                          <w:lang w:val="en-US" w:eastAsia="zh-CN"/>
                        </w:rPr>
                      </w:pPr>
                      <w:r>
                        <w:rPr>
                          <w:rFonts w:hint="eastAsia"/>
                          <w:b/>
                          <w:bCs/>
                          <w:color w:val="FF0000"/>
                          <w:lang w:val="en-US" w:eastAsia="zh-CN"/>
                        </w:rPr>
                        <w:t>项目位置</w:t>
                      </w:r>
                    </w:p>
                  </w:txbxContent>
                </v:textbox>
              </v:shape>
            </w:pict>
          </mc:Fallback>
        </mc:AlternateContent>
      </w:r>
      <w:r>
        <w:rPr>
          <w:rFonts w:hint="default" w:ascii="Times New Roman" w:hAnsi="Times New Roman" w:cs="Times New Roman"/>
          <w:sz w:val="24"/>
        </w:rPr>
        <w:drawing>
          <wp:inline distT="0" distB="0" distL="114300" distR="114300">
            <wp:extent cx="8451850" cy="4860290"/>
            <wp:effectExtent l="0" t="0" r="6350" b="1270"/>
            <wp:docPr id="35" name="图片 35" descr="阿克苏地区环境管控单元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阿克苏地区环境管控单元图"/>
                    <pic:cNvPicPr>
                      <a:picLocks noChangeAspect="1"/>
                    </pic:cNvPicPr>
                  </pic:nvPicPr>
                  <pic:blipFill>
                    <a:blip r:embed="rId16"/>
                    <a:srcRect l="9024" t="16122" r="9322" b="17472"/>
                    <a:stretch>
                      <a:fillRect/>
                    </a:stretch>
                  </pic:blipFill>
                  <pic:spPr>
                    <a:xfrm>
                      <a:off x="0" y="0"/>
                      <a:ext cx="8451850" cy="4860290"/>
                    </a:xfrm>
                    <a:prstGeom prst="rect">
                      <a:avLst/>
                    </a:prstGeom>
                  </pic:spPr>
                </pic:pic>
              </a:graphicData>
            </a:graphic>
          </wp:inline>
        </w:drawing>
      </w:r>
    </w:p>
    <w:p w14:paraId="07DFA2F4">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32"/>
          <w:highlight w:val="none"/>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default" w:ascii="Times New Roman" w:hAnsi="Times New Roman" w:eastAsia="宋体" w:cs="Times New Roman"/>
          <w:b/>
          <w:bCs/>
          <w:sz w:val="24"/>
          <w:szCs w:val="32"/>
          <w:highlight w:val="none"/>
          <w:lang w:val="en-US" w:eastAsia="zh-CN"/>
        </w:rPr>
        <w:t>图</w:t>
      </w:r>
      <w:r>
        <w:rPr>
          <w:rFonts w:hint="default" w:ascii="Times New Roman" w:hAnsi="Times New Roman" w:cs="Times New Roman"/>
          <w:b/>
          <w:bCs/>
          <w:sz w:val="24"/>
          <w:szCs w:val="32"/>
          <w:highlight w:val="none"/>
          <w:lang w:val="en-US" w:eastAsia="zh-CN"/>
        </w:rPr>
        <w:t>2.9</w:t>
      </w:r>
      <w:r>
        <w:rPr>
          <w:rFonts w:hint="eastAsia" w:cs="Times New Roman"/>
          <w:b/>
          <w:bCs/>
          <w:sz w:val="24"/>
          <w:szCs w:val="32"/>
          <w:highlight w:val="none"/>
          <w:lang w:val="en-US" w:eastAsia="zh-CN"/>
        </w:rPr>
        <w:t>-</w:t>
      </w:r>
      <w:r>
        <w:rPr>
          <w:rFonts w:hint="default" w:ascii="Times New Roman" w:hAnsi="Times New Roman" w:cs="Times New Roman"/>
          <w:b/>
          <w:bCs/>
          <w:sz w:val="24"/>
          <w:szCs w:val="32"/>
          <w:highlight w:val="none"/>
          <w:lang w:val="en-US" w:eastAsia="zh-CN"/>
        </w:rPr>
        <w:t>1</w:t>
      </w:r>
      <w:r>
        <w:rPr>
          <w:rFonts w:hint="default" w:ascii="Times New Roman" w:hAnsi="Times New Roman" w:eastAsia="宋体" w:cs="Times New Roman"/>
          <w:b/>
          <w:bCs/>
          <w:sz w:val="24"/>
          <w:szCs w:val="32"/>
          <w:highlight w:val="none"/>
          <w:lang w:val="en-US" w:eastAsia="zh-CN"/>
        </w:rPr>
        <w:t xml:space="preserve"> </w:t>
      </w:r>
      <w:r>
        <w:rPr>
          <w:rFonts w:hint="default" w:ascii="Times New Roman" w:hAnsi="Times New Roman" w:cs="Times New Roman"/>
          <w:b/>
          <w:bCs/>
          <w:sz w:val="24"/>
          <w:szCs w:val="32"/>
          <w:highlight w:val="none"/>
          <w:lang w:val="en-US" w:eastAsia="zh-CN"/>
        </w:rPr>
        <w:t>阿克苏地区</w:t>
      </w:r>
      <w:r>
        <w:rPr>
          <w:rFonts w:hint="default" w:ascii="Times New Roman" w:hAnsi="Times New Roman" w:eastAsia="宋体" w:cs="Times New Roman"/>
          <w:b/>
          <w:bCs/>
          <w:sz w:val="24"/>
          <w:szCs w:val="32"/>
          <w:highlight w:val="none"/>
          <w:lang w:val="en-US" w:eastAsia="zh-CN"/>
        </w:rPr>
        <w:t>环境管控单元分类图</w:t>
      </w:r>
    </w:p>
    <w:p w14:paraId="5C915A6A">
      <w:pPr>
        <w:jc w:val="center"/>
        <w:rPr>
          <w:rFonts w:hint="default" w:ascii="Times New Roman" w:hAnsi="Times New Roman" w:eastAsia="宋体" w:cs="Times New Roman"/>
          <w:lang w:eastAsia="zh-CN"/>
        </w:rPr>
      </w:pPr>
      <w:bookmarkStart w:id="68" w:name="_Toc13187"/>
      <w:r>
        <w:rPr>
          <w:rFonts w:hint="default" w:ascii="Times New Roman" w:hAnsi="Times New Roman" w:cs="Times New Roman"/>
          <w:sz w:val="24"/>
        </w:rPr>
        <w:drawing>
          <wp:inline distT="0" distB="0" distL="114300" distR="114300">
            <wp:extent cx="5219700" cy="7381875"/>
            <wp:effectExtent l="0" t="0" r="7620" b="9525"/>
            <wp:docPr id="43" name="图片 43" descr="阿克苏经济技术开发区化工产业集中区总体规划（2022-2035年）产业布局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阿克苏经济技术开发区化工产业集中区总体规划（2022-2035年）产业布局规划图"/>
                    <pic:cNvPicPr>
                      <a:picLocks noChangeAspect="1"/>
                    </pic:cNvPicPr>
                  </pic:nvPicPr>
                  <pic:blipFill>
                    <a:blip r:embed="rId17"/>
                    <a:stretch>
                      <a:fillRect/>
                    </a:stretch>
                  </pic:blipFill>
                  <pic:spPr>
                    <a:xfrm>
                      <a:off x="0" y="0"/>
                      <a:ext cx="5219700" cy="7381875"/>
                    </a:xfrm>
                    <a:prstGeom prst="rect">
                      <a:avLst/>
                    </a:prstGeom>
                  </pic:spPr>
                </pic:pic>
              </a:graphicData>
            </a:graphic>
          </wp:inline>
        </w:drawing>
      </w:r>
    </w:p>
    <w:p w14:paraId="160DB6E6">
      <w:pPr>
        <w:pStyle w:val="2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32"/>
          <w:highlight w:val="none"/>
          <w:lang w:val="en-US" w:eastAsia="zh-CN"/>
        </w:rPr>
      </w:pPr>
      <w:r>
        <w:rPr>
          <w:rFonts w:hint="default" w:ascii="Times New Roman" w:hAnsi="Times New Roman" w:eastAsia="宋体" w:cs="Times New Roman"/>
          <w:b/>
          <w:bCs/>
          <w:sz w:val="24"/>
          <w:szCs w:val="32"/>
          <w:highlight w:val="none"/>
          <w:lang w:val="en-US" w:eastAsia="zh-CN"/>
        </w:rPr>
        <w:t>图</w:t>
      </w:r>
      <w:r>
        <w:rPr>
          <w:rFonts w:hint="default" w:ascii="Times New Roman" w:hAnsi="Times New Roman" w:cs="Times New Roman"/>
          <w:b/>
          <w:bCs/>
          <w:sz w:val="24"/>
          <w:szCs w:val="32"/>
          <w:highlight w:val="none"/>
          <w:lang w:val="en-US" w:eastAsia="zh-CN"/>
        </w:rPr>
        <w:t>2.9</w:t>
      </w:r>
      <w:r>
        <w:rPr>
          <w:rFonts w:hint="eastAsia" w:ascii="Times New Roman" w:hAnsi="Times New Roman" w:cs="Times New Roman"/>
          <w:b/>
          <w:bCs/>
          <w:sz w:val="24"/>
          <w:szCs w:val="32"/>
          <w:highlight w:val="none"/>
          <w:lang w:val="en-US" w:eastAsia="zh-CN"/>
        </w:rPr>
        <w:t>-</w:t>
      </w:r>
      <w:r>
        <w:rPr>
          <w:rFonts w:hint="eastAsia" w:cs="Times New Roman"/>
          <w:b/>
          <w:bCs/>
          <w:sz w:val="24"/>
          <w:szCs w:val="32"/>
          <w:highlight w:val="none"/>
          <w:lang w:val="en-US" w:eastAsia="zh-CN"/>
        </w:rPr>
        <w:t>2</w:t>
      </w:r>
      <w:r>
        <w:rPr>
          <w:rFonts w:hint="default" w:ascii="Times New Roman" w:hAnsi="Times New Roman" w:eastAsia="宋体" w:cs="Times New Roman"/>
          <w:b/>
          <w:bCs/>
          <w:sz w:val="24"/>
          <w:szCs w:val="32"/>
          <w:highlight w:val="none"/>
          <w:lang w:val="en-US" w:eastAsia="zh-CN"/>
        </w:rPr>
        <w:t xml:space="preserve"> </w:t>
      </w:r>
      <w:r>
        <w:rPr>
          <w:rFonts w:hint="eastAsia" w:ascii="Times New Roman" w:hAnsi="Times New Roman" w:cs="Times New Roman"/>
          <w:b/>
          <w:bCs/>
          <w:sz w:val="24"/>
          <w:szCs w:val="32"/>
          <w:highlight w:val="none"/>
          <w:lang w:val="en-US" w:eastAsia="zh-CN"/>
        </w:rPr>
        <w:t>园区</w:t>
      </w:r>
      <w:r>
        <w:rPr>
          <w:rFonts w:hint="eastAsia" w:cs="Times New Roman"/>
          <w:b/>
          <w:bCs/>
          <w:sz w:val="24"/>
          <w:szCs w:val="32"/>
          <w:highlight w:val="none"/>
          <w:lang w:val="en-US" w:eastAsia="zh-CN"/>
        </w:rPr>
        <w:t>产业布局规划</w:t>
      </w:r>
      <w:r>
        <w:rPr>
          <w:rFonts w:hint="default" w:ascii="Times New Roman" w:hAnsi="Times New Roman" w:eastAsia="宋体" w:cs="Times New Roman"/>
          <w:b/>
          <w:bCs/>
          <w:sz w:val="24"/>
          <w:szCs w:val="32"/>
          <w:highlight w:val="none"/>
          <w:lang w:val="en-US" w:eastAsia="zh-CN"/>
        </w:rPr>
        <w:t>图</w:t>
      </w:r>
    </w:p>
    <w:p w14:paraId="1EE5CE4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宋体" w:cs="Times New Roman"/>
          <w:sz w:val="24"/>
          <w:szCs w:val="32"/>
          <w:highlight w:val="none"/>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F87E66A">
      <w:pPr>
        <w:pStyle w:val="2"/>
        <w:keepNext/>
        <w:keepLines/>
        <w:pageBreakBefore w:val="0"/>
        <w:widowControl/>
        <w:kinsoku/>
        <w:wordWrap/>
        <w:overflowPunct/>
        <w:topLinePunct w:val="0"/>
        <w:autoSpaceDE/>
        <w:autoSpaceDN/>
        <w:bidi w:val="0"/>
        <w:adjustRightInd/>
        <w:snapToGrid/>
        <w:spacing w:before="0" w:beforeLines="0" w:after="0" w:afterLines="0" w:line="360" w:lineRule="auto"/>
        <w:textAlignment w:val="auto"/>
        <w:outlineLvl w:val="0"/>
        <w:rPr>
          <w:rFonts w:hint="default" w:ascii="Times New Roman" w:hAnsi="Times New Roman" w:eastAsia="宋体" w:cs="Times New Roman"/>
          <w:b/>
          <w:bCs/>
          <w:sz w:val="24"/>
          <w:szCs w:val="16"/>
          <w:highlight w:val="none"/>
        </w:rPr>
      </w:pPr>
      <w:bookmarkStart w:id="69" w:name="_Toc16586"/>
      <w:bookmarkStart w:id="70" w:name="_Toc32218"/>
      <w:r>
        <w:rPr>
          <w:rFonts w:hint="default" w:ascii="Times New Roman" w:hAnsi="Times New Roman" w:eastAsia="宋体" w:cs="Times New Roman"/>
          <w:b/>
          <w:bCs/>
          <w:sz w:val="24"/>
          <w:szCs w:val="16"/>
          <w:highlight w:val="none"/>
        </w:rPr>
        <w:t>3</w:t>
      </w:r>
      <w:r>
        <w:rPr>
          <w:rFonts w:hint="default" w:ascii="Times New Roman" w:hAnsi="Times New Roman" w:eastAsia="宋体" w:cs="Times New Roman"/>
          <w:sz w:val="24"/>
          <w:szCs w:val="18"/>
          <w:highlight w:val="none"/>
          <w:lang w:val="en-US" w:eastAsia="zh-CN"/>
        </w:rPr>
        <w:t>建设</w:t>
      </w:r>
      <w:r>
        <w:rPr>
          <w:rFonts w:hint="default" w:ascii="Times New Roman" w:hAnsi="Times New Roman" w:eastAsia="宋体" w:cs="Times New Roman"/>
          <w:b/>
          <w:bCs/>
          <w:sz w:val="24"/>
          <w:szCs w:val="16"/>
          <w:highlight w:val="none"/>
          <w:lang w:val="en-US" w:eastAsia="zh-CN"/>
        </w:rPr>
        <w:t>项目</w:t>
      </w:r>
      <w:r>
        <w:rPr>
          <w:rFonts w:hint="default" w:ascii="Times New Roman" w:hAnsi="Times New Roman" w:eastAsia="宋体" w:cs="Times New Roman"/>
          <w:b/>
          <w:bCs/>
          <w:sz w:val="24"/>
          <w:szCs w:val="16"/>
          <w:highlight w:val="none"/>
        </w:rPr>
        <w:t>工程分析</w:t>
      </w:r>
      <w:bookmarkEnd w:id="67"/>
      <w:bookmarkEnd w:id="68"/>
      <w:bookmarkEnd w:id="69"/>
      <w:bookmarkEnd w:id="70"/>
    </w:p>
    <w:p w14:paraId="0A36EFAB">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cs="Times New Roman"/>
        </w:rPr>
      </w:pPr>
      <w:bookmarkStart w:id="71" w:name="_Toc15436"/>
      <w:bookmarkStart w:id="72" w:name="_Toc24746"/>
      <w:bookmarkStart w:id="73" w:name="_Toc15170"/>
      <w:bookmarkStart w:id="74" w:name="_Toc26081"/>
      <w:bookmarkStart w:id="75" w:name="_Toc9868248"/>
      <w:r>
        <w:rPr>
          <w:rFonts w:hint="default" w:ascii="Times New Roman" w:hAnsi="Times New Roman" w:eastAsia="宋体" w:cs="Times New Roman"/>
          <w:sz w:val="24"/>
          <w:szCs w:val="18"/>
          <w:highlight w:val="none"/>
        </w:rPr>
        <w:t>3.</w:t>
      </w:r>
      <w:r>
        <w:rPr>
          <w:rFonts w:hint="default" w:ascii="Times New Roman" w:hAnsi="Times New Roman" w:eastAsia="宋体" w:cs="Times New Roman"/>
          <w:sz w:val="24"/>
          <w:szCs w:val="18"/>
          <w:highlight w:val="none"/>
          <w:lang w:val="en-US" w:eastAsia="zh-CN"/>
        </w:rPr>
        <w:t>1</w:t>
      </w:r>
      <w:bookmarkEnd w:id="71"/>
      <w:bookmarkStart w:id="76" w:name="_Toc152320412"/>
      <w:r>
        <w:rPr>
          <w:rFonts w:hint="default" w:ascii="Times New Roman" w:hAnsi="Times New Roman" w:cs="Times New Roman"/>
          <w:lang w:val="en-US" w:eastAsia="zh-CN"/>
        </w:rPr>
        <w:t>现有</w:t>
      </w:r>
      <w:r>
        <w:rPr>
          <w:rFonts w:hint="default" w:ascii="Times New Roman" w:hAnsi="Times New Roman" w:cs="Times New Roman"/>
        </w:rPr>
        <w:t>工程概况</w:t>
      </w:r>
      <w:bookmarkEnd w:id="72"/>
      <w:bookmarkEnd w:id="73"/>
      <w:bookmarkEnd w:id="74"/>
      <w:bookmarkEnd w:id="76"/>
    </w:p>
    <w:p w14:paraId="0134B4D2">
      <w:pPr>
        <w:keepNext w:val="0"/>
        <w:keepLines w:val="0"/>
        <w:pageBreakBefore w:val="0"/>
        <w:widowControl/>
        <w:kinsoku/>
        <w:wordWrap w:val="0"/>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rPr>
        <w:t>新疆兴悦化工有限公司</w:t>
      </w:r>
      <w:r>
        <w:rPr>
          <w:rFonts w:hint="default" w:ascii="Times New Roman" w:hAnsi="Times New Roman" w:eastAsia="宋体" w:cs="Times New Roman"/>
          <w:sz w:val="24"/>
          <w:szCs w:val="24"/>
          <w:highlight w:val="none"/>
          <w:lang w:val="en-US" w:eastAsia="zh-CN"/>
        </w:rPr>
        <w:t>位于</w:t>
      </w:r>
      <w:r>
        <w:rPr>
          <w:rFonts w:hint="default" w:ascii="Times New Roman" w:hAnsi="Times New Roman" w:cs="Times New Roman"/>
          <w:sz w:val="24"/>
        </w:rPr>
        <w:t>阿克苏经济技术开发区内</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sz w:val="24"/>
        </w:rPr>
        <w:t>中心点坐标为北纬41°04'0.42"，东经80°07'26.26"，开发区具体范围为北临省道306线，东接国道314线，覆盖原阿克苏市工业园区-建材化工园区的全部区域，并向西向南延伸</w:t>
      </w:r>
      <w:r>
        <w:rPr>
          <w:rFonts w:hint="default" w:ascii="Times New Roman" w:hAnsi="Times New Roman" w:eastAsia="宋体" w:cs="Times New Roman"/>
          <w:sz w:val="24"/>
          <w:szCs w:val="24"/>
          <w:highlight w:val="none"/>
          <w:lang w:val="en-US" w:eastAsia="zh-CN"/>
        </w:rPr>
        <w:t>。</w:t>
      </w:r>
    </w:p>
    <w:p w14:paraId="41D0966D">
      <w:pPr>
        <w:keepNext w:val="0"/>
        <w:keepLines w:val="0"/>
        <w:pageBreakBefore w:val="0"/>
        <w:widowControl/>
        <w:kinsoku/>
        <w:wordWrap w:val="0"/>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color w:val="000000"/>
          <w:kern w:val="0"/>
          <w:sz w:val="24"/>
          <w:lang w:eastAsia="zh-CN"/>
        </w:rPr>
        <w:t>（</w:t>
      </w:r>
      <w:r>
        <w:rPr>
          <w:rFonts w:hint="default" w:ascii="Times New Roman" w:hAnsi="Times New Roman" w:cs="Times New Roman"/>
          <w:color w:val="000000"/>
          <w:kern w:val="0"/>
          <w:sz w:val="24"/>
          <w:lang w:val="en-US" w:eastAsia="zh-CN"/>
        </w:rPr>
        <w:t>1</w:t>
      </w:r>
      <w:r>
        <w:rPr>
          <w:rFonts w:hint="default" w:ascii="Times New Roman" w:hAnsi="Times New Roman" w:cs="Times New Roman"/>
          <w:color w:val="000000"/>
          <w:kern w:val="0"/>
          <w:sz w:val="24"/>
          <w:lang w:eastAsia="zh-CN"/>
        </w:rPr>
        <w:t>）</w:t>
      </w:r>
      <w:r>
        <w:rPr>
          <w:rFonts w:hint="default" w:ascii="Times New Roman" w:hAnsi="Times New Roman" w:eastAsia="宋体" w:cs="Times New Roman"/>
          <w:sz w:val="24"/>
          <w:szCs w:val="24"/>
          <w:highlight w:val="none"/>
          <w:lang w:val="en-US" w:eastAsia="zh-CN"/>
        </w:rPr>
        <w:t>20</w:t>
      </w:r>
      <w:r>
        <w:rPr>
          <w:rFonts w:hint="default" w:ascii="Times New Roman" w:hAnsi="Times New Roman" w:cs="Times New Roman"/>
          <w:sz w:val="24"/>
          <w:szCs w:val="24"/>
          <w:highlight w:val="none"/>
          <w:lang w:val="en-US" w:eastAsia="zh-CN"/>
        </w:rPr>
        <w:t>13</w:t>
      </w:r>
      <w:r>
        <w:rPr>
          <w:rFonts w:hint="default" w:ascii="Times New Roman" w:hAnsi="Times New Roman" w:eastAsia="宋体" w:cs="Times New Roman"/>
          <w:sz w:val="24"/>
          <w:szCs w:val="24"/>
          <w:highlight w:val="none"/>
          <w:lang w:val="en-US" w:eastAsia="zh-CN"/>
        </w:rPr>
        <w:t>年</w:t>
      </w:r>
      <w:r>
        <w:rPr>
          <w:rFonts w:hint="default" w:ascii="Times New Roman" w:hAnsi="Times New Roman" w:cs="Times New Roman"/>
          <w:sz w:val="24"/>
          <w:szCs w:val="24"/>
          <w:highlight w:val="none"/>
          <w:lang w:val="en-US" w:eastAsia="zh-CN"/>
        </w:rPr>
        <w:t>4</w:t>
      </w:r>
      <w:r>
        <w:rPr>
          <w:rFonts w:hint="default" w:ascii="Times New Roman" w:hAnsi="Times New Roman" w:eastAsia="宋体" w:cs="Times New Roman"/>
          <w:sz w:val="24"/>
          <w:szCs w:val="24"/>
          <w:highlight w:val="none"/>
          <w:lang w:val="en-US" w:eastAsia="zh-CN"/>
        </w:rPr>
        <w:t>月，</w:t>
      </w:r>
      <w:r>
        <w:rPr>
          <w:rFonts w:hint="eastAsia" w:cs="Times New Roman"/>
          <w:sz w:val="24"/>
          <w:szCs w:val="24"/>
          <w:highlight w:val="none"/>
          <w:lang w:val="en-US" w:eastAsia="zh-CN"/>
        </w:rPr>
        <w:t>原</w:t>
      </w:r>
      <w:r>
        <w:rPr>
          <w:rFonts w:hint="default" w:ascii="Times New Roman" w:hAnsi="Times New Roman" w:cs="Times New Roman"/>
          <w:color w:val="000000"/>
          <w:kern w:val="0"/>
          <w:sz w:val="24"/>
        </w:rPr>
        <w:t>新疆维吾尔自治区环境保护厅《关于&lt;新疆兴悦化工有限公司200万t/a电石渣制水泥项目环境影响报告书&gt;的批复》（新环评价函</w:t>
      </w:r>
      <w:r>
        <w:rPr>
          <w:rFonts w:hint="default" w:ascii="Times New Roman" w:hAnsi="Times New Roman" w:eastAsia="宋体" w:cs="Times New Roman"/>
          <w:sz w:val="24"/>
          <w:szCs w:val="24"/>
          <w:highlight w:val="none"/>
          <w:lang w:val="en-US" w:eastAsia="zh-CN"/>
        </w:rPr>
        <w:t>〔201</w:t>
      </w:r>
      <w:r>
        <w:rPr>
          <w:rFonts w:hint="default" w:ascii="Times New Roman" w:hAnsi="Times New Roman" w:cs="Times New Roman"/>
          <w:sz w:val="24"/>
          <w:szCs w:val="24"/>
          <w:highlight w:val="none"/>
          <w:lang w:val="en-US" w:eastAsia="zh-CN"/>
        </w:rPr>
        <w:t>3</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color w:val="000000"/>
          <w:kern w:val="0"/>
          <w:sz w:val="24"/>
        </w:rPr>
        <w:t>279号）</w:t>
      </w:r>
      <w:r>
        <w:rPr>
          <w:rFonts w:hint="default" w:ascii="Times New Roman" w:hAnsi="Times New Roman" w:eastAsia="宋体" w:cs="Times New Roman"/>
          <w:sz w:val="24"/>
          <w:szCs w:val="24"/>
          <w:highlight w:val="none"/>
          <w:lang w:val="en-US" w:eastAsia="zh-CN"/>
        </w:rPr>
        <w:t>；</w:t>
      </w:r>
    </w:p>
    <w:p w14:paraId="0BA55884">
      <w:pPr>
        <w:keepNext w:val="0"/>
        <w:keepLines w:val="0"/>
        <w:pageBreakBefore w:val="0"/>
        <w:widowControl/>
        <w:kinsoku/>
        <w:wordWrap w:val="0"/>
        <w:overflowPunct/>
        <w:topLinePunct w:val="0"/>
        <w:autoSpaceDE/>
        <w:autoSpaceDN/>
        <w:bidi w:val="0"/>
        <w:adjustRightInd/>
        <w:snapToGrid w:val="0"/>
        <w:spacing w:line="360" w:lineRule="auto"/>
        <w:ind w:firstLine="482"/>
        <w:jc w:val="left"/>
        <w:textAlignment w:val="auto"/>
        <w:rPr>
          <w:rFonts w:hint="default" w:ascii="Times New Roman" w:hAnsi="Times New Roman" w:cs="Times New Roman"/>
          <w:sz w:val="24"/>
          <w:lang w:val="en-US" w:eastAsia="zh-CN"/>
        </w:rPr>
      </w:pPr>
      <w:r>
        <w:rPr>
          <w:rFonts w:hint="default" w:ascii="Times New Roman" w:hAnsi="Times New Roman" w:cs="Times New Roman"/>
          <w:sz w:val="24"/>
          <w:lang w:val="en-US" w:eastAsia="zh-CN"/>
        </w:rPr>
        <w:t>（</w:t>
      </w:r>
      <w:r>
        <w:rPr>
          <w:rFonts w:hint="eastAsia" w:cs="Times New Roman"/>
          <w:sz w:val="24"/>
          <w:lang w:val="en-US" w:eastAsia="zh-CN"/>
        </w:rPr>
        <w:t>2</w:t>
      </w:r>
      <w:r>
        <w:rPr>
          <w:rFonts w:hint="default" w:ascii="Times New Roman" w:hAnsi="Times New Roman" w:cs="Times New Roman"/>
          <w:sz w:val="24"/>
          <w:lang w:val="en-US" w:eastAsia="zh-CN"/>
        </w:rPr>
        <w:t>）2013年11月，</w:t>
      </w:r>
      <w:r>
        <w:rPr>
          <w:rFonts w:hint="eastAsia" w:cs="Times New Roman"/>
          <w:sz w:val="24"/>
          <w:lang w:val="en-US" w:eastAsia="zh-CN"/>
        </w:rPr>
        <w:t>原</w:t>
      </w:r>
      <w:r>
        <w:rPr>
          <w:rFonts w:hint="default" w:ascii="Times New Roman" w:hAnsi="Times New Roman" w:cs="Times New Roman"/>
          <w:sz w:val="24"/>
          <w:lang w:val="en-US" w:eastAsia="zh-CN"/>
        </w:rPr>
        <w:t>新疆维吾尔自治区环境保护厅《关于新疆兴悦化工有限公司200万吨/年电石渣制水泥项目试生产的复函》（新环监函</w:t>
      </w:r>
      <w:r>
        <w:rPr>
          <w:rFonts w:hint="default" w:ascii="Times New Roman" w:hAnsi="Times New Roman" w:eastAsia="宋体" w:cs="Times New Roman"/>
          <w:sz w:val="24"/>
          <w:szCs w:val="24"/>
          <w:highlight w:val="none"/>
          <w:lang w:val="en-US" w:eastAsia="zh-CN"/>
        </w:rPr>
        <w:t>〔201</w:t>
      </w:r>
      <w:r>
        <w:rPr>
          <w:rFonts w:hint="default" w:ascii="Times New Roman" w:hAnsi="Times New Roman" w:cs="Times New Roman"/>
          <w:sz w:val="24"/>
          <w:szCs w:val="24"/>
          <w:highlight w:val="none"/>
          <w:lang w:val="en-US" w:eastAsia="zh-CN"/>
        </w:rPr>
        <w:t>3</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sz w:val="24"/>
          <w:lang w:val="en-US" w:eastAsia="zh-CN"/>
        </w:rPr>
        <w:t>1149号）；</w:t>
      </w:r>
    </w:p>
    <w:p w14:paraId="126088CE">
      <w:pPr>
        <w:keepNext w:val="0"/>
        <w:keepLines w:val="0"/>
        <w:pageBreakBefore w:val="0"/>
        <w:widowControl/>
        <w:kinsoku/>
        <w:wordWrap w:val="0"/>
        <w:overflowPunct/>
        <w:topLinePunct w:val="0"/>
        <w:autoSpaceDE/>
        <w:autoSpaceDN/>
        <w:bidi w:val="0"/>
        <w:adjustRightInd/>
        <w:snapToGrid w:val="0"/>
        <w:spacing w:line="360" w:lineRule="auto"/>
        <w:ind w:firstLine="482"/>
        <w:jc w:val="left"/>
        <w:textAlignment w:val="auto"/>
        <w:rPr>
          <w:rFonts w:hint="eastAsia" w:ascii="Times New Roman" w:hAnsi="Times New Roman" w:eastAsia="宋体" w:cs="Times New Roman"/>
          <w:sz w:val="24"/>
          <w:lang w:val="en-US" w:eastAsia="zh-CN"/>
        </w:rPr>
      </w:pPr>
      <w:r>
        <w:rPr>
          <w:rFonts w:hint="eastAsia" w:cs="Times New Roman"/>
          <w:sz w:val="24"/>
          <w:lang w:val="en-US" w:eastAsia="zh-CN"/>
        </w:rPr>
        <w:t>（3）2016年9月，</w:t>
      </w:r>
      <w:r>
        <w:rPr>
          <w:rFonts w:hint="default" w:ascii="Times New Roman" w:hAnsi="Times New Roman" w:cs="Times New Roman"/>
          <w:sz w:val="24"/>
        </w:rPr>
        <w:t>新疆兴悦化工有限公司</w:t>
      </w:r>
      <w:r>
        <w:rPr>
          <w:rFonts w:hint="eastAsia" w:cs="Times New Roman"/>
          <w:sz w:val="24"/>
          <w:lang w:eastAsia="zh-CN"/>
        </w:rPr>
        <w:t>《</w:t>
      </w:r>
      <w:r>
        <w:rPr>
          <w:rFonts w:hint="eastAsia" w:cs="Times New Roman"/>
          <w:sz w:val="24"/>
          <w:lang w:val="en-US" w:eastAsia="zh-CN"/>
        </w:rPr>
        <w:t>关于原料变更为石灰石的情况说明</w:t>
      </w:r>
      <w:r>
        <w:rPr>
          <w:rFonts w:hint="eastAsia" w:cs="Times New Roman"/>
          <w:sz w:val="24"/>
          <w:lang w:eastAsia="zh-CN"/>
        </w:rPr>
        <w:t>》；</w:t>
      </w:r>
    </w:p>
    <w:p w14:paraId="3759E7DF">
      <w:pPr>
        <w:keepNext w:val="0"/>
        <w:keepLines w:val="0"/>
        <w:pageBreakBefore w:val="0"/>
        <w:widowControl/>
        <w:kinsoku/>
        <w:wordWrap w:val="0"/>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lang w:val="en-US" w:eastAsia="zh-CN"/>
        </w:rPr>
        <w:t>（4）2017年7月，</w:t>
      </w:r>
      <w:r>
        <w:rPr>
          <w:rFonts w:hint="default" w:ascii="Times New Roman" w:hAnsi="Times New Roman" w:cs="Times New Roman"/>
          <w:sz w:val="24"/>
        </w:rPr>
        <w:t>新疆兴悦化工有限公司200万吨/年电石渣水泥</w:t>
      </w:r>
      <w:r>
        <w:rPr>
          <w:rFonts w:hint="default" w:ascii="Times New Roman" w:hAnsi="Times New Roman" w:eastAsia="宋体" w:cs="Times New Roman"/>
          <w:sz w:val="24"/>
          <w:szCs w:val="24"/>
          <w:highlight w:val="none"/>
          <w:lang w:val="en-US" w:eastAsia="zh-CN"/>
        </w:rPr>
        <w:t>项目(一期工程3200t/d水泥熟料生产线)通过</w:t>
      </w:r>
      <w:r>
        <w:rPr>
          <w:rFonts w:hint="eastAsia" w:cs="Times New Roman"/>
          <w:sz w:val="24"/>
          <w:szCs w:val="24"/>
          <w:highlight w:val="none"/>
          <w:lang w:val="en-US" w:eastAsia="zh-CN"/>
        </w:rPr>
        <w:t>原</w:t>
      </w:r>
      <w:r>
        <w:rPr>
          <w:rFonts w:hint="default" w:ascii="Times New Roman" w:hAnsi="Times New Roman" w:cs="Times New Roman"/>
          <w:sz w:val="24"/>
          <w:szCs w:val="24"/>
          <w:highlight w:val="none"/>
          <w:lang w:val="en-US" w:eastAsia="zh-CN"/>
        </w:rPr>
        <w:t>阿克苏地区环保局</w:t>
      </w:r>
      <w:r>
        <w:rPr>
          <w:rFonts w:hint="default" w:ascii="Times New Roman" w:hAnsi="Times New Roman" w:eastAsia="宋体" w:cs="Times New Roman"/>
          <w:sz w:val="24"/>
          <w:szCs w:val="24"/>
          <w:highlight w:val="none"/>
          <w:lang w:val="en-US" w:eastAsia="zh-CN"/>
        </w:rPr>
        <w:t>竣工环保验收，验收文号为：阿地环函字〔2017〕356号。</w:t>
      </w:r>
    </w:p>
    <w:p w14:paraId="025D81A0">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3.1.1规模及产品方案</w:t>
      </w:r>
    </w:p>
    <w:p w14:paraId="2A1E2922">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rPr>
      </w:pPr>
      <w:r>
        <w:rPr>
          <w:rFonts w:hint="default" w:ascii="Times New Roman" w:hAnsi="Times New Roman" w:cs="Times New Roman"/>
          <w:sz w:val="24"/>
        </w:rPr>
        <w:t>新疆兴悦化工有限公司</w:t>
      </w:r>
      <w:r>
        <w:rPr>
          <w:rFonts w:hint="default" w:ascii="Times New Roman" w:hAnsi="Times New Roman" w:cs="Times New Roman"/>
        </w:rPr>
        <w:t>现有1条3200t/d新型干法水泥熟料生产线，</w:t>
      </w:r>
      <w:r>
        <w:rPr>
          <w:rFonts w:hint="default" w:ascii="Times New Roman" w:hAnsi="Times New Roman" w:cs="Times New Roman"/>
          <w:sz w:val="24"/>
          <w:szCs w:val="24"/>
          <w:highlight w:val="none"/>
          <w:lang w:val="en-US" w:eastAsia="zh-CN"/>
        </w:rPr>
        <w:t>企业</w:t>
      </w:r>
      <w:r>
        <w:rPr>
          <w:rFonts w:hint="default" w:ascii="Times New Roman" w:hAnsi="Times New Roman" w:cs="Times New Roman"/>
          <w:color w:val="000000"/>
          <w:szCs w:val="28"/>
        </w:rPr>
        <w:t>年产熟料55万吨，年产70万吨水泥</w:t>
      </w:r>
      <w:r>
        <w:rPr>
          <w:rFonts w:hint="default" w:ascii="Times New Roman" w:hAnsi="Times New Roman" w:cs="Times New Roman"/>
          <w:color w:val="000000"/>
          <w:szCs w:val="28"/>
          <w:lang w:eastAsia="zh-CN"/>
        </w:rPr>
        <w:t>，</w:t>
      </w:r>
      <w:r>
        <w:rPr>
          <w:rFonts w:hint="default" w:ascii="Times New Roman" w:hAnsi="Times New Roman" w:cs="Times New Roman"/>
          <w:highlight w:val="none"/>
        </w:rPr>
        <w:t>年</w:t>
      </w:r>
      <w:r>
        <w:rPr>
          <w:rFonts w:hint="default" w:ascii="Times New Roman" w:hAnsi="Times New Roman" w:cs="Times New Roman"/>
          <w:highlight w:val="none"/>
          <w:lang w:val="en-US" w:eastAsia="zh-CN"/>
        </w:rPr>
        <w:t>生产时间</w:t>
      </w:r>
      <w:r>
        <w:rPr>
          <w:rFonts w:hint="eastAsia" w:cs="Times New Roman"/>
          <w:highlight w:val="none"/>
          <w:lang w:val="en-US" w:eastAsia="zh-CN"/>
        </w:rPr>
        <w:t>1</w:t>
      </w:r>
      <w:r>
        <w:rPr>
          <w:rFonts w:hint="eastAsia" w:ascii="Times New Roman" w:hAnsi="Times New Roman" w:cs="Times New Roman"/>
          <w:highlight w:val="none"/>
          <w:lang w:val="en-US" w:eastAsia="zh-CN"/>
        </w:rPr>
        <w:t>5</w:t>
      </w:r>
      <w:r>
        <w:rPr>
          <w:rFonts w:hint="default" w:ascii="Times New Roman" w:hAnsi="Times New Roman" w:cs="Times New Roman"/>
          <w:highlight w:val="none"/>
          <w:lang w:val="en-US" w:eastAsia="zh-CN"/>
        </w:rPr>
        <w:t>0</w:t>
      </w:r>
      <w:r>
        <w:rPr>
          <w:rFonts w:hint="default" w:ascii="Times New Roman" w:hAnsi="Times New Roman" w:cs="Times New Roman"/>
          <w:highlight w:val="none"/>
        </w:rPr>
        <w:t>天。</w:t>
      </w:r>
    </w:p>
    <w:p w14:paraId="4B515B84">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3.1.2项目组成情况</w:t>
      </w:r>
    </w:p>
    <w:p w14:paraId="576B051A">
      <w:pPr>
        <w:pStyle w:val="6"/>
        <w:rPr>
          <w:rFonts w:hint="default" w:ascii="Times New Roman" w:hAnsi="Times New Roman" w:cs="Times New Roman"/>
        </w:rPr>
      </w:pPr>
      <w:r>
        <w:rPr>
          <w:rFonts w:hint="default" w:ascii="Times New Roman" w:hAnsi="Times New Roman" w:cs="Times New Roman"/>
          <w:lang w:val="en-US" w:eastAsia="zh-CN"/>
        </w:rPr>
        <w:t>企业</w:t>
      </w:r>
      <w:r>
        <w:rPr>
          <w:rFonts w:hint="default" w:ascii="Times New Roman" w:hAnsi="Times New Roman" w:cs="Times New Roman"/>
        </w:rPr>
        <w:t>现有3200t/d熟料新型干法水泥生产线建设内容包括</w:t>
      </w:r>
      <w:r>
        <w:rPr>
          <w:rFonts w:hint="default" w:ascii="Times New Roman" w:hAnsi="Times New Roman" w:cs="Times New Roman"/>
          <w:lang w:eastAsia="zh-CN"/>
        </w:rPr>
        <w:t>：</w:t>
      </w:r>
      <w:r>
        <w:rPr>
          <w:rFonts w:hint="default" w:ascii="Times New Roman" w:hAnsi="Times New Roman" w:cs="Times New Roman"/>
        </w:rPr>
        <w:t>生料制备系统、熟料烧成系统、原料破碎系统、煤粉制备系统、水泥粉磨系统、水泥包装及散装系统等主体工程，</w:t>
      </w:r>
      <w:r>
        <w:rPr>
          <w:rFonts w:hint="default" w:ascii="Times New Roman" w:hAnsi="Times New Roman" w:cs="Times New Roman"/>
          <w:lang w:val="en-US" w:eastAsia="zh-CN"/>
        </w:rPr>
        <w:t>以及配套</w:t>
      </w:r>
      <w:r>
        <w:rPr>
          <w:rFonts w:hint="default" w:ascii="Times New Roman" w:hAnsi="Times New Roman" w:cs="Times New Roman"/>
        </w:rPr>
        <w:t>公用工程</w:t>
      </w:r>
      <w:r>
        <w:rPr>
          <w:rFonts w:hint="default" w:ascii="Times New Roman" w:hAnsi="Times New Roman" w:cs="Times New Roman"/>
          <w:lang w:eastAsia="zh-CN"/>
        </w:rPr>
        <w:t>、</w:t>
      </w:r>
      <w:r>
        <w:rPr>
          <w:rFonts w:hint="default" w:ascii="Times New Roman" w:hAnsi="Times New Roman" w:cs="Times New Roman"/>
          <w:lang w:val="en-US" w:eastAsia="zh-CN"/>
        </w:rPr>
        <w:t>辅助工程及环保工程</w:t>
      </w:r>
      <w:r>
        <w:rPr>
          <w:rFonts w:hint="default" w:ascii="Times New Roman" w:hAnsi="Times New Roman" w:cs="Times New Roman"/>
        </w:rPr>
        <w:t>等。</w:t>
      </w:r>
      <w:r>
        <w:rPr>
          <w:rFonts w:hint="default" w:ascii="Times New Roman" w:hAnsi="Times New Roman" w:cs="Times New Roman"/>
          <w:lang w:val="en-US" w:eastAsia="zh-CN"/>
        </w:rPr>
        <w:t>现有工程</w:t>
      </w:r>
      <w:r>
        <w:rPr>
          <w:rFonts w:hint="default" w:ascii="Times New Roman" w:hAnsi="Times New Roman" w:cs="Times New Roman"/>
        </w:rPr>
        <w:t>组成见</w:t>
      </w:r>
      <w:r>
        <w:rPr>
          <w:rFonts w:hint="default" w:ascii="Times New Roman" w:hAnsi="Times New Roman" w:cs="Times New Roman"/>
        </w:rPr>
        <w:fldChar w:fldCharType="begin"/>
      </w:r>
      <w:r>
        <w:rPr>
          <w:rFonts w:hint="default" w:ascii="Times New Roman" w:hAnsi="Times New Roman" w:cs="Times New Roman"/>
        </w:rPr>
        <w:instrText xml:space="preserve"> REF _Ref126593417 \h  \* MERGEFORMAT </w:instrText>
      </w:r>
      <w:r>
        <w:rPr>
          <w:rFonts w:hint="default" w:ascii="Times New Roman" w:hAnsi="Times New Roman" w:cs="Times New Roman"/>
        </w:rPr>
        <w:fldChar w:fldCharType="separate"/>
      </w:r>
      <w:r>
        <w:rPr>
          <w:rFonts w:hint="default" w:ascii="Times New Roman" w:hAnsi="Times New Roman" w:cs="Times New Roman"/>
        </w:rPr>
        <w:t>表3.1</w:t>
      </w:r>
      <w:r>
        <w:rPr>
          <w:rFonts w:hint="default" w:ascii="Times New Roman" w:hAnsi="Times New Roman" w:cs="Times New Roman"/>
        </w:rPr>
        <w:noBreakHyphen/>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w:t>
      </w:r>
    </w:p>
    <w:p w14:paraId="4745C481">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77" w:name="_Ref126593417"/>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3.1</w:t>
      </w:r>
      <w:r>
        <w:rPr>
          <w:rFonts w:hint="default" w:ascii="Times New Roman" w:hAnsi="Times New Roman" w:cs="Times New Roman"/>
          <w:b/>
          <w:bCs/>
        </w:rPr>
        <w:fldChar w:fldCharType="end"/>
      </w:r>
      <w:r>
        <w:rPr>
          <w:rFonts w:hint="eastAsia" w:cs="Times New Roman"/>
          <w:b/>
          <w:bCs/>
          <w:lang w:val="en-US" w:eastAsia="zh-CN"/>
        </w:rPr>
        <w:t>-</w:t>
      </w:r>
      <w:r>
        <w:rPr>
          <w:rFonts w:hint="default" w:ascii="Times New Roman" w:hAnsi="Times New Roman" w:cs="Times New Roman"/>
          <w:b/>
          <w:bCs/>
        </w:rPr>
        <w:fldChar w:fldCharType="begin"/>
      </w:r>
      <w:r>
        <w:rPr>
          <w:rFonts w:hint="default" w:ascii="Times New Roman" w:hAnsi="Times New Roman" w:cs="Times New Roman"/>
          <w:b/>
          <w:bCs/>
        </w:rPr>
        <w:instrText xml:space="preserve"> SEQ 表 \* ARABIC \s 2 </w:instrText>
      </w:r>
      <w:r>
        <w:rPr>
          <w:rFonts w:hint="default" w:ascii="Times New Roman" w:hAnsi="Times New Roman" w:cs="Times New Roman"/>
          <w:b/>
          <w:bCs/>
        </w:rPr>
        <w:fldChar w:fldCharType="separate"/>
      </w:r>
      <w:r>
        <w:rPr>
          <w:rFonts w:hint="default" w:ascii="Times New Roman" w:hAnsi="Times New Roman" w:cs="Times New Roman"/>
          <w:b/>
          <w:bCs/>
        </w:rPr>
        <w:t>1</w:t>
      </w:r>
      <w:r>
        <w:rPr>
          <w:rFonts w:hint="default" w:ascii="Times New Roman" w:hAnsi="Times New Roman" w:cs="Times New Roman"/>
          <w:b/>
          <w:bCs/>
        </w:rPr>
        <w:fldChar w:fldCharType="end"/>
      </w:r>
      <w:bookmarkEnd w:id="77"/>
      <w:r>
        <w:rPr>
          <w:rFonts w:hint="default" w:ascii="Times New Roman" w:hAnsi="Times New Roman" w:cs="Times New Roman"/>
          <w:b/>
          <w:bCs/>
        </w:rPr>
        <w:t xml:space="preserve"> </w:t>
      </w:r>
      <w:r>
        <w:rPr>
          <w:rFonts w:hint="default" w:ascii="Times New Roman" w:hAnsi="Times New Roman" w:cs="Times New Roman"/>
          <w:b/>
          <w:bCs/>
          <w:lang w:val="en-US" w:eastAsia="zh-CN"/>
        </w:rPr>
        <w:t>现有</w:t>
      </w:r>
      <w:r>
        <w:rPr>
          <w:rFonts w:hint="default" w:ascii="Times New Roman" w:hAnsi="Times New Roman" w:cs="Times New Roman"/>
          <w:b/>
          <w:bCs/>
        </w:rPr>
        <w:t>工程项目组成</w:t>
      </w:r>
      <w:r>
        <w:rPr>
          <w:rFonts w:hint="default" w:ascii="Times New Roman" w:hAnsi="Times New Roman" w:cs="Times New Roman"/>
          <w:b/>
          <w:bCs/>
          <w:lang w:val="en-US" w:eastAsia="zh-CN"/>
        </w:rPr>
        <w:t>情况</w:t>
      </w:r>
      <w:r>
        <w:rPr>
          <w:rFonts w:hint="default" w:ascii="Times New Roman" w:hAnsi="Times New Roman" w:cs="Times New Roman"/>
          <w:b/>
          <w:bCs/>
        </w:rPr>
        <w:t>一览表</w:t>
      </w:r>
    </w:p>
    <w:tbl>
      <w:tblPr>
        <w:tblStyle w:val="39"/>
        <w:tblW w:w="504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55"/>
        <w:gridCol w:w="1455"/>
        <w:gridCol w:w="5727"/>
        <w:gridCol w:w="81"/>
      </w:tblGrid>
      <w:tr w14:paraId="5354979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686" w:type="pct"/>
            <w:tcBorders>
              <w:tl2br w:val="nil"/>
              <w:tr2bl w:val="nil"/>
            </w:tcBorders>
            <w:noWrap w:val="0"/>
            <w:tcMar>
              <w:top w:w="20" w:type="dxa"/>
              <w:left w:w="20" w:type="dxa"/>
              <w:bottom w:w="0" w:type="dxa"/>
              <w:right w:w="20" w:type="dxa"/>
            </w:tcMar>
            <w:vAlign w:val="center"/>
          </w:tcPr>
          <w:p w14:paraId="30D7472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lang w:val="en-US" w:eastAsia="zh-CN"/>
              </w:rPr>
            </w:pPr>
            <w:r>
              <w:rPr>
                <w:rFonts w:hint="default" w:ascii="Times New Roman" w:hAnsi="Times New Roman" w:eastAsia="宋体" w:cs="Times New Roman"/>
                <w:b/>
                <w:bCs/>
                <w:sz w:val="21"/>
                <w:highlight w:val="none"/>
                <w:lang w:eastAsia="zh-CN"/>
              </w:rPr>
              <w:t>工程</w:t>
            </w:r>
            <w:r>
              <w:rPr>
                <w:rFonts w:hint="default" w:ascii="Times New Roman" w:hAnsi="Times New Roman" w:cs="Times New Roman"/>
                <w:b/>
                <w:bCs/>
                <w:sz w:val="21"/>
                <w:highlight w:val="none"/>
                <w:lang w:val="en-US" w:eastAsia="zh-CN"/>
              </w:rPr>
              <w:t>类别</w:t>
            </w:r>
          </w:p>
        </w:tc>
        <w:tc>
          <w:tcPr>
            <w:tcW w:w="864" w:type="pct"/>
            <w:tcBorders>
              <w:tl2br w:val="nil"/>
              <w:tr2bl w:val="nil"/>
            </w:tcBorders>
            <w:noWrap w:val="0"/>
            <w:tcMar>
              <w:top w:w="20" w:type="dxa"/>
              <w:left w:w="20" w:type="dxa"/>
              <w:bottom w:w="0" w:type="dxa"/>
              <w:right w:w="20" w:type="dxa"/>
            </w:tcMar>
            <w:vAlign w:val="center"/>
          </w:tcPr>
          <w:p w14:paraId="69D5EFC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lang w:val="en-US" w:eastAsia="zh-CN"/>
              </w:rPr>
            </w:pPr>
            <w:r>
              <w:rPr>
                <w:rFonts w:hint="default" w:ascii="Times New Roman" w:hAnsi="Times New Roman" w:cs="Times New Roman"/>
                <w:b/>
                <w:bCs/>
                <w:sz w:val="21"/>
                <w:highlight w:val="none"/>
                <w:lang w:val="en-US" w:eastAsia="zh-CN"/>
              </w:rPr>
              <w:t>生产线名称</w:t>
            </w:r>
          </w:p>
        </w:tc>
        <w:tc>
          <w:tcPr>
            <w:tcW w:w="3401" w:type="pct"/>
            <w:tcBorders>
              <w:tl2br w:val="nil"/>
              <w:tr2bl w:val="nil"/>
            </w:tcBorders>
            <w:noWrap w:val="0"/>
            <w:tcMar>
              <w:top w:w="20" w:type="dxa"/>
              <w:left w:w="20" w:type="dxa"/>
              <w:bottom w:w="0" w:type="dxa"/>
              <w:right w:w="20" w:type="dxa"/>
            </w:tcMar>
            <w:vAlign w:val="center"/>
          </w:tcPr>
          <w:p w14:paraId="19C1623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lang w:eastAsia="zh-CN"/>
              </w:rPr>
            </w:pPr>
            <w:r>
              <w:rPr>
                <w:rFonts w:hint="default" w:ascii="Times New Roman" w:hAnsi="Times New Roman" w:eastAsia="宋体" w:cs="Times New Roman"/>
                <w:b/>
                <w:bCs/>
                <w:sz w:val="21"/>
                <w:highlight w:val="none"/>
                <w:lang w:eastAsia="zh-CN"/>
              </w:rPr>
              <w:t>建设内容</w:t>
            </w:r>
          </w:p>
        </w:tc>
      </w:tr>
      <w:tr w14:paraId="79923F0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686" w:type="pct"/>
            <w:vMerge w:val="restart"/>
            <w:tcBorders>
              <w:tl2br w:val="nil"/>
              <w:tr2bl w:val="nil"/>
            </w:tcBorders>
            <w:noWrap w:val="0"/>
            <w:tcMar>
              <w:top w:w="20" w:type="dxa"/>
              <w:left w:w="20" w:type="dxa"/>
              <w:bottom w:w="0" w:type="dxa"/>
              <w:right w:w="20" w:type="dxa"/>
            </w:tcMar>
            <w:vAlign w:val="center"/>
          </w:tcPr>
          <w:p w14:paraId="428CC82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主体工程</w:t>
            </w:r>
          </w:p>
        </w:tc>
        <w:tc>
          <w:tcPr>
            <w:tcW w:w="864" w:type="pct"/>
            <w:vMerge w:val="restart"/>
            <w:tcBorders>
              <w:tl2br w:val="nil"/>
              <w:tr2bl w:val="nil"/>
            </w:tcBorders>
            <w:noWrap w:val="0"/>
            <w:tcMar>
              <w:top w:w="20" w:type="dxa"/>
              <w:left w:w="20" w:type="dxa"/>
              <w:bottom w:w="0" w:type="dxa"/>
              <w:right w:w="20" w:type="dxa"/>
            </w:tcMar>
            <w:vAlign w:val="center"/>
          </w:tcPr>
          <w:p w14:paraId="5AFD1FF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熟料生产线</w:t>
            </w:r>
          </w:p>
        </w:tc>
        <w:tc>
          <w:tcPr>
            <w:tcW w:w="3401" w:type="pct"/>
            <w:tcBorders>
              <w:tl2br w:val="nil"/>
              <w:tr2bl w:val="nil"/>
            </w:tcBorders>
            <w:noWrap w:val="0"/>
            <w:tcMar>
              <w:top w:w="20" w:type="dxa"/>
              <w:left w:w="20" w:type="dxa"/>
              <w:bottom w:w="0" w:type="dxa"/>
              <w:right w:w="20" w:type="dxa"/>
            </w:tcMar>
            <w:vAlign w:val="center"/>
          </w:tcPr>
          <w:p w14:paraId="54479AF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原料准备系统：砂岩破碎；原煤破碎；原料破碎</w:t>
            </w:r>
          </w:p>
        </w:tc>
      </w:tr>
      <w:tr w14:paraId="4FCB093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jc w:val="center"/>
        </w:trPr>
        <w:tc>
          <w:tcPr>
            <w:tcW w:w="686" w:type="pct"/>
            <w:vMerge w:val="continue"/>
            <w:tcBorders>
              <w:tl2br w:val="nil"/>
              <w:tr2bl w:val="nil"/>
            </w:tcBorders>
            <w:noWrap w:val="0"/>
            <w:tcMar>
              <w:top w:w="20" w:type="dxa"/>
              <w:left w:w="20" w:type="dxa"/>
              <w:bottom w:w="0" w:type="dxa"/>
              <w:right w:w="20" w:type="dxa"/>
            </w:tcMar>
            <w:vAlign w:val="center"/>
          </w:tcPr>
          <w:p w14:paraId="7CB10FF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864" w:type="pct"/>
            <w:vMerge w:val="continue"/>
            <w:tcBorders>
              <w:tl2br w:val="nil"/>
              <w:tr2bl w:val="nil"/>
            </w:tcBorders>
            <w:noWrap w:val="0"/>
            <w:tcMar>
              <w:top w:w="20" w:type="dxa"/>
              <w:left w:w="20" w:type="dxa"/>
              <w:bottom w:w="0" w:type="dxa"/>
              <w:right w:w="20" w:type="dxa"/>
            </w:tcMar>
            <w:vAlign w:val="center"/>
          </w:tcPr>
          <w:p w14:paraId="7EC1C7D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49" w:type="pct"/>
            <w:gridSpan w:val="2"/>
            <w:tcBorders>
              <w:tl2br w:val="nil"/>
              <w:tr2bl w:val="nil"/>
            </w:tcBorders>
            <w:noWrap w:val="0"/>
            <w:tcMar>
              <w:top w:w="20" w:type="dxa"/>
              <w:left w:w="20" w:type="dxa"/>
              <w:bottom w:w="0" w:type="dxa"/>
              <w:right w:w="20" w:type="dxa"/>
            </w:tcMar>
            <w:vAlign w:val="center"/>
          </w:tcPr>
          <w:p w14:paraId="46E56DE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煤预均化系统</w:t>
            </w:r>
          </w:p>
        </w:tc>
      </w:tr>
      <w:tr w14:paraId="522E2A2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686" w:type="pct"/>
            <w:vMerge w:val="continue"/>
            <w:tcBorders>
              <w:tl2br w:val="nil"/>
              <w:tr2bl w:val="nil"/>
            </w:tcBorders>
            <w:noWrap w:val="0"/>
            <w:tcMar>
              <w:top w:w="20" w:type="dxa"/>
              <w:left w:w="20" w:type="dxa"/>
              <w:bottom w:w="0" w:type="dxa"/>
              <w:right w:w="20" w:type="dxa"/>
            </w:tcMar>
            <w:vAlign w:val="center"/>
          </w:tcPr>
          <w:p w14:paraId="3CC3097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864" w:type="pct"/>
            <w:vMerge w:val="continue"/>
            <w:tcBorders>
              <w:tl2br w:val="nil"/>
              <w:tr2bl w:val="nil"/>
            </w:tcBorders>
            <w:noWrap w:val="0"/>
            <w:tcMar>
              <w:top w:w="20" w:type="dxa"/>
              <w:left w:w="20" w:type="dxa"/>
              <w:bottom w:w="0" w:type="dxa"/>
              <w:right w:w="20" w:type="dxa"/>
            </w:tcMar>
            <w:vAlign w:val="center"/>
          </w:tcPr>
          <w:p w14:paraId="08632AA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2887F4F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辅助原料磨系统</w:t>
            </w:r>
          </w:p>
        </w:tc>
      </w:tr>
      <w:tr w14:paraId="195D609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686" w:type="pct"/>
            <w:vMerge w:val="continue"/>
            <w:tcBorders>
              <w:tl2br w:val="nil"/>
              <w:tr2bl w:val="nil"/>
            </w:tcBorders>
            <w:noWrap w:val="0"/>
            <w:tcMar>
              <w:top w:w="20" w:type="dxa"/>
              <w:left w:w="20" w:type="dxa"/>
              <w:bottom w:w="0" w:type="dxa"/>
              <w:right w:w="20" w:type="dxa"/>
            </w:tcMar>
            <w:vAlign w:val="center"/>
          </w:tcPr>
          <w:p w14:paraId="6648EFA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864" w:type="pct"/>
            <w:vMerge w:val="continue"/>
            <w:tcBorders>
              <w:tl2br w:val="nil"/>
              <w:tr2bl w:val="nil"/>
            </w:tcBorders>
            <w:noWrap w:val="0"/>
            <w:tcMar>
              <w:top w:w="20" w:type="dxa"/>
              <w:left w:w="20" w:type="dxa"/>
              <w:bottom w:w="0" w:type="dxa"/>
              <w:right w:w="20" w:type="dxa"/>
            </w:tcMar>
            <w:vAlign w:val="center"/>
          </w:tcPr>
          <w:p w14:paraId="0CC5276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37C3221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煤粉制备系统</w:t>
            </w:r>
          </w:p>
        </w:tc>
      </w:tr>
      <w:tr w14:paraId="7E59C6E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686" w:type="pct"/>
            <w:vMerge w:val="continue"/>
            <w:tcBorders>
              <w:tl2br w:val="nil"/>
              <w:tr2bl w:val="nil"/>
            </w:tcBorders>
            <w:noWrap w:val="0"/>
            <w:tcMar>
              <w:top w:w="20" w:type="dxa"/>
              <w:left w:w="20" w:type="dxa"/>
              <w:bottom w:w="0" w:type="dxa"/>
              <w:right w:w="20" w:type="dxa"/>
            </w:tcMar>
            <w:vAlign w:val="center"/>
          </w:tcPr>
          <w:p w14:paraId="355EEE9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864" w:type="pct"/>
            <w:vMerge w:val="continue"/>
            <w:tcBorders>
              <w:tl2br w:val="nil"/>
              <w:tr2bl w:val="nil"/>
            </w:tcBorders>
            <w:noWrap w:val="0"/>
            <w:tcMar>
              <w:top w:w="20" w:type="dxa"/>
              <w:left w:w="20" w:type="dxa"/>
              <w:bottom w:w="0" w:type="dxa"/>
              <w:right w:w="20" w:type="dxa"/>
            </w:tcMar>
            <w:vAlign w:val="center"/>
          </w:tcPr>
          <w:p w14:paraId="365005C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1EACB57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熟料煅烧系统：Φ4.3×60m回转窑（带分解炉和预热器）；篦冷机；多通道喷煤管</w:t>
            </w:r>
          </w:p>
        </w:tc>
      </w:tr>
      <w:tr w14:paraId="790E402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686" w:type="pct"/>
            <w:vMerge w:val="continue"/>
            <w:tcBorders>
              <w:tl2br w:val="nil"/>
              <w:tr2bl w:val="nil"/>
            </w:tcBorders>
            <w:noWrap w:val="0"/>
            <w:tcMar>
              <w:top w:w="20" w:type="dxa"/>
              <w:left w:w="20" w:type="dxa"/>
              <w:bottom w:w="0" w:type="dxa"/>
              <w:right w:w="20" w:type="dxa"/>
            </w:tcMar>
            <w:vAlign w:val="center"/>
          </w:tcPr>
          <w:p w14:paraId="0B2DB2F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864" w:type="pct"/>
            <w:vMerge w:val="continue"/>
            <w:tcBorders>
              <w:tl2br w:val="nil"/>
              <w:tr2bl w:val="nil"/>
            </w:tcBorders>
            <w:noWrap w:val="0"/>
            <w:tcMar>
              <w:top w:w="20" w:type="dxa"/>
              <w:left w:w="20" w:type="dxa"/>
              <w:bottom w:w="0" w:type="dxa"/>
              <w:right w:w="20" w:type="dxa"/>
            </w:tcMar>
            <w:vAlign w:val="center"/>
          </w:tcPr>
          <w:p w14:paraId="6829040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50A2C7F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熟料散装</w:t>
            </w:r>
          </w:p>
        </w:tc>
      </w:tr>
      <w:tr w14:paraId="4468433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686" w:type="pct"/>
            <w:vMerge w:val="continue"/>
            <w:tcBorders>
              <w:tl2br w:val="nil"/>
              <w:tr2bl w:val="nil"/>
            </w:tcBorders>
            <w:noWrap w:val="0"/>
            <w:tcMar>
              <w:top w:w="20" w:type="dxa"/>
              <w:left w:w="20" w:type="dxa"/>
              <w:bottom w:w="0" w:type="dxa"/>
              <w:right w:w="20" w:type="dxa"/>
            </w:tcMar>
            <w:vAlign w:val="center"/>
          </w:tcPr>
          <w:p w14:paraId="5DF4F26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864" w:type="pct"/>
            <w:vMerge w:val="restart"/>
            <w:tcBorders>
              <w:tl2br w:val="nil"/>
              <w:tr2bl w:val="nil"/>
            </w:tcBorders>
            <w:noWrap w:val="0"/>
            <w:tcMar>
              <w:top w:w="20" w:type="dxa"/>
              <w:left w:w="20" w:type="dxa"/>
              <w:bottom w:w="0" w:type="dxa"/>
              <w:right w:w="20" w:type="dxa"/>
            </w:tcMar>
            <w:vAlign w:val="center"/>
          </w:tcPr>
          <w:p w14:paraId="62546C2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水泥粉磨</w:t>
            </w:r>
          </w:p>
        </w:tc>
        <w:tc>
          <w:tcPr>
            <w:tcW w:w="3401" w:type="pct"/>
            <w:tcBorders>
              <w:tl2br w:val="nil"/>
              <w:tr2bl w:val="nil"/>
            </w:tcBorders>
            <w:noWrap w:val="0"/>
            <w:tcMar>
              <w:top w:w="20" w:type="dxa"/>
              <w:left w:w="20" w:type="dxa"/>
              <w:bottom w:w="0" w:type="dxa"/>
              <w:right w:w="20" w:type="dxa"/>
            </w:tcMar>
            <w:vAlign w:val="center"/>
          </w:tcPr>
          <w:p w14:paraId="02A2088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石膏破碎系统</w:t>
            </w:r>
          </w:p>
        </w:tc>
      </w:tr>
      <w:tr w14:paraId="305EF4B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686" w:type="pct"/>
            <w:vMerge w:val="continue"/>
            <w:tcBorders>
              <w:tl2br w:val="nil"/>
              <w:tr2bl w:val="nil"/>
            </w:tcBorders>
            <w:noWrap w:val="0"/>
            <w:tcMar>
              <w:top w:w="20" w:type="dxa"/>
              <w:left w:w="20" w:type="dxa"/>
              <w:bottom w:w="0" w:type="dxa"/>
              <w:right w:w="20" w:type="dxa"/>
            </w:tcMar>
            <w:vAlign w:val="center"/>
          </w:tcPr>
          <w:p w14:paraId="601F802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864" w:type="pct"/>
            <w:vMerge w:val="continue"/>
            <w:tcBorders>
              <w:tl2br w:val="nil"/>
              <w:tr2bl w:val="nil"/>
            </w:tcBorders>
            <w:noWrap w:val="0"/>
            <w:tcMar>
              <w:top w:w="20" w:type="dxa"/>
              <w:left w:w="20" w:type="dxa"/>
              <w:bottom w:w="0" w:type="dxa"/>
              <w:right w:w="20" w:type="dxa"/>
            </w:tcMar>
            <w:vAlign w:val="center"/>
          </w:tcPr>
          <w:p w14:paraId="5ADE9F7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486FB98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水泥粉磨系统</w:t>
            </w:r>
          </w:p>
        </w:tc>
      </w:tr>
      <w:tr w14:paraId="24A3C86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686" w:type="pct"/>
            <w:vMerge w:val="continue"/>
            <w:tcBorders>
              <w:tl2br w:val="nil"/>
              <w:tr2bl w:val="nil"/>
            </w:tcBorders>
            <w:noWrap w:val="0"/>
            <w:tcMar>
              <w:top w:w="20" w:type="dxa"/>
              <w:left w:w="20" w:type="dxa"/>
              <w:bottom w:w="0" w:type="dxa"/>
              <w:right w:w="20" w:type="dxa"/>
            </w:tcMar>
            <w:vAlign w:val="center"/>
          </w:tcPr>
          <w:p w14:paraId="1A5D22B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864" w:type="pct"/>
            <w:vMerge w:val="continue"/>
            <w:tcBorders>
              <w:tl2br w:val="nil"/>
              <w:tr2bl w:val="nil"/>
            </w:tcBorders>
            <w:noWrap w:val="0"/>
            <w:tcMar>
              <w:top w:w="20" w:type="dxa"/>
              <w:left w:w="20" w:type="dxa"/>
              <w:bottom w:w="0" w:type="dxa"/>
              <w:right w:w="20" w:type="dxa"/>
            </w:tcMar>
            <w:vAlign w:val="center"/>
          </w:tcPr>
          <w:p w14:paraId="75F7C6D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37F0B51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水泥包装系统</w:t>
            </w:r>
          </w:p>
        </w:tc>
      </w:tr>
      <w:tr w14:paraId="76CE93D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vMerge w:val="restart"/>
            <w:tcBorders>
              <w:tl2br w:val="nil"/>
              <w:tr2bl w:val="nil"/>
            </w:tcBorders>
            <w:noWrap w:val="0"/>
            <w:tcMar>
              <w:top w:w="20" w:type="dxa"/>
              <w:left w:w="20" w:type="dxa"/>
              <w:bottom w:w="0" w:type="dxa"/>
              <w:right w:w="20" w:type="dxa"/>
            </w:tcMar>
            <w:vAlign w:val="center"/>
          </w:tcPr>
          <w:p w14:paraId="39B16C2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公用工程</w:t>
            </w:r>
          </w:p>
        </w:tc>
        <w:tc>
          <w:tcPr>
            <w:tcW w:w="3401" w:type="pct"/>
            <w:tcBorders>
              <w:tl2br w:val="nil"/>
              <w:tr2bl w:val="nil"/>
            </w:tcBorders>
            <w:noWrap w:val="0"/>
            <w:tcMar>
              <w:top w:w="20" w:type="dxa"/>
              <w:left w:w="20" w:type="dxa"/>
              <w:bottom w:w="0" w:type="dxa"/>
              <w:right w:w="20" w:type="dxa"/>
            </w:tcMar>
            <w:vAlign w:val="center"/>
          </w:tcPr>
          <w:p w14:paraId="34D644D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给排水系统（包括消防水系统、循环水系统、生产、生活用水）</w:t>
            </w:r>
          </w:p>
        </w:tc>
      </w:tr>
      <w:tr w14:paraId="4BFA1EB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vMerge w:val="continue"/>
            <w:tcBorders>
              <w:tl2br w:val="nil"/>
              <w:tr2bl w:val="nil"/>
            </w:tcBorders>
            <w:noWrap w:val="0"/>
            <w:tcMar>
              <w:top w:w="20" w:type="dxa"/>
              <w:left w:w="20" w:type="dxa"/>
              <w:bottom w:w="0" w:type="dxa"/>
              <w:right w:w="20" w:type="dxa"/>
            </w:tcMar>
            <w:vAlign w:val="center"/>
          </w:tcPr>
          <w:p w14:paraId="408F466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25F79F5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供电系统：由开发区内母线引入，供电电压110kv</w:t>
            </w:r>
          </w:p>
        </w:tc>
      </w:tr>
      <w:tr w14:paraId="73FCC62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vMerge w:val="continue"/>
            <w:tcBorders>
              <w:tl2br w:val="nil"/>
              <w:tr2bl w:val="nil"/>
            </w:tcBorders>
            <w:noWrap w:val="0"/>
            <w:tcMar>
              <w:top w:w="20" w:type="dxa"/>
              <w:left w:w="20" w:type="dxa"/>
              <w:bottom w:w="0" w:type="dxa"/>
              <w:right w:w="20" w:type="dxa"/>
            </w:tcMar>
            <w:vAlign w:val="center"/>
          </w:tcPr>
          <w:p w14:paraId="7D464B1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2AEE18B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供热系统：利用回转窑尾气供热</w:t>
            </w:r>
          </w:p>
        </w:tc>
      </w:tr>
      <w:tr w14:paraId="0AFE613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vMerge w:val="restart"/>
            <w:tcBorders>
              <w:tl2br w:val="nil"/>
              <w:tr2bl w:val="nil"/>
            </w:tcBorders>
            <w:noWrap w:val="0"/>
            <w:tcMar>
              <w:top w:w="20" w:type="dxa"/>
              <w:left w:w="20" w:type="dxa"/>
              <w:bottom w:w="0" w:type="dxa"/>
              <w:right w:w="20" w:type="dxa"/>
            </w:tcMar>
            <w:vAlign w:val="center"/>
          </w:tcPr>
          <w:p w14:paraId="553BAB7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环保工程</w:t>
            </w:r>
          </w:p>
        </w:tc>
        <w:tc>
          <w:tcPr>
            <w:tcW w:w="3401" w:type="pct"/>
            <w:tcBorders>
              <w:tl2br w:val="nil"/>
              <w:tr2bl w:val="nil"/>
            </w:tcBorders>
            <w:noWrap w:val="0"/>
            <w:tcMar>
              <w:top w:w="20" w:type="dxa"/>
              <w:left w:w="20" w:type="dxa"/>
              <w:bottom w:w="0" w:type="dxa"/>
              <w:right w:w="20" w:type="dxa"/>
            </w:tcMar>
            <w:vAlign w:val="center"/>
          </w:tcPr>
          <w:p w14:paraId="14C831A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破碎、粉磨、库、窑头、窑尾废气处理，堆棚、库等粉尘防治</w:t>
            </w:r>
          </w:p>
        </w:tc>
      </w:tr>
      <w:tr w14:paraId="63E3A60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vMerge w:val="continue"/>
            <w:tcBorders>
              <w:tl2br w:val="nil"/>
              <w:tr2bl w:val="nil"/>
            </w:tcBorders>
            <w:noWrap w:val="0"/>
            <w:tcMar>
              <w:top w:w="20" w:type="dxa"/>
              <w:left w:w="20" w:type="dxa"/>
              <w:bottom w:w="0" w:type="dxa"/>
              <w:right w:w="20" w:type="dxa"/>
            </w:tcMar>
            <w:vAlign w:val="center"/>
          </w:tcPr>
          <w:p w14:paraId="2D9052B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21C5EC9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eastAsia="zh-CN"/>
              </w:rPr>
              <w:t>厂区排水系统</w:t>
            </w:r>
          </w:p>
        </w:tc>
      </w:tr>
      <w:tr w14:paraId="120EE6C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vMerge w:val="continue"/>
            <w:tcBorders>
              <w:tl2br w:val="nil"/>
              <w:tr2bl w:val="nil"/>
            </w:tcBorders>
            <w:noWrap w:val="0"/>
            <w:tcMar>
              <w:top w:w="20" w:type="dxa"/>
              <w:left w:w="20" w:type="dxa"/>
              <w:bottom w:w="0" w:type="dxa"/>
              <w:right w:w="20" w:type="dxa"/>
            </w:tcMar>
            <w:vAlign w:val="center"/>
          </w:tcPr>
          <w:p w14:paraId="38C72A9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3995B7B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基础减震、建筑阻隔</w:t>
            </w:r>
          </w:p>
        </w:tc>
      </w:tr>
      <w:tr w14:paraId="336780C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vMerge w:val="restart"/>
            <w:tcBorders>
              <w:tl2br w:val="nil"/>
              <w:tr2bl w:val="nil"/>
            </w:tcBorders>
            <w:noWrap w:val="0"/>
            <w:tcMar>
              <w:top w:w="20" w:type="dxa"/>
              <w:left w:w="20" w:type="dxa"/>
              <w:bottom w:w="0" w:type="dxa"/>
              <w:right w:w="20" w:type="dxa"/>
            </w:tcMar>
            <w:vAlign w:val="center"/>
          </w:tcPr>
          <w:p w14:paraId="41C7B7B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辅助工程</w:t>
            </w:r>
          </w:p>
        </w:tc>
        <w:tc>
          <w:tcPr>
            <w:tcW w:w="3401" w:type="pct"/>
            <w:tcBorders>
              <w:tl2br w:val="nil"/>
              <w:tr2bl w:val="nil"/>
            </w:tcBorders>
            <w:noWrap w:val="0"/>
            <w:tcMar>
              <w:top w:w="20" w:type="dxa"/>
              <w:left w:w="20" w:type="dxa"/>
              <w:bottom w:w="0" w:type="dxa"/>
              <w:right w:w="20" w:type="dxa"/>
            </w:tcMar>
            <w:vAlign w:val="center"/>
          </w:tcPr>
          <w:p w14:paraId="042E481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生活福利设施：行政办公及生活服务设施</w:t>
            </w:r>
          </w:p>
        </w:tc>
      </w:tr>
      <w:tr w14:paraId="4C27AE9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vMerge w:val="continue"/>
            <w:tcBorders>
              <w:tl2br w:val="nil"/>
              <w:tr2bl w:val="nil"/>
            </w:tcBorders>
            <w:noWrap w:val="0"/>
            <w:tcMar>
              <w:top w:w="20" w:type="dxa"/>
              <w:left w:w="20" w:type="dxa"/>
              <w:bottom w:w="0" w:type="dxa"/>
              <w:right w:w="20" w:type="dxa"/>
            </w:tcMar>
            <w:vAlign w:val="center"/>
          </w:tcPr>
          <w:p w14:paraId="6F5697E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5CA1586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计量站：自动配比系统控制定量给料机计量；冲板流量计计量；煤粉专用秤计量；熟料专用高温计量秤；料计量仓、原煤仓、储仓荷重传感器计量。</w:t>
            </w:r>
          </w:p>
        </w:tc>
      </w:tr>
      <w:tr w14:paraId="26A2F09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vMerge w:val="continue"/>
            <w:tcBorders>
              <w:tl2br w:val="nil"/>
              <w:tr2bl w:val="nil"/>
            </w:tcBorders>
            <w:noWrap w:val="0"/>
            <w:tcMar>
              <w:top w:w="20" w:type="dxa"/>
              <w:left w:w="20" w:type="dxa"/>
              <w:bottom w:w="0" w:type="dxa"/>
              <w:right w:w="20" w:type="dxa"/>
            </w:tcMar>
            <w:vAlign w:val="center"/>
          </w:tcPr>
          <w:p w14:paraId="6A3BF6B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3401" w:type="pct"/>
            <w:tcBorders>
              <w:tl2br w:val="nil"/>
              <w:tr2bl w:val="nil"/>
            </w:tcBorders>
            <w:noWrap w:val="0"/>
            <w:tcMar>
              <w:top w:w="20" w:type="dxa"/>
              <w:left w:w="20" w:type="dxa"/>
              <w:bottom w:w="0" w:type="dxa"/>
              <w:right w:w="20" w:type="dxa"/>
            </w:tcMar>
            <w:vAlign w:val="center"/>
          </w:tcPr>
          <w:p w14:paraId="50A0EE8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机修间：生产设备的小修和日常维护工作</w:t>
            </w:r>
          </w:p>
        </w:tc>
      </w:tr>
      <w:tr w14:paraId="00F021C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gridAfter w:val="1"/>
          <w:wAfter w:w="47" w:type="pct"/>
          <w:trHeight w:val="283" w:hRule="atLeast"/>
          <w:jc w:val="center"/>
        </w:trPr>
        <w:tc>
          <w:tcPr>
            <w:tcW w:w="1550" w:type="pct"/>
            <w:gridSpan w:val="2"/>
            <w:tcBorders>
              <w:tl2br w:val="nil"/>
              <w:tr2bl w:val="nil"/>
            </w:tcBorders>
            <w:noWrap w:val="0"/>
            <w:tcMar>
              <w:top w:w="20" w:type="dxa"/>
              <w:left w:w="20" w:type="dxa"/>
              <w:bottom w:w="0" w:type="dxa"/>
              <w:right w:w="20" w:type="dxa"/>
            </w:tcMar>
            <w:vAlign w:val="center"/>
          </w:tcPr>
          <w:p w14:paraId="32D4396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储存设施</w:t>
            </w:r>
          </w:p>
        </w:tc>
        <w:tc>
          <w:tcPr>
            <w:tcW w:w="3401" w:type="pct"/>
            <w:tcBorders>
              <w:tl2br w:val="nil"/>
              <w:tr2bl w:val="nil"/>
            </w:tcBorders>
            <w:noWrap w:val="0"/>
            <w:tcMar>
              <w:top w:w="20" w:type="dxa"/>
              <w:left w:w="20" w:type="dxa"/>
              <w:bottom w:w="0" w:type="dxa"/>
              <w:right w:w="20" w:type="dxa"/>
            </w:tcMar>
            <w:vAlign w:val="center"/>
          </w:tcPr>
          <w:p w14:paraId="2058744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原料堆棚、页岩堆场、铜渣堆场、原料配料库、生料均化库、熟料库、混合材库、煤渣堆棚、水泥库等</w:t>
            </w:r>
          </w:p>
        </w:tc>
      </w:tr>
    </w:tbl>
    <w:p w14:paraId="4C1147BF">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3.1.3主要生产设施</w:t>
      </w:r>
    </w:p>
    <w:p w14:paraId="1C68E331">
      <w:pPr>
        <w:pStyle w:val="6"/>
        <w:rPr>
          <w:rFonts w:hint="default" w:ascii="Times New Roman" w:hAnsi="Times New Roman" w:cs="Times New Roman"/>
        </w:rPr>
      </w:pPr>
      <w:r>
        <w:rPr>
          <w:rFonts w:hint="default" w:ascii="Times New Roman" w:hAnsi="Times New Roman" w:cs="Times New Roman"/>
          <w:lang w:val="en-US" w:eastAsia="zh-CN"/>
        </w:rPr>
        <w:t>现有</w:t>
      </w:r>
      <w:r>
        <w:rPr>
          <w:rFonts w:hint="default" w:ascii="Times New Roman" w:hAnsi="Times New Roman" w:cs="Times New Roman"/>
        </w:rPr>
        <w:t>工程主要生产设施见</w:t>
      </w:r>
      <w:r>
        <w:rPr>
          <w:rFonts w:hint="default" w:ascii="Times New Roman" w:hAnsi="Times New Roman" w:cs="Times New Roman"/>
        </w:rPr>
        <w:fldChar w:fldCharType="begin"/>
      </w:r>
      <w:r>
        <w:rPr>
          <w:rFonts w:hint="default" w:ascii="Times New Roman" w:hAnsi="Times New Roman" w:cs="Times New Roman"/>
        </w:rPr>
        <w:instrText xml:space="preserve"> REF _Ref126604931 \h  \* MERGEFORMAT </w:instrText>
      </w:r>
      <w:r>
        <w:rPr>
          <w:rFonts w:hint="default" w:ascii="Times New Roman" w:hAnsi="Times New Roman" w:cs="Times New Roman"/>
        </w:rPr>
        <w:fldChar w:fldCharType="separate"/>
      </w:r>
      <w:r>
        <w:rPr>
          <w:rFonts w:hint="default" w:ascii="Times New Roman" w:hAnsi="Times New Roman" w:cs="Times New Roman"/>
        </w:rPr>
        <w:t>表3.1</w:t>
      </w:r>
      <w:r>
        <w:rPr>
          <w:rFonts w:hint="default" w:ascii="Times New Roman" w:hAnsi="Times New Roman" w:cs="Times New Roman"/>
        </w:rPr>
        <w:noBreakHyphen/>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t>。</w:t>
      </w:r>
    </w:p>
    <w:p w14:paraId="4FEFA047">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eastAsia="宋体" w:cs="Times New Roman"/>
          <w:b/>
          <w:bCs/>
        </w:rPr>
      </w:pPr>
      <w:bookmarkStart w:id="78" w:name="_Ref126604931"/>
      <w:r>
        <w:rPr>
          <w:rFonts w:hint="default" w:ascii="Times New Roman" w:hAnsi="Times New Roman" w:eastAsia="宋体" w:cs="Times New Roman"/>
          <w:b/>
          <w:bCs/>
        </w:rPr>
        <w:t>表</w:t>
      </w: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STYLEREF 2 \s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3.1</w:t>
      </w:r>
      <w:r>
        <w:rPr>
          <w:rFonts w:hint="default" w:ascii="Times New Roman" w:hAnsi="Times New Roman" w:eastAsia="宋体" w:cs="Times New Roman"/>
          <w:b/>
          <w:bCs/>
        </w:rPr>
        <w:fldChar w:fldCharType="end"/>
      </w:r>
      <w:r>
        <w:rPr>
          <w:rFonts w:hint="eastAsia" w:cs="Times New Roman"/>
          <w:b/>
          <w:bCs/>
          <w:lang w:val="en-US" w:eastAsia="zh-CN"/>
        </w:rPr>
        <w:t>-</w:t>
      </w: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SEQ 表 \* ARABIC \s 2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2</w:t>
      </w:r>
      <w:r>
        <w:rPr>
          <w:rFonts w:hint="default" w:ascii="Times New Roman" w:hAnsi="Times New Roman" w:eastAsia="宋体" w:cs="Times New Roman"/>
          <w:b/>
          <w:bCs/>
        </w:rPr>
        <w:fldChar w:fldCharType="end"/>
      </w:r>
      <w:bookmarkEnd w:id="78"/>
      <w:r>
        <w:rPr>
          <w:rFonts w:hint="default" w:ascii="Times New Roman" w:hAnsi="Times New Roman" w:eastAsia="宋体" w:cs="Times New Roman"/>
          <w:b/>
          <w:bCs/>
        </w:rPr>
        <w:t xml:space="preserve"> </w:t>
      </w:r>
      <w:r>
        <w:rPr>
          <w:rFonts w:hint="default" w:ascii="Times New Roman" w:hAnsi="Times New Roman" w:eastAsia="宋体" w:cs="Times New Roman"/>
          <w:b/>
          <w:bCs/>
          <w:lang w:val="en-US" w:eastAsia="zh-CN"/>
        </w:rPr>
        <w:t>现有</w:t>
      </w:r>
      <w:r>
        <w:rPr>
          <w:rFonts w:hint="default" w:ascii="Times New Roman" w:hAnsi="Times New Roman" w:eastAsia="宋体" w:cs="Times New Roman"/>
          <w:b/>
          <w:bCs/>
        </w:rPr>
        <w:t>工程主要生产设施一览表</w:t>
      </w:r>
    </w:p>
    <w:tbl>
      <w:tblPr>
        <w:tblStyle w:val="39"/>
        <w:tblW w:w="4998"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763"/>
        <w:gridCol w:w="1918"/>
        <w:gridCol w:w="3915"/>
        <w:gridCol w:w="757"/>
      </w:tblGrid>
      <w:tr w14:paraId="7AA4D4A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tblHeader/>
          <w:jc w:val="center"/>
        </w:trPr>
        <w:tc>
          <w:tcPr>
            <w:tcW w:w="1055" w:type="pct"/>
            <w:tcBorders>
              <w:tl2br w:val="nil"/>
              <w:tr2bl w:val="nil"/>
            </w:tcBorders>
            <w:noWrap w:val="0"/>
            <w:vAlign w:val="center"/>
          </w:tcPr>
          <w:p w14:paraId="5798816A">
            <w:pPr>
              <w:pStyle w:val="212"/>
              <w:autoSpaceDE/>
              <w:autoSpaceDN/>
              <w:adjustRightInd/>
              <w:spacing w:before="0" w:after="0" w:line="240" w:lineRule="auto"/>
              <w:ind w:left="0" w:firstLine="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车间名称</w:t>
            </w:r>
          </w:p>
        </w:tc>
        <w:tc>
          <w:tcPr>
            <w:tcW w:w="1148" w:type="pct"/>
            <w:tcBorders>
              <w:tl2br w:val="nil"/>
              <w:tr2bl w:val="nil"/>
            </w:tcBorders>
            <w:noWrap w:val="0"/>
            <w:vAlign w:val="center"/>
          </w:tcPr>
          <w:p w14:paraId="4C949981">
            <w:pPr>
              <w:pStyle w:val="212"/>
              <w:autoSpaceDE/>
              <w:autoSpaceDN/>
              <w:adjustRightInd/>
              <w:spacing w:before="0" w:after="0" w:line="240" w:lineRule="auto"/>
              <w:ind w:left="0" w:firstLine="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主机名称</w:t>
            </w:r>
          </w:p>
        </w:tc>
        <w:tc>
          <w:tcPr>
            <w:tcW w:w="2343" w:type="pct"/>
            <w:tcBorders>
              <w:tl2br w:val="nil"/>
              <w:tr2bl w:val="nil"/>
            </w:tcBorders>
            <w:noWrap w:val="0"/>
            <w:vAlign w:val="center"/>
          </w:tcPr>
          <w:p w14:paraId="361330DF">
            <w:pPr>
              <w:pStyle w:val="212"/>
              <w:autoSpaceDE/>
              <w:autoSpaceDN/>
              <w:adjustRightInd/>
              <w:spacing w:before="0" w:after="0" w:line="240" w:lineRule="auto"/>
              <w:ind w:left="0" w:firstLine="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型号、规格、性能</w:t>
            </w:r>
          </w:p>
        </w:tc>
        <w:tc>
          <w:tcPr>
            <w:tcW w:w="453" w:type="pct"/>
            <w:tcBorders>
              <w:tl2br w:val="nil"/>
              <w:tr2bl w:val="nil"/>
            </w:tcBorders>
            <w:noWrap w:val="0"/>
            <w:vAlign w:val="center"/>
          </w:tcPr>
          <w:p w14:paraId="1455A974">
            <w:pPr>
              <w:pStyle w:val="212"/>
              <w:autoSpaceDE/>
              <w:autoSpaceDN/>
              <w:adjustRightInd/>
              <w:spacing w:before="0" w:after="0" w:line="240" w:lineRule="auto"/>
              <w:ind w:left="0" w:firstLine="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数量</w:t>
            </w:r>
          </w:p>
          <w:p w14:paraId="3F7E14D5">
            <w:pPr>
              <w:pStyle w:val="212"/>
              <w:autoSpaceDE/>
              <w:autoSpaceDN/>
              <w:adjustRightInd/>
              <w:spacing w:before="0" w:after="0" w:line="240" w:lineRule="auto"/>
              <w:ind w:left="0" w:firstLine="0"/>
              <w:jc w:val="center"/>
              <w:rPr>
                <w:rFonts w:hint="default" w:ascii="Times New Roman" w:hAnsi="Times New Roman" w:cs="Times New Roman"/>
                <w:b/>
                <w:bCs/>
                <w:color w:val="000000"/>
                <w:sz w:val="21"/>
                <w:szCs w:val="21"/>
              </w:rPr>
            </w:pPr>
            <w:r>
              <w:rPr>
                <w:rFonts w:hint="default" w:ascii="Times New Roman" w:hAnsi="Times New Roman" w:cs="Times New Roman"/>
                <w:b/>
                <w:bCs/>
                <w:color w:val="000000"/>
                <w:sz w:val="21"/>
                <w:szCs w:val="21"/>
              </w:rPr>
              <w:t>（台）</w:t>
            </w:r>
          </w:p>
        </w:tc>
      </w:tr>
      <w:tr w14:paraId="7F6E9CF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tcBorders>
              <w:tl2br w:val="nil"/>
              <w:tr2bl w:val="nil"/>
            </w:tcBorders>
            <w:noWrap w:val="0"/>
            <w:vAlign w:val="center"/>
          </w:tcPr>
          <w:p w14:paraId="6866CFF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辅助原料破碎</w:t>
            </w:r>
          </w:p>
        </w:tc>
        <w:tc>
          <w:tcPr>
            <w:tcW w:w="1148" w:type="pct"/>
            <w:tcBorders>
              <w:tl2br w:val="nil"/>
              <w:tr2bl w:val="nil"/>
            </w:tcBorders>
            <w:noWrap w:val="0"/>
            <w:vAlign w:val="center"/>
          </w:tcPr>
          <w:p w14:paraId="5B05A34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反击锤式破碎机</w:t>
            </w:r>
          </w:p>
        </w:tc>
        <w:tc>
          <w:tcPr>
            <w:tcW w:w="2343" w:type="pct"/>
            <w:tcBorders>
              <w:tl2br w:val="nil"/>
              <w:tr2bl w:val="nil"/>
            </w:tcBorders>
            <w:noWrap w:val="0"/>
            <w:vAlign w:val="center"/>
          </w:tcPr>
          <w:p w14:paraId="78748A8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PCF1609 G=60-70t/h</w:t>
            </w:r>
          </w:p>
        </w:tc>
        <w:tc>
          <w:tcPr>
            <w:tcW w:w="453" w:type="pct"/>
            <w:tcBorders>
              <w:tl2br w:val="nil"/>
              <w:tr2bl w:val="nil"/>
            </w:tcBorders>
            <w:noWrap w:val="0"/>
            <w:vAlign w:val="center"/>
          </w:tcPr>
          <w:p w14:paraId="13A43BC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2</w:t>
            </w:r>
          </w:p>
        </w:tc>
      </w:tr>
      <w:tr w14:paraId="4B4836B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tcBorders>
              <w:tl2br w:val="nil"/>
              <w:tr2bl w:val="nil"/>
            </w:tcBorders>
            <w:noWrap w:val="0"/>
            <w:vAlign w:val="center"/>
          </w:tcPr>
          <w:p w14:paraId="0048255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原煤破碎</w:t>
            </w:r>
          </w:p>
        </w:tc>
        <w:tc>
          <w:tcPr>
            <w:tcW w:w="1148" w:type="pct"/>
            <w:tcBorders>
              <w:tl2br w:val="nil"/>
              <w:tr2bl w:val="nil"/>
            </w:tcBorders>
            <w:noWrap w:val="0"/>
            <w:vAlign w:val="center"/>
          </w:tcPr>
          <w:p w14:paraId="2E2851D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环锤式破碎机</w:t>
            </w:r>
          </w:p>
        </w:tc>
        <w:tc>
          <w:tcPr>
            <w:tcW w:w="2343" w:type="pct"/>
            <w:tcBorders>
              <w:tl2br w:val="nil"/>
              <w:tr2bl w:val="nil"/>
            </w:tcBorders>
            <w:noWrap w:val="0"/>
            <w:vAlign w:val="center"/>
          </w:tcPr>
          <w:p w14:paraId="00A9095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120t/h</w:t>
            </w:r>
          </w:p>
        </w:tc>
        <w:tc>
          <w:tcPr>
            <w:tcW w:w="453" w:type="pct"/>
            <w:tcBorders>
              <w:tl2br w:val="nil"/>
              <w:tr2bl w:val="nil"/>
            </w:tcBorders>
            <w:noWrap w:val="0"/>
            <w:vAlign w:val="center"/>
          </w:tcPr>
          <w:p w14:paraId="4070A37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2</w:t>
            </w:r>
          </w:p>
        </w:tc>
      </w:tr>
      <w:tr w14:paraId="2726E5A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vMerge w:val="restart"/>
            <w:tcBorders>
              <w:tl2br w:val="nil"/>
              <w:tr2bl w:val="nil"/>
            </w:tcBorders>
            <w:noWrap w:val="0"/>
            <w:vAlign w:val="center"/>
          </w:tcPr>
          <w:p w14:paraId="2D18371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原煤</w:t>
            </w:r>
          </w:p>
          <w:p w14:paraId="067D2E3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预均化堆场</w:t>
            </w:r>
          </w:p>
        </w:tc>
        <w:tc>
          <w:tcPr>
            <w:tcW w:w="1148" w:type="pct"/>
            <w:tcBorders>
              <w:tl2br w:val="nil"/>
              <w:tr2bl w:val="nil"/>
            </w:tcBorders>
            <w:noWrap w:val="0"/>
            <w:vAlign w:val="center"/>
          </w:tcPr>
          <w:p w14:paraId="76E8997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侧式悬臂堆料机</w:t>
            </w:r>
          </w:p>
        </w:tc>
        <w:tc>
          <w:tcPr>
            <w:tcW w:w="2343" w:type="pct"/>
            <w:tcBorders>
              <w:tl2br w:val="nil"/>
              <w:tr2bl w:val="nil"/>
            </w:tcBorders>
            <w:noWrap w:val="0"/>
            <w:vAlign w:val="center"/>
          </w:tcPr>
          <w:p w14:paraId="0C74606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G=150-180t/h</w:t>
            </w:r>
          </w:p>
        </w:tc>
        <w:tc>
          <w:tcPr>
            <w:tcW w:w="453" w:type="pct"/>
            <w:tcBorders>
              <w:tl2br w:val="nil"/>
              <w:tr2bl w:val="nil"/>
            </w:tcBorders>
            <w:noWrap w:val="0"/>
            <w:vAlign w:val="center"/>
          </w:tcPr>
          <w:p w14:paraId="4460D66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2</w:t>
            </w:r>
          </w:p>
        </w:tc>
      </w:tr>
      <w:tr w14:paraId="401A4A5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88" w:hRule="atLeast"/>
          <w:jc w:val="center"/>
        </w:trPr>
        <w:tc>
          <w:tcPr>
            <w:tcW w:w="1055" w:type="pct"/>
            <w:vMerge w:val="continue"/>
            <w:tcBorders>
              <w:tl2br w:val="nil"/>
              <w:tr2bl w:val="nil"/>
            </w:tcBorders>
            <w:noWrap w:val="0"/>
            <w:vAlign w:val="center"/>
          </w:tcPr>
          <w:p w14:paraId="5DFA414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189D350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环锤式破碎机</w:t>
            </w:r>
          </w:p>
        </w:tc>
        <w:tc>
          <w:tcPr>
            <w:tcW w:w="2343" w:type="pct"/>
            <w:tcBorders>
              <w:tl2br w:val="nil"/>
              <w:tr2bl w:val="nil"/>
            </w:tcBorders>
            <w:noWrap w:val="0"/>
            <w:vAlign w:val="center"/>
          </w:tcPr>
          <w:p w14:paraId="53854AF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PCH1010 G=80-120t/h</w:t>
            </w:r>
          </w:p>
        </w:tc>
        <w:tc>
          <w:tcPr>
            <w:tcW w:w="453" w:type="pct"/>
            <w:tcBorders>
              <w:tl2br w:val="nil"/>
              <w:tr2bl w:val="nil"/>
            </w:tcBorders>
            <w:noWrap w:val="0"/>
            <w:vAlign w:val="center"/>
          </w:tcPr>
          <w:p w14:paraId="62C3C3D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w:t>
            </w:r>
          </w:p>
        </w:tc>
      </w:tr>
      <w:tr w14:paraId="1EDA826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vMerge w:val="continue"/>
            <w:tcBorders>
              <w:tl2br w:val="nil"/>
              <w:tr2bl w:val="nil"/>
            </w:tcBorders>
            <w:noWrap w:val="0"/>
            <w:vAlign w:val="center"/>
          </w:tcPr>
          <w:p w14:paraId="3E1C63A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631A747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桥式刮板取料机</w:t>
            </w:r>
          </w:p>
        </w:tc>
        <w:tc>
          <w:tcPr>
            <w:tcW w:w="2343" w:type="pct"/>
            <w:tcBorders>
              <w:tl2br w:val="nil"/>
              <w:tr2bl w:val="nil"/>
            </w:tcBorders>
            <w:noWrap w:val="0"/>
            <w:vAlign w:val="center"/>
          </w:tcPr>
          <w:p w14:paraId="5DEE65D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G=60-80t/h</w:t>
            </w:r>
          </w:p>
        </w:tc>
        <w:tc>
          <w:tcPr>
            <w:tcW w:w="453" w:type="pct"/>
            <w:tcBorders>
              <w:tl2br w:val="nil"/>
              <w:tr2bl w:val="nil"/>
            </w:tcBorders>
            <w:noWrap w:val="0"/>
            <w:vAlign w:val="center"/>
          </w:tcPr>
          <w:p w14:paraId="34F205B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w:t>
            </w:r>
          </w:p>
        </w:tc>
      </w:tr>
      <w:tr w14:paraId="36E61CF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tcBorders>
              <w:tl2br w:val="nil"/>
              <w:tr2bl w:val="nil"/>
            </w:tcBorders>
            <w:noWrap w:val="0"/>
            <w:vAlign w:val="center"/>
          </w:tcPr>
          <w:p w14:paraId="2C82D94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原料粉磨</w:t>
            </w:r>
          </w:p>
        </w:tc>
        <w:tc>
          <w:tcPr>
            <w:tcW w:w="1148" w:type="pct"/>
            <w:tcBorders>
              <w:tl2br w:val="nil"/>
              <w:tr2bl w:val="nil"/>
            </w:tcBorders>
            <w:noWrap w:val="0"/>
            <w:vAlign w:val="center"/>
          </w:tcPr>
          <w:p w14:paraId="582C0F1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烘干磨</w:t>
            </w:r>
          </w:p>
        </w:tc>
        <w:tc>
          <w:tcPr>
            <w:tcW w:w="2343" w:type="pct"/>
            <w:tcBorders>
              <w:tl2br w:val="nil"/>
              <w:tr2bl w:val="nil"/>
            </w:tcBorders>
            <w:noWrap w:val="0"/>
            <w:vAlign w:val="center"/>
          </w:tcPr>
          <w:p w14:paraId="43A924C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φ3.8×12m G=150t/h</w:t>
            </w:r>
          </w:p>
        </w:tc>
        <w:tc>
          <w:tcPr>
            <w:tcW w:w="453" w:type="pct"/>
            <w:tcBorders>
              <w:tl2br w:val="nil"/>
              <w:tr2bl w:val="nil"/>
            </w:tcBorders>
            <w:noWrap w:val="0"/>
            <w:vAlign w:val="center"/>
          </w:tcPr>
          <w:p w14:paraId="70305F8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2</w:t>
            </w:r>
          </w:p>
        </w:tc>
      </w:tr>
      <w:tr w14:paraId="72C5980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tcBorders>
              <w:tl2br w:val="nil"/>
              <w:tr2bl w:val="nil"/>
            </w:tcBorders>
            <w:noWrap w:val="0"/>
            <w:vAlign w:val="center"/>
          </w:tcPr>
          <w:p w14:paraId="577E69D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电石渣烘干破碎</w:t>
            </w:r>
          </w:p>
        </w:tc>
        <w:tc>
          <w:tcPr>
            <w:tcW w:w="1148" w:type="pct"/>
            <w:tcBorders>
              <w:tl2br w:val="nil"/>
              <w:tr2bl w:val="nil"/>
            </w:tcBorders>
            <w:noWrap w:val="0"/>
            <w:vAlign w:val="center"/>
          </w:tcPr>
          <w:p w14:paraId="439C12B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破碎机</w:t>
            </w:r>
          </w:p>
        </w:tc>
        <w:tc>
          <w:tcPr>
            <w:tcW w:w="2343" w:type="pct"/>
            <w:tcBorders>
              <w:tl2br w:val="nil"/>
              <w:tr2bl w:val="nil"/>
            </w:tcBorders>
            <w:noWrap w:val="0"/>
            <w:vAlign w:val="center"/>
          </w:tcPr>
          <w:p w14:paraId="35D8404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φ4.8×2.8m</w:t>
            </w:r>
            <w:r>
              <w:rPr>
                <w:rFonts w:hint="default" w:ascii="Times New Roman" w:hAnsi="Times New Roman" w:cs="Times New Roman"/>
                <w:sz w:val="21"/>
                <w:highlight w:val="none"/>
                <w:lang w:val="en-US" w:eastAsia="zh-CN"/>
              </w:rPr>
              <w:t>；</w:t>
            </w:r>
            <w:r>
              <w:rPr>
                <w:rFonts w:hint="default" w:ascii="Times New Roman" w:hAnsi="Times New Roman" w:eastAsia="宋体" w:cs="Times New Roman"/>
                <w:sz w:val="21"/>
                <w:highlight w:val="none"/>
                <w:lang w:eastAsia="zh-CN"/>
              </w:rPr>
              <w:t>生产能力120 t/h（干粉）</w:t>
            </w:r>
          </w:p>
        </w:tc>
        <w:tc>
          <w:tcPr>
            <w:tcW w:w="453" w:type="pct"/>
            <w:tcBorders>
              <w:tl2br w:val="nil"/>
              <w:tr2bl w:val="nil"/>
            </w:tcBorders>
            <w:noWrap w:val="0"/>
            <w:vAlign w:val="center"/>
          </w:tcPr>
          <w:p w14:paraId="0F95EF7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2</w:t>
            </w:r>
          </w:p>
        </w:tc>
      </w:tr>
      <w:tr w14:paraId="2926E3D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tcBorders>
              <w:tl2br w:val="nil"/>
              <w:tr2bl w:val="nil"/>
            </w:tcBorders>
            <w:noWrap w:val="0"/>
            <w:vAlign w:val="center"/>
          </w:tcPr>
          <w:p w14:paraId="52C8706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窑尾</w:t>
            </w:r>
          </w:p>
        </w:tc>
        <w:tc>
          <w:tcPr>
            <w:tcW w:w="1148" w:type="pct"/>
            <w:tcBorders>
              <w:tl2br w:val="nil"/>
              <w:tr2bl w:val="nil"/>
            </w:tcBorders>
            <w:noWrap w:val="0"/>
            <w:vAlign w:val="center"/>
          </w:tcPr>
          <w:p w14:paraId="39E7B67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CDC三级预热预分解系统</w:t>
            </w:r>
          </w:p>
          <w:p w14:paraId="41647CF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CDCR分解炉</w:t>
            </w:r>
          </w:p>
        </w:tc>
        <w:tc>
          <w:tcPr>
            <w:tcW w:w="2343" w:type="pct"/>
            <w:tcBorders>
              <w:tl2br w:val="nil"/>
              <w:tr2bl w:val="nil"/>
            </w:tcBorders>
            <w:noWrap w:val="0"/>
            <w:vAlign w:val="center"/>
          </w:tcPr>
          <w:p w14:paraId="3275273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w:t>
            </w:r>
          </w:p>
        </w:tc>
        <w:tc>
          <w:tcPr>
            <w:tcW w:w="453" w:type="pct"/>
            <w:tcBorders>
              <w:tl2br w:val="nil"/>
              <w:tr2bl w:val="nil"/>
            </w:tcBorders>
            <w:noWrap w:val="0"/>
            <w:vAlign w:val="center"/>
          </w:tcPr>
          <w:p w14:paraId="753BC05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2</w:t>
            </w:r>
          </w:p>
        </w:tc>
      </w:tr>
      <w:tr w14:paraId="21F5FBE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vMerge w:val="restart"/>
            <w:tcBorders>
              <w:tl2br w:val="nil"/>
              <w:tr2bl w:val="nil"/>
            </w:tcBorders>
            <w:noWrap w:val="0"/>
            <w:vAlign w:val="center"/>
          </w:tcPr>
          <w:p w14:paraId="35BA9D7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窑尾废气处理</w:t>
            </w:r>
          </w:p>
        </w:tc>
        <w:tc>
          <w:tcPr>
            <w:tcW w:w="1148" w:type="pct"/>
            <w:tcBorders>
              <w:tl2br w:val="nil"/>
              <w:tr2bl w:val="nil"/>
            </w:tcBorders>
            <w:noWrap w:val="0"/>
            <w:vAlign w:val="center"/>
          </w:tcPr>
          <w:p w14:paraId="70439DC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预热器高温风机</w:t>
            </w:r>
          </w:p>
        </w:tc>
        <w:tc>
          <w:tcPr>
            <w:tcW w:w="2343" w:type="pct"/>
            <w:tcBorders>
              <w:tl2br w:val="nil"/>
              <w:tr2bl w:val="nil"/>
            </w:tcBorders>
            <w:noWrap w:val="0"/>
            <w:vAlign w:val="center"/>
          </w:tcPr>
          <w:p w14:paraId="4BB1793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风量650000m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w:t>
            </w:r>
            <w:r>
              <w:rPr>
                <w:rFonts w:hint="default" w:ascii="Times New Roman" w:hAnsi="Times New Roman" w:cs="Times New Roman"/>
                <w:sz w:val="21"/>
                <w:highlight w:val="none"/>
                <w:lang w:val="en-US" w:eastAsia="zh-CN"/>
              </w:rPr>
              <w:t>；</w:t>
            </w:r>
            <w:r>
              <w:rPr>
                <w:rFonts w:hint="default" w:ascii="Times New Roman" w:hAnsi="Times New Roman" w:eastAsia="宋体" w:cs="Times New Roman"/>
                <w:sz w:val="21"/>
                <w:highlight w:val="none"/>
                <w:lang w:eastAsia="zh-CN"/>
              </w:rPr>
              <w:t>风压9500Pa</w:t>
            </w:r>
          </w:p>
        </w:tc>
        <w:tc>
          <w:tcPr>
            <w:tcW w:w="453" w:type="pct"/>
            <w:tcBorders>
              <w:tl2br w:val="nil"/>
              <w:tr2bl w:val="nil"/>
            </w:tcBorders>
            <w:noWrap w:val="0"/>
            <w:vAlign w:val="center"/>
          </w:tcPr>
          <w:p w14:paraId="60197F7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2</w:t>
            </w:r>
          </w:p>
        </w:tc>
      </w:tr>
      <w:tr w14:paraId="252C7D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vMerge w:val="continue"/>
            <w:tcBorders>
              <w:tl2br w:val="nil"/>
              <w:tr2bl w:val="nil"/>
            </w:tcBorders>
            <w:noWrap w:val="0"/>
            <w:vAlign w:val="center"/>
          </w:tcPr>
          <w:p w14:paraId="748E1DF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0B38231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电收尘器</w:t>
            </w:r>
          </w:p>
        </w:tc>
        <w:tc>
          <w:tcPr>
            <w:tcW w:w="2343" w:type="pct"/>
            <w:tcBorders>
              <w:tl2br w:val="nil"/>
              <w:tr2bl w:val="nil"/>
            </w:tcBorders>
            <w:noWrap w:val="0"/>
            <w:vAlign w:val="center"/>
          </w:tcPr>
          <w:p w14:paraId="214C35C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BS930</w:t>
            </w:r>
            <w:r>
              <w:rPr>
                <w:rFonts w:hint="default" w:ascii="Times New Roman" w:hAnsi="Times New Roman" w:cs="Times New Roman"/>
                <w:sz w:val="21"/>
                <w:highlight w:val="none"/>
                <w:lang w:eastAsia="zh-CN"/>
              </w:rPr>
              <w:t>；</w:t>
            </w:r>
            <w:r>
              <w:rPr>
                <w:rFonts w:hint="default" w:ascii="Times New Roman" w:hAnsi="Times New Roman" w:eastAsia="宋体" w:cs="Times New Roman"/>
                <w:sz w:val="21"/>
                <w:highlight w:val="none"/>
                <w:lang w:eastAsia="zh-CN"/>
              </w:rPr>
              <w:t>5电场，处理风量650000m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/h，废气排放量4.11×109m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/a</w:t>
            </w:r>
            <w:r>
              <w:rPr>
                <w:rFonts w:hint="default" w:ascii="Times New Roman" w:hAnsi="Times New Roman" w:cs="Times New Roman"/>
                <w:sz w:val="21"/>
                <w:highlight w:val="none"/>
                <w:lang w:eastAsia="zh-CN"/>
              </w:rPr>
              <w:t>；</w:t>
            </w:r>
            <w:r>
              <w:rPr>
                <w:rFonts w:hint="default" w:ascii="Times New Roman" w:hAnsi="Times New Roman" w:eastAsia="宋体" w:cs="Times New Roman"/>
                <w:sz w:val="21"/>
                <w:highlight w:val="none"/>
                <w:lang w:eastAsia="zh-CN"/>
              </w:rPr>
              <w:t>入口含尘量：</w:t>
            </w:r>
            <w:r>
              <w:rPr>
                <w:rFonts w:hint="default" w:ascii="Times New Roman" w:hAnsi="Times New Roman" w:eastAsia="宋体" w:cs="Times New Roman"/>
                <w:sz w:val="21"/>
                <w:highlight w:val="none"/>
                <w:lang w:eastAsia="zh-CN"/>
              </w:rPr>
              <w:sym w:font="Symbol" w:char="F0A3"/>
            </w:r>
            <w:r>
              <w:rPr>
                <w:rFonts w:hint="default" w:ascii="Times New Roman" w:hAnsi="Times New Roman" w:eastAsia="宋体" w:cs="Times New Roman"/>
                <w:sz w:val="21"/>
                <w:highlight w:val="none"/>
                <w:lang w:eastAsia="zh-CN"/>
              </w:rPr>
              <w:t>100g/m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cs="Times New Roman"/>
                <w:sz w:val="21"/>
                <w:highlight w:val="none"/>
                <w:lang w:eastAsia="zh-CN"/>
              </w:rPr>
              <w:t>；</w:t>
            </w:r>
            <w:r>
              <w:rPr>
                <w:rFonts w:hint="default" w:ascii="Times New Roman" w:hAnsi="Times New Roman" w:eastAsia="宋体" w:cs="Times New Roman"/>
                <w:sz w:val="21"/>
                <w:highlight w:val="none"/>
                <w:lang w:eastAsia="zh-CN"/>
              </w:rPr>
              <w:t>出口含尘量：</w:t>
            </w:r>
            <w:r>
              <w:rPr>
                <w:rFonts w:hint="default" w:ascii="Times New Roman" w:hAnsi="Times New Roman" w:eastAsia="宋体" w:cs="Times New Roman"/>
                <w:sz w:val="21"/>
                <w:highlight w:val="none"/>
                <w:lang w:eastAsia="zh-CN"/>
              </w:rPr>
              <w:sym w:font="Symbol" w:char="F0A3"/>
            </w:r>
            <w:r>
              <w:rPr>
                <w:rFonts w:hint="default" w:ascii="Times New Roman" w:hAnsi="Times New Roman" w:eastAsia="宋体" w:cs="Times New Roman"/>
                <w:sz w:val="21"/>
                <w:highlight w:val="none"/>
                <w:lang w:eastAsia="zh-CN"/>
              </w:rPr>
              <w:t>50mg/m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。窑尾烟囱高105m。</w:t>
            </w:r>
          </w:p>
        </w:tc>
        <w:tc>
          <w:tcPr>
            <w:tcW w:w="453" w:type="pct"/>
            <w:tcBorders>
              <w:tl2br w:val="nil"/>
              <w:tr2bl w:val="nil"/>
            </w:tcBorders>
            <w:noWrap w:val="0"/>
            <w:vAlign w:val="center"/>
          </w:tcPr>
          <w:p w14:paraId="69107A0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2</w:t>
            </w:r>
          </w:p>
        </w:tc>
      </w:tr>
      <w:tr w14:paraId="42A5574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vMerge w:val="continue"/>
            <w:tcBorders>
              <w:tl2br w:val="nil"/>
              <w:tr2bl w:val="nil"/>
            </w:tcBorders>
            <w:noWrap w:val="0"/>
            <w:vAlign w:val="center"/>
          </w:tcPr>
          <w:p w14:paraId="7E1D004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00A115C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GB" w:eastAsia="zh-CN"/>
              </w:rPr>
              <w:t>排</w:t>
            </w:r>
            <w:r>
              <w:rPr>
                <w:rFonts w:hint="default" w:ascii="Times New Roman" w:hAnsi="Times New Roman" w:eastAsia="宋体" w:cs="Times New Roman"/>
                <w:sz w:val="21"/>
                <w:highlight w:val="none"/>
                <w:lang w:eastAsia="zh-CN"/>
              </w:rPr>
              <w:t>风机</w:t>
            </w:r>
          </w:p>
        </w:tc>
        <w:tc>
          <w:tcPr>
            <w:tcW w:w="2343" w:type="pct"/>
            <w:tcBorders>
              <w:tl2br w:val="nil"/>
              <w:tr2bl w:val="nil"/>
            </w:tcBorders>
            <w:noWrap w:val="0"/>
            <w:vAlign w:val="center"/>
          </w:tcPr>
          <w:p w14:paraId="6178CE7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风量：680000m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w:t>
            </w:r>
            <w:r>
              <w:rPr>
                <w:rFonts w:hint="default" w:ascii="Times New Roman" w:hAnsi="Times New Roman" w:cs="Times New Roman"/>
                <w:sz w:val="21"/>
                <w:highlight w:val="none"/>
                <w:lang w:eastAsia="zh-CN"/>
              </w:rPr>
              <w:t>；</w:t>
            </w:r>
            <w:r>
              <w:rPr>
                <w:rFonts w:hint="default" w:ascii="Times New Roman" w:hAnsi="Times New Roman" w:eastAsia="宋体" w:cs="Times New Roman"/>
                <w:sz w:val="21"/>
                <w:highlight w:val="none"/>
                <w:lang w:eastAsia="zh-CN"/>
              </w:rPr>
              <w:t>风压：2000Pa</w:t>
            </w:r>
          </w:p>
        </w:tc>
        <w:tc>
          <w:tcPr>
            <w:tcW w:w="453" w:type="pct"/>
            <w:tcBorders>
              <w:tl2br w:val="nil"/>
              <w:tr2bl w:val="nil"/>
            </w:tcBorders>
            <w:noWrap w:val="0"/>
            <w:vAlign w:val="center"/>
          </w:tcPr>
          <w:p w14:paraId="587E551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2</w:t>
            </w:r>
          </w:p>
        </w:tc>
      </w:tr>
      <w:tr w14:paraId="0E04A9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vMerge w:val="restart"/>
            <w:tcBorders>
              <w:tl2br w:val="nil"/>
              <w:tr2bl w:val="nil"/>
            </w:tcBorders>
            <w:noWrap w:val="0"/>
            <w:vAlign w:val="center"/>
          </w:tcPr>
          <w:p w14:paraId="06E97B9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窑头及熟料冷却</w:t>
            </w:r>
          </w:p>
          <w:p w14:paraId="7AAF3EB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废气处理</w:t>
            </w:r>
          </w:p>
        </w:tc>
        <w:tc>
          <w:tcPr>
            <w:tcW w:w="1148" w:type="pct"/>
            <w:tcBorders>
              <w:tl2br w:val="nil"/>
              <w:tr2bl w:val="nil"/>
            </w:tcBorders>
            <w:noWrap w:val="0"/>
            <w:vAlign w:val="center"/>
          </w:tcPr>
          <w:p w14:paraId="380CE3A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篦式冷却机</w:t>
            </w:r>
          </w:p>
        </w:tc>
        <w:tc>
          <w:tcPr>
            <w:tcW w:w="2343" w:type="pct"/>
            <w:tcBorders>
              <w:tl2br w:val="nil"/>
              <w:tr2bl w:val="nil"/>
            </w:tcBorders>
            <w:noWrap w:val="0"/>
            <w:vAlign w:val="center"/>
          </w:tcPr>
          <w:p w14:paraId="4D8B867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pt-BR" w:eastAsia="zh-CN"/>
              </w:rPr>
            </w:pPr>
            <w:r>
              <w:rPr>
                <w:rFonts w:hint="default" w:ascii="Times New Roman" w:hAnsi="Times New Roman" w:eastAsia="宋体" w:cs="Times New Roman"/>
                <w:sz w:val="21"/>
                <w:highlight w:val="none"/>
                <w:lang w:eastAsia="zh-CN"/>
              </w:rPr>
              <w:t>篦冷机</w:t>
            </w:r>
            <w:r>
              <w:rPr>
                <w:rFonts w:hint="default" w:ascii="Times New Roman" w:hAnsi="Times New Roman" w:eastAsia="宋体" w:cs="Times New Roman"/>
                <w:sz w:val="21"/>
                <w:highlight w:val="none"/>
                <w:lang w:val="pt-BR" w:eastAsia="zh-CN"/>
              </w:rPr>
              <w:t>SCH314R</w:t>
            </w:r>
            <w:r>
              <w:rPr>
                <w:rFonts w:hint="default" w:ascii="Times New Roman" w:hAnsi="Times New Roman" w:cs="Times New Roman"/>
                <w:sz w:val="21"/>
                <w:highlight w:val="none"/>
                <w:lang w:val="pt-BR" w:eastAsia="zh-CN"/>
              </w:rPr>
              <w:t>；</w:t>
            </w:r>
            <w:r>
              <w:rPr>
                <w:rFonts w:hint="default" w:ascii="Times New Roman" w:hAnsi="Times New Roman" w:eastAsia="宋体" w:cs="Times New Roman"/>
                <w:sz w:val="21"/>
                <w:highlight w:val="none"/>
                <w:lang w:eastAsia="zh-CN"/>
              </w:rPr>
              <w:t>篦床面</w:t>
            </w:r>
            <w:r>
              <w:rPr>
                <w:rFonts w:hint="default" w:ascii="Times New Roman" w:hAnsi="Times New Roman" w:eastAsia="宋体" w:cs="Times New Roman"/>
                <w:sz w:val="21"/>
                <w:highlight w:val="none"/>
                <w:lang w:val="pt-BR" w:eastAsia="zh-CN"/>
              </w:rPr>
              <w:t>71.2m2</w:t>
            </w:r>
          </w:p>
        </w:tc>
        <w:tc>
          <w:tcPr>
            <w:tcW w:w="453" w:type="pct"/>
            <w:tcBorders>
              <w:tl2br w:val="nil"/>
              <w:tr2bl w:val="nil"/>
            </w:tcBorders>
            <w:noWrap w:val="0"/>
            <w:vAlign w:val="center"/>
          </w:tcPr>
          <w:p w14:paraId="0EA80C2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1</w:t>
            </w:r>
          </w:p>
        </w:tc>
      </w:tr>
      <w:tr w14:paraId="16C8635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171" w:hRule="atLeast"/>
          <w:jc w:val="center"/>
        </w:trPr>
        <w:tc>
          <w:tcPr>
            <w:tcW w:w="1055" w:type="pct"/>
            <w:vMerge w:val="continue"/>
            <w:tcBorders>
              <w:tl2br w:val="nil"/>
              <w:tr2bl w:val="nil"/>
            </w:tcBorders>
            <w:noWrap w:val="0"/>
            <w:vAlign w:val="center"/>
          </w:tcPr>
          <w:p w14:paraId="099FA4C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3F2492F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多通道喷煤管</w:t>
            </w:r>
          </w:p>
        </w:tc>
        <w:tc>
          <w:tcPr>
            <w:tcW w:w="2343" w:type="pct"/>
            <w:tcBorders>
              <w:tl2br w:val="nil"/>
              <w:tr2bl w:val="nil"/>
            </w:tcBorders>
            <w:noWrap w:val="0"/>
            <w:vAlign w:val="center"/>
          </w:tcPr>
          <w:p w14:paraId="0CDAD40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1-15t/h</w:t>
            </w:r>
          </w:p>
        </w:tc>
        <w:tc>
          <w:tcPr>
            <w:tcW w:w="453" w:type="pct"/>
            <w:tcBorders>
              <w:tl2br w:val="nil"/>
              <w:tr2bl w:val="nil"/>
            </w:tcBorders>
            <w:noWrap w:val="0"/>
            <w:vAlign w:val="center"/>
          </w:tcPr>
          <w:p w14:paraId="37F17AF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1</w:t>
            </w:r>
          </w:p>
        </w:tc>
      </w:tr>
      <w:tr w14:paraId="1D684F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31" w:hRule="atLeast"/>
          <w:jc w:val="center"/>
        </w:trPr>
        <w:tc>
          <w:tcPr>
            <w:tcW w:w="1055" w:type="pct"/>
            <w:vMerge w:val="continue"/>
            <w:tcBorders>
              <w:tl2br w:val="nil"/>
              <w:tr2bl w:val="nil"/>
            </w:tcBorders>
            <w:noWrap w:val="0"/>
            <w:vAlign w:val="center"/>
          </w:tcPr>
          <w:p w14:paraId="096E56E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07CED79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高温脉冲袋收尘器</w:t>
            </w:r>
          </w:p>
        </w:tc>
        <w:tc>
          <w:tcPr>
            <w:tcW w:w="2343" w:type="pct"/>
            <w:tcBorders>
              <w:tl2br w:val="nil"/>
              <w:tr2bl w:val="nil"/>
            </w:tcBorders>
            <w:noWrap w:val="0"/>
            <w:vAlign w:val="center"/>
          </w:tcPr>
          <w:p w14:paraId="2022C18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型号：PPC128-2</w:t>
            </w:r>
            <w:r>
              <w:rPr>
                <w:rFonts w:hint="default" w:ascii="Times New Roman" w:hAnsi="Times New Roman" w:cs="Times New Roman"/>
                <w:sz w:val="21"/>
                <w:highlight w:val="none"/>
                <w:lang w:eastAsia="zh-CN"/>
              </w:rPr>
              <w:t>；</w:t>
            </w:r>
            <w:r>
              <w:rPr>
                <w:rFonts w:hint="default" w:ascii="Times New Roman" w:hAnsi="Times New Roman" w:eastAsia="宋体" w:cs="Times New Roman"/>
                <w:sz w:val="21"/>
                <w:highlight w:val="none"/>
                <w:lang w:eastAsia="zh-CN"/>
              </w:rPr>
              <w:t>处理风量：380000m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w:t>
            </w:r>
            <w:r>
              <w:rPr>
                <w:rFonts w:hint="default" w:ascii="Times New Roman" w:hAnsi="Times New Roman" w:cs="Times New Roman"/>
                <w:sz w:val="21"/>
                <w:highlight w:val="none"/>
                <w:lang w:eastAsia="zh-CN"/>
              </w:rPr>
              <w:t>；</w:t>
            </w:r>
            <w:r>
              <w:rPr>
                <w:rFonts w:hint="default" w:ascii="Times New Roman" w:hAnsi="Times New Roman" w:eastAsia="宋体" w:cs="Times New Roman"/>
                <w:sz w:val="21"/>
                <w:highlight w:val="none"/>
                <w:lang w:eastAsia="zh-CN"/>
              </w:rPr>
              <w:t>进口含尘量：</w:t>
            </w:r>
            <w:r>
              <w:rPr>
                <w:rFonts w:hint="default" w:ascii="Times New Roman" w:hAnsi="Times New Roman" w:eastAsia="宋体" w:cs="Times New Roman"/>
                <w:sz w:val="21"/>
                <w:highlight w:val="none"/>
                <w:lang w:eastAsia="zh-CN"/>
              </w:rPr>
              <w:sym w:font="Symbol" w:char="F0A3"/>
            </w:r>
            <w:r>
              <w:rPr>
                <w:rFonts w:hint="default" w:ascii="Times New Roman" w:hAnsi="Times New Roman" w:eastAsia="宋体" w:cs="Times New Roman"/>
                <w:sz w:val="21"/>
                <w:highlight w:val="none"/>
                <w:lang w:eastAsia="zh-CN"/>
              </w:rPr>
              <w:t>30g/Nm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cs="Times New Roman"/>
                <w:sz w:val="21"/>
                <w:highlight w:val="none"/>
                <w:vertAlign w:val="baseline"/>
                <w:lang w:eastAsia="zh-CN"/>
              </w:rPr>
              <w:t>；</w:t>
            </w:r>
            <w:r>
              <w:rPr>
                <w:rFonts w:hint="default" w:ascii="Times New Roman" w:hAnsi="Times New Roman" w:eastAsia="宋体" w:cs="Times New Roman"/>
                <w:sz w:val="21"/>
                <w:highlight w:val="none"/>
                <w:lang w:eastAsia="zh-CN"/>
              </w:rPr>
              <w:t>出口含尘量：</w:t>
            </w:r>
            <w:r>
              <w:rPr>
                <w:rFonts w:hint="default" w:ascii="Times New Roman" w:hAnsi="Times New Roman" w:eastAsia="宋体" w:cs="Times New Roman"/>
                <w:sz w:val="21"/>
                <w:highlight w:val="none"/>
                <w:lang w:eastAsia="zh-CN"/>
              </w:rPr>
              <w:sym w:font="Symbol" w:char="F0A3"/>
            </w:r>
            <w:r>
              <w:rPr>
                <w:rFonts w:hint="default" w:ascii="Times New Roman" w:hAnsi="Times New Roman" w:eastAsia="宋体" w:cs="Times New Roman"/>
                <w:sz w:val="21"/>
                <w:highlight w:val="none"/>
                <w:lang w:eastAsia="zh-CN"/>
              </w:rPr>
              <w:t>50mg/ Nm</w:t>
            </w:r>
            <w:r>
              <w:rPr>
                <w:rFonts w:hint="default" w:ascii="Times New Roman" w:hAnsi="Times New Roman" w:eastAsia="宋体" w:cs="Times New Roman"/>
                <w:sz w:val="21"/>
                <w:highlight w:val="none"/>
                <w:vertAlign w:val="superscript"/>
                <w:lang w:eastAsia="zh-CN"/>
              </w:rPr>
              <w:t>3</w:t>
            </w:r>
          </w:p>
        </w:tc>
        <w:tc>
          <w:tcPr>
            <w:tcW w:w="453" w:type="pct"/>
            <w:tcBorders>
              <w:tl2br w:val="nil"/>
              <w:tr2bl w:val="nil"/>
            </w:tcBorders>
            <w:noWrap w:val="0"/>
            <w:vAlign w:val="center"/>
          </w:tcPr>
          <w:p w14:paraId="049F440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1</w:t>
            </w:r>
          </w:p>
        </w:tc>
      </w:tr>
      <w:tr w14:paraId="27F79B8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31" w:hRule="atLeast"/>
          <w:jc w:val="center"/>
        </w:trPr>
        <w:tc>
          <w:tcPr>
            <w:tcW w:w="1055" w:type="pct"/>
            <w:vMerge w:val="continue"/>
            <w:tcBorders>
              <w:tl2br w:val="nil"/>
              <w:tr2bl w:val="nil"/>
            </w:tcBorders>
            <w:noWrap w:val="0"/>
            <w:vAlign w:val="center"/>
          </w:tcPr>
          <w:p w14:paraId="56E7A40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28A7DFA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废气排风机</w:t>
            </w:r>
          </w:p>
        </w:tc>
        <w:tc>
          <w:tcPr>
            <w:tcW w:w="2343" w:type="pct"/>
            <w:tcBorders>
              <w:tl2br w:val="nil"/>
              <w:tr2bl w:val="nil"/>
            </w:tcBorders>
            <w:noWrap w:val="0"/>
            <w:vAlign w:val="center"/>
          </w:tcPr>
          <w:p w14:paraId="0D9DFFB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风量：420000 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/h；压力：3400Pa</w:t>
            </w:r>
          </w:p>
        </w:tc>
        <w:tc>
          <w:tcPr>
            <w:tcW w:w="453" w:type="pct"/>
            <w:tcBorders>
              <w:tl2br w:val="nil"/>
              <w:tr2bl w:val="nil"/>
            </w:tcBorders>
            <w:noWrap w:val="0"/>
            <w:vAlign w:val="center"/>
          </w:tcPr>
          <w:p w14:paraId="1A584E2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1</w:t>
            </w:r>
          </w:p>
        </w:tc>
      </w:tr>
      <w:tr w14:paraId="4B72AFB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67" w:hRule="atLeast"/>
          <w:jc w:val="center"/>
        </w:trPr>
        <w:tc>
          <w:tcPr>
            <w:tcW w:w="1055" w:type="pct"/>
            <w:vMerge w:val="restart"/>
            <w:tcBorders>
              <w:tl2br w:val="nil"/>
              <w:tr2bl w:val="nil"/>
            </w:tcBorders>
            <w:noWrap w:val="0"/>
            <w:vAlign w:val="center"/>
          </w:tcPr>
          <w:p w14:paraId="46C3A6E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煤粉制备</w:t>
            </w:r>
          </w:p>
        </w:tc>
        <w:tc>
          <w:tcPr>
            <w:tcW w:w="1148" w:type="pct"/>
            <w:tcBorders>
              <w:tl2br w:val="nil"/>
              <w:tr2bl w:val="nil"/>
            </w:tcBorders>
            <w:noWrap w:val="0"/>
            <w:vAlign w:val="center"/>
          </w:tcPr>
          <w:p w14:paraId="00F7F2B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立磨</w:t>
            </w:r>
          </w:p>
          <w:p w14:paraId="57C7AAC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φ3.2×8.5m</w:t>
            </w:r>
          </w:p>
        </w:tc>
        <w:tc>
          <w:tcPr>
            <w:tcW w:w="2343" w:type="pct"/>
            <w:tcBorders>
              <w:tl2br w:val="nil"/>
              <w:tr2bl w:val="nil"/>
            </w:tcBorders>
            <w:noWrap w:val="0"/>
            <w:vAlign w:val="center"/>
          </w:tcPr>
          <w:p w14:paraId="1AB7FD3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de-DE" w:eastAsia="zh-CN"/>
              </w:rPr>
              <w:t>型号：ZGM80G25t/h；</w:t>
            </w:r>
            <w:r>
              <w:rPr>
                <w:rFonts w:hint="default" w:ascii="Times New Roman" w:hAnsi="Times New Roman" w:eastAsia="宋体" w:cs="Times New Roman"/>
                <w:sz w:val="21"/>
                <w:highlight w:val="none"/>
                <w:lang w:eastAsia="zh-CN"/>
              </w:rPr>
              <w:t>入磨粒度</w:t>
            </w:r>
            <w:r>
              <w:rPr>
                <w:rFonts w:hint="default" w:ascii="Times New Roman" w:hAnsi="Times New Roman" w:eastAsia="宋体" w:cs="Times New Roman"/>
                <w:sz w:val="21"/>
                <w:highlight w:val="none"/>
                <w:lang w:val="de-DE" w:eastAsia="zh-CN"/>
              </w:rPr>
              <w:t>：&lt;40mm</w:t>
            </w:r>
            <w:r>
              <w:rPr>
                <w:rFonts w:hint="default" w:ascii="Times New Roman" w:hAnsi="Times New Roman" w:eastAsia="宋体" w:cs="Times New Roman"/>
                <w:sz w:val="21"/>
                <w:highlight w:val="none"/>
                <w:lang w:eastAsia="zh-CN"/>
              </w:rPr>
              <w:t>出磨粒度：80</w:t>
            </w:r>
            <w:r>
              <w:rPr>
                <w:rFonts w:hint="default" w:ascii="Times New Roman" w:hAnsi="Times New Roman" w:eastAsia="宋体" w:cs="Times New Roman"/>
                <w:sz w:val="21"/>
                <w:highlight w:val="none"/>
                <w:lang w:eastAsia="zh-CN"/>
              </w:rPr>
              <w:sym w:font="Symbol" w:char="F06D"/>
            </w:r>
            <w:r>
              <w:rPr>
                <w:rFonts w:hint="default" w:ascii="Times New Roman" w:hAnsi="Times New Roman" w:eastAsia="宋体" w:cs="Times New Roman"/>
                <w:sz w:val="21"/>
                <w:highlight w:val="none"/>
                <w:lang w:eastAsia="zh-CN"/>
              </w:rPr>
              <w:t>m；筛余：5-6%</w:t>
            </w:r>
          </w:p>
        </w:tc>
        <w:tc>
          <w:tcPr>
            <w:tcW w:w="453" w:type="pct"/>
            <w:tcBorders>
              <w:tl2br w:val="nil"/>
              <w:tr2bl w:val="nil"/>
            </w:tcBorders>
            <w:noWrap w:val="0"/>
            <w:vAlign w:val="center"/>
          </w:tcPr>
          <w:p w14:paraId="10AA335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1</w:t>
            </w:r>
          </w:p>
        </w:tc>
      </w:tr>
      <w:tr w14:paraId="40DA8A4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859" w:hRule="atLeast"/>
          <w:jc w:val="center"/>
        </w:trPr>
        <w:tc>
          <w:tcPr>
            <w:tcW w:w="1055" w:type="pct"/>
            <w:vMerge w:val="continue"/>
            <w:tcBorders>
              <w:tl2br w:val="nil"/>
              <w:tr2bl w:val="nil"/>
            </w:tcBorders>
            <w:noWrap w:val="0"/>
            <w:vAlign w:val="center"/>
          </w:tcPr>
          <w:p w14:paraId="2E3B7EC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5725F64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防暴气箱脉冲袋式收尘器</w:t>
            </w:r>
          </w:p>
        </w:tc>
        <w:tc>
          <w:tcPr>
            <w:tcW w:w="2343" w:type="pct"/>
            <w:tcBorders>
              <w:tl2br w:val="nil"/>
              <w:tr2bl w:val="nil"/>
            </w:tcBorders>
            <w:noWrap w:val="0"/>
            <w:vAlign w:val="center"/>
          </w:tcPr>
          <w:p w14:paraId="06ADC76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型号：PPCS96-2×8处理风量：75000m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/h；进口含尘量：</w:t>
            </w:r>
            <w:r>
              <w:rPr>
                <w:rFonts w:hint="default" w:ascii="Times New Roman" w:hAnsi="Times New Roman" w:eastAsia="宋体" w:cs="Times New Roman"/>
                <w:sz w:val="21"/>
                <w:highlight w:val="none"/>
                <w:lang w:eastAsia="zh-CN"/>
              </w:rPr>
              <w:sym w:font="Symbol" w:char="F03C"/>
            </w:r>
            <w:r>
              <w:rPr>
                <w:rFonts w:hint="default" w:ascii="Times New Roman" w:hAnsi="Times New Roman" w:eastAsia="宋体" w:cs="Times New Roman"/>
                <w:sz w:val="21"/>
                <w:highlight w:val="none"/>
                <w:lang w:eastAsia="zh-CN"/>
              </w:rPr>
              <w:t>1000g/Nm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cs="Times New Roman"/>
                <w:sz w:val="21"/>
                <w:highlight w:val="none"/>
                <w:lang w:eastAsia="zh-CN"/>
              </w:rPr>
              <w:t>；</w:t>
            </w:r>
            <w:r>
              <w:rPr>
                <w:rFonts w:hint="default" w:ascii="Times New Roman" w:hAnsi="Times New Roman" w:eastAsia="宋体" w:cs="Times New Roman"/>
                <w:sz w:val="21"/>
                <w:highlight w:val="none"/>
                <w:lang w:eastAsia="zh-CN"/>
              </w:rPr>
              <w:t>出口含尘量：</w:t>
            </w:r>
            <w:r>
              <w:rPr>
                <w:rFonts w:hint="default" w:ascii="Times New Roman" w:hAnsi="Times New Roman" w:eastAsia="宋体" w:cs="Times New Roman"/>
                <w:sz w:val="21"/>
                <w:highlight w:val="none"/>
                <w:lang w:eastAsia="zh-CN"/>
              </w:rPr>
              <w:sym w:font="Symbol" w:char="F0A3"/>
            </w:r>
            <w:r>
              <w:rPr>
                <w:rFonts w:hint="default" w:ascii="Times New Roman" w:hAnsi="Times New Roman" w:eastAsia="宋体" w:cs="Times New Roman"/>
                <w:sz w:val="21"/>
                <w:highlight w:val="none"/>
                <w:lang w:eastAsia="zh-CN"/>
              </w:rPr>
              <w:t>50mg/Nm</w:t>
            </w:r>
            <w:r>
              <w:rPr>
                <w:rFonts w:hint="default" w:ascii="Times New Roman" w:hAnsi="Times New Roman" w:eastAsia="宋体" w:cs="Times New Roman"/>
                <w:sz w:val="21"/>
                <w:highlight w:val="none"/>
                <w:vertAlign w:val="superscript"/>
                <w:lang w:eastAsia="zh-CN"/>
              </w:rPr>
              <w:t>3</w:t>
            </w:r>
          </w:p>
        </w:tc>
        <w:tc>
          <w:tcPr>
            <w:tcW w:w="453" w:type="pct"/>
            <w:tcBorders>
              <w:tl2br w:val="nil"/>
              <w:tr2bl w:val="nil"/>
            </w:tcBorders>
            <w:noWrap w:val="0"/>
            <w:vAlign w:val="center"/>
          </w:tcPr>
          <w:p w14:paraId="0144766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1</w:t>
            </w:r>
          </w:p>
        </w:tc>
      </w:tr>
      <w:tr w14:paraId="540E01E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78" w:hRule="atLeast"/>
          <w:jc w:val="center"/>
        </w:trPr>
        <w:tc>
          <w:tcPr>
            <w:tcW w:w="1055" w:type="pct"/>
            <w:vMerge w:val="continue"/>
            <w:tcBorders>
              <w:tl2br w:val="nil"/>
              <w:tr2bl w:val="nil"/>
            </w:tcBorders>
            <w:noWrap w:val="0"/>
            <w:vAlign w:val="center"/>
          </w:tcPr>
          <w:p w14:paraId="196A0D2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15AE698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排风机</w:t>
            </w:r>
          </w:p>
        </w:tc>
        <w:tc>
          <w:tcPr>
            <w:tcW w:w="2343" w:type="pct"/>
            <w:tcBorders>
              <w:tl2br w:val="nil"/>
              <w:tr2bl w:val="nil"/>
            </w:tcBorders>
            <w:noWrap w:val="0"/>
            <w:vAlign w:val="center"/>
          </w:tcPr>
          <w:p w14:paraId="3B45B4C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风量：85000 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w:t>
            </w:r>
            <w:r>
              <w:rPr>
                <w:rFonts w:hint="default" w:ascii="Times New Roman" w:hAnsi="Times New Roman" w:cs="Times New Roman"/>
                <w:sz w:val="21"/>
                <w:highlight w:val="none"/>
                <w:lang w:eastAsia="zh-CN"/>
              </w:rPr>
              <w:t>；</w:t>
            </w:r>
            <w:r>
              <w:rPr>
                <w:rFonts w:hint="default" w:ascii="Times New Roman" w:hAnsi="Times New Roman" w:eastAsia="宋体" w:cs="Times New Roman"/>
                <w:sz w:val="21"/>
                <w:highlight w:val="none"/>
                <w:lang w:eastAsia="zh-CN"/>
              </w:rPr>
              <w:t>压力：11000Pa</w:t>
            </w:r>
          </w:p>
        </w:tc>
        <w:tc>
          <w:tcPr>
            <w:tcW w:w="453" w:type="pct"/>
            <w:tcBorders>
              <w:tl2br w:val="nil"/>
              <w:tr2bl w:val="nil"/>
            </w:tcBorders>
            <w:noWrap w:val="0"/>
            <w:vAlign w:val="center"/>
          </w:tcPr>
          <w:p w14:paraId="0CBE022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1</w:t>
            </w:r>
          </w:p>
        </w:tc>
      </w:tr>
      <w:tr w14:paraId="1C82931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5" w:hRule="atLeast"/>
          <w:jc w:val="center"/>
        </w:trPr>
        <w:tc>
          <w:tcPr>
            <w:tcW w:w="1055" w:type="pct"/>
            <w:vMerge w:val="restart"/>
            <w:tcBorders>
              <w:tl2br w:val="nil"/>
              <w:tr2bl w:val="nil"/>
            </w:tcBorders>
            <w:noWrap w:val="0"/>
            <w:vAlign w:val="center"/>
          </w:tcPr>
          <w:p w14:paraId="5AD54C7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水泥粉磨</w:t>
            </w:r>
          </w:p>
        </w:tc>
        <w:tc>
          <w:tcPr>
            <w:tcW w:w="1148" w:type="pct"/>
            <w:tcBorders>
              <w:tl2br w:val="nil"/>
              <w:tr2bl w:val="nil"/>
            </w:tcBorders>
            <w:noWrap w:val="0"/>
            <w:vAlign w:val="center"/>
          </w:tcPr>
          <w:p w14:paraId="0A18633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水泥磨</w:t>
            </w:r>
          </w:p>
        </w:tc>
        <w:tc>
          <w:tcPr>
            <w:tcW w:w="2343" w:type="pct"/>
            <w:tcBorders>
              <w:tl2br w:val="nil"/>
              <w:tr2bl w:val="nil"/>
            </w:tcBorders>
            <w:noWrap w:val="0"/>
            <w:vAlign w:val="center"/>
          </w:tcPr>
          <w:p w14:paraId="2C9CA41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Φ4.2×13m</w:t>
            </w:r>
          </w:p>
        </w:tc>
        <w:tc>
          <w:tcPr>
            <w:tcW w:w="453" w:type="pct"/>
            <w:vMerge w:val="restart"/>
            <w:tcBorders>
              <w:tl2br w:val="nil"/>
              <w:tr2bl w:val="nil"/>
            </w:tcBorders>
            <w:noWrap w:val="0"/>
            <w:vAlign w:val="center"/>
          </w:tcPr>
          <w:p w14:paraId="3EAF67D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1</w:t>
            </w:r>
          </w:p>
        </w:tc>
      </w:tr>
      <w:tr w14:paraId="7200021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5" w:hRule="atLeast"/>
          <w:jc w:val="center"/>
        </w:trPr>
        <w:tc>
          <w:tcPr>
            <w:tcW w:w="1055" w:type="pct"/>
            <w:vMerge w:val="continue"/>
            <w:tcBorders>
              <w:tl2br w:val="nil"/>
              <w:tr2bl w:val="nil"/>
            </w:tcBorders>
            <w:noWrap w:val="0"/>
            <w:vAlign w:val="center"/>
          </w:tcPr>
          <w:p w14:paraId="012AAC6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04C19D6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辊压机</w:t>
            </w:r>
          </w:p>
        </w:tc>
        <w:tc>
          <w:tcPr>
            <w:tcW w:w="2343" w:type="pct"/>
            <w:tcBorders>
              <w:tl2br w:val="nil"/>
              <w:tr2bl w:val="nil"/>
            </w:tcBorders>
            <w:noWrap w:val="0"/>
            <w:vAlign w:val="center"/>
          </w:tcPr>
          <w:p w14:paraId="5D882AD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Φ180×120cm</w:t>
            </w:r>
          </w:p>
        </w:tc>
        <w:tc>
          <w:tcPr>
            <w:tcW w:w="453" w:type="pct"/>
            <w:vMerge w:val="continue"/>
            <w:tcBorders>
              <w:tl2br w:val="nil"/>
              <w:tr2bl w:val="nil"/>
            </w:tcBorders>
            <w:noWrap w:val="0"/>
            <w:vAlign w:val="center"/>
          </w:tcPr>
          <w:p w14:paraId="19DACDA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r>
      <w:tr w14:paraId="4A4C6F2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5" w:hRule="atLeast"/>
          <w:jc w:val="center"/>
        </w:trPr>
        <w:tc>
          <w:tcPr>
            <w:tcW w:w="1055" w:type="pct"/>
            <w:vMerge w:val="continue"/>
            <w:tcBorders>
              <w:tl2br w:val="nil"/>
              <w:tr2bl w:val="nil"/>
            </w:tcBorders>
            <w:noWrap w:val="0"/>
            <w:vAlign w:val="center"/>
          </w:tcPr>
          <w:p w14:paraId="6A67D39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201C533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选粉机</w:t>
            </w:r>
          </w:p>
        </w:tc>
        <w:tc>
          <w:tcPr>
            <w:tcW w:w="2343" w:type="pct"/>
            <w:tcBorders>
              <w:tl2br w:val="nil"/>
              <w:tr2bl w:val="nil"/>
            </w:tcBorders>
            <w:noWrap w:val="0"/>
            <w:vAlign w:val="center"/>
          </w:tcPr>
          <w:p w14:paraId="6BA98EE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0-Sepa4500</w:t>
            </w:r>
          </w:p>
        </w:tc>
        <w:tc>
          <w:tcPr>
            <w:tcW w:w="453" w:type="pct"/>
            <w:vMerge w:val="continue"/>
            <w:tcBorders>
              <w:tl2br w:val="nil"/>
              <w:tr2bl w:val="nil"/>
            </w:tcBorders>
            <w:noWrap w:val="0"/>
            <w:vAlign w:val="center"/>
          </w:tcPr>
          <w:p w14:paraId="58AABAF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r>
      <w:tr w14:paraId="2F00D2E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298" w:hRule="atLeast"/>
          <w:jc w:val="center"/>
        </w:trPr>
        <w:tc>
          <w:tcPr>
            <w:tcW w:w="1055" w:type="pct"/>
            <w:vMerge w:val="continue"/>
            <w:tcBorders>
              <w:tl2br w:val="nil"/>
              <w:tr2bl w:val="nil"/>
            </w:tcBorders>
            <w:noWrap w:val="0"/>
            <w:vAlign w:val="center"/>
          </w:tcPr>
          <w:p w14:paraId="64D072B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3962C9C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气箱脉冲袋收尘器</w:t>
            </w:r>
          </w:p>
        </w:tc>
        <w:tc>
          <w:tcPr>
            <w:tcW w:w="2343" w:type="pct"/>
            <w:tcBorders>
              <w:tl2br w:val="nil"/>
              <w:tr2bl w:val="nil"/>
            </w:tcBorders>
            <w:noWrap w:val="0"/>
            <w:vAlign w:val="center"/>
          </w:tcPr>
          <w:p w14:paraId="153BD2B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型号PPCA128-2×13</w:t>
            </w:r>
            <w:r>
              <w:rPr>
                <w:rFonts w:hint="default" w:ascii="Times New Roman" w:hAnsi="Times New Roman" w:cs="Times New Roman"/>
                <w:sz w:val="21"/>
                <w:highlight w:val="none"/>
                <w:lang w:eastAsia="zh-CN"/>
              </w:rPr>
              <w:t>；</w:t>
            </w:r>
            <w:r>
              <w:rPr>
                <w:rFonts w:hint="default" w:ascii="Times New Roman" w:hAnsi="Times New Roman" w:eastAsia="宋体" w:cs="Times New Roman"/>
                <w:sz w:val="21"/>
                <w:highlight w:val="none"/>
                <w:lang w:eastAsia="zh-CN"/>
              </w:rPr>
              <w:t>处理风量：250000 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w:t>
            </w:r>
          </w:p>
        </w:tc>
        <w:tc>
          <w:tcPr>
            <w:tcW w:w="453" w:type="pct"/>
            <w:vMerge w:val="continue"/>
            <w:tcBorders>
              <w:tl2br w:val="nil"/>
              <w:tr2bl w:val="nil"/>
            </w:tcBorders>
            <w:noWrap w:val="0"/>
            <w:vAlign w:val="center"/>
          </w:tcPr>
          <w:p w14:paraId="4C235DE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r>
      <w:tr w14:paraId="3D9DD66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5" w:hRule="atLeast"/>
          <w:jc w:val="center"/>
        </w:trPr>
        <w:tc>
          <w:tcPr>
            <w:tcW w:w="1055" w:type="pct"/>
            <w:vMerge w:val="continue"/>
            <w:tcBorders>
              <w:tl2br w:val="nil"/>
              <w:tr2bl w:val="nil"/>
            </w:tcBorders>
            <w:noWrap w:val="0"/>
            <w:vAlign w:val="center"/>
          </w:tcPr>
          <w:p w14:paraId="2D57E7A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091F468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循环风机</w:t>
            </w:r>
          </w:p>
        </w:tc>
        <w:tc>
          <w:tcPr>
            <w:tcW w:w="2343" w:type="pct"/>
            <w:tcBorders>
              <w:tl2br w:val="nil"/>
              <w:tr2bl w:val="nil"/>
            </w:tcBorders>
            <w:noWrap w:val="0"/>
            <w:vAlign w:val="center"/>
          </w:tcPr>
          <w:p w14:paraId="3D2DE81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风量250000 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/h；压力：3500Pa</w:t>
            </w:r>
          </w:p>
        </w:tc>
        <w:tc>
          <w:tcPr>
            <w:tcW w:w="453" w:type="pct"/>
            <w:vMerge w:val="continue"/>
            <w:tcBorders>
              <w:tl2br w:val="nil"/>
              <w:tr2bl w:val="nil"/>
            </w:tcBorders>
            <w:noWrap w:val="0"/>
            <w:vAlign w:val="center"/>
          </w:tcPr>
          <w:p w14:paraId="0E74F81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r>
      <w:tr w14:paraId="3EA6711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65" w:hRule="atLeast"/>
          <w:jc w:val="center"/>
        </w:trPr>
        <w:tc>
          <w:tcPr>
            <w:tcW w:w="1055" w:type="pct"/>
            <w:vMerge w:val="continue"/>
            <w:tcBorders>
              <w:tl2br w:val="nil"/>
              <w:tr2bl w:val="nil"/>
            </w:tcBorders>
            <w:noWrap w:val="0"/>
            <w:vAlign w:val="center"/>
          </w:tcPr>
          <w:p w14:paraId="6105B53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c>
          <w:tcPr>
            <w:tcW w:w="1148" w:type="pct"/>
            <w:tcBorders>
              <w:tl2br w:val="nil"/>
              <w:tr2bl w:val="nil"/>
            </w:tcBorders>
            <w:noWrap w:val="0"/>
            <w:vAlign w:val="center"/>
          </w:tcPr>
          <w:p w14:paraId="0FF6AEC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排风机</w:t>
            </w:r>
          </w:p>
        </w:tc>
        <w:tc>
          <w:tcPr>
            <w:tcW w:w="2343" w:type="pct"/>
            <w:tcBorders>
              <w:tl2br w:val="nil"/>
              <w:tr2bl w:val="nil"/>
            </w:tcBorders>
            <w:noWrap w:val="0"/>
            <w:vAlign w:val="center"/>
          </w:tcPr>
          <w:p w14:paraId="19286DE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风量270000 m</w:t>
            </w:r>
            <w:r>
              <w:rPr>
                <w:rFonts w:hint="default" w:ascii="Times New Roman" w:hAnsi="Times New Roman" w:eastAsia="宋体" w:cs="Times New Roman"/>
                <w:sz w:val="21"/>
                <w:highlight w:val="none"/>
                <w:vertAlign w:val="superscript"/>
                <w:lang w:eastAsia="zh-CN"/>
              </w:rPr>
              <w:t>3</w:t>
            </w:r>
            <w:r>
              <w:rPr>
                <w:rFonts w:hint="default" w:ascii="Times New Roman" w:hAnsi="Times New Roman" w:eastAsia="宋体" w:cs="Times New Roman"/>
                <w:sz w:val="21"/>
                <w:highlight w:val="none"/>
                <w:lang w:eastAsia="zh-CN"/>
              </w:rPr>
              <w:t>/h；压力：5800Pa</w:t>
            </w:r>
          </w:p>
        </w:tc>
        <w:tc>
          <w:tcPr>
            <w:tcW w:w="453" w:type="pct"/>
            <w:vMerge w:val="continue"/>
            <w:tcBorders>
              <w:tl2br w:val="nil"/>
              <w:tr2bl w:val="nil"/>
            </w:tcBorders>
            <w:noWrap w:val="0"/>
            <w:vAlign w:val="center"/>
          </w:tcPr>
          <w:p w14:paraId="0C9FA24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p>
        </w:tc>
      </w:tr>
      <w:tr w14:paraId="7E0A5E4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6" w:hRule="atLeast"/>
          <w:jc w:val="center"/>
        </w:trPr>
        <w:tc>
          <w:tcPr>
            <w:tcW w:w="1055" w:type="pct"/>
            <w:tcBorders>
              <w:tl2br w:val="nil"/>
              <w:tr2bl w:val="nil"/>
            </w:tcBorders>
            <w:noWrap w:val="0"/>
            <w:vAlign w:val="center"/>
          </w:tcPr>
          <w:p w14:paraId="3929BE6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石膏破碎</w:t>
            </w:r>
          </w:p>
        </w:tc>
        <w:tc>
          <w:tcPr>
            <w:tcW w:w="1148" w:type="pct"/>
            <w:tcBorders>
              <w:tl2br w:val="nil"/>
              <w:tr2bl w:val="nil"/>
            </w:tcBorders>
            <w:noWrap w:val="0"/>
            <w:vAlign w:val="center"/>
          </w:tcPr>
          <w:p w14:paraId="31773187">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锤式破碎机</w:t>
            </w:r>
          </w:p>
        </w:tc>
        <w:tc>
          <w:tcPr>
            <w:tcW w:w="2343" w:type="pct"/>
            <w:tcBorders>
              <w:tl2br w:val="nil"/>
              <w:tr2bl w:val="nil"/>
            </w:tcBorders>
            <w:noWrap w:val="0"/>
            <w:vAlign w:val="center"/>
          </w:tcPr>
          <w:p w14:paraId="64A7447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型号PCF1412</w:t>
            </w:r>
          </w:p>
        </w:tc>
        <w:tc>
          <w:tcPr>
            <w:tcW w:w="453" w:type="pct"/>
            <w:tcBorders>
              <w:tl2br w:val="nil"/>
              <w:tr2bl w:val="nil"/>
            </w:tcBorders>
            <w:noWrap w:val="0"/>
            <w:vAlign w:val="center"/>
          </w:tcPr>
          <w:p w14:paraId="6B206E9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1</w:t>
            </w:r>
          </w:p>
        </w:tc>
      </w:tr>
      <w:tr w14:paraId="207EACE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6" w:hRule="atLeast"/>
          <w:jc w:val="center"/>
        </w:trPr>
        <w:tc>
          <w:tcPr>
            <w:tcW w:w="1055" w:type="pct"/>
            <w:tcBorders>
              <w:tl2br w:val="nil"/>
              <w:tr2bl w:val="nil"/>
            </w:tcBorders>
            <w:noWrap w:val="0"/>
            <w:vAlign w:val="center"/>
          </w:tcPr>
          <w:p w14:paraId="346CC2A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熟料散装</w:t>
            </w:r>
          </w:p>
        </w:tc>
        <w:tc>
          <w:tcPr>
            <w:tcW w:w="1148" w:type="pct"/>
            <w:tcBorders>
              <w:tl2br w:val="nil"/>
              <w:tr2bl w:val="nil"/>
            </w:tcBorders>
            <w:noWrap w:val="0"/>
            <w:vAlign w:val="center"/>
          </w:tcPr>
          <w:p w14:paraId="15FCA8B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散装机</w:t>
            </w:r>
          </w:p>
        </w:tc>
        <w:tc>
          <w:tcPr>
            <w:tcW w:w="2343" w:type="pct"/>
            <w:tcBorders>
              <w:tl2br w:val="nil"/>
              <w:tr2bl w:val="nil"/>
            </w:tcBorders>
            <w:noWrap w:val="0"/>
            <w:vAlign w:val="center"/>
          </w:tcPr>
          <w:p w14:paraId="0AB49B1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生产能力300t/h</w:t>
            </w:r>
          </w:p>
        </w:tc>
        <w:tc>
          <w:tcPr>
            <w:tcW w:w="453" w:type="pct"/>
            <w:tcBorders>
              <w:tl2br w:val="nil"/>
              <w:tr2bl w:val="nil"/>
            </w:tcBorders>
            <w:noWrap w:val="0"/>
            <w:vAlign w:val="center"/>
          </w:tcPr>
          <w:p w14:paraId="2FDCC2E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val="en-US" w:eastAsia="zh-CN"/>
              </w:rPr>
              <w:t>3</w:t>
            </w:r>
          </w:p>
        </w:tc>
      </w:tr>
      <w:tr w14:paraId="40002E8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cantSplit/>
          <w:trHeight w:val="346" w:hRule="atLeast"/>
          <w:jc w:val="center"/>
        </w:trPr>
        <w:tc>
          <w:tcPr>
            <w:tcW w:w="1055" w:type="pct"/>
            <w:tcBorders>
              <w:tl2br w:val="nil"/>
              <w:tr2bl w:val="nil"/>
            </w:tcBorders>
            <w:noWrap w:val="0"/>
            <w:vAlign w:val="center"/>
          </w:tcPr>
          <w:p w14:paraId="12FDAC0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水泥包装</w:t>
            </w:r>
          </w:p>
        </w:tc>
        <w:tc>
          <w:tcPr>
            <w:tcW w:w="1148" w:type="pct"/>
            <w:tcBorders>
              <w:tl2br w:val="nil"/>
              <w:tr2bl w:val="nil"/>
            </w:tcBorders>
            <w:noWrap w:val="0"/>
            <w:vAlign w:val="center"/>
          </w:tcPr>
          <w:p w14:paraId="130310B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十嘴回转式包装机</w:t>
            </w:r>
          </w:p>
        </w:tc>
        <w:tc>
          <w:tcPr>
            <w:tcW w:w="2343" w:type="pct"/>
            <w:tcBorders>
              <w:tl2br w:val="nil"/>
              <w:tr2bl w:val="nil"/>
            </w:tcBorders>
            <w:noWrap w:val="0"/>
            <w:vAlign w:val="center"/>
          </w:tcPr>
          <w:p w14:paraId="3BC0CB4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生产能力：120t/h</w:t>
            </w:r>
          </w:p>
        </w:tc>
        <w:tc>
          <w:tcPr>
            <w:tcW w:w="453" w:type="pct"/>
            <w:tcBorders>
              <w:tl2br w:val="nil"/>
              <w:tr2bl w:val="nil"/>
            </w:tcBorders>
            <w:noWrap w:val="0"/>
            <w:vAlign w:val="center"/>
          </w:tcPr>
          <w:p w14:paraId="09E41E6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lang w:eastAsia="zh-CN"/>
              </w:rPr>
              <w:t>4</w:t>
            </w:r>
          </w:p>
        </w:tc>
      </w:tr>
    </w:tbl>
    <w:p w14:paraId="2C8F583E">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3.1.4原辅材料消耗情况</w:t>
      </w:r>
    </w:p>
    <w:p w14:paraId="7505F047">
      <w:pPr>
        <w:pStyle w:val="6"/>
        <w:rPr>
          <w:rFonts w:hint="default" w:ascii="Times New Roman" w:hAnsi="Times New Roman" w:cs="Times New Roman"/>
        </w:rPr>
      </w:pPr>
      <w:bookmarkStart w:id="79" w:name="_Toc11639"/>
      <w:r>
        <w:rPr>
          <w:rFonts w:hint="default" w:ascii="Times New Roman" w:hAnsi="Times New Roman" w:cs="Times New Roman"/>
          <w:lang w:val="en-US" w:eastAsia="zh-CN"/>
        </w:rPr>
        <w:t>企业现有</w:t>
      </w:r>
      <w:r>
        <w:rPr>
          <w:rFonts w:hint="default" w:ascii="Times New Roman" w:hAnsi="Times New Roman" w:cs="Times New Roman"/>
        </w:rPr>
        <w:t>工程原辅材料、燃料用量及配比情况见</w:t>
      </w:r>
      <w:r>
        <w:rPr>
          <w:rFonts w:hint="default" w:ascii="Times New Roman" w:hAnsi="Times New Roman" w:cs="Times New Roman"/>
        </w:rPr>
        <w:fldChar w:fldCharType="begin"/>
      </w:r>
      <w:r>
        <w:rPr>
          <w:rFonts w:hint="default" w:ascii="Times New Roman" w:hAnsi="Times New Roman" w:cs="Times New Roman"/>
        </w:rPr>
        <w:instrText xml:space="preserve"> REF _Ref126605173 \h  \* MERGEFORMAT </w:instrText>
      </w:r>
      <w:r>
        <w:rPr>
          <w:rFonts w:hint="default" w:ascii="Times New Roman" w:hAnsi="Times New Roman" w:cs="Times New Roman"/>
        </w:rPr>
        <w:fldChar w:fldCharType="separate"/>
      </w:r>
      <w:r>
        <w:rPr>
          <w:rFonts w:hint="default" w:ascii="Times New Roman" w:hAnsi="Times New Roman" w:cs="Times New Roman"/>
        </w:rPr>
        <w:t>表3.1</w:t>
      </w:r>
      <w:r>
        <w:rPr>
          <w:rFonts w:hint="default" w:ascii="Times New Roman" w:hAnsi="Times New Roman" w:cs="Times New Roman"/>
        </w:rPr>
        <w:noBreakHyphen/>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t>。</w:t>
      </w:r>
    </w:p>
    <w:p w14:paraId="20AA0597">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eastAsia="宋体" w:cs="Times New Roman"/>
          <w:b/>
          <w:bCs/>
        </w:rPr>
      </w:pPr>
      <w:bookmarkStart w:id="80" w:name="_Ref126605173"/>
      <w:r>
        <w:rPr>
          <w:rFonts w:hint="default" w:ascii="Times New Roman" w:hAnsi="Times New Roman" w:eastAsia="宋体" w:cs="Times New Roman"/>
          <w:b/>
          <w:bCs/>
        </w:rPr>
        <w:t>表</w:t>
      </w: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STYLEREF 2 \s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3.1</w:t>
      </w:r>
      <w:r>
        <w:rPr>
          <w:rFonts w:hint="default" w:ascii="Times New Roman" w:hAnsi="Times New Roman" w:eastAsia="宋体" w:cs="Times New Roman"/>
          <w:b/>
          <w:bCs/>
        </w:rPr>
        <w:fldChar w:fldCharType="end"/>
      </w:r>
      <w:r>
        <w:rPr>
          <w:rFonts w:hint="eastAsia" w:cs="Times New Roman"/>
          <w:b/>
          <w:bCs/>
          <w:lang w:val="en-US" w:eastAsia="zh-CN"/>
        </w:rPr>
        <w:t>-</w:t>
      </w:r>
      <w:r>
        <w:rPr>
          <w:rFonts w:hint="default" w:ascii="Times New Roman" w:hAnsi="Times New Roman" w:eastAsia="宋体" w:cs="Times New Roman"/>
          <w:b/>
          <w:bCs/>
        </w:rPr>
        <w:fldChar w:fldCharType="begin"/>
      </w:r>
      <w:r>
        <w:rPr>
          <w:rFonts w:hint="default" w:ascii="Times New Roman" w:hAnsi="Times New Roman" w:eastAsia="宋体" w:cs="Times New Roman"/>
          <w:b/>
          <w:bCs/>
        </w:rPr>
        <w:instrText xml:space="preserve"> SEQ 表 \* ARABIC \s 2 </w:instrText>
      </w:r>
      <w:r>
        <w:rPr>
          <w:rFonts w:hint="default" w:ascii="Times New Roman" w:hAnsi="Times New Roman" w:eastAsia="宋体" w:cs="Times New Roman"/>
          <w:b/>
          <w:bCs/>
        </w:rPr>
        <w:fldChar w:fldCharType="separate"/>
      </w:r>
      <w:r>
        <w:rPr>
          <w:rFonts w:hint="default" w:ascii="Times New Roman" w:hAnsi="Times New Roman" w:eastAsia="宋体" w:cs="Times New Roman"/>
          <w:b/>
          <w:bCs/>
        </w:rPr>
        <w:t>3</w:t>
      </w:r>
      <w:r>
        <w:rPr>
          <w:rFonts w:hint="default" w:ascii="Times New Roman" w:hAnsi="Times New Roman" w:eastAsia="宋体" w:cs="Times New Roman"/>
          <w:b/>
          <w:bCs/>
        </w:rPr>
        <w:fldChar w:fldCharType="end"/>
      </w:r>
      <w:bookmarkEnd w:id="80"/>
      <w:r>
        <w:rPr>
          <w:rFonts w:hint="default" w:ascii="Times New Roman" w:hAnsi="Times New Roman" w:eastAsia="宋体" w:cs="Times New Roman"/>
          <w:b/>
          <w:bCs/>
        </w:rPr>
        <w:t xml:space="preserve"> </w:t>
      </w:r>
      <w:r>
        <w:rPr>
          <w:rFonts w:hint="default" w:ascii="Times New Roman" w:hAnsi="Times New Roman" w:eastAsia="宋体" w:cs="Times New Roman"/>
          <w:b/>
          <w:bCs/>
          <w:lang w:val="en-US" w:eastAsia="zh-CN"/>
        </w:rPr>
        <w:t>现有</w:t>
      </w:r>
      <w:r>
        <w:rPr>
          <w:rFonts w:hint="default" w:ascii="Times New Roman" w:hAnsi="Times New Roman" w:eastAsia="宋体" w:cs="Times New Roman"/>
          <w:b/>
          <w:bCs/>
        </w:rPr>
        <w:t>工程原辅材料、燃料用量及配比情况一览</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30"/>
        <w:gridCol w:w="4119"/>
        <w:gridCol w:w="3167"/>
      </w:tblGrid>
      <w:tr w14:paraId="4860274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722" w:type="pct"/>
            <w:tcBorders>
              <w:tl2br w:val="nil"/>
              <w:tr2bl w:val="nil"/>
            </w:tcBorders>
            <w:vAlign w:val="center"/>
          </w:tcPr>
          <w:p w14:paraId="4FB53710">
            <w:pPr>
              <w:pStyle w:val="212"/>
              <w:autoSpaceDE/>
              <w:autoSpaceDN/>
              <w:adjustRightInd/>
              <w:spacing w:before="0" w:after="0" w:line="240" w:lineRule="auto"/>
              <w:ind w:left="0" w:firstLine="0"/>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序号</w:t>
            </w:r>
          </w:p>
        </w:tc>
        <w:tc>
          <w:tcPr>
            <w:tcW w:w="2418" w:type="pct"/>
            <w:tcBorders>
              <w:tl2br w:val="nil"/>
              <w:tr2bl w:val="nil"/>
            </w:tcBorders>
            <w:vAlign w:val="center"/>
          </w:tcPr>
          <w:p w14:paraId="1FC8FDAA">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物料名称</w:t>
            </w:r>
          </w:p>
        </w:tc>
        <w:tc>
          <w:tcPr>
            <w:tcW w:w="1859" w:type="pct"/>
            <w:tcBorders>
              <w:tl2br w:val="nil"/>
              <w:tr2bl w:val="nil"/>
            </w:tcBorders>
            <w:vAlign w:val="center"/>
          </w:tcPr>
          <w:p w14:paraId="2FE55940">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使用量（t/a）</w:t>
            </w:r>
          </w:p>
        </w:tc>
      </w:tr>
      <w:tr w14:paraId="46DE70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722" w:type="pct"/>
            <w:tcBorders>
              <w:tl2br w:val="nil"/>
              <w:tr2bl w:val="nil"/>
            </w:tcBorders>
            <w:vAlign w:val="center"/>
          </w:tcPr>
          <w:p w14:paraId="7E7A4DF9">
            <w:pPr>
              <w:pStyle w:val="212"/>
              <w:autoSpaceDE/>
              <w:autoSpaceDN/>
              <w:adjustRightInd/>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1</w:t>
            </w:r>
          </w:p>
        </w:tc>
        <w:tc>
          <w:tcPr>
            <w:tcW w:w="4492" w:type="dxa"/>
            <w:tcBorders>
              <w:tl2br w:val="nil"/>
              <w:tr2bl w:val="nil"/>
            </w:tcBorders>
            <w:vAlign w:val="center"/>
          </w:tcPr>
          <w:p w14:paraId="00AC914B">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石灰石</w:t>
            </w:r>
          </w:p>
        </w:tc>
        <w:tc>
          <w:tcPr>
            <w:tcW w:w="3453" w:type="dxa"/>
            <w:tcBorders>
              <w:tl2br w:val="nil"/>
              <w:tr2bl w:val="nil"/>
            </w:tcBorders>
            <w:vAlign w:val="center"/>
          </w:tcPr>
          <w:p w14:paraId="2B2295A4">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471733.51</w:t>
            </w:r>
          </w:p>
        </w:tc>
      </w:tr>
      <w:tr w14:paraId="5194058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2" w:type="pct"/>
            <w:tcBorders>
              <w:tl2br w:val="nil"/>
              <w:tr2bl w:val="nil"/>
            </w:tcBorders>
            <w:vAlign w:val="center"/>
          </w:tcPr>
          <w:p w14:paraId="255AC5F5">
            <w:pPr>
              <w:pStyle w:val="212"/>
              <w:autoSpaceDE/>
              <w:autoSpaceDN/>
              <w:adjustRightInd/>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2</w:t>
            </w:r>
          </w:p>
        </w:tc>
        <w:tc>
          <w:tcPr>
            <w:tcW w:w="4492" w:type="dxa"/>
            <w:tcBorders>
              <w:tl2br w:val="nil"/>
              <w:tr2bl w:val="nil"/>
            </w:tcBorders>
            <w:vAlign w:val="center"/>
          </w:tcPr>
          <w:p w14:paraId="1FFDD2CB">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铜渣</w:t>
            </w:r>
          </w:p>
        </w:tc>
        <w:tc>
          <w:tcPr>
            <w:tcW w:w="3453" w:type="dxa"/>
            <w:tcBorders>
              <w:tl2br w:val="nil"/>
              <w:tr2bl w:val="nil"/>
            </w:tcBorders>
            <w:vAlign w:val="center"/>
          </w:tcPr>
          <w:p w14:paraId="3DD0830B">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19320.72</w:t>
            </w:r>
          </w:p>
        </w:tc>
      </w:tr>
      <w:tr w14:paraId="7D1A8C5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2" w:type="pct"/>
            <w:tcBorders>
              <w:tl2br w:val="nil"/>
              <w:tr2bl w:val="nil"/>
            </w:tcBorders>
            <w:vAlign w:val="center"/>
          </w:tcPr>
          <w:p w14:paraId="66C3C790">
            <w:pPr>
              <w:pStyle w:val="212"/>
              <w:autoSpaceDE/>
              <w:autoSpaceDN/>
              <w:adjustRightInd/>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3</w:t>
            </w:r>
          </w:p>
        </w:tc>
        <w:tc>
          <w:tcPr>
            <w:tcW w:w="4492" w:type="dxa"/>
            <w:tcBorders>
              <w:tl2br w:val="nil"/>
              <w:tr2bl w:val="nil"/>
            </w:tcBorders>
            <w:vAlign w:val="center"/>
          </w:tcPr>
          <w:p w14:paraId="144D28AC">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煤矸石</w:t>
            </w:r>
          </w:p>
        </w:tc>
        <w:tc>
          <w:tcPr>
            <w:tcW w:w="3453" w:type="dxa"/>
            <w:tcBorders>
              <w:tl2br w:val="nil"/>
              <w:tr2bl w:val="nil"/>
            </w:tcBorders>
            <w:vAlign w:val="center"/>
          </w:tcPr>
          <w:p w14:paraId="5087463E">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42779.00</w:t>
            </w:r>
          </w:p>
        </w:tc>
      </w:tr>
      <w:tr w14:paraId="6BEAC9C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2" w:type="pct"/>
            <w:tcBorders>
              <w:tl2br w:val="nil"/>
              <w:tr2bl w:val="nil"/>
            </w:tcBorders>
            <w:vAlign w:val="center"/>
          </w:tcPr>
          <w:p w14:paraId="5B983611">
            <w:pPr>
              <w:pStyle w:val="212"/>
              <w:autoSpaceDE/>
              <w:autoSpaceDN/>
              <w:adjustRightInd/>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4</w:t>
            </w:r>
          </w:p>
        </w:tc>
        <w:tc>
          <w:tcPr>
            <w:tcW w:w="4492" w:type="dxa"/>
            <w:tcBorders>
              <w:tl2br w:val="nil"/>
              <w:tr2bl w:val="nil"/>
            </w:tcBorders>
            <w:vAlign w:val="center"/>
          </w:tcPr>
          <w:p w14:paraId="5D07FD95">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黄砂岩</w:t>
            </w:r>
          </w:p>
        </w:tc>
        <w:tc>
          <w:tcPr>
            <w:tcW w:w="3453" w:type="dxa"/>
            <w:tcBorders>
              <w:tl2br w:val="nil"/>
              <w:tr2bl w:val="nil"/>
            </w:tcBorders>
            <w:vAlign w:val="center"/>
          </w:tcPr>
          <w:p w14:paraId="0A3D7665">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30642.00</w:t>
            </w:r>
          </w:p>
        </w:tc>
      </w:tr>
      <w:tr w14:paraId="553CD0C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2" w:type="pct"/>
            <w:tcBorders>
              <w:tl2br w:val="nil"/>
              <w:tr2bl w:val="nil"/>
            </w:tcBorders>
            <w:vAlign w:val="center"/>
          </w:tcPr>
          <w:p w14:paraId="2E9345F7">
            <w:pPr>
              <w:pStyle w:val="212"/>
              <w:autoSpaceDE/>
              <w:autoSpaceDN/>
              <w:adjustRightInd/>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5</w:t>
            </w:r>
          </w:p>
        </w:tc>
        <w:tc>
          <w:tcPr>
            <w:tcW w:w="4492" w:type="dxa"/>
            <w:tcBorders>
              <w:tl2br w:val="nil"/>
              <w:tr2bl w:val="nil"/>
            </w:tcBorders>
            <w:vAlign w:val="center"/>
          </w:tcPr>
          <w:p w14:paraId="4DEC3AA5">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页岩</w:t>
            </w:r>
          </w:p>
        </w:tc>
        <w:tc>
          <w:tcPr>
            <w:tcW w:w="3453" w:type="dxa"/>
            <w:tcBorders>
              <w:tl2br w:val="nil"/>
              <w:tr2bl w:val="nil"/>
            </w:tcBorders>
            <w:vAlign w:val="center"/>
          </w:tcPr>
          <w:p w14:paraId="7DE98299">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37968.00</w:t>
            </w:r>
          </w:p>
        </w:tc>
      </w:tr>
      <w:tr w14:paraId="4723400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2" w:type="pct"/>
            <w:tcBorders>
              <w:tl2br w:val="nil"/>
              <w:tr2bl w:val="nil"/>
            </w:tcBorders>
            <w:vAlign w:val="center"/>
          </w:tcPr>
          <w:p w14:paraId="2A69252B">
            <w:pPr>
              <w:pStyle w:val="212"/>
              <w:autoSpaceDE/>
              <w:autoSpaceDN/>
              <w:adjustRightInd/>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6</w:t>
            </w:r>
          </w:p>
        </w:tc>
        <w:tc>
          <w:tcPr>
            <w:tcW w:w="4492" w:type="dxa"/>
            <w:tcBorders>
              <w:tl2br w:val="nil"/>
              <w:tr2bl w:val="nil"/>
            </w:tcBorders>
            <w:vAlign w:val="center"/>
          </w:tcPr>
          <w:p w14:paraId="0B9B3875">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锌渣</w:t>
            </w:r>
          </w:p>
        </w:tc>
        <w:tc>
          <w:tcPr>
            <w:tcW w:w="3453" w:type="dxa"/>
            <w:tcBorders>
              <w:tl2br w:val="nil"/>
              <w:tr2bl w:val="nil"/>
            </w:tcBorders>
            <w:vAlign w:val="center"/>
          </w:tcPr>
          <w:p w14:paraId="12D087B9">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2758.00</w:t>
            </w:r>
          </w:p>
        </w:tc>
      </w:tr>
      <w:tr w14:paraId="62F32EC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2" w:type="pct"/>
            <w:tcBorders>
              <w:tl2br w:val="nil"/>
              <w:tr2bl w:val="nil"/>
            </w:tcBorders>
            <w:vAlign w:val="center"/>
          </w:tcPr>
          <w:p w14:paraId="42018B81">
            <w:pPr>
              <w:pStyle w:val="212"/>
              <w:autoSpaceDE/>
              <w:autoSpaceDN/>
              <w:adjustRightInd/>
              <w:spacing w:before="0" w:after="0" w:line="240" w:lineRule="auto"/>
              <w:ind w:left="0" w:firstLine="0"/>
              <w:jc w:val="center"/>
              <w:rPr>
                <w:rFonts w:hint="default" w:ascii="Times New Roman" w:hAnsi="Times New Roman" w:cs="Times New Roman"/>
                <w:color w:val="000000"/>
                <w:sz w:val="21"/>
                <w:szCs w:val="21"/>
                <w:lang w:val="en-US" w:eastAsia="zh-CN"/>
              </w:rPr>
            </w:pPr>
            <w:r>
              <w:rPr>
                <w:rFonts w:hint="default" w:ascii="Times New Roman" w:hAnsi="Times New Roman" w:cs="Times New Roman"/>
                <w:color w:val="000000"/>
                <w:sz w:val="21"/>
                <w:szCs w:val="21"/>
                <w:lang w:val="en-US" w:eastAsia="zh-CN"/>
              </w:rPr>
              <w:t>7</w:t>
            </w:r>
          </w:p>
        </w:tc>
        <w:tc>
          <w:tcPr>
            <w:tcW w:w="4492" w:type="dxa"/>
            <w:tcBorders>
              <w:tl2br w:val="nil"/>
              <w:tr2bl w:val="nil"/>
            </w:tcBorders>
            <w:vAlign w:val="center"/>
          </w:tcPr>
          <w:p w14:paraId="2142FC8B">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烟煤</w:t>
            </w:r>
          </w:p>
        </w:tc>
        <w:tc>
          <w:tcPr>
            <w:tcW w:w="3453" w:type="dxa"/>
            <w:tcBorders>
              <w:tl2br w:val="nil"/>
              <w:tr2bl w:val="nil"/>
            </w:tcBorders>
            <w:vAlign w:val="center"/>
          </w:tcPr>
          <w:p w14:paraId="0A598F1F">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44578.96</w:t>
            </w:r>
          </w:p>
        </w:tc>
      </w:tr>
    </w:tbl>
    <w:p w14:paraId="0247FA2A">
      <w:pPr>
        <w:widowControl/>
        <w:snapToGrid w:val="0"/>
        <w:spacing w:line="360" w:lineRule="auto"/>
        <w:ind w:firstLine="480" w:firstLineChars="200"/>
        <w:jc w:val="left"/>
        <w:rPr>
          <w:rFonts w:hint="default" w:ascii="Times New Roman" w:hAnsi="Times New Roman" w:eastAsia="宋体" w:cs="Times New Roman"/>
          <w:b w:val="0"/>
          <w:bCs w:val="0"/>
          <w:strike w:val="0"/>
          <w:dstrike w:val="0"/>
          <w:color w:val="auto"/>
          <w:kern w:val="0"/>
          <w:sz w:val="24"/>
          <w:szCs w:val="24"/>
          <w:u w:val="none" w:color="auto"/>
          <w:lang w:val="en-US" w:eastAsia="zh-CN"/>
        </w:rPr>
      </w:pPr>
      <w:r>
        <w:rPr>
          <w:rFonts w:hint="default" w:ascii="Times New Roman" w:hAnsi="Times New Roman" w:cs="Times New Roman"/>
          <w:b w:val="0"/>
          <w:bCs w:val="0"/>
          <w:strike w:val="0"/>
          <w:dstrike w:val="0"/>
          <w:color w:val="auto"/>
          <w:kern w:val="0"/>
          <w:sz w:val="24"/>
          <w:szCs w:val="24"/>
          <w:u w:val="none" w:color="auto"/>
          <w:lang w:val="en-US" w:eastAsia="zh-CN"/>
        </w:rPr>
        <w:t>（1）</w:t>
      </w:r>
      <w:r>
        <w:rPr>
          <w:rFonts w:hint="default" w:ascii="Times New Roman" w:hAnsi="Times New Roman" w:eastAsia="宋体" w:cs="Times New Roman"/>
          <w:b w:val="0"/>
          <w:bCs w:val="0"/>
          <w:strike w:val="0"/>
          <w:dstrike w:val="0"/>
          <w:color w:val="auto"/>
          <w:kern w:val="0"/>
          <w:sz w:val="24"/>
          <w:szCs w:val="24"/>
          <w:u w:val="none" w:color="auto"/>
          <w:lang w:val="en-US"/>
        </w:rPr>
        <w:t>石灰质原料</w:t>
      </w:r>
      <w:r>
        <w:rPr>
          <w:rFonts w:hint="default" w:ascii="Times New Roman" w:hAnsi="Times New Roman" w:eastAsia="宋体" w:cs="Times New Roman"/>
          <w:b w:val="0"/>
          <w:bCs w:val="0"/>
          <w:strike w:val="0"/>
          <w:dstrike w:val="0"/>
          <w:color w:val="auto"/>
          <w:kern w:val="0"/>
          <w:sz w:val="24"/>
          <w:szCs w:val="24"/>
          <w:u w:val="none" w:color="auto"/>
          <w:lang w:val="en-US" w:eastAsia="zh-CN"/>
        </w:rPr>
        <w:t>情况</w:t>
      </w:r>
    </w:p>
    <w:p w14:paraId="082FD3D5">
      <w:pPr>
        <w:widowControl/>
        <w:snapToGrid w:val="0"/>
        <w:spacing w:line="360" w:lineRule="auto"/>
        <w:ind w:firstLine="480" w:firstLineChars="200"/>
        <w:jc w:val="left"/>
        <w:rPr>
          <w:rFonts w:hint="default" w:ascii="Times New Roman" w:hAnsi="Times New Roman" w:eastAsia="宋体" w:cs="Times New Roman"/>
          <w:strike w:val="0"/>
          <w:dstrike w:val="0"/>
          <w:color w:val="auto"/>
          <w:kern w:val="0"/>
          <w:sz w:val="28"/>
          <w:szCs w:val="28"/>
          <w:u w:val="none" w:color="auto"/>
          <w:lang w:val="en-US"/>
        </w:rPr>
      </w:pPr>
      <w:r>
        <w:rPr>
          <w:rFonts w:hint="default" w:ascii="Times New Roman" w:hAnsi="Times New Roman" w:eastAsia="宋体" w:cs="Times New Roman"/>
          <w:strike w:val="0"/>
          <w:dstrike w:val="0"/>
          <w:color w:val="auto"/>
          <w:kern w:val="0"/>
          <w:sz w:val="24"/>
          <w:szCs w:val="24"/>
          <w:u w:val="none" w:color="auto"/>
          <w:lang w:val="en-US" w:eastAsia="zh-CN"/>
        </w:rPr>
        <w:t>由于区域内煤、盐矿资源配置问题，可产生电石渣原料的PVC项目未在新疆兴悦化工有限公司200万t/a电石渣制水泥项目环评批复有效期内建成，因此企业将原料由电石渣变更为石灰石进行生产</w:t>
      </w:r>
      <w:r>
        <w:rPr>
          <w:rFonts w:hint="eastAsia" w:cs="Times New Roman"/>
          <w:strike w:val="0"/>
          <w:dstrike w:val="0"/>
          <w:color w:val="auto"/>
          <w:kern w:val="0"/>
          <w:sz w:val="24"/>
          <w:szCs w:val="24"/>
          <w:u w:val="none" w:color="auto"/>
          <w:lang w:val="en-US" w:eastAsia="zh-CN"/>
        </w:rPr>
        <w:t>。</w:t>
      </w:r>
      <w:r>
        <w:rPr>
          <w:rFonts w:hint="default" w:ascii="Times New Roman" w:hAnsi="Times New Roman" w:eastAsia="宋体" w:cs="Times New Roman"/>
          <w:strike w:val="0"/>
          <w:dstrike w:val="0"/>
          <w:color w:val="auto"/>
          <w:kern w:val="0"/>
          <w:sz w:val="24"/>
          <w:szCs w:val="24"/>
          <w:u w:val="none" w:color="auto"/>
          <w:lang w:val="en-US" w:eastAsia="zh-CN"/>
        </w:rPr>
        <w:t>企业所用石灰石原料来自新疆阿克苏市西楚石灰石矿，主要成分CaO含量高达51.6%，且有害组分含量低，质量较好，其</w:t>
      </w:r>
      <w:r>
        <w:rPr>
          <w:rFonts w:hint="default" w:ascii="Times New Roman" w:hAnsi="Times New Roman" w:eastAsia="宋体" w:cs="Times New Roman"/>
          <w:strike w:val="0"/>
          <w:dstrike w:val="0"/>
          <w:color w:val="auto"/>
          <w:kern w:val="0"/>
          <w:sz w:val="24"/>
          <w:szCs w:val="24"/>
          <w:u w:val="none" w:color="auto"/>
          <w:lang w:val="en-US"/>
        </w:rPr>
        <w:t>化学成分</w:t>
      </w:r>
      <w:r>
        <w:rPr>
          <w:rFonts w:hint="default" w:ascii="Times New Roman" w:hAnsi="Times New Roman" w:eastAsia="宋体" w:cs="Times New Roman"/>
          <w:strike w:val="0"/>
          <w:dstrike w:val="0"/>
          <w:color w:val="auto"/>
          <w:kern w:val="0"/>
          <w:sz w:val="24"/>
          <w:szCs w:val="24"/>
          <w:u w:val="none" w:color="auto"/>
          <w:lang w:val="en-US" w:eastAsia="zh-CN"/>
        </w:rPr>
        <w:t>见</w:t>
      </w:r>
      <w:r>
        <w:rPr>
          <w:rFonts w:hint="default" w:ascii="Times New Roman" w:hAnsi="Times New Roman" w:eastAsia="宋体" w:cs="Times New Roman"/>
          <w:strike w:val="0"/>
          <w:dstrike w:val="0"/>
          <w:color w:val="auto"/>
          <w:kern w:val="0"/>
          <w:sz w:val="24"/>
          <w:szCs w:val="24"/>
          <w:u w:val="none" w:color="auto"/>
          <w:lang w:val="en-US"/>
        </w:rPr>
        <w:t>表</w:t>
      </w:r>
      <w:r>
        <w:rPr>
          <w:rFonts w:hint="default" w:ascii="Times New Roman" w:hAnsi="Times New Roman" w:cs="Times New Roman"/>
          <w:strike w:val="0"/>
          <w:dstrike w:val="0"/>
          <w:color w:val="auto"/>
          <w:kern w:val="0"/>
          <w:sz w:val="24"/>
          <w:szCs w:val="24"/>
          <w:u w:val="none" w:color="auto"/>
          <w:lang w:val="en-US" w:eastAsia="zh-CN"/>
        </w:rPr>
        <w:t>3.1-4。</w:t>
      </w:r>
    </w:p>
    <w:p w14:paraId="434D8EC5">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eastAsia="宋体" w:cs="Times New Roman"/>
          <w:b/>
          <w:bCs/>
          <w:lang w:val="en-US"/>
        </w:rPr>
      </w:pPr>
      <w:r>
        <w:rPr>
          <w:rFonts w:hint="default" w:ascii="Times New Roman" w:hAnsi="Times New Roman" w:eastAsia="宋体" w:cs="Times New Roman"/>
          <w:b/>
          <w:bCs/>
          <w:lang w:val="en-US"/>
        </w:rPr>
        <w:t>表</w:t>
      </w:r>
      <w:r>
        <w:rPr>
          <w:rFonts w:hint="default" w:ascii="Times New Roman" w:hAnsi="Times New Roman" w:eastAsia="宋体" w:cs="Times New Roman"/>
          <w:b/>
          <w:bCs/>
          <w:lang w:val="en-US" w:eastAsia="zh-CN"/>
        </w:rPr>
        <w:t>3.1-4</w:t>
      </w:r>
      <w:r>
        <w:rPr>
          <w:rFonts w:hint="default" w:ascii="Times New Roman" w:hAnsi="Times New Roman" w:eastAsia="宋体" w:cs="Times New Roman"/>
          <w:b/>
          <w:bCs/>
          <w:lang w:val="en-US"/>
        </w:rPr>
        <w:t xml:space="preserve"> </w:t>
      </w:r>
      <w:r>
        <w:rPr>
          <w:rFonts w:hint="default" w:ascii="Times New Roman" w:hAnsi="Times New Roman" w:eastAsia="宋体" w:cs="Times New Roman"/>
          <w:b/>
          <w:bCs/>
          <w:lang w:val="en-US" w:eastAsia="zh-CN"/>
        </w:rPr>
        <w:t>石灰质</w:t>
      </w:r>
      <w:r>
        <w:rPr>
          <w:rFonts w:hint="default" w:ascii="Times New Roman" w:hAnsi="Times New Roman" w:eastAsia="宋体" w:cs="Times New Roman"/>
          <w:b/>
          <w:bCs/>
          <w:lang w:val="en-US"/>
        </w:rPr>
        <w:t>化学成分（%）</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19"/>
        <w:gridCol w:w="869"/>
        <w:gridCol w:w="1068"/>
        <w:gridCol w:w="1068"/>
        <w:gridCol w:w="1019"/>
        <w:gridCol w:w="962"/>
        <w:gridCol w:w="1327"/>
        <w:gridCol w:w="1019"/>
      </w:tblGrid>
      <w:tr w14:paraId="09ED1C7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10" w:type="pct"/>
            <w:tcBorders>
              <w:tl2br w:val="nil"/>
              <w:tr2bl w:val="nil"/>
            </w:tcBorders>
            <w:noWrap w:val="0"/>
            <w:tcMar>
              <w:left w:w="28" w:type="dxa"/>
              <w:right w:w="28" w:type="dxa"/>
            </w:tcMar>
            <w:vAlign w:val="center"/>
          </w:tcPr>
          <w:p w14:paraId="256BACB2">
            <w:pPr>
              <w:pStyle w:val="35"/>
              <w:autoSpaceDE/>
              <w:autoSpaceDN/>
              <w:spacing w:before="0" w:beforeLines="0" w:beforeAutospacing="0" w:after="0" w:afterLines="0" w:afterAutospacing="0" w:line="240" w:lineRule="auto"/>
              <w:ind w:left="0" w:firstLine="0"/>
              <w:jc w:val="center"/>
              <w:rPr>
                <w:rFonts w:hint="default" w:ascii="Times New Roman" w:hAnsi="Times New Roman" w:eastAsia="宋体" w:cs="Times New Roman"/>
                <w:b/>
                <w:bCs/>
                <w:strike w:val="0"/>
                <w:dstrike w:val="0"/>
                <w:color w:val="auto"/>
                <w:sz w:val="21"/>
                <w:szCs w:val="21"/>
                <w:highlight w:val="none"/>
                <w:u w:val="none" w:color="auto"/>
              </w:rPr>
            </w:pPr>
            <w:r>
              <w:rPr>
                <w:rFonts w:hint="default" w:ascii="Times New Roman" w:hAnsi="Times New Roman" w:eastAsia="宋体" w:cs="Times New Roman"/>
                <w:b/>
                <w:bCs/>
                <w:strike w:val="0"/>
                <w:dstrike w:val="0"/>
                <w:color w:val="auto"/>
                <w:sz w:val="21"/>
                <w:szCs w:val="21"/>
                <w:highlight w:val="none"/>
                <w:u w:val="none" w:color="auto"/>
              </w:rPr>
              <w:t>L.O.I</w:t>
            </w:r>
          </w:p>
        </w:tc>
        <w:tc>
          <w:tcPr>
            <w:tcW w:w="520" w:type="pct"/>
            <w:tcBorders>
              <w:tl2br w:val="nil"/>
              <w:tr2bl w:val="nil"/>
            </w:tcBorders>
            <w:noWrap w:val="0"/>
            <w:tcMar>
              <w:left w:w="28" w:type="dxa"/>
              <w:right w:w="28" w:type="dxa"/>
            </w:tcMar>
            <w:vAlign w:val="center"/>
          </w:tcPr>
          <w:p w14:paraId="3899AFDA">
            <w:pPr>
              <w:pStyle w:val="35"/>
              <w:autoSpaceDE/>
              <w:autoSpaceDN/>
              <w:spacing w:before="0" w:beforeLines="0" w:beforeAutospacing="0" w:after="0" w:afterLines="0" w:afterAutospacing="0" w:line="240" w:lineRule="auto"/>
              <w:ind w:left="0" w:firstLine="0"/>
              <w:jc w:val="center"/>
              <w:rPr>
                <w:rFonts w:hint="default" w:ascii="Times New Roman" w:hAnsi="Times New Roman" w:eastAsia="宋体" w:cs="Times New Roman"/>
                <w:b/>
                <w:bCs/>
                <w:strike w:val="0"/>
                <w:dstrike w:val="0"/>
                <w:color w:val="auto"/>
                <w:sz w:val="21"/>
                <w:szCs w:val="21"/>
                <w:highlight w:val="none"/>
                <w:u w:val="none" w:color="auto"/>
              </w:rPr>
            </w:pPr>
            <w:r>
              <w:rPr>
                <w:rFonts w:hint="default" w:ascii="Times New Roman" w:hAnsi="Times New Roman" w:eastAsia="宋体" w:cs="Times New Roman"/>
                <w:b/>
                <w:bCs/>
                <w:strike w:val="0"/>
                <w:dstrike w:val="0"/>
                <w:color w:val="auto"/>
                <w:sz w:val="21"/>
                <w:szCs w:val="21"/>
                <w:highlight w:val="none"/>
                <w:u w:val="none" w:color="auto"/>
              </w:rPr>
              <w:t>SiO</w:t>
            </w:r>
            <w:r>
              <w:rPr>
                <w:rFonts w:hint="default" w:ascii="Times New Roman" w:hAnsi="Times New Roman" w:eastAsia="宋体" w:cs="Times New Roman"/>
                <w:b/>
                <w:bCs/>
                <w:strike w:val="0"/>
                <w:dstrike w:val="0"/>
                <w:color w:val="auto"/>
                <w:sz w:val="21"/>
                <w:szCs w:val="21"/>
                <w:highlight w:val="none"/>
                <w:u w:val="none" w:color="auto"/>
                <w:vertAlign w:val="subscript"/>
              </w:rPr>
              <w:t>2</w:t>
            </w:r>
          </w:p>
        </w:tc>
        <w:tc>
          <w:tcPr>
            <w:tcW w:w="639" w:type="pct"/>
            <w:tcBorders>
              <w:tl2br w:val="nil"/>
              <w:tr2bl w:val="nil"/>
            </w:tcBorders>
            <w:noWrap w:val="0"/>
            <w:tcMar>
              <w:left w:w="28" w:type="dxa"/>
              <w:right w:w="28" w:type="dxa"/>
            </w:tcMar>
            <w:vAlign w:val="center"/>
          </w:tcPr>
          <w:p w14:paraId="6C58A96D">
            <w:pPr>
              <w:pStyle w:val="35"/>
              <w:autoSpaceDE/>
              <w:autoSpaceDN/>
              <w:spacing w:before="0" w:beforeLines="0" w:beforeAutospacing="0" w:after="0" w:afterLines="0" w:afterAutospacing="0" w:line="240" w:lineRule="auto"/>
              <w:ind w:left="0" w:firstLine="0"/>
              <w:jc w:val="center"/>
              <w:rPr>
                <w:rFonts w:hint="default" w:ascii="Times New Roman" w:hAnsi="Times New Roman" w:eastAsia="宋体" w:cs="Times New Roman"/>
                <w:b/>
                <w:bCs/>
                <w:strike w:val="0"/>
                <w:dstrike w:val="0"/>
                <w:color w:val="auto"/>
                <w:sz w:val="21"/>
                <w:szCs w:val="21"/>
                <w:highlight w:val="none"/>
                <w:u w:val="none" w:color="auto"/>
              </w:rPr>
            </w:pPr>
            <w:r>
              <w:rPr>
                <w:rFonts w:hint="default" w:ascii="Times New Roman" w:hAnsi="Times New Roman" w:eastAsia="宋体" w:cs="Times New Roman"/>
                <w:b/>
                <w:bCs/>
                <w:strike w:val="0"/>
                <w:dstrike w:val="0"/>
                <w:color w:val="auto"/>
                <w:sz w:val="21"/>
                <w:szCs w:val="21"/>
                <w:highlight w:val="none"/>
                <w:u w:val="none" w:color="auto"/>
              </w:rPr>
              <w:t>Al</w:t>
            </w:r>
            <w:r>
              <w:rPr>
                <w:rFonts w:hint="default" w:ascii="Times New Roman" w:hAnsi="Times New Roman" w:eastAsia="宋体" w:cs="Times New Roman"/>
                <w:b/>
                <w:bCs/>
                <w:strike w:val="0"/>
                <w:dstrike w:val="0"/>
                <w:color w:val="auto"/>
                <w:sz w:val="21"/>
                <w:szCs w:val="21"/>
                <w:highlight w:val="none"/>
                <w:u w:val="none" w:color="auto"/>
                <w:vertAlign w:val="subscript"/>
              </w:rPr>
              <w:t>2</w:t>
            </w:r>
            <w:r>
              <w:rPr>
                <w:rFonts w:hint="default" w:ascii="Times New Roman" w:hAnsi="Times New Roman" w:eastAsia="宋体" w:cs="Times New Roman"/>
                <w:b/>
                <w:bCs/>
                <w:strike w:val="0"/>
                <w:dstrike w:val="0"/>
                <w:color w:val="auto"/>
                <w:sz w:val="21"/>
                <w:szCs w:val="21"/>
                <w:highlight w:val="none"/>
                <w:u w:val="none" w:color="auto"/>
              </w:rPr>
              <w:t>O</w:t>
            </w:r>
            <w:r>
              <w:rPr>
                <w:rFonts w:hint="default" w:ascii="Times New Roman" w:hAnsi="Times New Roman" w:eastAsia="宋体" w:cs="Times New Roman"/>
                <w:b/>
                <w:bCs/>
                <w:strike w:val="0"/>
                <w:dstrike w:val="0"/>
                <w:color w:val="auto"/>
                <w:sz w:val="21"/>
                <w:szCs w:val="21"/>
                <w:highlight w:val="none"/>
                <w:u w:val="none" w:color="auto"/>
                <w:vertAlign w:val="subscript"/>
              </w:rPr>
              <w:t>3</w:t>
            </w:r>
          </w:p>
        </w:tc>
        <w:tc>
          <w:tcPr>
            <w:tcW w:w="639" w:type="pct"/>
            <w:tcBorders>
              <w:tl2br w:val="nil"/>
              <w:tr2bl w:val="nil"/>
            </w:tcBorders>
            <w:noWrap w:val="0"/>
            <w:tcMar>
              <w:left w:w="28" w:type="dxa"/>
              <w:right w:w="28" w:type="dxa"/>
            </w:tcMar>
            <w:vAlign w:val="center"/>
          </w:tcPr>
          <w:p w14:paraId="71FA9AEF">
            <w:pPr>
              <w:pStyle w:val="35"/>
              <w:autoSpaceDE/>
              <w:autoSpaceDN/>
              <w:spacing w:before="0" w:beforeLines="0" w:beforeAutospacing="0" w:after="0" w:afterLines="0" w:afterAutospacing="0" w:line="240" w:lineRule="auto"/>
              <w:ind w:left="0" w:firstLine="0"/>
              <w:jc w:val="center"/>
              <w:rPr>
                <w:rFonts w:hint="default" w:ascii="Times New Roman" w:hAnsi="Times New Roman" w:eastAsia="宋体" w:cs="Times New Roman"/>
                <w:b/>
                <w:bCs/>
                <w:strike w:val="0"/>
                <w:dstrike w:val="0"/>
                <w:color w:val="auto"/>
                <w:sz w:val="21"/>
                <w:szCs w:val="21"/>
                <w:highlight w:val="none"/>
                <w:u w:val="none" w:color="auto"/>
              </w:rPr>
            </w:pPr>
            <w:r>
              <w:rPr>
                <w:rFonts w:hint="default" w:ascii="Times New Roman" w:hAnsi="Times New Roman" w:eastAsia="宋体" w:cs="Times New Roman"/>
                <w:b/>
                <w:bCs/>
                <w:strike w:val="0"/>
                <w:dstrike w:val="0"/>
                <w:color w:val="auto"/>
                <w:sz w:val="21"/>
                <w:szCs w:val="21"/>
                <w:highlight w:val="none"/>
                <w:u w:val="none" w:color="auto"/>
              </w:rPr>
              <w:t>Fe</w:t>
            </w:r>
            <w:r>
              <w:rPr>
                <w:rFonts w:hint="default" w:ascii="Times New Roman" w:hAnsi="Times New Roman" w:eastAsia="宋体" w:cs="Times New Roman"/>
                <w:b/>
                <w:bCs/>
                <w:strike w:val="0"/>
                <w:dstrike w:val="0"/>
                <w:color w:val="auto"/>
                <w:sz w:val="21"/>
                <w:szCs w:val="21"/>
                <w:highlight w:val="none"/>
                <w:u w:val="none" w:color="auto"/>
                <w:vertAlign w:val="subscript"/>
              </w:rPr>
              <w:t>2</w:t>
            </w:r>
            <w:r>
              <w:rPr>
                <w:rFonts w:hint="default" w:ascii="Times New Roman" w:hAnsi="Times New Roman" w:eastAsia="宋体" w:cs="Times New Roman"/>
                <w:b/>
                <w:bCs/>
                <w:strike w:val="0"/>
                <w:dstrike w:val="0"/>
                <w:color w:val="auto"/>
                <w:sz w:val="21"/>
                <w:szCs w:val="21"/>
                <w:highlight w:val="none"/>
                <w:u w:val="none" w:color="auto"/>
              </w:rPr>
              <w:t>O</w:t>
            </w:r>
            <w:r>
              <w:rPr>
                <w:rFonts w:hint="default" w:ascii="Times New Roman" w:hAnsi="Times New Roman" w:eastAsia="宋体" w:cs="Times New Roman"/>
                <w:b/>
                <w:bCs/>
                <w:strike w:val="0"/>
                <w:dstrike w:val="0"/>
                <w:color w:val="auto"/>
                <w:sz w:val="21"/>
                <w:szCs w:val="21"/>
                <w:highlight w:val="none"/>
                <w:u w:val="none" w:color="auto"/>
                <w:vertAlign w:val="subscript"/>
              </w:rPr>
              <w:t>3</w:t>
            </w:r>
          </w:p>
        </w:tc>
        <w:tc>
          <w:tcPr>
            <w:tcW w:w="610" w:type="pct"/>
            <w:tcBorders>
              <w:tl2br w:val="nil"/>
              <w:tr2bl w:val="nil"/>
            </w:tcBorders>
            <w:noWrap w:val="0"/>
            <w:tcMar>
              <w:left w:w="28" w:type="dxa"/>
              <w:right w:w="28" w:type="dxa"/>
            </w:tcMar>
            <w:vAlign w:val="center"/>
          </w:tcPr>
          <w:p w14:paraId="7B5158F3">
            <w:pPr>
              <w:pStyle w:val="35"/>
              <w:autoSpaceDE/>
              <w:autoSpaceDN/>
              <w:spacing w:before="0" w:beforeLines="0" w:beforeAutospacing="0" w:after="0" w:afterLines="0" w:afterAutospacing="0" w:line="240" w:lineRule="auto"/>
              <w:ind w:left="0" w:firstLine="0"/>
              <w:jc w:val="center"/>
              <w:rPr>
                <w:rFonts w:hint="default" w:ascii="Times New Roman" w:hAnsi="Times New Roman" w:eastAsia="宋体" w:cs="Times New Roman"/>
                <w:b/>
                <w:bCs/>
                <w:strike w:val="0"/>
                <w:dstrike w:val="0"/>
                <w:color w:val="auto"/>
                <w:sz w:val="21"/>
                <w:szCs w:val="21"/>
                <w:highlight w:val="none"/>
                <w:u w:val="none" w:color="auto"/>
              </w:rPr>
            </w:pPr>
            <w:r>
              <w:rPr>
                <w:rFonts w:hint="default" w:ascii="Times New Roman" w:hAnsi="Times New Roman" w:eastAsia="宋体" w:cs="Times New Roman"/>
                <w:b/>
                <w:bCs/>
                <w:strike w:val="0"/>
                <w:dstrike w:val="0"/>
                <w:color w:val="auto"/>
                <w:sz w:val="21"/>
                <w:szCs w:val="21"/>
                <w:highlight w:val="none"/>
                <w:u w:val="none" w:color="auto"/>
              </w:rPr>
              <w:t>CaO</w:t>
            </w:r>
          </w:p>
        </w:tc>
        <w:tc>
          <w:tcPr>
            <w:tcW w:w="576" w:type="pct"/>
            <w:tcBorders>
              <w:tl2br w:val="nil"/>
              <w:tr2bl w:val="nil"/>
            </w:tcBorders>
            <w:noWrap w:val="0"/>
            <w:tcMar>
              <w:left w:w="28" w:type="dxa"/>
              <w:right w:w="28" w:type="dxa"/>
            </w:tcMar>
            <w:vAlign w:val="center"/>
          </w:tcPr>
          <w:p w14:paraId="2D0AA1C6">
            <w:pPr>
              <w:pStyle w:val="35"/>
              <w:autoSpaceDE/>
              <w:autoSpaceDN/>
              <w:spacing w:before="0" w:beforeLines="0" w:beforeAutospacing="0" w:after="0" w:afterLines="0" w:afterAutospacing="0" w:line="240" w:lineRule="auto"/>
              <w:ind w:left="0" w:firstLine="0"/>
              <w:jc w:val="center"/>
              <w:rPr>
                <w:rFonts w:hint="default" w:ascii="Times New Roman" w:hAnsi="Times New Roman" w:eastAsia="宋体" w:cs="Times New Roman"/>
                <w:b/>
                <w:bCs/>
                <w:strike w:val="0"/>
                <w:dstrike w:val="0"/>
                <w:color w:val="auto"/>
                <w:sz w:val="21"/>
                <w:szCs w:val="21"/>
                <w:highlight w:val="none"/>
                <w:u w:val="none" w:color="auto"/>
              </w:rPr>
            </w:pPr>
            <w:r>
              <w:rPr>
                <w:rFonts w:hint="default" w:ascii="Times New Roman" w:hAnsi="Times New Roman" w:eastAsia="宋体" w:cs="Times New Roman"/>
                <w:b/>
                <w:bCs/>
                <w:strike w:val="0"/>
                <w:dstrike w:val="0"/>
                <w:color w:val="auto"/>
                <w:sz w:val="21"/>
                <w:szCs w:val="21"/>
                <w:highlight w:val="none"/>
                <w:u w:val="none" w:color="auto"/>
              </w:rPr>
              <w:t>MgO</w:t>
            </w:r>
          </w:p>
        </w:tc>
        <w:tc>
          <w:tcPr>
            <w:tcW w:w="794" w:type="pct"/>
            <w:tcBorders>
              <w:tl2br w:val="nil"/>
              <w:tr2bl w:val="nil"/>
            </w:tcBorders>
            <w:noWrap w:val="0"/>
            <w:vAlign w:val="center"/>
          </w:tcPr>
          <w:p w14:paraId="67D5FDD8">
            <w:pPr>
              <w:pStyle w:val="35"/>
              <w:autoSpaceDE/>
              <w:autoSpaceDN/>
              <w:spacing w:before="0" w:beforeLines="0" w:beforeAutospacing="0" w:after="0" w:afterLines="0" w:afterAutospacing="0" w:line="240" w:lineRule="auto"/>
              <w:ind w:left="0" w:firstLine="0"/>
              <w:jc w:val="center"/>
              <w:rPr>
                <w:rFonts w:hint="default" w:ascii="Times New Roman" w:hAnsi="Times New Roman" w:eastAsia="宋体" w:cs="Times New Roman"/>
                <w:b/>
                <w:bCs/>
                <w:strike w:val="0"/>
                <w:dstrike w:val="0"/>
                <w:color w:val="auto"/>
                <w:sz w:val="21"/>
                <w:szCs w:val="21"/>
                <w:highlight w:val="none"/>
                <w:u w:val="none" w:color="auto"/>
              </w:rPr>
            </w:pPr>
            <w:r>
              <w:rPr>
                <w:rFonts w:hint="default" w:ascii="Times New Roman" w:hAnsi="Times New Roman" w:eastAsia="宋体" w:cs="Times New Roman"/>
                <w:b/>
                <w:bCs/>
                <w:strike w:val="0"/>
                <w:dstrike w:val="0"/>
                <w:color w:val="auto"/>
                <w:sz w:val="21"/>
                <w:szCs w:val="21"/>
                <w:highlight w:val="none"/>
                <w:u w:val="none" w:color="auto"/>
              </w:rPr>
              <w:t>Cl</w:t>
            </w:r>
            <w:r>
              <w:rPr>
                <w:rFonts w:hint="default" w:ascii="Times New Roman" w:hAnsi="Times New Roman" w:eastAsia="宋体" w:cs="Times New Roman"/>
                <w:b/>
                <w:bCs/>
                <w:strike w:val="0"/>
                <w:dstrike w:val="0"/>
                <w:color w:val="auto"/>
                <w:sz w:val="21"/>
                <w:szCs w:val="21"/>
                <w:highlight w:val="none"/>
                <w:u w:val="none" w:color="auto"/>
                <w:vertAlign w:val="superscript"/>
              </w:rPr>
              <w:t>－</w:t>
            </w:r>
          </w:p>
        </w:tc>
        <w:tc>
          <w:tcPr>
            <w:tcW w:w="610" w:type="pct"/>
            <w:tcBorders>
              <w:tl2br w:val="nil"/>
              <w:tr2bl w:val="nil"/>
            </w:tcBorders>
            <w:noWrap w:val="0"/>
            <w:tcMar>
              <w:left w:w="28" w:type="dxa"/>
              <w:right w:w="28" w:type="dxa"/>
            </w:tcMar>
            <w:vAlign w:val="center"/>
          </w:tcPr>
          <w:p w14:paraId="3697A16E">
            <w:pPr>
              <w:pStyle w:val="35"/>
              <w:autoSpaceDE/>
              <w:autoSpaceDN/>
              <w:spacing w:before="0" w:beforeLines="0" w:beforeAutospacing="0" w:after="0" w:afterLines="0" w:afterAutospacing="0" w:line="240" w:lineRule="auto"/>
              <w:ind w:left="0" w:firstLine="0"/>
              <w:jc w:val="center"/>
              <w:rPr>
                <w:rFonts w:hint="default" w:ascii="Times New Roman" w:hAnsi="Times New Roman" w:eastAsia="宋体" w:cs="Times New Roman"/>
                <w:b/>
                <w:bCs/>
                <w:strike w:val="0"/>
                <w:dstrike w:val="0"/>
                <w:color w:val="auto"/>
                <w:sz w:val="21"/>
                <w:szCs w:val="21"/>
                <w:highlight w:val="none"/>
                <w:u w:val="none" w:color="auto"/>
                <w:lang w:eastAsia="zh-CN"/>
              </w:rPr>
            </w:pPr>
            <w:r>
              <w:rPr>
                <w:rFonts w:hint="default" w:ascii="Times New Roman" w:hAnsi="Times New Roman" w:cs="Times New Roman"/>
                <w:b/>
                <w:bCs/>
                <w:strike w:val="0"/>
                <w:dstrike w:val="0"/>
                <w:color w:val="auto"/>
                <w:sz w:val="21"/>
                <w:szCs w:val="21"/>
                <w:highlight w:val="none"/>
                <w:u w:val="none" w:color="auto"/>
                <w:lang w:val="en-US" w:eastAsia="zh-CN"/>
              </w:rPr>
              <w:t>S</w:t>
            </w:r>
          </w:p>
        </w:tc>
      </w:tr>
      <w:tr w14:paraId="4140F11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10" w:type="pct"/>
            <w:tcBorders>
              <w:tl2br w:val="nil"/>
              <w:tr2bl w:val="nil"/>
            </w:tcBorders>
            <w:noWrap w:val="0"/>
            <w:tcMar>
              <w:left w:w="28" w:type="dxa"/>
              <w:right w:w="28" w:type="dxa"/>
            </w:tcMar>
            <w:vAlign w:val="center"/>
          </w:tcPr>
          <w:p w14:paraId="17EC0DBA">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41.60</w:t>
            </w:r>
          </w:p>
        </w:tc>
        <w:tc>
          <w:tcPr>
            <w:tcW w:w="520" w:type="pct"/>
            <w:tcBorders>
              <w:tl2br w:val="nil"/>
              <w:tr2bl w:val="nil"/>
            </w:tcBorders>
            <w:noWrap w:val="0"/>
            <w:tcMar>
              <w:left w:w="28" w:type="dxa"/>
              <w:right w:w="28" w:type="dxa"/>
            </w:tcMar>
            <w:vAlign w:val="center"/>
          </w:tcPr>
          <w:p w14:paraId="64147EDD">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2.68</w:t>
            </w:r>
          </w:p>
        </w:tc>
        <w:tc>
          <w:tcPr>
            <w:tcW w:w="639" w:type="pct"/>
            <w:tcBorders>
              <w:tl2br w:val="nil"/>
              <w:tr2bl w:val="nil"/>
            </w:tcBorders>
            <w:noWrap w:val="0"/>
            <w:tcMar>
              <w:left w:w="28" w:type="dxa"/>
              <w:right w:w="28" w:type="dxa"/>
            </w:tcMar>
            <w:vAlign w:val="center"/>
          </w:tcPr>
          <w:p w14:paraId="63E911DB">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0.67</w:t>
            </w:r>
          </w:p>
        </w:tc>
        <w:tc>
          <w:tcPr>
            <w:tcW w:w="639" w:type="pct"/>
            <w:tcBorders>
              <w:tl2br w:val="nil"/>
              <w:tr2bl w:val="nil"/>
            </w:tcBorders>
            <w:noWrap w:val="0"/>
            <w:tcMar>
              <w:left w:w="28" w:type="dxa"/>
              <w:right w:w="28" w:type="dxa"/>
            </w:tcMar>
            <w:vAlign w:val="center"/>
          </w:tcPr>
          <w:p w14:paraId="76B8567A">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0.56</w:t>
            </w:r>
          </w:p>
        </w:tc>
        <w:tc>
          <w:tcPr>
            <w:tcW w:w="610" w:type="pct"/>
            <w:tcBorders>
              <w:tl2br w:val="nil"/>
              <w:tr2bl w:val="nil"/>
            </w:tcBorders>
            <w:noWrap w:val="0"/>
            <w:tcMar>
              <w:left w:w="28" w:type="dxa"/>
              <w:right w:w="28" w:type="dxa"/>
            </w:tcMar>
            <w:vAlign w:val="center"/>
          </w:tcPr>
          <w:p w14:paraId="00E2A1E3">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51.60</w:t>
            </w:r>
          </w:p>
        </w:tc>
        <w:tc>
          <w:tcPr>
            <w:tcW w:w="576" w:type="pct"/>
            <w:tcBorders>
              <w:tl2br w:val="nil"/>
              <w:tr2bl w:val="nil"/>
            </w:tcBorders>
            <w:noWrap w:val="0"/>
            <w:tcMar>
              <w:left w:w="28" w:type="dxa"/>
              <w:right w:w="28" w:type="dxa"/>
            </w:tcMar>
            <w:vAlign w:val="center"/>
          </w:tcPr>
          <w:p w14:paraId="0E46DCA3">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1.64</w:t>
            </w:r>
          </w:p>
        </w:tc>
        <w:tc>
          <w:tcPr>
            <w:tcW w:w="794" w:type="pct"/>
            <w:tcBorders>
              <w:tl2br w:val="nil"/>
              <w:tr2bl w:val="nil"/>
            </w:tcBorders>
            <w:noWrap w:val="0"/>
            <w:vAlign w:val="center"/>
          </w:tcPr>
          <w:p w14:paraId="4EB9C225">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0.026</w:t>
            </w:r>
          </w:p>
        </w:tc>
        <w:tc>
          <w:tcPr>
            <w:tcW w:w="610" w:type="pct"/>
            <w:tcBorders>
              <w:tl2br w:val="nil"/>
              <w:tr2bl w:val="nil"/>
            </w:tcBorders>
            <w:noWrap w:val="0"/>
            <w:tcMar>
              <w:left w:w="28" w:type="dxa"/>
              <w:right w:w="28" w:type="dxa"/>
            </w:tcMar>
            <w:vAlign w:val="center"/>
          </w:tcPr>
          <w:p w14:paraId="5AA69929">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0.01</w:t>
            </w:r>
          </w:p>
        </w:tc>
      </w:tr>
    </w:tbl>
    <w:p w14:paraId="244269F0">
      <w:pPr>
        <w:widowControl/>
        <w:snapToGrid w:val="0"/>
        <w:spacing w:line="360" w:lineRule="auto"/>
        <w:ind w:firstLine="480" w:firstLineChars="200"/>
        <w:jc w:val="left"/>
        <w:rPr>
          <w:rFonts w:hint="default" w:ascii="Times New Roman" w:hAnsi="Times New Roman" w:cs="Times New Roman"/>
          <w:b w:val="0"/>
          <w:bCs w:val="0"/>
          <w:strike w:val="0"/>
          <w:dstrike w:val="0"/>
          <w:color w:val="auto"/>
          <w:kern w:val="0"/>
          <w:sz w:val="24"/>
          <w:szCs w:val="24"/>
          <w:u w:val="none" w:color="auto"/>
          <w:lang w:val="en-US" w:eastAsia="zh-CN"/>
        </w:rPr>
      </w:pPr>
      <w:r>
        <w:rPr>
          <w:rFonts w:hint="default" w:ascii="Times New Roman" w:hAnsi="Times New Roman" w:cs="Times New Roman"/>
          <w:b w:val="0"/>
          <w:bCs w:val="0"/>
          <w:strike w:val="0"/>
          <w:dstrike w:val="0"/>
          <w:color w:val="auto"/>
          <w:kern w:val="0"/>
          <w:sz w:val="24"/>
          <w:szCs w:val="24"/>
          <w:u w:val="none" w:color="auto"/>
          <w:lang w:val="en-US" w:eastAsia="zh-CN"/>
        </w:rPr>
        <w:t>（2）黄砂岩原料情况</w:t>
      </w:r>
    </w:p>
    <w:p w14:paraId="07C64EF3">
      <w:pPr>
        <w:widowControl/>
        <w:snapToGrid w:val="0"/>
        <w:spacing w:line="360" w:lineRule="auto"/>
        <w:ind w:firstLine="480" w:firstLineChars="200"/>
        <w:jc w:val="left"/>
        <w:rPr>
          <w:rFonts w:hint="default" w:ascii="Times New Roman" w:hAnsi="Times New Roman" w:cs="Times New Roman"/>
          <w:strike w:val="0"/>
          <w:dstrike w:val="0"/>
          <w:color w:val="auto"/>
          <w:kern w:val="0"/>
          <w:sz w:val="28"/>
          <w:szCs w:val="28"/>
          <w:u w:val="none" w:color="auto"/>
          <w:lang w:val="en-US" w:eastAsia="zh-CN"/>
        </w:rPr>
      </w:pPr>
      <w:r>
        <w:rPr>
          <w:rFonts w:hint="default" w:ascii="Times New Roman" w:hAnsi="Times New Roman" w:cs="Times New Roman"/>
          <w:strike w:val="0"/>
          <w:dstrike w:val="0"/>
          <w:color w:val="auto"/>
          <w:kern w:val="0"/>
          <w:sz w:val="24"/>
          <w:szCs w:val="24"/>
          <w:u w:val="none" w:color="auto"/>
          <w:lang w:val="en-US" w:eastAsia="zh-CN"/>
        </w:rPr>
        <w:t>企业</w:t>
      </w:r>
      <w:r>
        <w:rPr>
          <w:rFonts w:hint="default" w:ascii="Times New Roman" w:hAnsi="Times New Roman" w:cs="Times New Roman"/>
          <w:strike w:val="0"/>
          <w:dstrike w:val="0"/>
          <w:color w:val="auto"/>
          <w:kern w:val="0"/>
          <w:sz w:val="24"/>
          <w:szCs w:val="24"/>
          <w:u w:val="none" w:color="auto"/>
          <w:lang w:val="en-US"/>
        </w:rPr>
        <w:t>所用</w:t>
      </w:r>
      <w:r>
        <w:rPr>
          <w:rFonts w:hint="default" w:ascii="Times New Roman" w:hAnsi="Times New Roman" w:cs="Times New Roman"/>
          <w:strike w:val="0"/>
          <w:dstrike w:val="0"/>
          <w:color w:val="auto"/>
          <w:kern w:val="0"/>
          <w:sz w:val="24"/>
          <w:szCs w:val="24"/>
          <w:u w:val="none" w:color="auto"/>
          <w:lang w:val="en-US" w:eastAsia="zh-CN"/>
        </w:rPr>
        <w:t>黄砂岩</w:t>
      </w:r>
      <w:r>
        <w:rPr>
          <w:rFonts w:hint="default" w:ascii="Times New Roman" w:hAnsi="Times New Roman" w:cs="Times New Roman"/>
          <w:strike w:val="0"/>
          <w:dstrike w:val="0"/>
          <w:color w:val="auto"/>
          <w:kern w:val="0"/>
          <w:sz w:val="24"/>
          <w:szCs w:val="24"/>
          <w:u w:val="none" w:color="auto"/>
          <w:lang w:val="en-US"/>
        </w:rPr>
        <w:t>原料</w:t>
      </w:r>
      <w:r>
        <w:rPr>
          <w:rFonts w:hint="default" w:ascii="Times New Roman" w:hAnsi="Times New Roman" w:cs="Times New Roman"/>
          <w:strike w:val="0"/>
          <w:dstrike w:val="0"/>
          <w:color w:val="auto"/>
          <w:kern w:val="0"/>
          <w:sz w:val="24"/>
          <w:szCs w:val="24"/>
          <w:u w:val="none" w:color="auto"/>
          <w:lang w:val="en-US" w:eastAsia="zh-CN"/>
        </w:rPr>
        <w:t>来自阿克苏市四石场</w:t>
      </w:r>
      <w:r>
        <w:rPr>
          <w:rFonts w:hint="default" w:ascii="Times New Roman" w:hAnsi="Times New Roman" w:cs="Times New Roman"/>
          <w:strike w:val="0"/>
          <w:dstrike w:val="0"/>
          <w:color w:val="auto"/>
          <w:kern w:val="0"/>
          <w:sz w:val="24"/>
          <w:szCs w:val="24"/>
          <w:u w:val="none" w:color="auto"/>
          <w:lang w:val="en-US"/>
        </w:rPr>
        <w:t>。化学成份见表</w:t>
      </w:r>
      <w:r>
        <w:rPr>
          <w:rFonts w:hint="default" w:ascii="Times New Roman" w:hAnsi="Times New Roman" w:cs="Times New Roman"/>
          <w:strike w:val="0"/>
          <w:dstrike w:val="0"/>
          <w:color w:val="auto"/>
          <w:kern w:val="0"/>
          <w:sz w:val="24"/>
          <w:szCs w:val="24"/>
          <w:u w:val="none" w:color="auto"/>
          <w:lang w:val="en-US" w:eastAsia="zh-CN"/>
        </w:rPr>
        <w:t>3.1-5。</w:t>
      </w:r>
    </w:p>
    <w:p w14:paraId="0B901C82">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eastAsia="宋体" w:cs="Times New Roman"/>
          <w:b/>
          <w:bCs/>
          <w:lang w:val="en-US"/>
        </w:rPr>
      </w:pPr>
      <w:r>
        <w:rPr>
          <w:rFonts w:hint="default" w:ascii="Times New Roman" w:hAnsi="Times New Roman" w:eastAsia="宋体" w:cs="Times New Roman"/>
          <w:b/>
          <w:bCs/>
          <w:lang w:val="en-US"/>
        </w:rPr>
        <w:t>表</w:t>
      </w:r>
      <w:r>
        <w:rPr>
          <w:rFonts w:hint="default" w:ascii="Times New Roman" w:hAnsi="Times New Roman" w:eastAsia="宋体" w:cs="Times New Roman"/>
          <w:b/>
          <w:bCs/>
          <w:lang w:val="en-US" w:eastAsia="zh-CN"/>
        </w:rPr>
        <w:t>3.1-5</w:t>
      </w:r>
      <w:r>
        <w:rPr>
          <w:rFonts w:hint="default" w:ascii="Times New Roman" w:hAnsi="Times New Roman" w:eastAsia="宋体" w:cs="Times New Roman"/>
          <w:b/>
          <w:bCs/>
          <w:lang w:val="en-US"/>
        </w:rPr>
        <w:t xml:space="preserve"> </w:t>
      </w:r>
      <w:r>
        <w:rPr>
          <w:rFonts w:hint="default" w:ascii="Times New Roman" w:hAnsi="Times New Roman" w:eastAsia="宋体" w:cs="Times New Roman"/>
          <w:b/>
          <w:bCs/>
          <w:lang w:val="en-US" w:eastAsia="zh-CN"/>
        </w:rPr>
        <w:t>红砂岩</w:t>
      </w:r>
      <w:r>
        <w:rPr>
          <w:rFonts w:hint="default" w:ascii="Times New Roman" w:hAnsi="Times New Roman" w:eastAsia="宋体" w:cs="Times New Roman"/>
          <w:b/>
          <w:bCs/>
          <w:lang w:val="en-US"/>
        </w:rPr>
        <w:t>化学成分表（%）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09"/>
        <w:gridCol w:w="1139"/>
        <w:gridCol w:w="1180"/>
        <w:gridCol w:w="1180"/>
        <w:gridCol w:w="1305"/>
        <w:gridCol w:w="1102"/>
        <w:gridCol w:w="1496"/>
      </w:tblGrid>
      <w:tr w14:paraId="544BD3C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51" w:type="pct"/>
            <w:tcBorders>
              <w:tl2br w:val="nil"/>
              <w:tr2bl w:val="nil"/>
            </w:tcBorders>
            <w:noWrap w:val="0"/>
            <w:vAlign w:val="top"/>
          </w:tcPr>
          <w:p w14:paraId="16CE636B">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L.O.I</w:t>
            </w:r>
          </w:p>
        </w:tc>
        <w:tc>
          <w:tcPr>
            <w:tcW w:w="669" w:type="pct"/>
            <w:tcBorders>
              <w:tl2br w:val="nil"/>
              <w:tr2bl w:val="nil"/>
            </w:tcBorders>
            <w:noWrap w:val="0"/>
            <w:vAlign w:val="top"/>
          </w:tcPr>
          <w:p w14:paraId="402B1986">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SiO</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2</w:t>
            </w:r>
          </w:p>
        </w:tc>
        <w:tc>
          <w:tcPr>
            <w:tcW w:w="693" w:type="pct"/>
            <w:tcBorders>
              <w:tl2br w:val="nil"/>
              <w:tr2bl w:val="nil"/>
            </w:tcBorders>
            <w:noWrap w:val="0"/>
            <w:vAlign w:val="top"/>
          </w:tcPr>
          <w:p w14:paraId="20548F1D">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Al</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2</w:t>
            </w:r>
            <w:r>
              <w:rPr>
                <w:rFonts w:hint="default" w:ascii="Times New Roman" w:hAnsi="Times New Roman" w:eastAsia="宋体" w:cs="Times New Roman"/>
                <w:b/>
                <w:bCs/>
                <w:strike w:val="0"/>
                <w:dstrike w:val="0"/>
                <w:color w:val="auto"/>
                <w:kern w:val="0"/>
                <w:sz w:val="21"/>
                <w:szCs w:val="21"/>
                <w:highlight w:val="none"/>
                <w:u w:val="none" w:color="auto"/>
                <w:lang w:val="en-US" w:eastAsia="zh-CN"/>
              </w:rPr>
              <w:t>O</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3</w:t>
            </w:r>
          </w:p>
        </w:tc>
        <w:tc>
          <w:tcPr>
            <w:tcW w:w="693" w:type="pct"/>
            <w:tcBorders>
              <w:tl2br w:val="nil"/>
              <w:tr2bl w:val="nil"/>
            </w:tcBorders>
            <w:noWrap w:val="0"/>
            <w:vAlign w:val="top"/>
          </w:tcPr>
          <w:p w14:paraId="02E535DA">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Fe</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2</w:t>
            </w:r>
            <w:r>
              <w:rPr>
                <w:rFonts w:hint="default" w:ascii="Times New Roman" w:hAnsi="Times New Roman" w:eastAsia="宋体" w:cs="Times New Roman"/>
                <w:b/>
                <w:bCs/>
                <w:strike w:val="0"/>
                <w:dstrike w:val="0"/>
                <w:color w:val="auto"/>
                <w:kern w:val="0"/>
                <w:sz w:val="21"/>
                <w:szCs w:val="21"/>
                <w:highlight w:val="none"/>
                <w:u w:val="none" w:color="auto"/>
                <w:lang w:val="en-US" w:eastAsia="zh-CN"/>
              </w:rPr>
              <w:t>O</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3</w:t>
            </w:r>
          </w:p>
        </w:tc>
        <w:tc>
          <w:tcPr>
            <w:tcW w:w="766" w:type="pct"/>
            <w:tcBorders>
              <w:tl2br w:val="nil"/>
              <w:tr2bl w:val="nil"/>
            </w:tcBorders>
            <w:noWrap w:val="0"/>
            <w:vAlign w:val="top"/>
          </w:tcPr>
          <w:p w14:paraId="12F25069">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CaO</w:t>
            </w:r>
          </w:p>
        </w:tc>
        <w:tc>
          <w:tcPr>
            <w:tcW w:w="647" w:type="pct"/>
            <w:tcBorders>
              <w:tl2br w:val="nil"/>
              <w:tr2bl w:val="nil"/>
            </w:tcBorders>
            <w:noWrap w:val="0"/>
            <w:vAlign w:val="top"/>
          </w:tcPr>
          <w:p w14:paraId="3FD3869E">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MgO</w:t>
            </w:r>
          </w:p>
        </w:tc>
        <w:tc>
          <w:tcPr>
            <w:tcW w:w="878" w:type="pct"/>
            <w:tcBorders>
              <w:tl2br w:val="nil"/>
              <w:tr2bl w:val="nil"/>
            </w:tcBorders>
            <w:noWrap w:val="0"/>
            <w:vAlign w:val="center"/>
          </w:tcPr>
          <w:p w14:paraId="2A7DCB7F">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S</w:t>
            </w:r>
          </w:p>
        </w:tc>
      </w:tr>
      <w:tr w14:paraId="0D9CD05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51" w:type="pct"/>
            <w:tcBorders>
              <w:tl2br w:val="nil"/>
              <w:tr2bl w:val="nil"/>
            </w:tcBorders>
            <w:noWrap w:val="0"/>
            <w:vAlign w:val="center"/>
          </w:tcPr>
          <w:p w14:paraId="3CC2F09D">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6.55</w:t>
            </w:r>
          </w:p>
        </w:tc>
        <w:tc>
          <w:tcPr>
            <w:tcW w:w="669" w:type="pct"/>
            <w:tcBorders>
              <w:tl2br w:val="nil"/>
              <w:tr2bl w:val="nil"/>
            </w:tcBorders>
            <w:noWrap w:val="0"/>
            <w:vAlign w:val="center"/>
          </w:tcPr>
          <w:p w14:paraId="6CD71E41">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61.95</w:t>
            </w:r>
          </w:p>
        </w:tc>
        <w:tc>
          <w:tcPr>
            <w:tcW w:w="693" w:type="pct"/>
            <w:tcBorders>
              <w:tl2br w:val="nil"/>
              <w:tr2bl w:val="nil"/>
            </w:tcBorders>
            <w:noWrap w:val="0"/>
            <w:vAlign w:val="center"/>
          </w:tcPr>
          <w:p w14:paraId="3B8D4476">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13.65</w:t>
            </w:r>
          </w:p>
        </w:tc>
        <w:tc>
          <w:tcPr>
            <w:tcW w:w="693" w:type="pct"/>
            <w:tcBorders>
              <w:tl2br w:val="nil"/>
              <w:tr2bl w:val="nil"/>
            </w:tcBorders>
            <w:noWrap w:val="0"/>
            <w:vAlign w:val="center"/>
          </w:tcPr>
          <w:p w14:paraId="567C9DD2">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5.96</w:t>
            </w:r>
          </w:p>
        </w:tc>
        <w:tc>
          <w:tcPr>
            <w:tcW w:w="766" w:type="pct"/>
            <w:tcBorders>
              <w:tl2br w:val="nil"/>
              <w:tr2bl w:val="nil"/>
            </w:tcBorders>
            <w:noWrap w:val="0"/>
            <w:vAlign w:val="center"/>
          </w:tcPr>
          <w:p w14:paraId="7B152B91">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3.78</w:t>
            </w:r>
          </w:p>
        </w:tc>
        <w:tc>
          <w:tcPr>
            <w:tcW w:w="647" w:type="pct"/>
            <w:tcBorders>
              <w:tl2br w:val="nil"/>
              <w:tr2bl w:val="nil"/>
            </w:tcBorders>
            <w:noWrap w:val="0"/>
            <w:vAlign w:val="center"/>
          </w:tcPr>
          <w:p w14:paraId="5C21CBFF">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3.37</w:t>
            </w:r>
          </w:p>
        </w:tc>
        <w:tc>
          <w:tcPr>
            <w:tcW w:w="878" w:type="pct"/>
            <w:tcBorders>
              <w:tl2br w:val="nil"/>
              <w:tr2bl w:val="nil"/>
            </w:tcBorders>
            <w:noWrap w:val="0"/>
            <w:vAlign w:val="center"/>
          </w:tcPr>
          <w:p w14:paraId="7C5CE0D1">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0.04</w:t>
            </w:r>
          </w:p>
        </w:tc>
      </w:tr>
    </w:tbl>
    <w:p w14:paraId="5E4DA14B">
      <w:pPr>
        <w:widowControl/>
        <w:snapToGrid w:val="0"/>
        <w:spacing w:line="360" w:lineRule="auto"/>
        <w:ind w:firstLine="480" w:firstLineChars="200"/>
        <w:jc w:val="left"/>
        <w:rPr>
          <w:rFonts w:hint="default" w:ascii="Times New Roman" w:hAnsi="Times New Roman" w:cs="Times New Roman"/>
          <w:b w:val="0"/>
          <w:bCs w:val="0"/>
          <w:strike w:val="0"/>
          <w:dstrike w:val="0"/>
          <w:color w:val="auto"/>
          <w:kern w:val="0"/>
          <w:sz w:val="24"/>
          <w:szCs w:val="24"/>
          <w:u w:val="none" w:color="auto"/>
          <w:lang w:val="en-US" w:eastAsia="zh-CN"/>
        </w:rPr>
      </w:pPr>
      <w:r>
        <w:rPr>
          <w:rFonts w:hint="default" w:ascii="Times New Roman" w:hAnsi="Times New Roman" w:cs="Times New Roman"/>
          <w:b w:val="0"/>
          <w:bCs w:val="0"/>
          <w:strike w:val="0"/>
          <w:dstrike w:val="0"/>
          <w:color w:val="auto"/>
          <w:kern w:val="0"/>
          <w:sz w:val="24"/>
          <w:szCs w:val="24"/>
          <w:u w:val="none" w:color="auto"/>
          <w:lang w:val="en-US" w:eastAsia="zh-CN"/>
        </w:rPr>
        <w:t>（3）铜矿渣原料</w:t>
      </w:r>
    </w:p>
    <w:p w14:paraId="26EC0CCB">
      <w:pPr>
        <w:widowControl/>
        <w:snapToGrid w:val="0"/>
        <w:spacing w:line="360" w:lineRule="auto"/>
        <w:ind w:firstLine="480" w:firstLineChars="200"/>
        <w:jc w:val="left"/>
        <w:rPr>
          <w:rFonts w:hint="default" w:ascii="Times New Roman" w:hAnsi="Times New Roman" w:eastAsia="宋体" w:cs="Times New Roman"/>
          <w:strike w:val="0"/>
          <w:dstrike w:val="0"/>
          <w:color w:val="auto"/>
          <w:kern w:val="0"/>
          <w:sz w:val="24"/>
          <w:szCs w:val="24"/>
          <w:highlight w:val="none"/>
          <w:u w:val="none" w:color="auto"/>
          <w:lang w:val="en-US"/>
        </w:rPr>
      </w:pPr>
      <w:r>
        <w:rPr>
          <w:rFonts w:hint="default" w:ascii="Times New Roman" w:hAnsi="Times New Roman" w:cs="Times New Roman"/>
          <w:strike w:val="0"/>
          <w:dstrike w:val="0"/>
          <w:color w:val="auto"/>
          <w:kern w:val="0"/>
          <w:sz w:val="24"/>
          <w:szCs w:val="24"/>
          <w:u w:val="none" w:color="auto"/>
          <w:lang w:val="en-US" w:eastAsia="zh-CN"/>
        </w:rPr>
        <w:t>企业所用铜矿渣来自新疆喀什地区伽师县工业园区，铜矿渣</w:t>
      </w:r>
      <w:r>
        <w:rPr>
          <w:rFonts w:hint="default" w:ascii="Times New Roman" w:hAnsi="Times New Roman" w:cs="Times New Roman"/>
          <w:strike w:val="0"/>
          <w:dstrike w:val="0"/>
          <w:color w:val="auto"/>
          <w:kern w:val="0"/>
          <w:sz w:val="24"/>
          <w:szCs w:val="24"/>
          <w:u w:val="none" w:color="auto"/>
          <w:lang w:val="en-US"/>
        </w:rPr>
        <w:t>化学成分见表</w:t>
      </w:r>
      <w:r>
        <w:rPr>
          <w:rFonts w:hint="default" w:ascii="Times New Roman" w:hAnsi="Times New Roman" w:cs="Times New Roman"/>
          <w:strike w:val="0"/>
          <w:dstrike w:val="0"/>
          <w:color w:val="auto"/>
          <w:kern w:val="0"/>
          <w:sz w:val="24"/>
          <w:szCs w:val="24"/>
          <w:u w:val="none" w:color="auto"/>
          <w:lang w:val="en-US" w:eastAsia="zh-CN"/>
        </w:rPr>
        <w:t>3.1-6。</w:t>
      </w:r>
    </w:p>
    <w:p w14:paraId="14A78918">
      <w:pPr>
        <w:pStyle w:val="11"/>
        <w:keepNext w:val="0"/>
        <w:keepLines w:val="0"/>
        <w:pageBreakBefore w:val="0"/>
        <w:widowControl/>
        <w:kinsoku/>
        <w:wordWrap/>
        <w:overflowPunct/>
        <w:topLinePunct w:val="0"/>
        <w:autoSpaceDE/>
        <w:autoSpaceDN/>
        <w:bidi w:val="0"/>
        <w:adjustRightInd/>
        <w:snapToGrid/>
        <w:spacing w:after="0" w:afterLines="0" w:afterAutospacing="0"/>
        <w:jc w:val="center"/>
        <w:textAlignment w:val="auto"/>
        <w:rPr>
          <w:rFonts w:hint="default" w:ascii="Times New Roman" w:hAnsi="Times New Roman" w:eastAsia="宋体" w:cs="Times New Roman"/>
          <w:b/>
          <w:bCs/>
          <w:strike w:val="0"/>
          <w:dstrike w:val="0"/>
          <w:color w:val="auto"/>
          <w:kern w:val="0"/>
          <w:sz w:val="24"/>
          <w:szCs w:val="24"/>
          <w:highlight w:val="none"/>
          <w:u w:val="none" w:color="auto"/>
          <w:lang w:val="en-US"/>
        </w:rPr>
      </w:pPr>
      <w:r>
        <w:rPr>
          <w:rFonts w:hint="default" w:ascii="Times New Roman" w:hAnsi="Times New Roman" w:eastAsia="宋体" w:cs="Times New Roman"/>
          <w:b/>
          <w:bCs/>
          <w:strike w:val="0"/>
          <w:dstrike w:val="0"/>
          <w:color w:val="auto"/>
          <w:kern w:val="0"/>
          <w:sz w:val="24"/>
          <w:szCs w:val="24"/>
          <w:highlight w:val="none"/>
          <w:u w:val="none" w:color="auto"/>
          <w:lang w:val="en-US"/>
        </w:rPr>
        <w:t>表</w:t>
      </w:r>
      <w:r>
        <w:rPr>
          <w:rFonts w:hint="default" w:ascii="Times New Roman" w:hAnsi="Times New Roman" w:eastAsia="宋体" w:cs="Times New Roman"/>
          <w:b/>
          <w:bCs/>
          <w:strike w:val="0"/>
          <w:dstrike w:val="0"/>
          <w:color w:val="auto"/>
          <w:kern w:val="0"/>
          <w:sz w:val="24"/>
          <w:szCs w:val="24"/>
          <w:highlight w:val="none"/>
          <w:u w:val="none" w:color="auto"/>
          <w:lang w:val="en-US" w:eastAsia="zh-CN"/>
        </w:rPr>
        <w:t>3.1-6</w:t>
      </w:r>
      <w:r>
        <w:rPr>
          <w:rFonts w:hint="default" w:ascii="Times New Roman" w:hAnsi="Times New Roman" w:eastAsia="宋体" w:cs="Times New Roman"/>
          <w:b/>
          <w:bCs/>
          <w:strike w:val="0"/>
          <w:dstrike w:val="0"/>
          <w:color w:val="auto"/>
          <w:kern w:val="0"/>
          <w:sz w:val="24"/>
          <w:szCs w:val="24"/>
          <w:highlight w:val="none"/>
          <w:u w:val="none" w:color="auto"/>
          <w:lang w:val="en-US"/>
        </w:rPr>
        <w:t xml:space="preserve"> </w:t>
      </w:r>
      <w:r>
        <w:rPr>
          <w:rFonts w:hint="default" w:ascii="Times New Roman" w:hAnsi="Times New Roman" w:eastAsia="宋体" w:cs="Times New Roman"/>
          <w:b/>
          <w:bCs/>
          <w:strike w:val="0"/>
          <w:dstrike w:val="0"/>
          <w:color w:val="auto"/>
          <w:kern w:val="0"/>
          <w:sz w:val="24"/>
          <w:szCs w:val="24"/>
          <w:highlight w:val="none"/>
          <w:u w:val="none" w:color="auto"/>
          <w:lang w:val="en-US" w:eastAsia="zh-CN"/>
        </w:rPr>
        <w:t>铜矿渣</w:t>
      </w:r>
      <w:r>
        <w:rPr>
          <w:rFonts w:hint="default" w:ascii="Times New Roman" w:hAnsi="Times New Roman" w:eastAsia="宋体" w:cs="Times New Roman"/>
          <w:b/>
          <w:bCs/>
          <w:strike w:val="0"/>
          <w:dstrike w:val="0"/>
          <w:color w:val="auto"/>
          <w:kern w:val="0"/>
          <w:sz w:val="24"/>
          <w:szCs w:val="24"/>
          <w:highlight w:val="none"/>
          <w:u w:val="none" w:color="auto"/>
          <w:lang w:val="en-US"/>
        </w:rPr>
        <w:t>化学成分</w:t>
      </w:r>
      <w:r>
        <w:rPr>
          <w:rFonts w:hint="default" w:ascii="Times New Roman" w:hAnsi="Times New Roman" w:eastAsia="宋体" w:cs="Times New Roman"/>
          <w:b/>
          <w:bCs/>
          <w:strike w:val="0"/>
          <w:dstrike w:val="0"/>
          <w:color w:val="auto"/>
          <w:kern w:val="0"/>
          <w:sz w:val="24"/>
          <w:szCs w:val="24"/>
          <w:highlight w:val="none"/>
          <w:u w:val="none" w:color="auto"/>
          <w:lang w:val="en-US" w:eastAsia="zh-CN"/>
        </w:rPr>
        <w:t>表</w:t>
      </w:r>
      <w:r>
        <w:rPr>
          <w:rFonts w:hint="default" w:ascii="Times New Roman" w:hAnsi="Times New Roman" w:eastAsia="宋体" w:cs="Times New Roman"/>
          <w:b/>
          <w:bCs/>
          <w:strike w:val="0"/>
          <w:dstrike w:val="0"/>
          <w:color w:val="auto"/>
          <w:kern w:val="0"/>
          <w:sz w:val="24"/>
          <w:szCs w:val="24"/>
          <w:highlight w:val="none"/>
          <w:u w:val="none" w:color="auto"/>
          <w:lang w:val="en-US"/>
        </w:rPr>
        <w:t>（%）</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67"/>
        <w:gridCol w:w="1367"/>
        <w:gridCol w:w="1130"/>
        <w:gridCol w:w="1130"/>
        <w:gridCol w:w="1118"/>
        <w:gridCol w:w="1118"/>
        <w:gridCol w:w="1121"/>
      </w:tblGrid>
      <w:tr w14:paraId="3D08357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8" w:type="pct"/>
            <w:tcBorders>
              <w:tl2br w:val="nil"/>
              <w:tr2bl w:val="nil"/>
            </w:tcBorders>
            <w:noWrap w:val="0"/>
            <w:tcMar>
              <w:left w:w="28" w:type="dxa"/>
              <w:right w:w="28" w:type="dxa"/>
            </w:tcMar>
            <w:vAlign w:val="top"/>
          </w:tcPr>
          <w:p w14:paraId="0695A51E">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L.O.I</w:t>
            </w:r>
          </w:p>
        </w:tc>
        <w:tc>
          <w:tcPr>
            <w:tcW w:w="818" w:type="pct"/>
            <w:tcBorders>
              <w:tl2br w:val="nil"/>
              <w:tr2bl w:val="nil"/>
            </w:tcBorders>
            <w:noWrap w:val="0"/>
            <w:tcMar>
              <w:left w:w="28" w:type="dxa"/>
              <w:right w:w="28" w:type="dxa"/>
            </w:tcMar>
            <w:vAlign w:val="top"/>
          </w:tcPr>
          <w:p w14:paraId="12CF2078">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SiO</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2</w:t>
            </w:r>
          </w:p>
        </w:tc>
        <w:tc>
          <w:tcPr>
            <w:tcW w:w="676" w:type="pct"/>
            <w:tcBorders>
              <w:tl2br w:val="nil"/>
              <w:tr2bl w:val="nil"/>
            </w:tcBorders>
            <w:noWrap w:val="0"/>
            <w:tcMar>
              <w:left w:w="28" w:type="dxa"/>
              <w:right w:w="28" w:type="dxa"/>
            </w:tcMar>
            <w:vAlign w:val="top"/>
          </w:tcPr>
          <w:p w14:paraId="4DF54F5A">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Al</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2</w:t>
            </w:r>
            <w:r>
              <w:rPr>
                <w:rFonts w:hint="default" w:ascii="Times New Roman" w:hAnsi="Times New Roman" w:eastAsia="宋体" w:cs="Times New Roman"/>
                <w:b/>
                <w:bCs/>
                <w:strike w:val="0"/>
                <w:dstrike w:val="0"/>
                <w:color w:val="auto"/>
                <w:kern w:val="0"/>
                <w:sz w:val="21"/>
                <w:szCs w:val="21"/>
                <w:highlight w:val="none"/>
                <w:u w:val="none" w:color="auto"/>
                <w:lang w:val="en-US" w:eastAsia="zh-CN"/>
              </w:rPr>
              <w:t>O</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3</w:t>
            </w:r>
          </w:p>
        </w:tc>
        <w:tc>
          <w:tcPr>
            <w:tcW w:w="676" w:type="pct"/>
            <w:tcBorders>
              <w:tl2br w:val="nil"/>
              <w:tr2bl w:val="nil"/>
            </w:tcBorders>
            <w:noWrap w:val="0"/>
            <w:tcMar>
              <w:left w:w="28" w:type="dxa"/>
              <w:right w:w="28" w:type="dxa"/>
            </w:tcMar>
            <w:vAlign w:val="top"/>
          </w:tcPr>
          <w:p w14:paraId="43CC7388">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Fe</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2</w:t>
            </w:r>
            <w:r>
              <w:rPr>
                <w:rFonts w:hint="default" w:ascii="Times New Roman" w:hAnsi="Times New Roman" w:eastAsia="宋体" w:cs="Times New Roman"/>
                <w:b/>
                <w:bCs/>
                <w:strike w:val="0"/>
                <w:dstrike w:val="0"/>
                <w:color w:val="auto"/>
                <w:kern w:val="0"/>
                <w:sz w:val="21"/>
                <w:szCs w:val="21"/>
                <w:highlight w:val="none"/>
                <w:u w:val="none" w:color="auto"/>
                <w:lang w:val="en-US" w:eastAsia="zh-CN"/>
              </w:rPr>
              <w:t>O</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3</w:t>
            </w:r>
          </w:p>
        </w:tc>
        <w:tc>
          <w:tcPr>
            <w:tcW w:w="669" w:type="pct"/>
            <w:tcBorders>
              <w:tl2br w:val="nil"/>
              <w:tr2bl w:val="nil"/>
            </w:tcBorders>
            <w:noWrap w:val="0"/>
            <w:tcMar>
              <w:left w:w="28" w:type="dxa"/>
              <w:right w:w="28" w:type="dxa"/>
            </w:tcMar>
            <w:vAlign w:val="top"/>
          </w:tcPr>
          <w:p w14:paraId="209EEA6F">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CaO</w:t>
            </w:r>
          </w:p>
        </w:tc>
        <w:tc>
          <w:tcPr>
            <w:tcW w:w="669" w:type="pct"/>
            <w:tcBorders>
              <w:tl2br w:val="nil"/>
              <w:tr2bl w:val="nil"/>
            </w:tcBorders>
            <w:noWrap w:val="0"/>
            <w:tcMar>
              <w:left w:w="28" w:type="dxa"/>
              <w:right w:w="28" w:type="dxa"/>
            </w:tcMar>
            <w:vAlign w:val="top"/>
          </w:tcPr>
          <w:p w14:paraId="3770D180">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MgO</w:t>
            </w:r>
          </w:p>
        </w:tc>
        <w:tc>
          <w:tcPr>
            <w:tcW w:w="670" w:type="pct"/>
            <w:tcBorders>
              <w:tl2br w:val="nil"/>
              <w:tr2bl w:val="nil"/>
            </w:tcBorders>
            <w:noWrap w:val="0"/>
            <w:tcMar>
              <w:left w:w="28" w:type="dxa"/>
              <w:right w:w="28" w:type="dxa"/>
            </w:tcMar>
            <w:vAlign w:val="center"/>
          </w:tcPr>
          <w:p w14:paraId="1E763ED6">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Cl－</w:t>
            </w:r>
          </w:p>
        </w:tc>
      </w:tr>
      <w:tr w14:paraId="558A282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818" w:type="pct"/>
            <w:tcBorders>
              <w:tl2br w:val="nil"/>
              <w:tr2bl w:val="nil"/>
            </w:tcBorders>
            <w:noWrap w:val="0"/>
            <w:tcMar>
              <w:left w:w="28" w:type="dxa"/>
              <w:right w:w="28" w:type="dxa"/>
            </w:tcMar>
            <w:vAlign w:val="center"/>
          </w:tcPr>
          <w:p w14:paraId="640C27CA">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-2.26</w:t>
            </w:r>
          </w:p>
        </w:tc>
        <w:tc>
          <w:tcPr>
            <w:tcW w:w="818" w:type="pct"/>
            <w:tcBorders>
              <w:tl2br w:val="nil"/>
              <w:tr2bl w:val="nil"/>
            </w:tcBorders>
            <w:noWrap w:val="0"/>
            <w:tcMar>
              <w:left w:w="28" w:type="dxa"/>
              <w:right w:w="28" w:type="dxa"/>
            </w:tcMar>
            <w:vAlign w:val="center"/>
          </w:tcPr>
          <w:p w14:paraId="6A3CA0D1">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35.74</w:t>
            </w:r>
          </w:p>
        </w:tc>
        <w:tc>
          <w:tcPr>
            <w:tcW w:w="676" w:type="pct"/>
            <w:tcBorders>
              <w:tl2br w:val="nil"/>
              <w:tr2bl w:val="nil"/>
            </w:tcBorders>
            <w:noWrap w:val="0"/>
            <w:tcMar>
              <w:left w:w="28" w:type="dxa"/>
              <w:right w:w="28" w:type="dxa"/>
            </w:tcMar>
            <w:vAlign w:val="center"/>
          </w:tcPr>
          <w:p w14:paraId="35819917">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7.20</w:t>
            </w:r>
          </w:p>
        </w:tc>
        <w:tc>
          <w:tcPr>
            <w:tcW w:w="676" w:type="pct"/>
            <w:tcBorders>
              <w:tl2br w:val="nil"/>
              <w:tr2bl w:val="nil"/>
            </w:tcBorders>
            <w:noWrap w:val="0"/>
            <w:tcMar>
              <w:left w:w="28" w:type="dxa"/>
              <w:right w:w="28" w:type="dxa"/>
            </w:tcMar>
            <w:vAlign w:val="center"/>
          </w:tcPr>
          <w:p w14:paraId="36E55A81">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36.78</w:t>
            </w:r>
          </w:p>
        </w:tc>
        <w:tc>
          <w:tcPr>
            <w:tcW w:w="669" w:type="pct"/>
            <w:tcBorders>
              <w:tl2br w:val="nil"/>
              <w:tr2bl w:val="nil"/>
            </w:tcBorders>
            <w:noWrap w:val="0"/>
            <w:tcMar>
              <w:left w:w="28" w:type="dxa"/>
              <w:right w:w="28" w:type="dxa"/>
            </w:tcMar>
            <w:vAlign w:val="center"/>
          </w:tcPr>
          <w:p w14:paraId="26C767A8">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14.24</w:t>
            </w:r>
          </w:p>
        </w:tc>
        <w:tc>
          <w:tcPr>
            <w:tcW w:w="669" w:type="pct"/>
            <w:tcBorders>
              <w:tl2br w:val="nil"/>
              <w:tr2bl w:val="nil"/>
            </w:tcBorders>
            <w:noWrap w:val="0"/>
            <w:tcMar>
              <w:left w:w="28" w:type="dxa"/>
              <w:right w:w="28" w:type="dxa"/>
            </w:tcMar>
            <w:vAlign w:val="center"/>
          </w:tcPr>
          <w:p w14:paraId="295BF486">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5.09</w:t>
            </w:r>
          </w:p>
        </w:tc>
        <w:tc>
          <w:tcPr>
            <w:tcW w:w="670" w:type="pct"/>
            <w:tcBorders>
              <w:tl2br w:val="nil"/>
              <w:tr2bl w:val="nil"/>
            </w:tcBorders>
            <w:noWrap w:val="0"/>
            <w:tcMar>
              <w:left w:w="28" w:type="dxa"/>
              <w:right w:w="28" w:type="dxa"/>
            </w:tcMar>
            <w:vAlign w:val="center"/>
          </w:tcPr>
          <w:p w14:paraId="038A44E2">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t>0.021</w:t>
            </w:r>
          </w:p>
        </w:tc>
      </w:tr>
    </w:tbl>
    <w:p w14:paraId="6BF7FF59">
      <w:pPr>
        <w:widowControl/>
        <w:snapToGrid w:val="0"/>
        <w:spacing w:line="360" w:lineRule="auto"/>
        <w:ind w:firstLine="480" w:firstLineChars="200"/>
        <w:jc w:val="left"/>
        <w:rPr>
          <w:rFonts w:hint="default" w:ascii="Times New Roman" w:hAnsi="Times New Roman" w:cs="Times New Roman"/>
          <w:b w:val="0"/>
          <w:bCs w:val="0"/>
          <w:strike w:val="0"/>
          <w:dstrike w:val="0"/>
          <w:color w:val="auto"/>
          <w:kern w:val="0"/>
          <w:sz w:val="24"/>
          <w:szCs w:val="24"/>
          <w:u w:val="none" w:color="auto"/>
          <w:lang w:val="en-US" w:eastAsia="zh-CN"/>
        </w:rPr>
      </w:pPr>
      <w:r>
        <w:rPr>
          <w:rFonts w:hint="default" w:ascii="Times New Roman" w:hAnsi="Times New Roman" w:cs="Times New Roman"/>
          <w:b w:val="0"/>
          <w:bCs w:val="0"/>
          <w:strike w:val="0"/>
          <w:dstrike w:val="0"/>
          <w:color w:val="auto"/>
          <w:kern w:val="0"/>
          <w:sz w:val="24"/>
          <w:szCs w:val="24"/>
          <w:u w:val="none" w:color="auto"/>
          <w:lang w:val="en-US" w:eastAsia="zh-CN"/>
        </w:rPr>
        <w:t>（4）煤矸石原料</w:t>
      </w:r>
    </w:p>
    <w:p w14:paraId="6C7027F3">
      <w:pPr>
        <w:widowControl/>
        <w:snapToGrid w:val="0"/>
        <w:spacing w:line="360" w:lineRule="auto"/>
        <w:ind w:firstLine="480" w:firstLineChars="200"/>
        <w:jc w:val="left"/>
        <w:rPr>
          <w:rFonts w:hint="default" w:ascii="Times New Roman" w:hAnsi="Times New Roman" w:cs="Times New Roman"/>
          <w:strike w:val="0"/>
          <w:dstrike w:val="0"/>
          <w:color w:val="auto"/>
          <w:kern w:val="0"/>
          <w:sz w:val="24"/>
          <w:szCs w:val="24"/>
          <w:u w:val="none" w:color="auto"/>
          <w:lang w:val="en-US"/>
        </w:rPr>
      </w:pPr>
      <w:r>
        <w:rPr>
          <w:rFonts w:hint="default" w:ascii="Times New Roman" w:hAnsi="Times New Roman" w:cs="Times New Roman"/>
          <w:strike w:val="0"/>
          <w:dstrike w:val="0"/>
          <w:color w:val="auto"/>
          <w:kern w:val="0"/>
          <w:sz w:val="24"/>
          <w:szCs w:val="24"/>
          <w:u w:val="none" w:color="auto"/>
          <w:lang w:val="en-US" w:eastAsia="zh-CN"/>
        </w:rPr>
        <w:t>煤矸石</w:t>
      </w:r>
      <w:r>
        <w:rPr>
          <w:rFonts w:hint="default" w:ascii="Times New Roman" w:hAnsi="Times New Roman" w:cs="Times New Roman"/>
          <w:strike w:val="0"/>
          <w:dstrike w:val="0"/>
          <w:color w:val="auto"/>
          <w:kern w:val="0"/>
          <w:sz w:val="24"/>
          <w:szCs w:val="24"/>
          <w:u w:val="none" w:color="auto"/>
          <w:lang w:val="en-US"/>
        </w:rPr>
        <w:t>化学成分见表</w:t>
      </w:r>
      <w:r>
        <w:rPr>
          <w:rFonts w:hint="default" w:ascii="Times New Roman" w:hAnsi="Times New Roman" w:cs="Times New Roman"/>
          <w:strike w:val="0"/>
          <w:dstrike w:val="0"/>
          <w:color w:val="auto"/>
          <w:kern w:val="0"/>
          <w:sz w:val="24"/>
          <w:szCs w:val="24"/>
          <w:u w:val="none" w:color="auto"/>
          <w:lang w:val="en-US" w:eastAsia="zh-CN"/>
        </w:rPr>
        <w:t>3.1-7。</w:t>
      </w:r>
    </w:p>
    <w:p w14:paraId="64ABA13C">
      <w:pPr>
        <w:pStyle w:val="11"/>
        <w:keepNext w:val="0"/>
        <w:keepLines w:val="0"/>
        <w:pageBreakBefore w:val="0"/>
        <w:widowControl/>
        <w:kinsoku/>
        <w:wordWrap/>
        <w:overflowPunct/>
        <w:topLinePunct w:val="0"/>
        <w:autoSpaceDE/>
        <w:autoSpaceDN/>
        <w:bidi w:val="0"/>
        <w:adjustRightInd/>
        <w:snapToGrid/>
        <w:spacing w:after="0" w:afterLines="0" w:afterAutospacing="0"/>
        <w:jc w:val="center"/>
        <w:textAlignment w:val="auto"/>
        <w:rPr>
          <w:rFonts w:hint="default" w:ascii="Times New Roman" w:hAnsi="Times New Roman" w:eastAsia="宋体" w:cs="Times New Roman"/>
          <w:b/>
          <w:bCs/>
          <w:strike w:val="0"/>
          <w:dstrike w:val="0"/>
          <w:color w:val="auto"/>
          <w:kern w:val="0"/>
          <w:sz w:val="24"/>
          <w:szCs w:val="24"/>
          <w:highlight w:val="none"/>
          <w:u w:val="none" w:color="auto"/>
          <w:lang w:val="en-US"/>
        </w:rPr>
      </w:pPr>
      <w:r>
        <w:rPr>
          <w:rFonts w:hint="default" w:ascii="Times New Roman" w:hAnsi="Times New Roman" w:eastAsia="宋体" w:cs="Times New Roman"/>
          <w:b/>
          <w:bCs/>
          <w:strike w:val="0"/>
          <w:dstrike w:val="0"/>
          <w:color w:val="auto"/>
          <w:kern w:val="0"/>
          <w:sz w:val="24"/>
          <w:szCs w:val="24"/>
          <w:highlight w:val="none"/>
          <w:u w:val="none" w:color="auto"/>
          <w:lang w:val="en-US"/>
        </w:rPr>
        <w:t>表</w:t>
      </w:r>
      <w:r>
        <w:rPr>
          <w:rFonts w:hint="default" w:ascii="Times New Roman" w:hAnsi="Times New Roman" w:eastAsia="宋体" w:cs="Times New Roman"/>
          <w:b/>
          <w:bCs/>
          <w:strike w:val="0"/>
          <w:dstrike w:val="0"/>
          <w:color w:val="auto"/>
          <w:kern w:val="0"/>
          <w:sz w:val="24"/>
          <w:szCs w:val="24"/>
          <w:highlight w:val="none"/>
          <w:u w:val="none" w:color="auto"/>
          <w:lang w:val="en-US" w:eastAsia="zh-CN"/>
        </w:rPr>
        <w:t>3.1-7 煤矸石</w:t>
      </w:r>
      <w:r>
        <w:rPr>
          <w:rFonts w:hint="default" w:ascii="Times New Roman" w:hAnsi="Times New Roman" w:eastAsia="宋体" w:cs="Times New Roman"/>
          <w:b/>
          <w:bCs/>
          <w:strike w:val="0"/>
          <w:dstrike w:val="0"/>
          <w:color w:val="auto"/>
          <w:kern w:val="0"/>
          <w:sz w:val="24"/>
          <w:szCs w:val="24"/>
          <w:highlight w:val="none"/>
          <w:u w:val="none" w:color="auto"/>
          <w:lang w:val="en-US"/>
        </w:rPr>
        <w:t>化学成分（%）</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1205"/>
        <w:gridCol w:w="996"/>
        <w:gridCol w:w="996"/>
        <w:gridCol w:w="986"/>
        <w:gridCol w:w="986"/>
        <w:gridCol w:w="988"/>
        <w:gridCol w:w="989"/>
      </w:tblGrid>
      <w:tr w14:paraId="089225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21" w:type="pct"/>
            <w:tcBorders>
              <w:tl2br w:val="nil"/>
              <w:tr2bl w:val="nil"/>
            </w:tcBorders>
            <w:noWrap w:val="0"/>
            <w:tcMar>
              <w:left w:w="28" w:type="dxa"/>
              <w:right w:w="28" w:type="dxa"/>
            </w:tcMar>
            <w:vAlign w:val="top"/>
          </w:tcPr>
          <w:p w14:paraId="6E5642D4">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L.O.I</w:t>
            </w:r>
          </w:p>
        </w:tc>
        <w:tc>
          <w:tcPr>
            <w:tcW w:w="721" w:type="pct"/>
            <w:tcBorders>
              <w:tl2br w:val="nil"/>
              <w:tr2bl w:val="nil"/>
            </w:tcBorders>
            <w:noWrap w:val="0"/>
            <w:tcMar>
              <w:left w:w="28" w:type="dxa"/>
              <w:right w:w="28" w:type="dxa"/>
            </w:tcMar>
            <w:vAlign w:val="top"/>
          </w:tcPr>
          <w:p w14:paraId="40706E3E">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SiO</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2</w:t>
            </w:r>
          </w:p>
        </w:tc>
        <w:tc>
          <w:tcPr>
            <w:tcW w:w="596" w:type="pct"/>
            <w:tcBorders>
              <w:tl2br w:val="nil"/>
              <w:tr2bl w:val="nil"/>
            </w:tcBorders>
            <w:noWrap w:val="0"/>
            <w:tcMar>
              <w:left w:w="28" w:type="dxa"/>
              <w:right w:w="28" w:type="dxa"/>
            </w:tcMar>
            <w:vAlign w:val="top"/>
          </w:tcPr>
          <w:p w14:paraId="73DDB842">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Al</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2</w:t>
            </w:r>
            <w:r>
              <w:rPr>
                <w:rFonts w:hint="default" w:ascii="Times New Roman" w:hAnsi="Times New Roman" w:eastAsia="宋体" w:cs="Times New Roman"/>
                <w:b/>
                <w:bCs/>
                <w:strike w:val="0"/>
                <w:dstrike w:val="0"/>
                <w:color w:val="auto"/>
                <w:kern w:val="0"/>
                <w:sz w:val="21"/>
                <w:szCs w:val="21"/>
                <w:highlight w:val="none"/>
                <w:u w:val="none" w:color="auto"/>
                <w:lang w:val="en-US" w:eastAsia="zh-CN"/>
              </w:rPr>
              <w:t>O</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3</w:t>
            </w:r>
          </w:p>
        </w:tc>
        <w:tc>
          <w:tcPr>
            <w:tcW w:w="596" w:type="pct"/>
            <w:tcBorders>
              <w:tl2br w:val="nil"/>
              <w:tr2bl w:val="nil"/>
            </w:tcBorders>
            <w:noWrap w:val="0"/>
            <w:tcMar>
              <w:left w:w="28" w:type="dxa"/>
              <w:right w:w="28" w:type="dxa"/>
            </w:tcMar>
            <w:vAlign w:val="top"/>
          </w:tcPr>
          <w:p w14:paraId="60A7A36B">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Fe</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2</w:t>
            </w:r>
            <w:r>
              <w:rPr>
                <w:rFonts w:hint="default" w:ascii="Times New Roman" w:hAnsi="Times New Roman" w:eastAsia="宋体" w:cs="Times New Roman"/>
                <w:b/>
                <w:bCs/>
                <w:strike w:val="0"/>
                <w:dstrike w:val="0"/>
                <w:color w:val="auto"/>
                <w:kern w:val="0"/>
                <w:sz w:val="21"/>
                <w:szCs w:val="21"/>
                <w:highlight w:val="none"/>
                <w:u w:val="none" w:color="auto"/>
                <w:lang w:val="en-US" w:eastAsia="zh-CN"/>
              </w:rPr>
              <w:t>O</w:t>
            </w:r>
            <w:r>
              <w:rPr>
                <w:rFonts w:hint="default" w:ascii="Times New Roman" w:hAnsi="Times New Roman" w:eastAsia="宋体" w:cs="Times New Roman"/>
                <w:b/>
                <w:bCs/>
                <w:strike w:val="0"/>
                <w:dstrike w:val="0"/>
                <w:color w:val="auto"/>
                <w:kern w:val="0"/>
                <w:sz w:val="21"/>
                <w:szCs w:val="21"/>
                <w:highlight w:val="none"/>
                <w:u w:val="none" w:color="auto"/>
                <w:vertAlign w:val="subscript"/>
                <w:lang w:val="en-US" w:eastAsia="zh-CN"/>
              </w:rPr>
              <w:t>3</w:t>
            </w:r>
          </w:p>
        </w:tc>
        <w:tc>
          <w:tcPr>
            <w:tcW w:w="590" w:type="pct"/>
            <w:tcBorders>
              <w:tl2br w:val="nil"/>
              <w:tr2bl w:val="nil"/>
            </w:tcBorders>
            <w:noWrap w:val="0"/>
            <w:tcMar>
              <w:left w:w="28" w:type="dxa"/>
              <w:right w:w="28" w:type="dxa"/>
            </w:tcMar>
            <w:vAlign w:val="top"/>
          </w:tcPr>
          <w:p w14:paraId="3D6575D7">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CaO</w:t>
            </w:r>
          </w:p>
        </w:tc>
        <w:tc>
          <w:tcPr>
            <w:tcW w:w="590" w:type="pct"/>
            <w:tcBorders>
              <w:tl2br w:val="nil"/>
              <w:tr2bl w:val="nil"/>
            </w:tcBorders>
            <w:noWrap w:val="0"/>
            <w:tcMar>
              <w:left w:w="28" w:type="dxa"/>
              <w:right w:w="28" w:type="dxa"/>
            </w:tcMar>
            <w:vAlign w:val="top"/>
          </w:tcPr>
          <w:p w14:paraId="04B011D7">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MgO</w:t>
            </w:r>
          </w:p>
        </w:tc>
        <w:tc>
          <w:tcPr>
            <w:tcW w:w="591" w:type="pct"/>
            <w:tcBorders>
              <w:tl2br w:val="nil"/>
              <w:tr2bl w:val="nil"/>
            </w:tcBorders>
            <w:noWrap w:val="0"/>
            <w:tcMar>
              <w:left w:w="28" w:type="dxa"/>
              <w:right w:w="28" w:type="dxa"/>
            </w:tcMar>
            <w:vAlign w:val="center"/>
          </w:tcPr>
          <w:p w14:paraId="29CC21F6">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Cl－</w:t>
            </w:r>
          </w:p>
        </w:tc>
        <w:tc>
          <w:tcPr>
            <w:tcW w:w="591" w:type="pct"/>
            <w:tcBorders>
              <w:tl2br w:val="nil"/>
              <w:tr2bl w:val="nil"/>
            </w:tcBorders>
            <w:noWrap w:val="0"/>
            <w:tcMar>
              <w:left w:w="28" w:type="dxa"/>
              <w:right w:w="28" w:type="dxa"/>
            </w:tcMar>
            <w:vAlign w:val="top"/>
          </w:tcPr>
          <w:p w14:paraId="3EB86AC9">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S</w:t>
            </w:r>
          </w:p>
        </w:tc>
      </w:tr>
      <w:tr w14:paraId="429DE39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06" w:type="dxa"/>
            <w:tcBorders>
              <w:tl2br w:val="nil"/>
              <w:tr2bl w:val="nil"/>
            </w:tcBorders>
            <w:noWrap w:val="0"/>
            <w:tcMar>
              <w:left w:w="28" w:type="dxa"/>
              <w:right w:w="28" w:type="dxa"/>
            </w:tcMar>
            <w:vAlign w:val="center"/>
          </w:tcPr>
          <w:p w14:paraId="5F12D3DB">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15.84</w:t>
            </w:r>
          </w:p>
        </w:tc>
        <w:tc>
          <w:tcPr>
            <w:tcW w:w="1207" w:type="dxa"/>
            <w:tcBorders>
              <w:tl2br w:val="nil"/>
              <w:tr2bl w:val="nil"/>
            </w:tcBorders>
            <w:noWrap w:val="0"/>
            <w:tcMar>
              <w:left w:w="28" w:type="dxa"/>
              <w:right w:w="28" w:type="dxa"/>
            </w:tcMar>
            <w:vAlign w:val="center"/>
          </w:tcPr>
          <w:p w14:paraId="67F34B10">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54.02</w:t>
            </w:r>
          </w:p>
        </w:tc>
        <w:tc>
          <w:tcPr>
            <w:tcW w:w="998" w:type="dxa"/>
            <w:tcBorders>
              <w:tl2br w:val="nil"/>
              <w:tr2bl w:val="nil"/>
            </w:tcBorders>
            <w:noWrap w:val="0"/>
            <w:tcMar>
              <w:left w:w="28" w:type="dxa"/>
              <w:right w:w="28" w:type="dxa"/>
            </w:tcMar>
            <w:vAlign w:val="center"/>
          </w:tcPr>
          <w:p w14:paraId="4F9295F3">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16.93</w:t>
            </w:r>
          </w:p>
        </w:tc>
        <w:tc>
          <w:tcPr>
            <w:tcW w:w="998" w:type="dxa"/>
            <w:tcBorders>
              <w:tl2br w:val="nil"/>
              <w:tr2bl w:val="nil"/>
            </w:tcBorders>
            <w:noWrap w:val="0"/>
            <w:tcMar>
              <w:left w:w="28" w:type="dxa"/>
              <w:right w:w="28" w:type="dxa"/>
            </w:tcMar>
            <w:vAlign w:val="center"/>
          </w:tcPr>
          <w:p w14:paraId="658FA06A">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6.35</w:t>
            </w:r>
          </w:p>
        </w:tc>
        <w:tc>
          <w:tcPr>
            <w:tcW w:w="988" w:type="dxa"/>
            <w:tcBorders>
              <w:tl2br w:val="nil"/>
              <w:tr2bl w:val="nil"/>
            </w:tcBorders>
            <w:noWrap w:val="0"/>
            <w:tcMar>
              <w:left w:w="28" w:type="dxa"/>
              <w:right w:w="28" w:type="dxa"/>
            </w:tcMar>
            <w:vAlign w:val="center"/>
          </w:tcPr>
          <w:p w14:paraId="50CA33F2">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1.56</w:t>
            </w:r>
          </w:p>
        </w:tc>
        <w:tc>
          <w:tcPr>
            <w:tcW w:w="988" w:type="dxa"/>
            <w:tcBorders>
              <w:tl2br w:val="nil"/>
              <w:tr2bl w:val="nil"/>
            </w:tcBorders>
            <w:noWrap w:val="0"/>
            <w:tcMar>
              <w:left w:w="28" w:type="dxa"/>
              <w:right w:w="28" w:type="dxa"/>
            </w:tcMar>
            <w:vAlign w:val="center"/>
          </w:tcPr>
          <w:p w14:paraId="2759375A">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2.81</w:t>
            </w:r>
          </w:p>
        </w:tc>
        <w:tc>
          <w:tcPr>
            <w:tcW w:w="989" w:type="dxa"/>
            <w:tcBorders>
              <w:tl2br w:val="nil"/>
              <w:tr2bl w:val="nil"/>
            </w:tcBorders>
            <w:noWrap w:val="0"/>
            <w:tcMar>
              <w:left w:w="28" w:type="dxa"/>
              <w:right w:w="28" w:type="dxa"/>
            </w:tcMar>
            <w:vAlign w:val="center"/>
          </w:tcPr>
          <w:p w14:paraId="5BDAAC05">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0.024</w:t>
            </w:r>
          </w:p>
        </w:tc>
        <w:tc>
          <w:tcPr>
            <w:tcW w:w="989" w:type="dxa"/>
            <w:tcBorders>
              <w:tl2br w:val="nil"/>
              <w:tr2bl w:val="nil"/>
            </w:tcBorders>
            <w:noWrap w:val="0"/>
            <w:tcMar>
              <w:left w:w="28" w:type="dxa"/>
              <w:right w:w="28" w:type="dxa"/>
            </w:tcMar>
            <w:vAlign w:val="center"/>
          </w:tcPr>
          <w:p w14:paraId="5B064267">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0.08</w:t>
            </w:r>
          </w:p>
        </w:tc>
      </w:tr>
    </w:tbl>
    <w:p w14:paraId="534345B6">
      <w:pPr>
        <w:widowControl/>
        <w:snapToGrid w:val="0"/>
        <w:spacing w:line="360" w:lineRule="auto"/>
        <w:ind w:firstLine="482" w:firstLineChars="200"/>
        <w:jc w:val="left"/>
        <w:rPr>
          <w:rFonts w:hint="default" w:ascii="Times New Roman" w:hAnsi="Times New Roman" w:cs="Times New Roman"/>
          <w:b/>
          <w:bCs/>
          <w:strike w:val="0"/>
          <w:dstrike w:val="0"/>
          <w:color w:val="auto"/>
          <w:kern w:val="0"/>
          <w:sz w:val="24"/>
          <w:szCs w:val="24"/>
          <w:u w:val="none" w:color="auto"/>
          <w:lang w:val="en-US" w:eastAsia="zh-CN"/>
        </w:rPr>
      </w:pPr>
      <w:r>
        <w:rPr>
          <w:rFonts w:hint="default" w:ascii="Times New Roman" w:hAnsi="Times New Roman" w:cs="Times New Roman"/>
          <w:b/>
          <w:bCs/>
          <w:strike w:val="0"/>
          <w:dstrike w:val="0"/>
          <w:color w:val="auto"/>
          <w:kern w:val="0"/>
          <w:sz w:val="24"/>
          <w:szCs w:val="24"/>
          <w:u w:val="none" w:color="auto"/>
          <w:lang w:val="en-US" w:eastAsia="zh-CN"/>
        </w:rPr>
        <w:t>（5）原煤</w:t>
      </w:r>
    </w:p>
    <w:p w14:paraId="6A9A6632">
      <w:pPr>
        <w:widowControl/>
        <w:snapToGrid w:val="0"/>
        <w:spacing w:line="360" w:lineRule="auto"/>
        <w:ind w:firstLine="480" w:firstLineChars="200"/>
        <w:jc w:val="left"/>
        <w:rPr>
          <w:rFonts w:hint="default" w:ascii="Times New Roman" w:hAnsi="Times New Roman" w:cs="Times New Roman"/>
          <w:strike w:val="0"/>
          <w:dstrike w:val="0"/>
          <w:color w:val="auto"/>
          <w:kern w:val="0"/>
          <w:sz w:val="24"/>
          <w:szCs w:val="24"/>
          <w:u w:val="none" w:color="auto"/>
          <w:lang w:val="en-US" w:eastAsia="zh-CN"/>
        </w:rPr>
      </w:pPr>
      <w:r>
        <w:rPr>
          <w:rFonts w:hint="default" w:ascii="Times New Roman" w:hAnsi="Times New Roman" w:cs="Times New Roman"/>
          <w:strike w:val="0"/>
          <w:dstrike w:val="0"/>
          <w:color w:val="auto"/>
          <w:kern w:val="0"/>
          <w:sz w:val="24"/>
          <w:szCs w:val="24"/>
          <w:u w:val="none" w:color="auto"/>
          <w:lang w:val="en-US" w:eastAsia="zh-CN"/>
        </w:rPr>
        <w:t>煤质工业分析结果见表3.1-8。</w:t>
      </w:r>
    </w:p>
    <w:p w14:paraId="21D88424">
      <w:pPr>
        <w:pStyle w:val="11"/>
        <w:keepNext w:val="0"/>
        <w:keepLines w:val="0"/>
        <w:pageBreakBefore w:val="0"/>
        <w:widowControl/>
        <w:kinsoku/>
        <w:wordWrap/>
        <w:overflowPunct/>
        <w:topLinePunct w:val="0"/>
        <w:autoSpaceDE/>
        <w:autoSpaceDN/>
        <w:bidi w:val="0"/>
        <w:adjustRightInd/>
        <w:snapToGrid/>
        <w:spacing w:after="0" w:afterLines="0" w:afterAutospacing="0"/>
        <w:jc w:val="center"/>
        <w:textAlignment w:val="auto"/>
        <w:rPr>
          <w:rFonts w:hint="default" w:ascii="Times New Roman" w:hAnsi="Times New Roman" w:eastAsia="宋体" w:cs="Times New Roman"/>
          <w:b/>
          <w:bCs/>
          <w:strike w:val="0"/>
          <w:dstrike w:val="0"/>
          <w:color w:val="auto"/>
          <w:kern w:val="0"/>
          <w:sz w:val="24"/>
          <w:szCs w:val="24"/>
          <w:highlight w:val="none"/>
          <w:u w:val="none" w:color="auto"/>
          <w:lang w:val="en-US"/>
        </w:rPr>
      </w:pPr>
      <w:r>
        <w:rPr>
          <w:rFonts w:hint="default" w:ascii="Times New Roman" w:hAnsi="Times New Roman" w:eastAsia="宋体" w:cs="Times New Roman"/>
          <w:b/>
          <w:bCs/>
          <w:strike w:val="0"/>
          <w:dstrike w:val="0"/>
          <w:color w:val="auto"/>
          <w:kern w:val="0"/>
          <w:sz w:val="24"/>
          <w:szCs w:val="24"/>
          <w:highlight w:val="none"/>
          <w:u w:val="none" w:color="auto"/>
          <w:lang w:val="en-US"/>
        </w:rPr>
        <w:t>表</w:t>
      </w:r>
      <w:r>
        <w:rPr>
          <w:rFonts w:hint="default" w:ascii="Times New Roman" w:hAnsi="Times New Roman" w:eastAsia="宋体" w:cs="Times New Roman"/>
          <w:b/>
          <w:bCs/>
          <w:strike w:val="0"/>
          <w:dstrike w:val="0"/>
          <w:color w:val="auto"/>
          <w:kern w:val="0"/>
          <w:sz w:val="24"/>
          <w:szCs w:val="24"/>
          <w:highlight w:val="none"/>
          <w:u w:val="none" w:color="auto"/>
          <w:lang w:val="en-US" w:eastAsia="zh-CN"/>
        </w:rPr>
        <w:t>3.1-8</w:t>
      </w:r>
      <w:r>
        <w:rPr>
          <w:rFonts w:hint="default" w:ascii="Times New Roman" w:hAnsi="Times New Roman" w:eastAsia="宋体" w:cs="Times New Roman"/>
          <w:b/>
          <w:bCs/>
          <w:strike w:val="0"/>
          <w:dstrike w:val="0"/>
          <w:color w:val="auto"/>
          <w:kern w:val="0"/>
          <w:sz w:val="24"/>
          <w:szCs w:val="24"/>
          <w:highlight w:val="none"/>
          <w:u w:val="none" w:color="auto"/>
          <w:lang w:val="en-US"/>
        </w:rPr>
        <w:t xml:space="preserve"> </w:t>
      </w:r>
      <w:r>
        <w:rPr>
          <w:rFonts w:hint="default" w:ascii="Times New Roman" w:hAnsi="Times New Roman" w:eastAsia="宋体" w:cs="Times New Roman"/>
          <w:b/>
          <w:bCs/>
          <w:strike w:val="0"/>
          <w:dstrike w:val="0"/>
          <w:color w:val="auto"/>
          <w:kern w:val="0"/>
          <w:sz w:val="24"/>
          <w:szCs w:val="24"/>
          <w:highlight w:val="none"/>
          <w:u w:val="none" w:color="auto"/>
          <w:lang w:val="en-US" w:eastAsia="zh-CN"/>
        </w:rPr>
        <w:t>原煤</w:t>
      </w:r>
      <w:r>
        <w:rPr>
          <w:rFonts w:hint="default" w:ascii="Times New Roman" w:hAnsi="Times New Roman" w:eastAsia="宋体" w:cs="Times New Roman"/>
          <w:b/>
          <w:bCs/>
          <w:strike w:val="0"/>
          <w:dstrike w:val="0"/>
          <w:color w:val="auto"/>
          <w:kern w:val="0"/>
          <w:sz w:val="24"/>
          <w:szCs w:val="24"/>
          <w:highlight w:val="none"/>
          <w:u w:val="none" w:color="auto"/>
          <w:lang w:val="en-US"/>
        </w:rPr>
        <w:t>化学成份表（％）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67"/>
        <w:gridCol w:w="1868"/>
        <w:gridCol w:w="1544"/>
        <w:gridCol w:w="1544"/>
        <w:gridCol w:w="1528"/>
      </w:tblGrid>
      <w:tr w14:paraId="63E2BC3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21" w:type="pct"/>
            <w:tcBorders>
              <w:tl2br w:val="nil"/>
              <w:tr2bl w:val="nil"/>
            </w:tcBorders>
            <w:noWrap w:val="0"/>
            <w:tcMar>
              <w:left w:w="28" w:type="dxa"/>
              <w:right w:w="28" w:type="dxa"/>
            </w:tcMar>
            <w:vAlign w:val="top"/>
          </w:tcPr>
          <w:p w14:paraId="43D9FB94">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灰分</w:t>
            </w:r>
          </w:p>
        </w:tc>
        <w:tc>
          <w:tcPr>
            <w:tcW w:w="721" w:type="pct"/>
            <w:tcBorders>
              <w:tl2br w:val="nil"/>
              <w:tr2bl w:val="nil"/>
            </w:tcBorders>
            <w:noWrap w:val="0"/>
            <w:tcMar>
              <w:left w:w="28" w:type="dxa"/>
              <w:right w:w="28" w:type="dxa"/>
            </w:tcMar>
            <w:vAlign w:val="top"/>
          </w:tcPr>
          <w:p w14:paraId="443F0121">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挥发分</w:t>
            </w:r>
          </w:p>
        </w:tc>
        <w:tc>
          <w:tcPr>
            <w:tcW w:w="596" w:type="pct"/>
            <w:tcBorders>
              <w:tl2br w:val="nil"/>
              <w:tr2bl w:val="nil"/>
            </w:tcBorders>
            <w:noWrap w:val="0"/>
            <w:tcMar>
              <w:left w:w="28" w:type="dxa"/>
              <w:right w:w="28" w:type="dxa"/>
            </w:tcMar>
            <w:vAlign w:val="top"/>
          </w:tcPr>
          <w:p w14:paraId="4EB7F784">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空干基kJ/kg</w:t>
            </w:r>
          </w:p>
        </w:tc>
        <w:tc>
          <w:tcPr>
            <w:tcW w:w="596" w:type="pct"/>
            <w:tcBorders>
              <w:tl2br w:val="nil"/>
              <w:tr2bl w:val="nil"/>
            </w:tcBorders>
            <w:noWrap w:val="0"/>
            <w:tcMar>
              <w:left w:w="28" w:type="dxa"/>
              <w:right w:w="28" w:type="dxa"/>
            </w:tcMar>
            <w:vAlign w:val="top"/>
          </w:tcPr>
          <w:p w14:paraId="742E8B3D">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收到基kJ/kg</w:t>
            </w:r>
          </w:p>
        </w:tc>
        <w:tc>
          <w:tcPr>
            <w:tcW w:w="590" w:type="pct"/>
            <w:tcBorders>
              <w:tl2br w:val="nil"/>
              <w:tr2bl w:val="nil"/>
            </w:tcBorders>
            <w:noWrap w:val="0"/>
            <w:tcMar>
              <w:left w:w="28" w:type="dxa"/>
              <w:right w:w="28" w:type="dxa"/>
            </w:tcMar>
            <w:vAlign w:val="top"/>
          </w:tcPr>
          <w:p w14:paraId="7185B40E">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bCs/>
                <w:strike w:val="0"/>
                <w:dstrike w:val="0"/>
                <w:color w:val="auto"/>
                <w:kern w:val="0"/>
                <w:sz w:val="21"/>
                <w:szCs w:val="21"/>
                <w:highlight w:val="none"/>
                <w:u w:val="none" w:color="auto"/>
                <w:lang w:val="en-US" w:eastAsia="zh-CN"/>
              </w:rPr>
            </w:pPr>
            <w:r>
              <w:rPr>
                <w:rFonts w:hint="default" w:ascii="Times New Roman" w:hAnsi="Times New Roman" w:eastAsia="宋体" w:cs="Times New Roman"/>
                <w:b/>
                <w:bCs/>
                <w:strike w:val="0"/>
                <w:dstrike w:val="0"/>
                <w:color w:val="auto"/>
                <w:kern w:val="0"/>
                <w:sz w:val="21"/>
                <w:szCs w:val="21"/>
                <w:highlight w:val="none"/>
                <w:u w:val="none" w:color="auto"/>
                <w:lang w:val="en-US" w:eastAsia="zh-CN"/>
              </w:rPr>
              <w:t>全硫</w:t>
            </w:r>
          </w:p>
        </w:tc>
      </w:tr>
      <w:tr w14:paraId="1854876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206" w:type="dxa"/>
            <w:tcBorders>
              <w:tl2br w:val="nil"/>
              <w:tr2bl w:val="nil"/>
            </w:tcBorders>
            <w:noWrap w:val="0"/>
            <w:tcMar>
              <w:left w:w="28" w:type="dxa"/>
              <w:right w:w="28" w:type="dxa"/>
            </w:tcMar>
            <w:vAlign w:val="center"/>
          </w:tcPr>
          <w:p w14:paraId="63938C72">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19.55</w:t>
            </w:r>
          </w:p>
        </w:tc>
        <w:tc>
          <w:tcPr>
            <w:tcW w:w="1207" w:type="dxa"/>
            <w:tcBorders>
              <w:tl2br w:val="nil"/>
              <w:tr2bl w:val="nil"/>
            </w:tcBorders>
            <w:noWrap w:val="0"/>
            <w:tcMar>
              <w:left w:w="28" w:type="dxa"/>
              <w:right w:w="28" w:type="dxa"/>
            </w:tcMar>
            <w:vAlign w:val="center"/>
          </w:tcPr>
          <w:p w14:paraId="5855B498">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30.77</w:t>
            </w:r>
          </w:p>
        </w:tc>
        <w:tc>
          <w:tcPr>
            <w:tcW w:w="998" w:type="dxa"/>
            <w:tcBorders>
              <w:tl2br w:val="nil"/>
              <w:tr2bl w:val="nil"/>
            </w:tcBorders>
            <w:noWrap w:val="0"/>
            <w:tcMar>
              <w:left w:w="28" w:type="dxa"/>
              <w:right w:w="28" w:type="dxa"/>
            </w:tcMar>
            <w:vAlign w:val="center"/>
          </w:tcPr>
          <w:p w14:paraId="0BE1C274">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25775.56</w:t>
            </w:r>
          </w:p>
        </w:tc>
        <w:tc>
          <w:tcPr>
            <w:tcW w:w="998" w:type="dxa"/>
            <w:tcBorders>
              <w:tl2br w:val="nil"/>
              <w:tr2bl w:val="nil"/>
            </w:tcBorders>
            <w:noWrap w:val="0"/>
            <w:tcMar>
              <w:left w:w="28" w:type="dxa"/>
              <w:right w:w="28" w:type="dxa"/>
            </w:tcMar>
            <w:vAlign w:val="center"/>
          </w:tcPr>
          <w:p w14:paraId="51E1081F">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24127.91</w:t>
            </w:r>
          </w:p>
        </w:tc>
        <w:tc>
          <w:tcPr>
            <w:tcW w:w="988" w:type="dxa"/>
            <w:tcBorders>
              <w:tl2br w:val="nil"/>
              <w:tr2bl w:val="nil"/>
            </w:tcBorders>
            <w:noWrap w:val="0"/>
            <w:tcMar>
              <w:left w:w="28" w:type="dxa"/>
              <w:right w:w="28" w:type="dxa"/>
            </w:tcMar>
            <w:vAlign w:val="center"/>
          </w:tcPr>
          <w:p w14:paraId="2C98F16C">
            <w:pPr>
              <w:pStyle w:val="11"/>
              <w:widowControl/>
              <w:autoSpaceDE/>
              <w:autoSpaceDN/>
              <w:spacing w:before="0" w:after="0" w:afterLines="-2147483648" w:afterAutospacing="0" w:line="240" w:lineRule="auto"/>
              <w:ind w:left="0" w:firstLine="0"/>
              <w:jc w:val="center"/>
              <w:rPr>
                <w:rFonts w:hint="default" w:ascii="Times New Roman" w:hAnsi="Times New Roman" w:eastAsia="宋体" w:cs="Times New Roman"/>
                <w:b w:val="0"/>
                <w:bCs w:val="0"/>
                <w:strike w:val="0"/>
                <w:dstrike w:val="0"/>
                <w:color w:val="auto"/>
                <w:kern w:val="0"/>
                <w:sz w:val="21"/>
                <w:szCs w:val="21"/>
                <w:highlight w:val="none"/>
                <w:u w:val="none" w:color="auto"/>
                <w:lang w:val="en-US" w:eastAsia="zh-CN"/>
              </w:rPr>
            </w:pPr>
            <w:r>
              <w:rPr>
                <w:rFonts w:hint="default" w:ascii="Times New Roman" w:hAnsi="Times New Roman" w:eastAsia="宋体" w:cs="Times New Roman"/>
                <w:b w:val="0"/>
                <w:bCs w:val="0"/>
                <w:strike w:val="0"/>
                <w:dstrike w:val="0"/>
                <w:color w:val="auto"/>
                <w:kern w:val="0"/>
                <w:sz w:val="21"/>
                <w:szCs w:val="21"/>
                <w:u w:val="none" w:color="auto"/>
                <w:lang w:val="en-US" w:eastAsia="zh-CN"/>
              </w:rPr>
              <w:t>0.65</w:t>
            </w:r>
          </w:p>
        </w:tc>
      </w:tr>
    </w:tbl>
    <w:p w14:paraId="7623203F">
      <w:pPr>
        <w:widowControl/>
        <w:snapToGrid w:val="0"/>
        <w:spacing w:line="360" w:lineRule="auto"/>
        <w:ind w:firstLine="482" w:firstLineChars="200"/>
        <w:jc w:val="left"/>
        <w:rPr>
          <w:rFonts w:hint="default" w:ascii="Times New Roman" w:hAnsi="Times New Roman" w:cs="Times New Roman"/>
          <w:b/>
          <w:bCs/>
          <w:strike w:val="0"/>
          <w:dstrike w:val="0"/>
          <w:color w:val="auto"/>
          <w:kern w:val="0"/>
          <w:sz w:val="24"/>
          <w:szCs w:val="24"/>
          <w:u w:val="none" w:color="auto"/>
          <w:lang w:val="en-US" w:eastAsia="zh-CN"/>
        </w:rPr>
      </w:pPr>
      <w:r>
        <w:rPr>
          <w:rFonts w:hint="default" w:ascii="Times New Roman" w:hAnsi="Times New Roman" w:cs="Times New Roman"/>
          <w:b/>
          <w:bCs/>
          <w:strike w:val="0"/>
          <w:dstrike w:val="0"/>
          <w:color w:val="auto"/>
          <w:kern w:val="0"/>
          <w:sz w:val="24"/>
          <w:szCs w:val="24"/>
          <w:u w:val="none" w:color="auto"/>
          <w:lang w:val="en-US" w:eastAsia="zh-CN"/>
        </w:rPr>
        <w:t>（6）粉煤灰</w:t>
      </w:r>
    </w:p>
    <w:p w14:paraId="0669658A">
      <w:pPr>
        <w:widowControl/>
        <w:snapToGrid w:val="0"/>
        <w:spacing w:line="360" w:lineRule="auto"/>
        <w:ind w:firstLine="480" w:firstLineChars="200"/>
        <w:jc w:val="left"/>
        <w:rPr>
          <w:rFonts w:hint="default" w:ascii="Times New Roman" w:hAnsi="Times New Roman" w:cs="Times New Roman"/>
          <w:strike w:val="0"/>
          <w:dstrike w:val="0"/>
          <w:color w:val="auto"/>
          <w:kern w:val="0"/>
          <w:sz w:val="24"/>
          <w:szCs w:val="24"/>
          <w:u w:val="none" w:color="auto"/>
          <w:lang w:val="en-US" w:eastAsia="zh-CN"/>
        </w:rPr>
      </w:pPr>
      <w:r>
        <w:rPr>
          <w:rFonts w:hint="default" w:ascii="Times New Roman" w:hAnsi="Times New Roman" w:cs="Times New Roman"/>
          <w:strike w:val="0"/>
          <w:dstrike w:val="0"/>
          <w:color w:val="auto"/>
          <w:kern w:val="0"/>
          <w:sz w:val="24"/>
          <w:szCs w:val="24"/>
          <w:u w:val="none" w:color="auto"/>
          <w:lang w:val="en-US" w:eastAsia="zh-CN"/>
        </w:rPr>
        <w:t>粉煤灰化学成分见表3.1-9。</w:t>
      </w:r>
    </w:p>
    <w:p w14:paraId="0978F0A5">
      <w:pPr>
        <w:pStyle w:val="11"/>
        <w:keepNext w:val="0"/>
        <w:keepLines w:val="0"/>
        <w:pageBreakBefore w:val="0"/>
        <w:widowControl/>
        <w:kinsoku/>
        <w:wordWrap/>
        <w:overflowPunct/>
        <w:topLinePunct w:val="0"/>
        <w:autoSpaceDE/>
        <w:autoSpaceDN/>
        <w:bidi w:val="0"/>
        <w:adjustRightInd/>
        <w:snapToGrid/>
        <w:spacing w:after="0" w:afterLines="0" w:afterAutospacing="0"/>
        <w:jc w:val="center"/>
        <w:textAlignment w:val="auto"/>
        <w:rPr>
          <w:rFonts w:hint="default" w:ascii="Times New Roman" w:hAnsi="Times New Roman" w:eastAsia="宋体" w:cs="Times New Roman"/>
          <w:b/>
          <w:bCs/>
          <w:strike w:val="0"/>
          <w:dstrike w:val="0"/>
          <w:color w:val="auto"/>
          <w:kern w:val="0"/>
          <w:sz w:val="24"/>
          <w:szCs w:val="24"/>
          <w:highlight w:val="none"/>
          <w:u w:val="none" w:color="auto"/>
          <w:lang w:val="en-US" w:eastAsia="zh-CN"/>
        </w:rPr>
      </w:pPr>
      <w:r>
        <w:rPr>
          <w:rFonts w:hint="default" w:ascii="Times New Roman" w:hAnsi="Times New Roman" w:eastAsia="宋体" w:cs="Times New Roman"/>
          <w:b/>
          <w:bCs/>
          <w:strike w:val="0"/>
          <w:dstrike w:val="0"/>
          <w:color w:val="auto"/>
          <w:kern w:val="0"/>
          <w:sz w:val="24"/>
          <w:szCs w:val="24"/>
          <w:highlight w:val="none"/>
          <w:u w:val="none" w:color="auto"/>
        </w:rPr>
        <w:t>表</w:t>
      </w:r>
      <w:r>
        <w:rPr>
          <w:rFonts w:hint="default" w:ascii="Times New Roman" w:hAnsi="Times New Roman" w:eastAsia="宋体" w:cs="Times New Roman"/>
          <w:b/>
          <w:bCs/>
          <w:strike w:val="0"/>
          <w:dstrike w:val="0"/>
          <w:color w:val="auto"/>
          <w:kern w:val="0"/>
          <w:sz w:val="24"/>
          <w:szCs w:val="24"/>
          <w:highlight w:val="none"/>
          <w:u w:val="none" w:color="auto"/>
          <w:lang w:val="en-US" w:eastAsia="zh-CN"/>
        </w:rPr>
        <w:t>3.1-9</w:t>
      </w:r>
      <w:r>
        <w:rPr>
          <w:rFonts w:hint="default" w:ascii="Times New Roman" w:hAnsi="Times New Roman" w:eastAsia="宋体" w:cs="Times New Roman"/>
          <w:b/>
          <w:bCs/>
          <w:strike w:val="0"/>
          <w:dstrike w:val="0"/>
          <w:color w:val="auto"/>
          <w:kern w:val="0"/>
          <w:sz w:val="24"/>
          <w:szCs w:val="24"/>
          <w:highlight w:val="none"/>
          <w:u w:val="none" w:color="auto"/>
        </w:rPr>
        <w:t xml:space="preserve"> </w:t>
      </w:r>
      <w:r>
        <w:rPr>
          <w:rFonts w:hint="default" w:ascii="Times New Roman" w:hAnsi="Times New Roman" w:eastAsia="宋体" w:cs="Times New Roman"/>
          <w:b/>
          <w:bCs/>
          <w:strike w:val="0"/>
          <w:dstrike w:val="0"/>
          <w:color w:val="auto"/>
          <w:kern w:val="0"/>
          <w:sz w:val="24"/>
          <w:szCs w:val="24"/>
          <w:highlight w:val="none"/>
          <w:u w:val="none" w:color="auto"/>
          <w:lang w:val="en-US" w:eastAsia="zh-CN"/>
        </w:rPr>
        <w:t>粉煤灰</w:t>
      </w:r>
      <w:r>
        <w:rPr>
          <w:rFonts w:hint="default" w:ascii="Times New Roman" w:hAnsi="Times New Roman" w:eastAsia="宋体" w:cs="Times New Roman"/>
          <w:b/>
          <w:bCs/>
          <w:strike w:val="0"/>
          <w:dstrike w:val="0"/>
          <w:color w:val="auto"/>
          <w:kern w:val="0"/>
          <w:sz w:val="24"/>
          <w:szCs w:val="24"/>
          <w:highlight w:val="none"/>
          <w:u w:val="none" w:color="auto"/>
        </w:rPr>
        <w:t>化学成份表（％）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926"/>
        <w:gridCol w:w="1115"/>
        <w:gridCol w:w="1115"/>
        <w:gridCol w:w="1070"/>
        <w:gridCol w:w="849"/>
        <w:gridCol w:w="1136"/>
        <w:gridCol w:w="1078"/>
      </w:tblGrid>
      <w:tr w14:paraId="0CB5D80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36" w:type="pct"/>
            <w:tcBorders>
              <w:tl2br w:val="nil"/>
              <w:tr2bl w:val="nil"/>
            </w:tcBorders>
            <w:noWrap w:val="0"/>
            <w:tcMar>
              <w:left w:w="28" w:type="dxa"/>
              <w:right w:w="28" w:type="dxa"/>
            </w:tcMar>
            <w:vAlign w:val="center"/>
          </w:tcPr>
          <w:p w14:paraId="6BD8A66C">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L.O.I</w:t>
            </w:r>
          </w:p>
        </w:tc>
        <w:tc>
          <w:tcPr>
            <w:tcW w:w="554" w:type="pct"/>
            <w:tcBorders>
              <w:tl2br w:val="nil"/>
              <w:tr2bl w:val="nil"/>
            </w:tcBorders>
            <w:noWrap w:val="0"/>
            <w:tcMar>
              <w:left w:w="28" w:type="dxa"/>
              <w:right w:w="28" w:type="dxa"/>
            </w:tcMar>
            <w:vAlign w:val="center"/>
          </w:tcPr>
          <w:p w14:paraId="645B604E">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SiO</w:t>
            </w:r>
            <w:r>
              <w:rPr>
                <w:rFonts w:hint="default" w:ascii="Times New Roman" w:hAnsi="Times New Roman" w:eastAsia="宋体" w:cs="Times New Roman"/>
                <w:b w:val="0"/>
                <w:bCs w:val="0"/>
                <w:strike w:val="0"/>
                <w:dstrike w:val="0"/>
                <w:color w:val="auto"/>
                <w:kern w:val="0"/>
                <w:sz w:val="21"/>
                <w:szCs w:val="21"/>
                <w:u w:val="none" w:color="auto"/>
                <w:vertAlign w:val="subscript"/>
                <w:lang w:val="en-US" w:eastAsia="zh-CN" w:bidi="ar-SA"/>
              </w:rPr>
              <w:t>2</w:t>
            </w:r>
          </w:p>
        </w:tc>
        <w:tc>
          <w:tcPr>
            <w:tcW w:w="667" w:type="pct"/>
            <w:tcBorders>
              <w:tl2br w:val="nil"/>
              <w:tr2bl w:val="nil"/>
            </w:tcBorders>
            <w:noWrap w:val="0"/>
            <w:tcMar>
              <w:left w:w="28" w:type="dxa"/>
              <w:right w:w="28" w:type="dxa"/>
            </w:tcMar>
            <w:vAlign w:val="center"/>
          </w:tcPr>
          <w:p w14:paraId="06626138">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Al</w:t>
            </w:r>
            <w:r>
              <w:rPr>
                <w:rFonts w:hint="default" w:ascii="Times New Roman" w:hAnsi="Times New Roman" w:eastAsia="宋体" w:cs="Times New Roman"/>
                <w:b w:val="0"/>
                <w:bCs w:val="0"/>
                <w:strike w:val="0"/>
                <w:dstrike w:val="0"/>
                <w:color w:val="auto"/>
                <w:kern w:val="0"/>
                <w:sz w:val="21"/>
                <w:szCs w:val="21"/>
                <w:u w:val="none" w:color="auto"/>
                <w:vertAlign w:val="subscript"/>
                <w:lang w:val="en-US" w:eastAsia="zh-CN" w:bidi="ar-SA"/>
              </w:rPr>
              <w:t>2</w:t>
            </w: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O</w:t>
            </w:r>
            <w:r>
              <w:rPr>
                <w:rFonts w:hint="default" w:ascii="Times New Roman" w:hAnsi="Times New Roman" w:eastAsia="宋体" w:cs="Times New Roman"/>
                <w:b w:val="0"/>
                <w:bCs w:val="0"/>
                <w:strike w:val="0"/>
                <w:dstrike w:val="0"/>
                <w:color w:val="auto"/>
                <w:kern w:val="0"/>
                <w:sz w:val="21"/>
                <w:szCs w:val="21"/>
                <w:u w:val="none" w:color="auto"/>
                <w:vertAlign w:val="subscript"/>
                <w:lang w:val="en-US" w:eastAsia="zh-CN" w:bidi="ar-SA"/>
              </w:rPr>
              <w:t>3</w:t>
            </w:r>
          </w:p>
        </w:tc>
        <w:tc>
          <w:tcPr>
            <w:tcW w:w="667" w:type="pct"/>
            <w:tcBorders>
              <w:tl2br w:val="nil"/>
              <w:tr2bl w:val="nil"/>
            </w:tcBorders>
            <w:noWrap w:val="0"/>
            <w:tcMar>
              <w:left w:w="28" w:type="dxa"/>
              <w:right w:w="28" w:type="dxa"/>
            </w:tcMar>
            <w:vAlign w:val="center"/>
          </w:tcPr>
          <w:p w14:paraId="6A34C7F3">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Fe</w:t>
            </w:r>
            <w:r>
              <w:rPr>
                <w:rFonts w:hint="default" w:ascii="Times New Roman" w:hAnsi="Times New Roman" w:eastAsia="宋体" w:cs="Times New Roman"/>
                <w:b w:val="0"/>
                <w:bCs w:val="0"/>
                <w:strike w:val="0"/>
                <w:dstrike w:val="0"/>
                <w:color w:val="auto"/>
                <w:kern w:val="0"/>
                <w:sz w:val="21"/>
                <w:szCs w:val="21"/>
                <w:u w:val="none" w:color="auto"/>
                <w:vertAlign w:val="subscript"/>
                <w:lang w:val="en-US" w:eastAsia="zh-CN" w:bidi="ar-SA"/>
              </w:rPr>
              <w:t>2</w:t>
            </w: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O</w:t>
            </w:r>
            <w:r>
              <w:rPr>
                <w:rFonts w:hint="default" w:ascii="Times New Roman" w:hAnsi="Times New Roman" w:eastAsia="宋体" w:cs="Times New Roman"/>
                <w:b w:val="0"/>
                <w:bCs w:val="0"/>
                <w:strike w:val="0"/>
                <w:dstrike w:val="0"/>
                <w:color w:val="auto"/>
                <w:kern w:val="0"/>
                <w:sz w:val="21"/>
                <w:szCs w:val="21"/>
                <w:u w:val="none" w:color="auto"/>
                <w:vertAlign w:val="subscript"/>
                <w:lang w:val="en-US" w:eastAsia="zh-CN" w:bidi="ar-SA"/>
              </w:rPr>
              <w:t>3</w:t>
            </w:r>
          </w:p>
        </w:tc>
        <w:tc>
          <w:tcPr>
            <w:tcW w:w="640" w:type="pct"/>
            <w:tcBorders>
              <w:tl2br w:val="nil"/>
              <w:tr2bl w:val="nil"/>
            </w:tcBorders>
            <w:noWrap w:val="0"/>
            <w:tcMar>
              <w:left w:w="28" w:type="dxa"/>
              <w:right w:w="28" w:type="dxa"/>
            </w:tcMar>
            <w:vAlign w:val="center"/>
          </w:tcPr>
          <w:p w14:paraId="639D306B">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CaO</w:t>
            </w:r>
          </w:p>
        </w:tc>
        <w:tc>
          <w:tcPr>
            <w:tcW w:w="508" w:type="pct"/>
            <w:tcBorders>
              <w:tl2br w:val="nil"/>
              <w:tr2bl w:val="nil"/>
            </w:tcBorders>
            <w:noWrap w:val="0"/>
            <w:tcMar>
              <w:left w:w="28" w:type="dxa"/>
              <w:right w:w="28" w:type="dxa"/>
            </w:tcMar>
            <w:vAlign w:val="center"/>
          </w:tcPr>
          <w:p w14:paraId="14FFEC99">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SO</w:t>
            </w:r>
            <w:r>
              <w:rPr>
                <w:rFonts w:hint="default" w:ascii="Times New Roman" w:hAnsi="Times New Roman" w:eastAsia="宋体" w:cs="Times New Roman"/>
                <w:b w:val="0"/>
                <w:bCs w:val="0"/>
                <w:strike w:val="0"/>
                <w:dstrike w:val="0"/>
                <w:color w:val="auto"/>
                <w:kern w:val="0"/>
                <w:sz w:val="21"/>
                <w:szCs w:val="21"/>
                <w:u w:val="none" w:color="auto"/>
                <w:vertAlign w:val="subscript"/>
                <w:lang w:val="en-US" w:eastAsia="zh-CN" w:bidi="ar-SA"/>
              </w:rPr>
              <w:t>3</w:t>
            </w:r>
          </w:p>
        </w:tc>
        <w:tc>
          <w:tcPr>
            <w:tcW w:w="680" w:type="pct"/>
            <w:tcBorders>
              <w:tl2br w:val="nil"/>
              <w:tr2bl w:val="nil"/>
            </w:tcBorders>
            <w:noWrap w:val="0"/>
            <w:vAlign w:val="center"/>
          </w:tcPr>
          <w:p w14:paraId="327FB2C9">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Cl－</w:t>
            </w:r>
          </w:p>
        </w:tc>
        <w:tc>
          <w:tcPr>
            <w:tcW w:w="645" w:type="pct"/>
            <w:tcBorders>
              <w:tl2br w:val="nil"/>
              <w:tr2bl w:val="nil"/>
            </w:tcBorders>
            <w:noWrap w:val="0"/>
            <w:tcMar>
              <w:left w:w="28" w:type="dxa"/>
              <w:right w:w="28" w:type="dxa"/>
            </w:tcMar>
            <w:vAlign w:val="center"/>
          </w:tcPr>
          <w:p w14:paraId="55E81CA4">
            <w:pPr>
              <w:keepNext w:val="0"/>
              <w:keepLines w:val="0"/>
              <w:pageBreakBefore w:val="0"/>
              <w:widowControl w:val="0"/>
              <w:kinsoku/>
              <w:wordWrap/>
              <w:overflowPunct/>
              <w:topLinePunct w:val="0"/>
              <w:autoSpaceDE/>
              <w:autoSpaceDN/>
              <w:bidi w:val="0"/>
              <w:adjustRightInd/>
              <w:snapToGrid/>
              <w:spacing w:before="0" w:after="0" w:afterLines="0"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bidi="ar-SA"/>
              </w:rPr>
              <w:t>Σ</w:t>
            </w:r>
          </w:p>
        </w:tc>
      </w:tr>
      <w:tr w14:paraId="6BA4404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36" w:type="pct"/>
            <w:tcBorders>
              <w:tl2br w:val="nil"/>
              <w:tr2bl w:val="nil"/>
            </w:tcBorders>
            <w:noWrap w:val="0"/>
            <w:tcMar>
              <w:left w:w="28" w:type="dxa"/>
              <w:right w:w="28" w:type="dxa"/>
            </w:tcMar>
            <w:vAlign w:val="center"/>
          </w:tcPr>
          <w:p w14:paraId="07F503F6">
            <w:pPr>
              <w:pStyle w:val="11"/>
              <w:keepNext w:val="0"/>
              <w:keepLines w:val="0"/>
              <w:pageBreakBefore w:val="0"/>
              <w:widowControl/>
              <w:kinsoku/>
              <w:wordWrap/>
              <w:overflowPunct/>
              <w:topLinePunct w:val="0"/>
              <w:autoSpaceDE/>
              <w:autoSpaceDN/>
              <w:bidi w:val="0"/>
              <w:adjustRightInd/>
              <w:snapToGrid/>
              <w:spacing w:before="0" w:after="0" w:afterLines="-2147483648"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rPr>
              <w:t>5.83</w:t>
            </w:r>
          </w:p>
        </w:tc>
        <w:tc>
          <w:tcPr>
            <w:tcW w:w="554" w:type="pct"/>
            <w:tcBorders>
              <w:tl2br w:val="nil"/>
              <w:tr2bl w:val="nil"/>
            </w:tcBorders>
            <w:noWrap w:val="0"/>
            <w:tcMar>
              <w:left w:w="28" w:type="dxa"/>
              <w:right w:w="28" w:type="dxa"/>
            </w:tcMar>
            <w:vAlign w:val="center"/>
          </w:tcPr>
          <w:p w14:paraId="0141F46A">
            <w:pPr>
              <w:pStyle w:val="11"/>
              <w:keepNext w:val="0"/>
              <w:keepLines w:val="0"/>
              <w:pageBreakBefore w:val="0"/>
              <w:widowControl/>
              <w:kinsoku/>
              <w:wordWrap/>
              <w:overflowPunct/>
              <w:topLinePunct w:val="0"/>
              <w:autoSpaceDE/>
              <w:autoSpaceDN/>
              <w:bidi w:val="0"/>
              <w:adjustRightInd/>
              <w:snapToGrid/>
              <w:spacing w:before="0" w:after="0" w:afterLines="-2147483648"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rPr>
              <w:t>48.78</w:t>
            </w:r>
          </w:p>
        </w:tc>
        <w:tc>
          <w:tcPr>
            <w:tcW w:w="667" w:type="pct"/>
            <w:tcBorders>
              <w:tl2br w:val="nil"/>
              <w:tr2bl w:val="nil"/>
            </w:tcBorders>
            <w:noWrap w:val="0"/>
            <w:tcMar>
              <w:left w:w="28" w:type="dxa"/>
              <w:right w:w="28" w:type="dxa"/>
            </w:tcMar>
            <w:vAlign w:val="center"/>
          </w:tcPr>
          <w:p w14:paraId="06A3A5AB">
            <w:pPr>
              <w:pStyle w:val="11"/>
              <w:keepNext w:val="0"/>
              <w:keepLines w:val="0"/>
              <w:pageBreakBefore w:val="0"/>
              <w:widowControl/>
              <w:kinsoku/>
              <w:wordWrap/>
              <w:overflowPunct/>
              <w:topLinePunct w:val="0"/>
              <w:autoSpaceDE/>
              <w:autoSpaceDN/>
              <w:bidi w:val="0"/>
              <w:adjustRightInd/>
              <w:snapToGrid/>
              <w:spacing w:before="0" w:after="0" w:afterLines="-2147483648"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rPr>
              <w:t>15.86</w:t>
            </w:r>
          </w:p>
        </w:tc>
        <w:tc>
          <w:tcPr>
            <w:tcW w:w="667" w:type="pct"/>
            <w:tcBorders>
              <w:tl2br w:val="nil"/>
              <w:tr2bl w:val="nil"/>
            </w:tcBorders>
            <w:noWrap w:val="0"/>
            <w:tcMar>
              <w:left w:w="28" w:type="dxa"/>
              <w:right w:w="28" w:type="dxa"/>
            </w:tcMar>
            <w:vAlign w:val="center"/>
          </w:tcPr>
          <w:p w14:paraId="34C41982">
            <w:pPr>
              <w:pStyle w:val="11"/>
              <w:keepNext w:val="0"/>
              <w:keepLines w:val="0"/>
              <w:pageBreakBefore w:val="0"/>
              <w:widowControl/>
              <w:kinsoku/>
              <w:wordWrap/>
              <w:overflowPunct/>
              <w:topLinePunct w:val="0"/>
              <w:autoSpaceDE/>
              <w:autoSpaceDN/>
              <w:bidi w:val="0"/>
              <w:adjustRightInd/>
              <w:snapToGrid/>
              <w:spacing w:before="0" w:after="0" w:afterLines="-2147483648"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rPr>
              <w:t>6.2</w:t>
            </w:r>
          </w:p>
        </w:tc>
        <w:tc>
          <w:tcPr>
            <w:tcW w:w="640" w:type="pct"/>
            <w:tcBorders>
              <w:tl2br w:val="nil"/>
              <w:tr2bl w:val="nil"/>
            </w:tcBorders>
            <w:noWrap w:val="0"/>
            <w:tcMar>
              <w:left w:w="28" w:type="dxa"/>
              <w:right w:w="28" w:type="dxa"/>
            </w:tcMar>
            <w:vAlign w:val="center"/>
          </w:tcPr>
          <w:p w14:paraId="2EBE81B5">
            <w:pPr>
              <w:pStyle w:val="11"/>
              <w:keepNext w:val="0"/>
              <w:keepLines w:val="0"/>
              <w:pageBreakBefore w:val="0"/>
              <w:widowControl/>
              <w:kinsoku/>
              <w:wordWrap/>
              <w:overflowPunct/>
              <w:topLinePunct w:val="0"/>
              <w:autoSpaceDE/>
              <w:autoSpaceDN/>
              <w:bidi w:val="0"/>
              <w:adjustRightInd/>
              <w:snapToGrid/>
              <w:spacing w:before="0" w:after="0" w:afterLines="-2147483648"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rPr>
              <w:t>15.54</w:t>
            </w:r>
          </w:p>
        </w:tc>
        <w:tc>
          <w:tcPr>
            <w:tcW w:w="508" w:type="pct"/>
            <w:tcBorders>
              <w:tl2br w:val="nil"/>
              <w:tr2bl w:val="nil"/>
            </w:tcBorders>
            <w:noWrap w:val="0"/>
            <w:tcMar>
              <w:left w:w="28" w:type="dxa"/>
              <w:right w:w="28" w:type="dxa"/>
            </w:tcMar>
            <w:vAlign w:val="center"/>
          </w:tcPr>
          <w:p w14:paraId="223CC1CC">
            <w:pPr>
              <w:pStyle w:val="11"/>
              <w:keepNext w:val="0"/>
              <w:keepLines w:val="0"/>
              <w:pageBreakBefore w:val="0"/>
              <w:widowControl/>
              <w:kinsoku/>
              <w:wordWrap/>
              <w:overflowPunct/>
              <w:topLinePunct w:val="0"/>
              <w:autoSpaceDE/>
              <w:autoSpaceDN/>
              <w:bidi w:val="0"/>
              <w:adjustRightInd/>
              <w:snapToGrid/>
              <w:spacing w:before="0" w:after="0" w:afterLines="-2147483648"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rPr>
              <w:t>2.86</w:t>
            </w:r>
          </w:p>
        </w:tc>
        <w:tc>
          <w:tcPr>
            <w:tcW w:w="680" w:type="pct"/>
            <w:tcBorders>
              <w:tl2br w:val="nil"/>
              <w:tr2bl w:val="nil"/>
            </w:tcBorders>
            <w:noWrap w:val="0"/>
            <w:vAlign w:val="center"/>
          </w:tcPr>
          <w:p w14:paraId="5BA9FD9E">
            <w:pPr>
              <w:pStyle w:val="11"/>
              <w:keepNext w:val="0"/>
              <w:keepLines w:val="0"/>
              <w:pageBreakBefore w:val="0"/>
              <w:widowControl/>
              <w:kinsoku/>
              <w:wordWrap/>
              <w:overflowPunct/>
              <w:topLinePunct w:val="0"/>
              <w:autoSpaceDE/>
              <w:autoSpaceDN/>
              <w:bidi w:val="0"/>
              <w:adjustRightInd/>
              <w:snapToGrid/>
              <w:spacing w:before="0" w:after="0" w:afterLines="-2147483648"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rPr>
              <w:t>0.052</w:t>
            </w:r>
          </w:p>
        </w:tc>
        <w:tc>
          <w:tcPr>
            <w:tcW w:w="645" w:type="pct"/>
            <w:tcBorders>
              <w:tl2br w:val="nil"/>
              <w:tr2bl w:val="nil"/>
            </w:tcBorders>
            <w:noWrap w:val="0"/>
            <w:tcMar>
              <w:left w:w="28" w:type="dxa"/>
              <w:right w:w="28" w:type="dxa"/>
            </w:tcMar>
            <w:vAlign w:val="center"/>
          </w:tcPr>
          <w:p w14:paraId="1FEFE66F">
            <w:pPr>
              <w:pStyle w:val="11"/>
              <w:keepNext w:val="0"/>
              <w:keepLines w:val="0"/>
              <w:pageBreakBefore w:val="0"/>
              <w:widowControl/>
              <w:kinsoku/>
              <w:wordWrap/>
              <w:overflowPunct/>
              <w:topLinePunct w:val="0"/>
              <w:autoSpaceDE/>
              <w:autoSpaceDN/>
              <w:bidi w:val="0"/>
              <w:adjustRightInd/>
              <w:snapToGrid/>
              <w:spacing w:before="0" w:after="0" w:afterLines="-2147483648" w:afterAutospacing="0" w:line="240" w:lineRule="auto"/>
              <w:ind w:left="0" w:firstLine="0"/>
              <w:jc w:val="center"/>
              <w:textAlignment w:val="auto"/>
              <w:rPr>
                <w:rFonts w:hint="default" w:ascii="Times New Roman" w:hAnsi="Times New Roman" w:eastAsia="宋体" w:cs="Times New Roman"/>
                <w:b w:val="0"/>
                <w:bCs w:val="0"/>
                <w:strike w:val="0"/>
                <w:dstrike w:val="0"/>
                <w:color w:val="auto"/>
                <w:kern w:val="0"/>
                <w:sz w:val="21"/>
                <w:szCs w:val="21"/>
                <w:u w:val="none" w:color="auto"/>
                <w:lang w:val="en-US" w:eastAsia="zh-CN" w:bidi="ar-SA"/>
              </w:rPr>
            </w:pPr>
            <w:r>
              <w:rPr>
                <w:rFonts w:hint="default" w:ascii="Times New Roman" w:hAnsi="Times New Roman" w:eastAsia="宋体" w:cs="Times New Roman"/>
                <w:b w:val="0"/>
                <w:bCs w:val="0"/>
                <w:strike w:val="0"/>
                <w:dstrike w:val="0"/>
                <w:color w:val="auto"/>
                <w:kern w:val="0"/>
                <w:sz w:val="21"/>
                <w:szCs w:val="21"/>
                <w:u w:val="none" w:color="auto"/>
                <w:lang w:val="en-US" w:eastAsia="zh-CN"/>
              </w:rPr>
              <w:t>95.13</w:t>
            </w:r>
          </w:p>
        </w:tc>
      </w:tr>
    </w:tbl>
    <w:p w14:paraId="6A5923C4">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3.1.5生产工艺流程</w:t>
      </w:r>
    </w:p>
    <w:p w14:paraId="4BE249B9">
      <w:pPr>
        <w:pStyle w:val="6"/>
        <w:rPr>
          <w:rFonts w:hint="default" w:ascii="Times New Roman" w:hAnsi="Times New Roman" w:cs="Times New Roman"/>
        </w:rPr>
      </w:pPr>
      <w:r>
        <w:rPr>
          <w:rFonts w:hint="default" w:ascii="Times New Roman" w:hAnsi="Times New Roman" w:cs="Times New Roman"/>
          <w:lang w:val="en-US" w:eastAsia="zh-CN"/>
        </w:rPr>
        <w:t>企业现有</w:t>
      </w:r>
      <w:r>
        <w:rPr>
          <w:rFonts w:hint="default" w:ascii="Times New Roman" w:hAnsi="Times New Roman" w:cs="Times New Roman"/>
        </w:rPr>
        <w:t>工程生产工艺主要包括原料破碎与储存，生料粉磨及生料均化、储存，原煤储存及煤粉制备、熟料烧成，水泥制成及水泥包装、散装。</w:t>
      </w:r>
      <w:r>
        <w:rPr>
          <w:rFonts w:hint="default" w:ascii="Times New Roman" w:hAnsi="Times New Roman" w:cs="Times New Roman"/>
          <w:lang w:val="en-US" w:eastAsia="zh-CN"/>
        </w:rPr>
        <w:t>现有</w:t>
      </w:r>
      <w:r>
        <w:rPr>
          <w:rFonts w:hint="default" w:ascii="Times New Roman" w:hAnsi="Times New Roman" w:cs="Times New Roman"/>
        </w:rPr>
        <w:t>工程生产工艺流程及产污环节见</w:t>
      </w:r>
      <w:r>
        <w:rPr>
          <w:rFonts w:hint="default" w:ascii="Times New Roman" w:hAnsi="Times New Roman" w:cs="Times New Roman"/>
        </w:rPr>
        <w:fldChar w:fldCharType="begin"/>
      </w:r>
      <w:r>
        <w:rPr>
          <w:rFonts w:hint="default" w:ascii="Times New Roman" w:hAnsi="Times New Roman" w:cs="Times New Roman"/>
        </w:rPr>
        <w:instrText xml:space="preserve"> REF _Ref148712601 \h  \* MERGEFORMAT </w:instrText>
      </w:r>
      <w:r>
        <w:rPr>
          <w:rFonts w:hint="default" w:ascii="Times New Roman" w:hAnsi="Times New Roman" w:cs="Times New Roman"/>
        </w:rPr>
        <w:fldChar w:fldCharType="separate"/>
      </w:r>
      <w:r>
        <w:rPr>
          <w:rFonts w:hint="default" w:ascii="Times New Roman" w:hAnsi="Times New Roman" w:cs="Times New Roman"/>
        </w:rPr>
        <w:t>图3.1</w:t>
      </w:r>
      <w:r>
        <w:rPr>
          <w:rFonts w:hint="default" w:ascii="Times New Roman" w:hAnsi="Times New Roman" w:cs="Times New Roman"/>
        </w:rPr>
        <w:noBreakHyphen/>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w:t>
      </w:r>
    </w:p>
    <w:p w14:paraId="5F732766">
      <w:pPr>
        <w:pStyle w:val="6"/>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object>
          <v:shape id="_x0000_i1027" o:spt="75" type="#_x0000_t75" style="height:326.9pt;width:411pt;" o:ole="t" filled="f" o:preferrelative="t" stroked="f" coordsize="21600,21600">
            <v:path/>
            <v:fill on="f" focussize="0,0"/>
            <v:stroke on="f"/>
            <v:imagedata r:id="rId19" croptop="3424f" o:title=""/>
            <o:lock v:ext="edit" aspectratio="t"/>
            <w10:wrap type="none"/>
            <w10:anchorlock/>
          </v:shape>
          <o:OLEObject Type="Embed" ProgID="PowerPoint.Slide.8" ShapeID="_x0000_i1027" DrawAspect="Content" ObjectID="_1468075727" r:id="rId18">
            <o:LockedField>false</o:LockedField>
          </o:OLEObject>
        </w:object>
      </w:r>
    </w:p>
    <w:p w14:paraId="6CC50E09">
      <w:pPr>
        <w:pStyle w:val="205"/>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eastAsia="宋体" w:cs="Times New Roman"/>
          <w:b/>
          <w:bCs/>
          <w:color w:val="auto"/>
        </w:rPr>
      </w:pPr>
      <w:bookmarkStart w:id="81" w:name="_Ref148712601"/>
      <w:r>
        <w:rPr>
          <w:rFonts w:hint="default" w:ascii="Times New Roman" w:hAnsi="Times New Roman" w:eastAsia="宋体" w:cs="Times New Roman"/>
          <w:b/>
          <w:bCs/>
          <w:color w:val="auto"/>
        </w:rPr>
        <w:t>图</w:t>
      </w:r>
      <w:r>
        <w:rPr>
          <w:rFonts w:hint="eastAsia" w:eastAsia="宋体" w:cs="Times New Roman"/>
          <w:b/>
          <w:bCs/>
          <w:color w:val="auto"/>
          <w:lang w:val="en-US" w:eastAsia="zh-CN"/>
        </w:rPr>
        <w:t>3.1-</w:t>
      </w:r>
      <w:r>
        <w:rPr>
          <w:rFonts w:hint="default" w:ascii="Times New Roman" w:hAnsi="Times New Roman" w:eastAsia="宋体" w:cs="Times New Roman"/>
          <w:b/>
          <w:bCs/>
          <w:color w:val="auto"/>
        </w:rPr>
        <w:fldChar w:fldCharType="begin"/>
      </w:r>
      <w:r>
        <w:rPr>
          <w:rFonts w:hint="default" w:ascii="Times New Roman" w:hAnsi="Times New Roman" w:eastAsia="宋体" w:cs="Times New Roman"/>
          <w:b/>
          <w:bCs/>
          <w:color w:val="auto"/>
        </w:rPr>
        <w:instrText xml:space="preserve"> SEQ 图 \* ARABIC \s 2 </w:instrText>
      </w:r>
      <w:r>
        <w:rPr>
          <w:rFonts w:hint="default" w:ascii="Times New Roman" w:hAnsi="Times New Roman" w:eastAsia="宋体" w:cs="Times New Roman"/>
          <w:b/>
          <w:bCs/>
          <w:color w:val="auto"/>
        </w:rPr>
        <w:fldChar w:fldCharType="separate"/>
      </w:r>
      <w:r>
        <w:rPr>
          <w:rFonts w:hint="default" w:ascii="Times New Roman" w:hAnsi="Times New Roman" w:eastAsia="宋体" w:cs="Times New Roman"/>
          <w:b/>
          <w:bCs/>
          <w:color w:val="auto"/>
        </w:rPr>
        <w:t>1</w:t>
      </w:r>
      <w:r>
        <w:rPr>
          <w:rFonts w:hint="default" w:ascii="Times New Roman" w:hAnsi="Times New Roman" w:eastAsia="宋体" w:cs="Times New Roman"/>
          <w:b/>
          <w:bCs/>
          <w:color w:val="auto"/>
        </w:rPr>
        <w:fldChar w:fldCharType="end"/>
      </w:r>
      <w:bookmarkEnd w:id="81"/>
      <w:r>
        <w:rPr>
          <w:rFonts w:hint="default" w:ascii="Times New Roman" w:hAnsi="Times New Roman" w:eastAsia="宋体" w:cs="Times New Roman"/>
          <w:b/>
          <w:bCs/>
          <w:color w:val="auto"/>
        </w:rPr>
        <w:t xml:space="preserve"> 新疆兴悦化工有限公司</w:t>
      </w:r>
      <w:r>
        <w:rPr>
          <w:rFonts w:hint="default" w:ascii="Times New Roman" w:hAnsi="Times New Roman" w:eastAsia="宋体" w:cs="Times New Roman"/>
          <w:b/>
          <w:bCs/>
          <w:color w:val="auto"/>
          <w:lang w:val="en-US" w:eastAsia="zh-CN"/>
        </w:rPr>
        <w:t>现有</w:t>
      </w:r>
      <w:r>
        <w:rPr>
          <w:rFonts w:hint="default" w:ascii="Times New Roman" w:hAnsi="Times New Roman" w:eastAsia="宋体" w:cs="Times New Roman"/>
          <w:b/>
          <w:bCs/>
          <w:color w:val="auto"/>
        </w:rPr>
        <w:t>生产工艺流程图</w:t>
      </w:r>
    </w:p>
    <w:p w14:paraId="7F7C02B4">
      <w:pPr>
        <w:pStyle w:val="6"/>
        <w:rPr>
          <w:rFonts w:hint="default" w:ascii="Times New Roman" w:hAnsi="Times New Roman" w:cs="Times New Roman"/>
        </w:rPr>
      </w:pPr>
      <w:r>
        <w:rPr>
          <w:rFonts w:hint="default" w:ascii="Times New Roman" w:hAnsi="Times New Roman" w:cs="Times New Roman"/>
          <w:lang w:val="en-US" w:eastAsia="zh-CN"/>
        </w:rPr>
        <w:t>企业现有生产</w:t>
      </w:r>
      <w:r>
        <w:rPr>
          <w:rFonts w:hint="default" w:ascii="Times New Roman" w:hAnsi="Times New Roman" w:cs="Times New Roman"/>
        </w:rPr>
        <w:t>工艺流程主要包括以下几部分：</w:t>
      </w:r>
    </w:p>
    <w:p w14:paraId="20B381A9">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（1）原料入厂、储存</w:t>
      </w:r>
    </w:p>
    <w:p w14:paraId="0AD42563">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砂岩，铁矿渣粉用自卸汽车运输进厂，卸入各自堆场堆放。</w:t>
      </w:r>
    </w:p>
    <w:p w14:paraId="7C63D3B6">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粉煤灰(原料)通过罐装汽车运输入厂，计量后卸入一座</w:t>
      </w:r>
      <w:r>
        <w:rPr>
          <w:rFonts w:hint="default" w:ascii="Times New Roman" w:hAnsi="Times New Roman" w:cs="Times New Roman"/>
          <w:snapToGrid w:val="0"/>
          <w:color w:val="000000"/>
          <w:kern w:val="0"/>
          <w:szCs w:val="28"/>
        </w:rPr>
        <w:sym w:font="Symbol" w:char="0046"/>
      </w:r>
      <w:r>
        <w:rPr>
          <w:rFonts w:hint="default" w:ascii="Times New Roman" w:hAnsi="Times New Roman" w:cs="Times New Roman"/>
          <w:snapToGrid w:val="0"/>
          <w:color w:val="000000"/>
          <w:kern w:val="0"/>
          <w:szCs w:val="28"/>
        </w:rPr>
        <w:t>12×10m圆库内储存。石膏，煤渣（混合材）通过汽车运输入厂，计量后卸入各自堆场贮存。</w:t>
      </w:r>
    </w:p>
    <w:p w14:paraId="39FFFF0C">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（2）砂岩破碎及预均化</w:t>
      </w:r>
    </w:p>
    <w:p w14:paraId="3EE8F8EF">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砂岩破碎站设在厂区，设计采用板锤式破碎机进行破碎，出破碎机的砂岩由带式输送机输送，并通过布料皮带机卸入一座116×27m的堆棚内储存及预均化。</w:t>
      </w:r>
    </w:p>
    <w:p w14:paraId="2424C6BB">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堆场内的铁矿渣粉由装载机转卸入皮带机上受料仓，并由同一带式输送机转载进入矩形联合预均化堆棚内储存。</w:t>
      </w:r>
    </w:p>
    <w:p w14:paraId="2A29C75D">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破碎车间设有气箱脉冲袋收尘器一台，抽取破碎机及带式输送机下料处的含尘气体，各转载点均设有单机袋收尘器,经收尘器净化后的气体由排风机排入大气。</w:t>
      </w:r>
    </w:p>
    <w:p w14:paraId="46701583">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（3）原煤配煤、破碎及预均化</w:t>
      </w:r>
    </w:p>
    <w:p w14:paraId="49D092B2">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原煤通过自卸汽车运输入厂卸入各自煤堆场，并由装载机分别铲煤搭配后，喂入原煤受料仓，原煤仓下设振动给料机，卸入皮带机运输，并通过侧式悬臂堆料机卸入一座宽27米的矩形联合预均化堆棚内储存及预均化。</w:t>
      </w:r>
    </w:p>
    <w:p w14:paraId="70DB7CA3">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（4）原料配料及粉磨</w:t>
      </w:r>
    </w:p>
    <w:p w14:paraId="716AEE15">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预均化堆场内的砂岩，铁矿渣粉由悬臂取料机转卸入皮带机，由带式输送机转载进入各自配料库内。</w:t>
      </w:r>
    </w:p>
    <w:p w14:paraId="553D30EB">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配料库内的砂岩、铁矿渣粉通过各自库下配料皮带秤按设定比例配料后,混合料经带式输送机输送入生料辊压机内粉磨。生料辊压机选用一台φ1200×1800烘干双辊压系统。配以VX9620G组合式选粉机组成闭路作业。</w:t>
      </w:r>
    </w:p>
    <w:p w14:paraId="49DEB214">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合格的产品经由空气斜槽,链式输送机、提升机送入生料均化库内储存、均化。粉磨系统的废气和窑尾废气一起进入窑尾电收尘处理，废气达标经窑尾烟囱排放。生料辊压机烘干热源来自窑尾废气。</w:t>
      </w:r>
    </w:p>
    <w:p w14:paraId="08DF6D8E">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（5）生料均化和窑尾喂料系统</w:t>
      </w:r>
    </w:p>
    <w:p w14:paraId="0A4B55EC">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设计一座集生料储存、均化于一体的</w:t>
      </w:r>
      <w:r>
        <w:rPr>
          <w:rFonts w:hint="default" w:ascii="Times New Roman" w:hAnsi="Times New Roman" w:cs="Times New Roman"/>
          <w:color w:val="000000"/>
          <w:kern w:val="0"/>
          <w:szCs w:val="28"/>
        </w:rPr>
        <w:t>φ18×28m</w:t>
      </w:r>
      <w:r>
        <w:rPr>
          <w:rFonts w:hint="default" w:ascii="Times New Roman" w:hAnsi="Times New Roman" w:cs="Times New Roman"/>
          <w:snapToGrid w:val="0"/>
          <w:color w:val="000000"/>
          <w:kern w:val="0"/>
          <w:szCs w:val="28"/>
        </w:rPr>
        <w:t>均化库。</w:t>
      </w:r>
    </w:p>
    <w:p w14:paraId="58BDD69D">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充分混合后的生料粉分别由库内八个卸料区按照一定的顺序分别由各个卸料区卸出到库底的计量仓，仓上带有荷重传感器、充气装置。仓下设有由流量控制阀和冲板流量计组成的喂料计量系统。经计量的生料通过空气斜槽送至窑尾提升机，将生料喂入窑尾预热器。</w:t>
      </w:r>
    </w:p>
    <w:p w14:paraId="2A7B90B2">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（6）窑尾预分解系统</w:t>
      </w:r>
    </w:p>
    <w:p w14:paraId="6916BED4">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窑尾采用一座五级低压损旋风预热器和RF5/3200型分解炉组成的窑外分解系统。来自生料均化库的合格生料分别经各自的预热器预热、分解炉预分解后入窑煅烧。出预热器气体进入生料辊压机作烘干热源。</w:t>
      </w:r>
    </w:p>
    <w:p w14:paraId="78B29A8E">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（7）窑尾废气处理</w:t>
      </w:r>
    </w:p>
    <w:p w14:paraId="0049763F">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窑尾出来的废气一部分作为生料辊压机热源，剩余的直接进窑尾电收尘器净化处理，最终经高100m的烟囱排放。经电收尘器收下的粉尘，再经由链式输送机、提升机送入生料均化库。窑尾电收尘器采用宽幅10电场工作，该电收尘技术成熟可靠，收尘效率高电耗省的特点，在众多水泥厂中使用，电收尘器稳定运行是有保证的。</w:t>
      </w:r>
    </w:p>
    <w:p w14:paraId="46CBB3E0">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（8）烧成窑中及窑头</w:t>
      </w:r>
    </w:p>
    <w:p w14:paraId="533679B7">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生料在预分解系统内预分解后，进入一台Φ4.3×60m回转窑内煅烧成熟料。窑头煤粉燃烧器采用先进的多通道喷煤管。</w:t>
      </w:r>
    </w:p>
    <w:p w14:paraId="09C2878F">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回转窑进入篦冷机的高温熟料，由篦板下鼓入的冷空气急速冷却，出篦冷机的熟料温度为环境温度+65℃，冷却破碎后的熟料由链斗输送机送入Φ32×27m熟料库。</w:t>
      </w:r>
    </w:p>
    <w:p w14:paraId="28EBA3F2">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篦冷机高温废气一部分作为窑用二次空气；另一部分由三次风管送到分解炉作为燃烧空气；再有一部分废气送往煤磨，作为煤粉制备的烘干热源；其余部分废气送往窑头电收尘除尘后，排入大气。除尘器收下的粉尘经链运机送到熟料链斗机上入熟料库。</w:t>
      </w:r>
    </w:p>
    <w:p w14:paraId="49F3672C">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（9）熟料储存</w:t>
      </w:r>
    </w:p>
    <w:p w14:paraId="03DEBD41">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设计采用一座圆库Φ32×27m储存熟料。同时，为了解决当地冬闲期熟料储存问题，另设一块堆棚储存熟料。</w:t>
      </w:r>
    </w:p>
    <w:p w14:paraId="2FC81138">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（10）煤粉制备及窑头、分解炉喂煤</w:t>
      </w:r>
    </w:p>
    <w:p w14:paraId="491702F4">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联合预均化堆棚内的原煤通过取料机端面取料，再经胶带输送机分别送入一套煤粉制备系统的原煤仓，经过原煤仓下皮带秤计量后，送入立式煤磨进行烘干粉磨，烘干热源取自窑头篦冷机，出磨煤粉经由高浓度袋式除尘器收集并送至窑头、窑尾煤粉仓，煤粉仓下设有煤粉计量秤，对煤粉进行喂料和计量，煤粉仓下煤粉经计量后用罗茨风机分别送入窑头多通道喷煤管及窑尾分解炉燃烧器。出磨废气经防爆袋收尘器收尘净化后排入大气。</w:t>
      </w:r>
    </w:p>
    <w:p w14:paraId="0238D7AF">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（11）石膏破碎</w:t>
      </w:r>
    </w:p>
    <w:p w14:paraId="3C363E09">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堆场内的石膏由装载机喂入石膏破碎机仓，经过仓下中型板式喂料机给料，由PCF1412锤式破碎机破碎后的石膏由皮带机送入一座</w:t>
      </w:r>
      <w:r>
        <w:rPr>
          <w:rFonts w:hint="default" w:ascii="Times New Roman" w:hAnsi="Times New Roman" w:cs="Times New Roman"/>
          <w:snapToGrid w:val="0"/>
          <w:color w:val="000000"/>
          <w:kern w:val="0"/>
          <w:szCs w:val="28"/>
        </w:rPr>
        <w:sym w:font="Symbol" w:char="0046"/>
      </w:r>
      <w:r>
        <w:rPr>
          <w:rFonts w:hint="default" w:ascii="Times New Roman" w:hAnsi="Times New Roman" w:cs="Times New Roman"/>
          <w:snapToGrid w:val="0"/>
          <w:color w:val="000000"/>
          <w:kern w:val="0"/>
          <w:szCs w:val="28"/>
        </w:rPr>
        <w:t>6×9m圆库内储存。</w:t>
      </w:r>
    </w:p>
    <w:p w14:paraId="16CC550C">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（12）混合材入库</w:t>
      </w:r>
    </w:p>
    <w:p w14:paraId="412732B7">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外购煤渣经汽车送入混合材堆棚内储存。混合材堆棚内的煤渣经皮带输送机送入一座</w:t>
      </w:r>
      <w:r>
        <w:rPr>
          <w:rFonts w:hint="default" w:ascii="Times New Roman" w:hAnsi="Times New Roman" w:cs="Times New Roman"/>
          <w:snapToGrid w:val="0"/>
          <w:color w:val="000000"/>
          <w:kern w:val="0"/>
          <w:szCs w:val="28"/>
        </w:rPr>
        <w:sym w:font="Symbol" w:char="0046"/>
      </w:r>
      <w:r>
        <w:rPr>
          <w:rFonts w:hint="default" w:ascii="Times New Roman" w:hAnsi="Times New Roman" w:cs="Times New Roman"/>
          <w:snapToGrid w:val="0"/>
          <w:color w:val="000000"/>
          <w:kern w:val="0"/>
          <w:szCs w:val="28"/>
        </w:rPr>
        <w:t>6×9m圆库内储存。粉煤灰卸入一座</w:t>
      </w:r>
      <w:r>
        <w:rPr>
          <w:rFonts w:hint="default" w:ascii="Times New Roman" w:hAnsi="Times New Roman" w:cs="Times New Roman"/>
          <w:snapToGrid w:val="0"/>
          <w:color w:val="000000"/>
          <w:kern w:val="0"/>
          <w:szCs w:val="28"/>
        </w:rPr>
        <w:sym w:font="Symbol" w:char="0046"/>
      </w:r>
      <w:r>
        <w:rPr>
          <w:rFonts w:hint="default" w:ascii="Times New Roman" w:hAnsi="Times New Roman" w:cs="Times New Roman"/>
          <w:snapToGrid w:val="0"/>
          <w:color w:val="000000"/>
          <w:kern w:val="0"/>
          <w:szCs w:val="28"/>
        </w:rPr>
        <w:t>12×10m圆库内储存（混合材）。</w:t>
      </w:r>
    </w:p>
    <w:p w14:paraId="2B1E06FF">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（13）水泥粉磨</w:t>
      </w:r>
    </w:p>
    <w:p w14:paraId="7C0A6A8D">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熟料、石膏、煤渣通过各自库下配料秤按设定比例配合后由皮带机输送，入稳料仓，经辊压机挤压后，经提升机送入V型选粉机分选，粗料入稳料仓；细料随气体进入旋风收尘器收集后，经空气输送斜槽输送入</w:t>
      </w:r>
      <w:r>
        <w:rPr>
          <w:rFonts w:hint="default" w:ascii="Times New Roman" w:hAnsi="Times New Roman" w:cs="Times New Roman"/>
          <w:snapToGrid w:val="0"/>
          <w:color w:val="000000"/>
          <w:kern w:val="0"/>
          <w:szCs w:val="28"/>
        </w:rPr>
        <w:sym w:font="Symbol" w:char="0046"/>
      </w:r>
      <w:r>
        <w:rPr>
          <w:rFonts w:hint="default" w:ascii="Times New Roman" w:hAnsi="Times New Roman" w:cs="Times New Roman"/>
          <w:snapToGrid w:val="0"/>
          <w:color w:val="000000"/>
          <w:kern w:val="0"/>
          <w:szCs w:val="28"/>
        </w:rPr>
        <w:t>4.2×13m水泥磨。球磨机内粉磨后的水泥经出磨斜槽、提升机送入O-Sepa选粉机分选，分选后的粗粉由斜槽送回磨内再粉磨，细粉经袋式收尘器收集后由空气斜槽和斗式提升机送入六座</w:t>
      </w:r>
      <w:r>
        <w:rPr>
          <w:rFonts w:hint="default" w:ascii="Times New Roman" w:hAnsi="Times New Roman" w:cs="Times New Roman"/>
          <w:snapToGrid w:val="0"/>
          <w:color w:val="000000"/>
          <w:kern w:val="0"/>
          <w:szCs w:val="28"/>
        </w:rPr>
        <w:sym w:font="Symbol" w:char="0046"/>
      </w:r>
      <w:r>
        <w:rPr>
          <w:rFonts w:hint="default" w:ascii="Times New Roman" w:hAnsi="Times New Roman" w:cs="Times New Roman"/>
          <w:snapToGrid w:val="0"/>
          <w:color w:val="000000"/>
          <w:kern w:val="0"/>
          <w:szCs w:val="28"/>
        </w:rPr>
        <w:t>20×24m水泥库中储存。</w:t>
      </w:r>
    </w:p>
    <w:p w14:paraId="22FCF76A">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（14）水泥贮存、散装、包装发运</w:t>
      </w:r>
    </w:p>
    <w:p w14:paraId="40B5EB90">
      <w:pPr>
        <w:pStyle w:val="18"/>
        <w:spacing w:line="360" w:lineRule="auto"/>
        <w:ind w:firstLine="573"/>
        <w:rPr>
          <w:rFonts w:hint="default" w:ascii="Times New Roman" w:hAnsi="Times New Roman" w:cs="Times New Roman"/>
          <w:snapToGrid w:val="0"/>
          <w:color w:val="000000"/>
          <w:kern w:val="0"/>
          <w:szCs w:val="28"/>
        </w:rPr>
      </w:pPr>
      <w:r>
        <w:rPr>
          <w:rFonts w:hint="default" w:ascii="Times New Roman" w:hAnsi="Times New Roman" w:cs="Times New Roman"/>
          <w:snapToGrid w:val="0"/>
          <w:color w:val="000000"/>
          <w:kern w:val="0"/>
          <w:szCs w:val="28"/>
        </w:rPr>
        <w:t>设计六座</w:t>
      </w:r>
      <w:r>
        <w:rPr>
          <w:rFonts w:hint="default" w:ascii="Times New Roman" w:hAnsi="Times New Roman" w:cs="Times New Roman"/>
          <w:snapToGrid w:val="0"/>
          <w:color w:val="000000"/>
          <w:kern w:val="0"/>
          <w:szCs w:val="28"/>
        </w:rPr>
        <w:sym w:font="Symbol" w:char="0046"/>
      </w:r>
      <w:r>
        <w:rPr>
          <w:rFonts w:hint="default" w:ascii="Times New Roman" w:hAnsi="Times New Roman" w:cs="Times New Roman"/>
          <w:snapToGrid w:val="0"/>
          <w:color w:val="000000"/>
          <w:kern w:val="0"/>
          <w:szCs w:val="28"/>
        </w:rPr>
        <w:t>20×24m水泥库贮存(总储量4.8万吨),每座水泥库下均设出料机构，出库水泥经提升机，输送斜槽送入散装和包装中间仓，散装水泥罐车可在仓下经装车机装车后经出厂汽车衡计量后发运。</w:t>
      </w:r>
    </w:p>
    <w:p w14:paraId="58C23F4F">
      <w:pPr>
        <w:pStyle w:val="18"/>
        <w:spacing w:line="360" w:lineRule="auto"/>
        <w:ind w:firstLine="573"/>
        <w:rPr>
          <w:rFonts w:hint="default" w:ascii="Times New Roman" w:hAnsi="Times New Roman" w:cs="Times New Roman"/>
        </w:rPr>
      </w:pPr>
      <w:r>
        <w:rPr>
          <w:rFonts w:hint="default" w:ascii="Times New Roman" w:hAnsi="Times New Roman" w:cs="Times New Roman"/>
          <w:snapToGrid w:val="0"/>
          <w:color w:val="000000"/>
          <w:kern w:val="0"/>
          <w:szCs w:val="28"/>
        </w:rPr>
        <w:t>设计四套相同的水泥包装系统。出水泥库的水泥由包装系统的提升机送至振动筛，筛去杂物后进入中间仓，出仓水泥经螺旋闸门、双格轮喂料机进入四台八咀回转式包装机进行包装，由电子秤计量，包装后的袋装水泥经接包机、顺包机、清包机、带式输送机输送机，袋装水泥装车机，由汽车直接发运出厂。采用气箱脉冲袋式收尘器对各扬尘点进行收尘。</w:t>
      </w:r>
    </w:p>
    <w:p w14:paraId="6EEE4CEF">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3.1.6污染物排放及达标情况</w:t>
      </w:r>
    </w:p>
    <w:p w14:paraId="1222E15E">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lang w:eastAsia="zh-CN"/>
        </w:rPr>
        <w:t>）</w:t>
      </w:r>
      <w:r>
        <w:rPr>
          <w:rFonts w:hint="default" w:ascii="Times New Roman" w:hAnsi="Times New Roman" w:cs="Times New Roman"/>
          <w:lang w:val="en-US" w:eastAsia="zh-CN"/>
        </w:rPr>
        <w:t>废气</w:t>
      </w:r>
    </w:p>
    <w:p w14:paraId="75553636">
      <w:pPr>
        <w:pStyle w:val="6"/>
        <w:rPr>
          <w:rFonts w:hint="default" w:ascii="Times New Roman" w:hAnsi="Times New Roman" w:cs="Times New Roman"/>
        </w:rPr>
      </w:pPr>
      <w:bookmarkStart w:id="82" w:name="_Hlk151223840"/>
      <w:r>
        <w:rPr>
          <w:rFonts w:hint="default" w:ascii="Times New Roman" w:hAnsi="Times New Roman" w:cs="Times New Roman"/>
        </w:rPr>
        <w:t>本评价收集了企业202</w:t>
      </w:r>
      <w:r>
        <w:rPr>
          <w:rFonts w:hint="default" w:ascii="Times New Roman" w:hAnsi="Times New Roman" w:cs="Times New Roman"/>
          <w:lang w:val="en-US" w:eastAsia="zh-CN"/>
        </w:rPr>
        <w:t>5</w:t>
      </w:r>
      <w:r>
        <w:rPr>
          <w:rFonts w:hint="default" w:ascii="Times New Roman" w:hAnsi="Times New Roman" w:cs="Times New Roman"/>
        </w:rPr>
        <w:t>年</w:t>
      </w:r>
      <w:r>
        <w:rPr>
          <w:rFonts w:hint="default" w:ascii="Times New Roman" w:hAnsi="Times New Roman" w:cs="Times New Roman"/>
          <w:lang w:val="en-US" w:eastAsia="zh-CN"/>
        </w:rPr>
        <w:t>第三季度</w:t>
      </w:r>
      <w:r>
        <w:rPr>
          <w:rFonts w:hint="default" w:ascii="Times New Roman" w:hAnsi="Times New Roman" w:cs="Times New Roman"/>
        </w:rPr>
        <w:t>水泥窑例行监测报告，监测结果见</w:t>
      </w:r>
      <w:r>
        <w:rPr>
          <w:rFonts w:hint="default" w:ascii="Times New Roman" w:hAnsi="Times New Roman" w:cs="Times New Roman"/>
        </w:rPr>
        <w:fldChar w:fldCharType="begin"/>
      </w:r>
      <w:r>
        <w:rPr>
          <w:rFonts w:hint="default" w:ascii="Times New Roman" w:hAnsi="Times New Roman" w:cs="Times New Roman"/>
        </w:rPr>
        <w:instrText xml:space="preserve"> REF _Ref150876225 \h  \* MERGEFORMAT </w:instrText>
      </w:r>
      <w:r>
        <w:rPr>
          <w:rFonts w:hint="default" w:ascii="Times New Roman" w:hAnsi="Times New Roman" w:cs="Times New Roman"/>
        </w:rPr>
        <w:fldChar w:fldCharType="separate"/>
      </w:r>
      <w:r>
        <w:rPr>
          <w:rFonts w:hint="default" w:ascii="Times New Roman" w:hAnsi="Times New Roman" w:cs="Times New Roman"/>
        </w:rPr>
        <w:t>表3.1</w:t>
      </w:r>
      <w:r>
        <w:rPr>
          <w:rFonts w:hint="default" w:ascii="Times New Roman" w:hAnsi="Times New Roman" w:cs="Times New Roman"/>
        </w:rPr>
        <w:noBreakHyphen/>
      </w:r>
      <w:r>
        <w:rPr>
          <w:rFonts w:hint="default" w:ascii="Times New Roman" w:hAnsi="Times New Roman" w:cs="Times New Roman"/>
          <w:lang w:val="en-US" w:eastAsia="zh-CN"/>
        </w:rPr>
        <w:t>1</w:t>
      </w:r>
      <w:r>
        <w:rPr>
          <w:rFonts w:hint="default" w:ascii="Times New Roman" w:hAnsi="Times New Roman" w:cs="Times New Roman"/>
        </w:rPr>
        <w:fldChar w:fldCharType="end"/>
      </w:r>
      <w:r>
        <w:rPr>
          <w:rFonts w:hint="eastAsia" w:cs="Times New Roman"/>
          <w:lang w:val="en-US" w:eastAsia="zh-CN"/>
        </w:rPr>
        <w:t>0</w:t>
      </w:r>
      <w:r>
        <w:rPr>
          <w:rFonts w:hint="default" w:ascii="Times New Roman" w:hAnsi="Times New Roman" w:cs="Times New Roman"/>
        </w:rPr>
        <w:t>。</w:t>
      </w:r>
    </w:p>
    <w:p w14:paraId="53553E26">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83" w:name="_Ref150876225"/>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3.1</w:t>
      </w:r>
      <w:r>
        <w:rPr>
          <w:rFonts w:hint="default" w:ascii="Times New Roman" w:hAnsi="Times New Roman" w:cs="Times New Roman"/>
          <w:b/>
          <w:bCs/>
        </w:rPr>
        <w:fldChar w:fldCharType="end"/>
      </w:r>
      <w:bookmarkEnd w:id="83"/>
      <w:r>
        <w:rPr>
          <w:rFonts w:hint="default" w:ascii="Times New Roman" w:hAnsi="Times New Roman" w:cs="Times New Roman"/>
          <w:b/>
          <w:bCs/>
          <w:lang w:val="en-US" w:eastAsia="zh-CN"/>
        </w:rPr>
        <w:t>-1</w:t>
      </w:r>
      <w:r>
        <w:rPr>
          <w:rFonts w:hint="eastAsia" w:cs="Times New Roman"/>
          <w:b/>
          <w:bCs/>
          <w:lang w:val="en-US" w:eastAsia="zh-CN"/>
        </w:rPr>
        <w:t>0</w:t>
      </w:r>
      <w:r>
        <w:rPr>
          <w:rFonts w:hint="default" w:ascii="Times New Roman" w:hAnsi="Times New Roman" w:cs="Times New Roman"/>
          <w:b/>
          <w:bCs/>
        </w:rPr>
        <w:t xml:space="preserve"> 202</w:t>
      </w:r>
      <w:r>
        <w:rPr>
          <w:rFonts w:hint="default" w:ascii="Times New Roman" w:hAnsi="Times New Roman" w:cs="Times New Roman"/>
          <w:b/>
          <w:bCs/>
          <w:lang w:val="en-US" w:eastAsia="zh-CN"/>
        </w:rPr>
        <w:t>5</w:t>
      </w:r>
      <w:r>
        <w:rPr>
          <w:rFonts w:hint="default" w:ascii="Times New Roman" w:hAnsi="Times New Roman" w:cs="Times New Roman"/>
          <w:b/>
          <w:bCs/>
        </w:rPr>
        <w:t>年</w:t>
      </w:r>
      <w:r>
        <w:rPr>
          <w:rFonts w:hint="default" w:ascii="Times New Roman" w:hAnsi="Times New Roman" w:cs="Times New Roman"/>
          <w:b/>
          <w:bCs/>
          <w:lang w:val="en-US" w:eastAsia="zh-CN"/>
        </w:rPr>
        <w:t>第三季度</w:t>
      </w:r>
      <w:r>
        <w:rPr>
          <w:rFonts w:hint="default" w:ascii="Times New Roman" w:hAnsi="Times New Roman" w:cs="Times New Roman"/>
          <w:b/>
          <w:bCs/>
        </w:rPr>
        <w:t>水泥厂窑头废气</w:t>
      </w:r>
      <w:r>
        <w:rPr>
          <w:rFonts w:hint="default" w:ascii="Times New Roman" w:hAnsi="Times New Roman" w:cs="Times New Roman"/>
          <w:b/>
          <w:bCs/>
          <w:lang w:val="en-US" w:eastAsia="zh-CN"/>
        </w:rPr>
        <w:t>例行</w:t>
      </w:r>
      <w:r>
        <w:rPr>
          <w:rFonts w:hint="default" w:ascii="Times New Roman" w:hAnsi="Times New Roman" w:cs="Times New Roman"/>
          <w:b/>
          <w:bCs/>
        </w:rPr>
        <w:t>监测结果统计表</w:t>
      </w:r>
    </w:p>
    <w:tbl>
      <w:tblPr>
        <w:tblStyle w:val="39"/>
        <w:tblW w:w="4998"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964"/>
        <w:gridCol w:w="1229"/>
        <w:gridCol w:w="1467"/>
        <w:gridCol w:w="1036"/>
        <w:gridCol w:w="973"/>
        <w:gridCol w:w="1074"/>
        <w:gridCol w:w="1000"/>
      </w:tblGrid>
      <w:tr w14:paraId="680566F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PrEx>
        <w:trPr>
          <w:trHeight w:val="283" w:hRule="atLeast"/>
          <w:tblHeader/>
        </w:trPr>
        <w:tc>
          <w:tcPr>
            <w:tcW w:w="1018" w:type="pct"/>
            <w:gridSpan w:val="2"/>
            <w:tcBorders>
              <w:tl2br w:val="nil"/>
              <w:tr2bl w:val="nil"/>
            </w:tcBorders>
            <w:vAlign w:val="center"/>
          </w:tcPr>
          <w:p w14:paraId="7428F799">
            <w:pPr>
              <w:pStyle w:val="52"/>
              <w:spacing w:before="0" w:after="0" w:line="240" w:lineRule="auto"/>
              <w:ind w:left="0" w:firstLine="0"/>
              <w:rPr>
                <w:rFonts w:hint="default" w:ascii="Times New Roman" w:hAnsi="Times New Roman" w:eastAsia="宋体" w:cs="Times New Roman"/>
                <w:b/>
                <w:bCs/>
                <w:color w:val="000000" w:themeColor="text1"/>
                <w:sz w:val="21"/>
                <w:szCs w:val="21"/>
                <w:lang w:eastAsia="zh-CN"/>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监测时间</w:t>
            </w:r>
          </w:p>
        </w:tc>
        <w:tc>
          <w:tcPr>
            <w:tcW w:w="721" w:type="pct"/>
            <w:tcBorders>
              <w:tl2br w:val="nil"/>
              <w:tr2bl w:val="nil"/>
            </w:tcBorders>
            <w:vAlign w:val="center"/>
          </w:tcPr>
          <w:p w14:paraId="0BD1038F">
            <w:pPr>
              <w:pStyle w:val="52"/>
              <w:spacing w:before="0" w:after="0" w:line="240" w:lineRule="auto"/>
              <w:ind w:left="0" w:firstLine="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烟气流速（m/s）</w:t>
            </w:r>
          </w:p>
        </w:tc>
        <w:tc>
          <w:tcPr>
            <w:tcW w:w="861" w:type="pct"/>
            <w:tcBorders>
              <w:tl2br w:val="nil"/>
              <w:tr2bl w:val="nil"/>
            </w:tcBorders>
            <w:vAlign w:val="center"/>
          </w:tcPr>
          <w:p w14:paraId="31F9F6A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颗粒物（mg/m</w:t>
            </w:r>
            <w:r>
              <w:rPr>
                <w:rFonts w:hint="default" w:ascii="Times New Roman" w:hAnsi="Times New Roman" w:cs="Times New Roman"/>
                <w:b/>
                <w:bCs/>
                <w:color w:val="000000" w:themeColor="text1"/>
                <w:sz w:val="21"/>
                <w:szCs w:val="21"/>
                <w:vertAlign w:val="superscript"/>
                <w14:textFill>
                  <w14:solidFill>
                    <w14:schemeClr w14:val="tx1"/>
                  </w14:solidFill>
                </w14:textFill>
              </w:rPr>
              <w:t>3</w:t>
            </w:r>
            <w:r>
              <w:rPr>
                <w:rFonts w:hint="default" w:ascii="Times New Roman" w:hAnsi="Times New Roman" w:cs="Times New Roman"/>
                <w:b/>
                <w:bCs/>
                <w:color w:val="000000" w:themeColor="text1"/>
                <w:sz w:val="21"/>
                <w:szCs w:val="21"/>
                <w14:textFill>
                  <w14:solidFill>
                    <w14:schemeClr w14:val="tx1"/>
                  </w14:solidFill>
                </w14:textFill>
              </w:rPr>
              <w:t>）</w:t>
            </w:r>
          </w:p>
        </w:tc>
        <w:tc>
          <w:tcPr>
            <w:tcW w:w="608" w:type="pct"/>
            <w:tcBorders>
              <w:tl2br w:val="nil"/>
              <w:tr2bl w:val="nil"/>
            </w:tcBorders>
            <w:vAlign w:val="center"/>
          </w:tcPr>
          <w:p w14:paraId="0A91F5F6">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占标率（%）</w:t>
            </w:r>
          </w:p>
        </w:tc>
        <w:tc>
          <w:tcPr>
            <w:tcW w:w="571" w:type="pct"/>
            <w:tcBorders>
              <w:tl2br w:val="nil"/>
              <w:tr2bl w:val="nil"/>
            </w:tcBorders>
            <w:vAlign w:val="center"/>
          </w:tcPr>
          <w:p w14:paraId="1AF81CA1">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是否达标</w:t>
            </w:r>
          </w:p>
        </w:tc>
        <w:tc>
          <w:tcPr>
            <w:tcW w:w="630" w:type="pct"/>
            <w:tcBorders>
              <w:tl2br w:val="nil"/>
              <w:tr2bl w:val="nil"/>
            </w:tcBorders>
            <w:vAlign w:val="center"/>
          </w:tcPr>
          <w:p w14:paraId="20202144">
            <w:pPr>
              <w:pStyle w:val="52"/>
              <w:spacing w:before="0" w:after="0" w:line="240" w:lineRule="auto"/>
              <w:ind w:left="0" w:firstLine="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烟气温度℃</w:t>
            </w:r>
          </w:p>
        </w:tc>
        <w:tc>
          <w:tcPr>
            <w:tcW w:w="587" w:type="pct"/>
            <w:tcBorders>
              <w:tl2br w:val="nil"/>
              <w:tr2bl w:val="nil"/>
            </w:tcBorders>
            <w:vAlign w:val="center"/>
          </w:tcPr>
          <w:p w14:paraId="3D6CD8D5">
            <w:pPr>
              <w:pStyle w:val="52"/>
              <w:spacing w:before="0" w:after="0" w:line="240" w:lineRule="auto"/>
              <w:ind w:left="0" w:firstLine="0"/>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湿度%</w:t>
            </w:r>
          </w:p>
        </w:tc>
      </w:tr>
      <w:tr w14:paraId="19DCAD2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18" w:type="pct"/>
            <w:gridSpan w:val="2"/>
            <w:tcBorders>
              <w:tl2br w:val="nil"/>
              <w:tr2bl w:val="nil"/>
            </w:tcBorders>
            <w:vAlign w:val="center"/>
          </w:tcPr>
          <w:p w14:paraId="2A648D96">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标准限值</w:t>
            </w:r>
          </w:p>
        </w:tc>
        <w:tc>
          <w:tcPr>
            <w:tcW w:w="721" w:type="pct"/>
            <w:tcBorders>
              <w:tl2br w:val="nil"/>
              <w:tr2bl w:val="nil"/>
            </w:tcBorders>
            <w:vAlign w:val="center"/>
          </w:tcPr>
          <w:p w14:paraId="765188FA">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w:t>
            </w:r>
          </w:p>
        </w:tc>
        <w:tc>
          <w:tcPr>
            <w:tcW w:w="861" w:type="pct"/>
            <w:tcBorders>
              <w:tl2br w:val="nil"/>
              <w:tr2bl w:val="nil"/>
            </w:tcBorders>
            <w:vAlign w:val="center"/>
          </w:tcPr>
          <w:p w14:paraId="77CEFEC8">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3</w:t>
            </w:r>
            <w:r>
              <w:rPr>
                <w:rFonts w:hint="default" w:ascii="Times New Roman" w:hAnsi="Times New Roman" w:cs="Times New Roman"/>
                <w:b/>
                <w:bCs/>
                <w:color w:val="000000" w:themeColor="text1"/>
                <w:sz w:val="21"/>
                <w:szCs w:val="21"/>
                <w14:textFill>
                  <w14:solidFill>
                    <w14:schemeClr w14:val="tx1"/>
                  </w14:solidFill>
                </w14:textFill>
              </w:rPr>
              <w:t>0</w:t>
            </w:r>
          </w:p>
        </w:tc>
        <w:tc>
          <w:tcPr>
            <w:tcW w:w="608" w:type="pct"/>
            <w:tcBorders>
              <w:tl2br w:val="nil"/>
              <w:tr2bl w:val="nil"/>
            </w:tcBorders>
            <w:vAlign w:val="center"/>
          </w:tcPr>
          <w:p w14:paraId="658B6845">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w:t>
            </w:r>
          </w:p>
        </w:tc>
        <w:tc>
          <w:tcPr>
            <w:tcW w:w="571" w:type="pct"/>
            <w:tcBorders>
              <w:tl2br w:val="nil"/>
              <w:tr2bl w:val="nil"/>
            </w:tcBorders>
            <w:vAlign w:val="center"/>
          </w:tcPr>
          <w:p w14:paraId="65ED75F7">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w:t>
            </w:r>
          </w:p>
        </w:tc>
        <w:tc>
          <w:tcPr>
            <w:tcW w:w="630" w:type="pct"/>
            <w:tcBorders>
              <w:tl2br w:val="nil"/>
              <w:tr2bl w:val="nil"/>
            </w:tcBorders>
            <w:vAlign w:val="center"/>
          </w:tcPr>
          <w:p w14:paraId="13D67FB0">
            <w:pPr>
              <w:pStyle w:val="52"/>
              <w:spacing w:before="0" w:after="0" w:line="240" w:lineRule="auto"/>
              <w:ind w:left="0" w:firstLine="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w:t>
            </w:r>
          </w:p>
        </w:tc>
        <w:tc>
          <w:tcPr>
            <w:tcW w:w="587" w:type="pct"/>
            <w:tcBorders>
              <w:tl2br w:val="nil"/>
              <w:tr2bl w:val="nil"/>
            </w:tcBorders>
            <w:vAlign w:val="center"/>
          </w:tcPr>
          <w:p w14:paraId="03D15FB2">
            <w:pPr>
              <w:pStyle w:val="52"/>
              <w:spacing w:before="0" w:after="0" w:line="240" w:lineRule="auto"/>
              <w:ind w:left="0" w:firstLine="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w:t>
            </w:r>
          </w:p>
        </w:tc>
      </w:tr>
      <w:tr w14:paraId="5989C20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restart"/>
            <w:tcBorders>
              <w:tl2br w:val="nil"/>
              <w:tr2bl w:val="nil"/>
            </w:tcBorders>
            <w:vAlign w:val="center"/>
          </w:tcPr>
          <w:p w14:paraId="67A229B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2025年8月12日</w:t>
            </w:r>
          </w:p>
        </w:tc>
        <w:tc>
          <w:tcPr>
            <w:tcW w:w="565" w:type="pct"/>
            <w:tcBorders>
              <w:tl2br w:val="nil"/>
              <w:tr2bl w:val="nil"/>
            </w:tcBorders>
            <w:vAlign w:val="center"/>
          </w:tcPr>
          <w:p w14:paraId="2C1D7A0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12:23</w:t>
            </w:r>
          </w:p>
        </w:tc>
        <w:tc>
          <w:tcPr>
            <w:tcW w:w="721" w:type="pct"/>
            <w:tcBorders>
              <w:tl2br w:val="nil"/>
              <w:tr2bl w:val="nil"/>
            </w:tcBorders>
            <w:vAlign w:val="center"/>
          </w:tcPr>
          <w:p w14:paraId="50F81982">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14.1</w:t>
            </w:r>
          </w:p>
        </w:tc>
        <w:tc>
          <w:tcPr>
            <w:tcW w:w="861" w:type="pct"/>
            <w:tcBorders>
              <w:tl2br w:val="nil"/>
              <w:tr2bl w:val="nil"/>
            </w:tcBorders>
            <w:vAlign w:val="center"/>
          </w:tcPr>
          <w:p w14:paraId="6E16DFD1">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1.3</w:t>
            </w:r>
          </w:p>
        </w:tc>
        <w:tc>
          <w:tcPr>
            <w:tcW w:w="608" w:type="pct"/>
            <w:tcBorders>
              <w:tl2br w:val="nil"/>
              <w:tr2bl w:val="nil"/>
            </w:tcBorders>
            <w:vAlign w:val="center"/>
          </w:tcPr>
          <w:p w14:paraId="7AAEE707">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4.3</w:t>
            </w:r>
          </w:p>
        </w:tc>
        <w:tc>
          <w:tcPr>
            <w:tcW w:w="571" w:type="pct"/>
            <w:tcBorders>
              <w:tl2br w:val="nil"/>
              <w:tr2bl w:val="nil"/>
            </w:tcBorders>
            <w:vAlign w:val="center"/>
          </w:tcPr>
          <w:p w14:paraId="7F924AC6">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c>
          <w:tcPr>
            <w:tcW w:w="630" w:type="pct"/>
            <w:tcBorders>
              <w:tl2br w:val="nil"/>
              <w:tr2bl w:val="nil"/>
            </w:tcBorders>
            <w:vAlign w:val="center"/>
          </w:tcPr>
          <w:p w14:paraId="1F652ED5">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128.9</w:t>
            </w:r>
          </w:p>
        </w:tc>
        <w:tc>
          <w:tcPr>
            <w:tcW w:w="587" w:type="pct"/>
            <w:tcBorders>
              <w:tl2br w:val="nil"/>
              <w:tr2bl w:val="nil"/>
            </w:tcBorders>
            <w:vAlign w:val="center"/>
          </w:tcPr>
          <w:p w14:paraId="36B6FC81">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3.33</w:t>
            </w:r>
          </w:p>
        </w:tc>
      </w:tr>
      <w:tr w14:paraId="5DFFC97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continue"/>
            <w:tcBorders>
              <w:tl2br w:val="nil"/>
              <w:tr2bl w:val="nil"/>
            </w:tcBorders>
            <w:vAlign w:val="center"/>
          </w:tcPr>
          <w:p w14:paraId="5EBD36B3">
            <w:pPr>
              <w:pStyle w:val="52"/>
              <w:spacing w:before="0" w:after="0" w:line="240" w:lineRule="auto"/>
              <w:ind w:left="0" w:firstLine="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565" w:type="pct"/>
            <w:tcBorders>
              <w:tl2br w:val="nil"/>
              <w:tr2bl w:val="nil"/>
            </w:tcBorders>
            <w:vAlign w:val="center"/>
          </w:tcPr>
          <w:p w14:paraId="7061EA99">
            <w:pPr>
              <w:autoSpaceDE/>
              <w:autoSpaceDN/>
              <w:spacing w:before="0" w:after="0" w:line="240" w:lineRule="auto"/>
              <w:ind w:left="0" w:firstLine="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13:18</w:t>
            </w:r>
          </w:p>
        </w:tc>
        <w:tc>
          <w:tcPr>
            <w:tcW w:w="721" w:type="pct"/>
            <w:tcBorders>
              <w:tl2br w:val="nil"/>
              <w:tr2bl w:val="nil"/>
            </w:tcBorders>
            <w:vAlign w:val="center"/>
          </w:tcPr>
          <w:p w14:paraId="7B4D61EE">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14.1</w:t>
            </w:r>
          </w:p>
        </w:tc>
        <w:tc>
          <w:tcPr>
            <w:tcW w:w="861" w:type="pct"/>
            <w:tcBorders>
              <w:tl2br w:val="nil"/>
              <w:tr2bl w:val="nil"/>
            </w:tcBorders>
            <w:vAlign w:val="center"/>
          </w:tcPr>
          <w:p w14:paraId="47D64297">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1.6</w:t>
            </w:r>
          </w:p>
        </w:tc>
        <w:tc>
          <w:tcPr>
            <w:tcW w:w="608" w:type="pct"/>
            <w:tcBorders>
              <w:tl2br w:val="nil"/>
              <w:tr2bl w:val="nil"/>
            </w:tcBorders>
            <w:vAlign w:val="center"/>
          </w:tcPr>
          <w:p w14:paraId="743BF68C">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5.3</w:t>
            </w:r>
          </w:p>
        </w:tc>
        <w:tc>
          <w:tcPr>
            <w:tcW w:w="571" w:type="pct"/>
            <w:tcBorders>
              <w:tl2br w:val="nil"/>
              <w:tr2bl w:val="nil"/>
            </w:tcBorders>
            <w:vAlign w:val="center"/>
          </w:tcPr>
          <w:p w14:paraId="16DFF0B6">
            <w:pPr>
              <w:autoSpaceDE/>
              <w:autoSpaceDN/>
              <w:spacing w:before="0" w:after="0" w:line="240" w:lineRule="auto"/>
              <w:ind w:left="0" w:firstLine="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c>
          <w:tcPr>
            <w:tcW w:w="630" w:type="pct"/>
            <w:tcBorders>
              <w:tl2br w:val="nil"/>
              <w:tr2bl w:val="nil"/>
            </w:tcBorders>
            <w:vAlign w:val="center"/>
          </w:tcPr>
          <w:p w14:paraId="33A02D9C">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126.7</w:t>
            </w:r>
          </w:p>
        </w:tc>
        <w:tc>
          <w:tcPr>
            <w:tcW w:w="587" w:type="pct"/>
            <w:tcBorders>
              <w:tl2br w:val="nil"/>
              <w:tr2bl w:val="nil"/>
            </w:tcBorders>
            <w:vAlign w:val="center"/>
          </w:tcPr>
          <w:p w14:paraId="787EBCAA">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3.21</w:t>
            </w:r>
          </w:p>
        </w:tc>
      </w:tr>
      <w:tr w14:paraId="31F40AD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continue"/>
            <w:tcBorders>
              <w:tl2br w:val="nil"/>
              <w:tr2bl w:val="nil"/>
            </w:tcBorders>
            <w:vAlign w:val="center"/>
          </w:tcPr>
          <w:p w14:paraId="3912BB33">
            <w:pPr>
              <w:pStyle w:val="52"/>
              <w:spacing w:before="0" w:after="0" w:line="240" w:lineRule="auto"/>
              <w:ind w:left="0" w:firstLine="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565" w:type="pct"/>
            <w:tcBorders>
              <w:tl2br w:val="nil"/>
              <w:tr2bl w:val="nil"/>
            </w:tcBorders>
            <w:vAlign w:val="center"/>
          </w:tcPr>
          <w:p w14:paraId="28835127">
            <w:pPr>
              <w:autoSpaceDE/>
              <w:autoSpaceDN/>
              <w:spacing w:before="0" w:after="0" w:line="240" w:lineRule="auto"/>
              <w:ind w:left="0" w:firstLine="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14:15</w:t>
            </w:r>
          </w:p>
        </w:tc>
        <w:tc>
          <w:tcPr>
            <w:tcW w:w="721" w:type="pct"/>
            <w:tcBorders>
              <w:tl2br w:val="nil"/>
              <w:tr2bl w:val="nil"/>
            </w:tcBorders>
            <w:vAlign w:val="center"/>
          </w:tcPr>
          <w:p w14:paraId="1261CB72">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14.5</w:t>
            </w:r>
          </w:p>
        </w:tc>
        <w:tc>
          <w:tcPr>
            <w:tcW w:w="861" w:type="pct"/>
            <w:tcBorders>
              <w:tl2br w:val="nil"/>
              <w:tr2bl w:val="nil"/>
            </w:tcBorders>
            <w:vAlign w:val="center"/>
          </w:tcPr>
          <w:p w14:paraId="3BA2D485">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1.9</w:t>
            </w:r>
          </w:p>
        </w:tc>
        <w:tc>
          <w:tcPr>
            <w:tcW w:w="608" w:type="pct"/>
            <w:tcBorders>
              <w:tl2br w:val="nil"/>
              <w:tr2bl w:val="nil"/>
            </w:tcBorders>
            <w:vAlign w:val="center"/>
          </w:tcPr>
          <w:p w14:paraId="716B9C66">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6.3</w:t>
            </w:r>
          </w:p>
        </w:tc>
        <w:tc>
          <w:tcPr>
            <w:tcW w:w="571" w:type="pct"/>
            <w:tcBorders>
              <w:tl2br w:val="nil"/>
              <w:tr2bl w:val="nil"/>
            </w:tcBorders>
            <w:vAlign w:val="center"/>
          </w:tcPr>
          <w:p w14:paraId="104B322B">
            <w:pPr>
              <w:autoSpaceDE/>
              <w:autoSpaceDN/>
              <w:spacing w:before="0" w:after="0" w:line="240" w:lineRule="auto"/>
              <w:ind w:left="0" w:firstLine="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c>
          <w:tcPr>
            <w:tcW w:w="630" w:type="pct"/>
            <w:tcBorders>
              <w:tl2br w:val="nil"/>
              <w:tr2bl w:val="nil"/>
            </w:tcBorders>
            <w:vAlign w:val="center"/>
          </w:tcPr>
          <w:p w14:paraId="0441E814">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125.7</w:t>
            </w:r>
          </w:p>
        </w:tc>
        <w:tc>
          <w:tcPr>
            <w:tcW w:w="587" w:type="pct"/>
            <w:tcBorders>
              <w:tl2br w:val="nil"/>
              <w:tr2bl w:val="nil"/>
            </w:tcBorders>
            <w:vAlign w:val="center"/>
          </w:tcPr>
          <w:p w14:paraId="18FBDD16">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3.34</w:t>
            </w:r>
          </w:p>
        </w:tc>
      </w:tr>
      <w:tr w14:paraId="0B4B61D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continue"/>
            <w:tcBorders>
              <w:tl2br w:val="nil"/>
              <w:tr2bl w:val="nil"/>
            </w:tcBorders>
            <w:vAlign w:val="center"/>
          </w:tcPr>
          <w:p w14:paraId="010ADAD3">
            <w:pPr>
              <w:pStyle w:val="52"/>
              <w:spacing w:before="0" w:after="0" w:line="240" w:lineRule="auto"/>
              <w:ind w:left="0" w:firstLine="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565" w:type="pct"/>
            <w:tcBorders>
              <w:tl2br w:val="nil"/>
              <w:tr2bl w:val="nil"/>
            </w:tcBorders>
            <w:vAlign w:val="center"/>
          </w:tcPr>
          <w:p w14:paraId="484F9440">
            <w:pPr>
              <w:autoSpaceDE/>
              <w:autoSpaceDN/>
              <w:spacing w:before="0" w:after="0" w:line="240" w:lineRule="auto"/>
              <w:ind w:left="0" w:firstLine="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15:09</w:t>
            </w:r>
          </w:p>
        </w:tc>
        <w:tc>
          <w:tcPr>
            <w:tcW w:w="721" w:type="pct"/>
            <w:tcBorders>
              <w:tl2br w:val="nil"/>
              <w:tr2bl w:val="nil"/>
            </w:tcBorders>
            <w:vAlign w:val="center"/>
          </w:tcPr>
          <w:p w14:paraId="5FF5B65C">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14.7</w:t>
            </w:r>
          </w:p>
        </w:tc>
        <w:tc>
          <w:tcPr>
            <w:tcW w:w="861" w:type="pct"/>
            <w:tcBorders>
              <w:tl2br w:val="nil"/>
              <w:tr2bl w:val="nil"/>
            </w:tcBorders>
            <w:vAlign w:val="center"/>
          </w:tcPr>
          <w:p w14:paraId="5235559A">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1.3</w:t>
            </w:r>
          </w:p>
        </w:tc>
        <w:tc>
          <w:tcPr>
            <w:tcW w:w="608" w:type="pct"/>
            <w:tcBorders>
              <w:tl2br w:val="nil"/>
              <w:tr2bl w:val="nil"/>
            </w:tcBorders>
            <w:vAlign w:val="center"/>
          </w:tcPr>
          <w:p w14:paraId="28B709DC">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4.3</w:t>
            </w:r>
          </w:p>
        </w:tc>
        <w:tc>
          <w:tcPr>
            <w:tcW w:w="571" w:type="pct"/>
            <w:tcBorders>
              <w:tl2br w:val="nil"/>
              <w:tr2bl w:val="nil"/>
            </w:tcBorders>
            <w:vAlign w:val="center"/>
          </w:tcPr>
          <w:p w14:paraId="634BB8E2">
            <w:pPr>
              <w:autoSpaceDE/>
              <w:autoSpaceDN/>
              <w:spacing w:before="0" w:after="0" w:line="240" w:lineRule="auto"/>
              <w:ind w:left="0" w:firstLine="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c>
          <w:tcPr>
            <w:tcW w:w="630" w:type="pct"/>
            <w:tcBorders>
              <w:tl2br w:val="nil"/>
              <w:tr2bl w:val="nil"/>
            </w:tcBorders>
            <w:vAlign w:val="center"/>
          </w:tcPr>
          <w:p w14:paraId="6FB82A89">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122.2</w:t>
            </w:r>
          </w:p>
        </w:tc>
        <w:tc>
          <w:tcPr>
            <w:tcW w:w="587" w:type="pct"/>
            <w:tcBorders>
              <w:tl2br w:val="nil"/>
              <w:tr2bl w:val="nil"/>
            </w:tcBorders>
            <w:vAlign w:val="center"/>
          </w:tcPr>
          <w:p w14:paraId="017571A4">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2.86</w:t>
            </w:r>
          </w:p>
        </w:tc>
      </w:tr>
      <w:tr w14:paraId="575DF34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continue"/>
            <w:tcBorders>
              <w:tl2br w:val="nil"/>
              <w:tr2bl w:val="nil"/>
            </w:tcBorders>
            <w:vAlign w:val="center"/>
          </w:tcPr>
          <w:p w14:paraId="5EDE5C99">
            <w:pPr>
              <w:pStyle w:val="52"/>
              <w:spacing w:before="0" w:after="0" w:line="240" w:lineRule="auto"/>
              <w:ind w:left="0" w:firstLine="0"/>
              <w:rPr>
                <w:rFonts w:hint="default" w:ascii="Times New Roman" w:hAnsi="Times New Roman" w:cs="Times New Roman"/>
                <w:color w:val="000000" w:themeColor="text1"/>
                <w:sz w:val="21"/>
                <w:szCs w:val="21"/>
                <w:lang w:val="en-US" w:eastAsia="zh-CN"/>
                <w14:textFill>
                  <w14:solidFill>
                    <w14:schemeClr w14:val="tx1"/>
                  </w14:solidFill>
                </w14:textFill>
              </w:rPr>
            </w:pPr>
          </w:p>
        </w:tc>
        <w:tc>
          <w:tcPr>
            <w:tcW w:w="565" w:type="pct"/>
            <w:tcBorders>
              <w:tl2br w:val="nil"/>
              <w:tr2bl w:val="nil"/>
            </w:tcBorders>
            <w:vAlign w:val="center"/>
          </w:tcPr>
          <w:p w14:paraId="4D77B31C">
            <w:pPr>
              <w:autoSpaceDE/>
              <w:autoSpaceDN/>
              <w:spacing w:before="0" w:after="0" w:line="240" w:lineRule="auto"/>
              <w:ind w:left="0" w:firstLine="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16:05</w:t>
            </w:r>
          </w:p>
        </w:tc>
        <w:tc>
          <w:tcPr>
            <w:tcW w:w="721" w:type="pct"/>
            <w:tcBorders>
              <w:tl2br w:val="nil"/>
              <w:tr2bl w:val="nil"/>
            </w:tcBorders>
            <w:vAlign w:val="center"/>
          </w:tcPr>
          <w:p w14:paraId="10E3578D">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14.5</w:t>
            </w:r>
          </w:p>
        </w:tc>
        <w:tc>
          <w:tcPr>
            <w:tcW w:w="861" w:type="pct"/>
            <w:tcBorders>
              <w:tl2br w:val="nil"/>
              <w:tr2bl w:val="nil"/>
            </w:tcBorders>
            <w:vAlign w:val="center"/>
          </w:tcPr>
          <w:p w14:paraId="1F1D9C25">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1.7</w:t>
            </w:r>
          </w:p>
        </w:tc>
        <w:tc>
          <w:tcPr>
            <w:tcW w:w="608" w:type="pct"/>
            <w:tcBorders>
              <w:tl2br w:val="nil"/>
              <w:tr2bl w:val="nil"/>
            </w:tcBorders>
            <w:vAlign w:val="center"/>
          </w:tcPr>
          <w:p w14:paraId="79BB31C1">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5.7</w:t>
            </w:r>
          </w:p>
        </w:tc>
        <w:tc>
          <w:tcPr>
            <w:tcW w:w="571" w:type="pct"/>
            <w:tcBorders>
              <w:tl2br w:val="nil"/>
              <w:tr2bl w:val="nil"/>
            </w:tcBorders>
            <w:vAlign w:val="center"/>
          </w:tcPr>
          <w:p w14:paraId="5075396C">
            <w:pPr>
              <w:autoSpaceDE/>
              <w:autoSpaceDN/>
              <w:spacing w:before="0" w:after="0" w:line="240" w:lineRule="auto"/>
              <w:ind w:left="0" w:firstLine="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达标</w:t>
            </w:r>
          </w:p>
        </w:tc>
        <w:tc>
          <w:tcPr>
            <w:tcW w:w="630" w:type="pct"/>
            <w:tcBorders>
              <w:tl2br w:val="nil"/>
              <w:tr2bl w:val="nil"/>
            </w:tcBorders>
            <w:vAlign w:val="center"/>
          </w:tcPr>
          <w:p w14:paraId="30647A64">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126.2</w:t>
            </w:r>
          </w:p>
        </w:tc>
        <w:tc>
          <w:tcPr>
            <w:tcW w:w="587" w:type="pct"/>
            <w:tcBorders>
              <w:tl2br w:val="nil"/>
              <w:tr2bl w:val="nil"/>
            </w:tcBorders>
            <w:vAlign w:val="center"/>
          </w:tcPr>
          <w:p w14:paraId="20A4563D">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3.51</w:t>
            </w:r>
          </w:p>
        </w:tc>
      </w:tr>
    </w:tbl>
    <w:p w14:paraId="0583DED9">
      <w:pPr>
        <w:pStyle w:val="203"/>
        <w:rPr>
          <w:rFonts w:hint="default" w:ascii="Times New Roman" w:hAnsi="Times New Roman" w:cs="Times New Roman"/>
          <w:b/>
          <w:bCs/>
        </w:rPr>
      </w:pPr>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3.1</w:t>
      </w:r>
      <w:r>
        <w:rPr>
          <w:rFonts w:hint="default" w:ascii="Times New Roman" w:hAnsi="Times New Roman" w:cs="Times New Roman"/>
          <w:b/>
          <w:bCs/>
        </w:rPr>
        <w:fldChar w:fldCharType="end"/>
      </w:r>
      <w:r>
        <w:rPr>
          <w:rFonts w:hint="default" w:ascii="Times New Roman" w:hAnsi="Times New Roman" w:cs="Times New Roman"/>
          <w:b/>
          <w:bCs/>
          <w:lang w:val="en-US" w:eastAsia="zh-CN"/>
        </w:rPr>
        <w:t>-1</w:t>
      </w:r>
      <w:r>
        <w:rPr>
          <w:rFonts w:hint="eastAsia" w:cs="Times New Roman"/>
          <w:b/>
          <w:bCs/>
          <w:lang w:val="en-US" w:eastAsia="zh-CN"/>
        </w:rPr>
        <w:t>1</w:t>
      </w:r>
      <w:r>
        <w:rPr>
          <w:rFonts w:hint="default" w:ascii="Times New Roman" w:hAnsi="Times New Roman" w:cs="Times New Roman"/>
          <w:b/>
          <w:bCs/>
        </w:rPr>
        <w:t xml:space="preserve"> 202</w:t>
      </w:r>
      <w:r>
        <w:rPr>
          <w:rFonts w:hint="default" w:ascii="Times New Roman" w:hAnsi="Times New Roman" w:cs="Times New Roman"/>
          <w:b/>
          <w:bCs/>
          <w:lang w:val="en-US" w:eastAsia="zh-CN"/>
        </w:rPr>
        <w:t>5</w:t>
      </w:r>
      <w:r>
        <w:rPr>
          <w:rFonts w:hint="default" w:ascii="Times New Roman" w:hAnsi="Times New Roman" w:cs="Times New Roman"/>
          <w:b/>
          <w:bCs/>
        </w:rPr>
        <w:t>年</w:t>
      </w:r>
      <w:r>
        <w:rPr>
          <w:rFonts w:hint="default" w:ascii="Times New Roman" w:hAnsi="Times New Roman" w:cs="Times New Roman"/>
          <w:b/>
          <w:bCs/>
          <w:lang w:val="en-US" w:eastAsia="zh-CN"/>
        </w:rPr>
        <w:t>第三季度</w:t>
      </w:r>
      <w:r>
        <w:rPr>
          <w:rFonts w:hint="default" w:ascii="Times New Roman" w:hAnsi="Times New Roman" w:cs="Times New Roman"/>
          <w:b/>
          <w:bCs/>
        </w:rPr>
        <w:t>水泥厂窑尾废气</w:t>
      </w:r>
      <w:r>
        <w:rPr>
          <w:rFonts w:hint="default" w:ascii="Times New Roman" w:hAnsi="Times New Roman" w:cs="Times New Roman"/>
          <w:b/>
          <w:bCs/>
          <w:lang w:val="en-US" w:eastAsia="zh-CN"/>
        </w:rPr>
        <w:t>例行</w:t>
      </w:r>
      <w:r>
        <w:rPr>
          <w:rFonts w:hint="default" w:ascii="Times New Roman" w:hAnsi="Times New Roman" w:cs="Times New Roman"/>
          <w:b/>
          <w:bCs/>
        </w:rPr>
        <w:t>监测结果统计表</w:t>
      </w:r>
    </w:p>
    <w:tbl>
      <w:tblPr>
        <w:tblStyle w:val="39"/>
        <w:tblW w:w="4998"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964"/>
        <w:gridCol w:w="1229"/>
        <w:gridCol w:w="1467"/>
        <w:gridCol w:w="1036"/>
        <w:gridCol w:w="973"/>
        <w:gridCol w:w="1074"/>
        <w:gridCol w:w="1000"/>
      </w:tblGrid>
      <w:tr w14:paraId="47D0A0F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1018" w:type="pct"/>
            <w:gridSpan w:val="2"/>
            <w:tcBorders>
              <w:tl2br w:val="nil"/>
              <w:tr2bl w:val="nil"/>
            </w:tcBorders>
            <w:vAlign w:val="center"/>
          </w:tcPr>
          <w:p w14:paraId="7AFC20C8">
            <w:pPr>
              <w:pStyle w:val="52"/>
              <w:spacing w:before="0" w:after="0" w:line="240" w:lineRule="auto"/>
              <w:ind w:left="0" w:firstLine="0"/>
              <w:rPr>
                <w:rFonts w:hint="default" w:ascii="Times New Roman" w:hAnsi="Times New Roman" w:eastAsia="宋体" w:cs="Times New Roman"/>
                <w:b/>
                <w:bCs/>
                <w:color w:val="000000" w:themeColor="text1"/>
                <w:sz w:val="21"/>
                <w:szCs w:val="18"/>
                <w:lang w:eastAsia="zh-CN"/>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监测时间</w:t>
            </w:r>
          </w:p>
        </w:tc>
        <w:tc>
          <w:tcPr>
            <w:tcW w:w="721" w:type="pct"/>
            <w:tcBorders>
              <w:tl2br w:val="nil"/>
              <w:tr2bl w:val="nil"/>
            </w:tcBorders>
            <w:vAlign w:val="center"/>
          </w:tcPr>
          <w:p w14:paraId="474CE8CA">
            <w:pPr>
              <w:pStyle w:val="52"/>
              <w:spacing w:before="0" w:after="0" w:line="240" w:lineRule="auto"/>
              <w:ind w:left="0" w:firstLine="0"/>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烟气流速（m/s）</w:t>
            </w:r>
          </w:p>
        </w:tc>
        <w:tc>
          <w:tcPr>
            <w:tcW w:w="861" w:type="pct"/>
            <w:tcBorders>
              <w:tl2br w:val="nil"/>
              <w:tr2bl w:val="nil"/>
            </w:tcBorders>
            <w:vAlign w:val="center"/>
          </w:tcPr>
          <w:p w14:paraId="47D79A59">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颗粒物（mg/m</w:t>
            </w:r>
            <w:r>
              <w:rPr>
                <w:rFonts w:hint="default" w:ascii="Times New Roman" w:hAnsi="Times New Roman" w:cs="Times New Roman"/>
                <w:b/>
                <w:bCs/>
                <w:color w:val="000000" w:themeColor="text1"/>
                <w:sz w:val="21"/>
                <w:szCs w:val="18"/>
                <w:vertAlign w:val="superscript"/>
                <w14:textFill>
                  <w14:solidFill>
                    <w14:schemeClr w14:val="tx1"/>
                  </w14:solidFill>
                </w14:textFill>
              </w:rPr>
              <w:t>3</w:t>
            </w:r>
            <w:r>
              <w:rPr>
                <w:rFonts w:hint="default" w:ascii="Times New Roman" w:hAnsi="Times New Roman" w:cs="Times New Roman"/>
                <w:b/>
                <w:bCs/>
                <w:color w:val="000000" w:themeColor="text1"/>
                <w:sz w:val="21"/>
                <w:szCs w:val="18"/>
                <w14:textFill>
                  <w14:solidFill>
                    <w14:schemeClr w14:val="tx1"/>
                  </w14:solidFill>
                </w14:textFill>
              </w:rPr>
              <w:t>）</w:t>
            </w:r>
          </w:p>
        </w:tc>
        <w:tc>
          <w:tcPr>
            <w:tcW w:w="608" w:type="pct"/>
            <w:tcBorders>
              <w:tl2br w:val="nil"/>
              <w:tr2bl w:val="nil"/>
            </w:tcBorders>
            <w:vAlign w:val="center"/>
          </w:tcPr>
          <w:p w14:paraId="04F42309">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占标率（%）</w:t>
            </w:r>
          </w:p>
        </w:tc>
        <w:tc>
          <w:tcPr>
            <w:tcW w:w="571" w:type="pct"/>
            <w:tcBorders>
              <w:tl2br w:val="nil"/>
              <w:tr2bl w:val="nil"/>
            </w:tcBorders>
            <w:vAlign w:val="center"/>
          </w:tcPr>
          <w:p w14:paraId="11D5A3C9">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是否达标</w:t>
            </w:r>
          </w:p>
        </w:tc>
        <w:tc>
          <w:tcPr>
            <w:tcW w:w="630" w:type="pct"/>
            <w:tcBorders>
              <w:tl2br w:val="nil"/>
              <w:tr2bl w:val="nil"/>
            </w:tcBorders>
            <w:vAlign w:val="center"/>
          </w:tcPr>
          <w:p w14:paraId="5B312788">
            <w:pPr>
              <w:pStyle w:val="52"/>
              <w:spacing w:before="0" w:after="0" w:line="240" w:lineRule="auto"/>
              <w:ind w:left="0" w:firstLine="0"/>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烟气温度℃</w:t>
            </w:r>
          </w:p>
        </w:tc>
        <w:tc>
          <w:tcPr>
            <w:tcW w:w="587" w:type="pct"/>
            <w:tcBorders>
              <w:tl2br w:val="nil"/>
              <w:tr2bl w:val="nil"/>
            </w:tcBorders>
            <w:vAlign w:val="center"/>
          </w:tcPr>
          <w:p w14:paraId="4266654E">
            <w:pPr>
              <w:pStyle w:val="52"/>
              <w:spacing w:before="0" w:after="0" w:line="240" w:lineRule="auto"/>
              <w:ind w:left="0" w:firstLine="0"/>
              <w:rPr>
                <w:rFonts w:hint="default" w:ascii="Times New Roman" w:hAnsi="Times New Roman"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湿度%</w:t>
            </w:r>
          </w:p>
        </w:tc>
      </w:tr>
      <w:tr w14:paraId="46B39E5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1018" w:type="pct"/>
            <w:gridSpan w:val="2"/>
            <w:tcBorders>
              <w:tl2br w:val="nil"/>
              <w:tr2bl w:val="nil"/>
            </w:tcBorders>
            <w:vAlign w:val="center"/>
          </w:tcPr>
          <w:p w14:paraId="3D02F0A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标准限值</w:t>
            </w:r>
          </w:p>
        </w:tc>
        <w:tc>
          <w:tcPr>
            <w:tcW w:w="721" w:type="pct"/>
            <w:tcBorders>
              <w:tl2br w:val="nil"/>
              <w:tr2bl w:val="nil"/>
            </w:tcBorders>
            <w:vAlign w:val="center"/>
          </w:tcPr>
          <w:p w14:paraId="2F75F2C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w:t>
            </w:r>
          </w:p>
        </w:tc>
        <w:tc>
          <w:tcPr>
            <w:tcW w:w="861" w:type="pct"/>
            <w:tcBorders>
              <w:tl2br w:val="nil"/>
              <w:tr2bl w:val="nil"/>
            </w:tcBorders>
            <w:vAlign w:val="center"/>
          </w:tcPr>
          <w:p w14:paraId="1959187D">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3</w:t>
            </w:r>
            <w:r>
              <w:rPr>
                <w:rFonts w:hint="default" w:ascii="Times New Roman" w:hAnsi="Times New Roman" w:cs="Times New Roman"/>
                <w:b/>
                <w:bCs/>
                <w:color w:val="000000" w:themeColor="text1"/>
                <w:sz w:val="21"/>
                <w:szCs w:val="18"/>
                <w14:textFill>
                  <w14:solidFill>
                    <w14:schemeClr w14:val="tx1"/>
                  </w14:solidFill>
                </w14:textFill>
              </w:rPr>
              <w:t>0</w:t>
            </w:r>
          </w:p>
        </w:tc>
        <w:tc>
          <w:tcPr>
            <w:tcW w:w="608" w:type="pct"/>
            <w:tcBorders>
              <w:tl2br w:val="nil"/>
              <w:tr2bl w:val="nil"/>
            </w:tcBorders>
            <w:vAlign w:val="center"/>
          </w:tcPr>
          <w:p w14:paraId="1F998A19">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w:t>
            </w:r>
          </w:p>
        </w:tc>
        <w:tc>
          <w:tcPr>
            <w:tcW w:w="571" w:type="pct"/>
            <w:tcBorders>
              <w:tl2br w:val="nil"/>
              <w:tr2bl w:val="nil"/>
            </w:tcBorders>
            <w:vAlign w:val="center"/>
          </w:tcPr>
          <w:p w14:paraId="6B609171">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w:t>
            </w:r>
          </w:p>
        </w:tc>
        <w:tc>
          <w:tcPr>
            <w:tcW w:w="630" w:type="pct"/>
            <w:tcBorders>
              <w:tl2br w:val="nil"/>
              <w:tr2bl w:val="nil"/>
            </w:tcBorders>
            <w:vAlign w:val="center"/>
          </w:tcPr>
          <w:p w14:paraId="2B0336B5">
            <w:pPr>
              <w:pStyle w:val="52"/>
              <w:spacing w:before="0" w:after="0" w:line="240" w:lineRule="auto"/>
              <w:ind w:left="0" w:firstLine="0"/>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w:t>
            </w:r>
          </w:p>
        </w:tc>
        <w:tc>
          <w:tcPr>
            <w:tcW w:w="587" w:type="pct"/>
            <w:tcBorders>
              <w:tl2br w:val="nil"/>
              <w:tr2bl w:val="nil"/>
            </w:tcBorders>
            <w:vAlign w:val="center"/>
          </w:tcPr>
          <w:p w14:paraId="5BDAB44B">
            <w:pPr>
              <w:pStyle w:val="52"/>
              <w:spacing w:before="0" w:after="0" w:line="240" w:lineRule="auto"/>
              <w:ind w:left="0" w:firstLine="0"/>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w:t>
            </w:r>
          </w:p>
        </w:tc>
      </w:tr>
      <w:tr w14:paraId="131D756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restart"/>
            <w:tcBorders>
              <w:tl2br w:val="nil"/>
              <w:tr2bl w:val="nil"/>
            </w:tcBorders>
            <w:vAlign w:val="center"/>
          </w:tcPr>
          <w:p w14:paraId="3349D92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2025年8月26日</w:t>
            </w:r>
          </w:p>
        </w:tc>
        <w:tc>
          <w:tcPr>
            <w:tcW w:w="565" w:type="pct"/>
            <w:tcBorders>
              <w:tl2br w:val="nil"/>
              <w:tr2bl w:val="nil"/>
            </w:tcBorders>
            <w:vAlign w:val="center"/>
          </w:tcPr>
          <w:p w14:paraId="26F3C83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18:16</w:t>
            </w:r>
          </w:p>
        </w:tc>
        <w:tc>
          <w:tcPr>
            <w:tcW w:w="721" w:type="pct"/>
            <w:tcBorders>
              <w:tl2br w:val="nil"/>
              <w:tr2bl w:val="nil"/>
            </w:tcBorders>
            <w:vAlign w:val="center"/>
          </w:tcPr>
          <w:p w14:paraId="655E1264">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15.3</w:t>
            </w:r>
          </w:p>
        </w:tc>
        <w:tc>
          <w:tcPr>
            <w:tcW w:w="1600" w:type="dxa"/>
            <w:tcBorders>
              <w:tl2br w:val="nil"/>
              <w:tr2bl w:val="nil"/>
            </w:tcBorders>
            <w:vAlign w:val="center"/>
          </w:tcPr>
          <w:p w14:paraId="488C7DB0">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5.7</w:t>
            </w:r>
          </w:p>
        </w:tc>
        <w:tc>
          <w:tcPr>
            <w:tcW w:w="1130" w:type="dxa"/>
            <w:tcBorders>
              <w:tl2br w:val="nil"/>
              <w:tr2bl w:val="nil"/>
            </w:tcBorders>
            <w:vAlign w:val="center"/>
          </w:tcPr>
          <w:p w14:paraId="51FD9CDE">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19</w:t>
            </w:r>
          </w:p>
        </w:tc>
        <w:tc>
          <w:tcPr>
            <w:tcW w:w="571" w:type="pct"/>
            <w:tcBorders>
              <w:tl2br w:val="nil"/>
              <w:tr2bl w:val="nil"/>
            </w:tcBorders>
            <w:vAlign w:val="center"/>
          </w:tcPr>
          <w:p w14:paraId="5D21EF79">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达标</w:t>
            </w:r>
          </w:p>
        </w:tc>
        <w:tc>
          <w:tcPr>
            <w:tcW w:w="630" w:type="pct"/>
            <w:tcBorders>
              <w:tl2br w:val="nil"/>
              <w:tr2bl w:val="nil"/>
            </w:tcBorders>
            <w:vAlign w:val="center"/>
          </w:tcPr>
          <w:p w14:paraId="0C555756">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102.7</w:t>
            </w:r>
          </w:p>
        </w:tc>
        <w:tc>
          <w:tcPr>
            <w:tcW w:w="587" w:type="pct"/>
            <w:tcBorders>
              <w:tl2br w:val="nil"/>
              <w:tr2bl w:val="nil"/>
            </w:tcBorders>
            <w:vAlign w:val="center"/>
          </w:tcPr>
          <w:p w14:paraId="36F9F866">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17.1</w:t>
            </w:r>
          </w:p>
        </w:tc>
      </w:tr>
      <w:tr w14:paraId="1771BB9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continue"/>
            <w:tcBorders>
              <w:tl2br w:val="nil"/>
              <w:tr2bl w:val="nil"/>
            </w:tcBorders>
            <w:vAlign w:val="center"/>
          </w:tcPr>
          <w:p w14:paraId="02DEA2AE">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565" w:type="pct"/>
            <w:tcBorders>
              <w:tl2br w:val="nil"/>
              <w:tr2bl w:val="nil"/>
            </w:tcBorders>
            <w:vAlign w:val="center"/>
          </w:tcPr>
          <w:p w14:paraId="10CCDF7F">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18:57</w:t>
            </w:r>
          </w:p>
        </w:tc>
        <w:tc>
          <w:tcPr>
            <w:tcW w:w="721" w:type="pct"/>
            <w:tcBorders>
              <w:tl2br w:val="nil"/>
              <w:tr2bl w:val="nil"/>
            </w:tcBorders>
            <w:vAlign w:val="center"/>
          </w:tcPr>
          <w:p w14:paraId="07B6D514">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15.3</w:t>
            </w:r>
          </w:p>
        </w:tc>
        <w:tc>
          <w:tcPr>
            <w:tcW w:w="1600" w:type="dxa"/>
            <w:tcBorders>
              <w:tl2br w:val="nil"/>
              <w:tr2bl w:val="nil"/>
            </w:tcBorders>
            <w:vAlign w:val="center"/>
          </w:tcPr>
          <w:p w14:paraId="67EA2242">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6.2</w:t>
            </w:r>
          </w:p>
        </w:tc>
        <w:tc>
          <w:tcPr>
            <w:tcW w:w="1130" w:type="dxa"/>
            <w:tcBorders>
              <w:tl2br w:val="nil"/>
              <w:tr2bl w:val="nil"/>
            </w:tcBorders>
            <w:vAlign w:val="center"/>
          </w:tcPr>
          <w:p w14:paraId="63FF8BBD">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20.7</w:t>
            </w:r>
          </w:p>
        </w:tc>
        <w:tc>
          <w:tcPr>
            <w:tcW w:w="571" w:type="pct"/>
            <w:tcBorders>
              <w:tl2br w:val="nil"/>
              <w:tr2bl w:val="nil"/>
            </w:tcBorders>
            <w:vAlign w:val="center"/>
          </w:tcPr>
          <w:p w14:paraId="1488B01C">
            <w:pPr>
              <w:autoSpaceDE/>
              <w:autoSpaceDN/>
              <w:spacing w:before="0" w:after="0" w:line="240" w:lineRule="auto"/>
              <w:ind w:left="0" w:firstLine="0"/>
              <w:jc w:val="center"/>
              <w:rPr>
                <w:rFonts w:hint="default" w:ascii="Times New Roman" w:hAnsi="Times New Roman" w:cs="Times New Roman"/>
                <w:color w:val="000000" w:themeColor="text1"/>
                <w:sz w:val="21"/>
                <w:szCs w:val="16"/>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c>
          <w:tcPr>
            <w:tcW w:w="630" w:type="pct"/>
            <w:tcBorders>
              <w:tl2br w:val="nil"/>
              <w:tr2bl w:val="nil"/>
            </w:tcBorders>
            <w:vAlign w:val="center"/>
          </w:tcPr>
          <w:p w14:paraId="454F8BDE">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101.2</w:t>
            </w:r>
          </w:p>
        </w:tc>
        <w:tc>
          <w:tcPr>
            <w:tcW w:w="587" w:type="pct"/>
            <w:tcBorders>
              <w:tl2br w:val="nil"/>
              <w:tr2bl w:val="nil"/>
            </w:tcBorders>
            <w:vAlign w:val="center"/>
          </w:tcPr>
          <w:p w14:paraId="2D7467BF">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17.4</w:t>
            </w:r>
          </w:p>
        </w:tc>
      </w:tr>
      <w:tr w14:paraId="009B7FB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continue"/>
            <w:tcBorders>
              <w:tl2br w:val="nil"/>
              <w:tr2bl w:val="nil"/>
            </w:tcBorders>
            <w:vAlign w:val="center"/>
          </w:tcPr>
          <w:p w14:paraId="79C45899">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565" w:type="pct"/>
            <w:tcBorders>
              <w:tl2br w:val="nil"/>
              <w:tr2bl w:val="nil"/>
            </w:tcBorders>
            <w:vAlign w:val="center"/>
          </w:tcPr>
          <w:p w14:paraId="578D1DDB">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19:48</w:t>
            </w:r>
          </w:p>
        </w:tc>
        <w:tc>
          <w:tcPr>
            <w:tcW w:w="721" w:type="pct"/>
            <w:tcBorders>
              <w:tl2br w:val="nil"/>
              <w:tr2bl w:val="nil"/>
            </w:tcBorders>
            <w:vAlign w:val="center"/>
          </w:tcPr>
          <w:p w14:paraId="0A992E4E">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14.5</w:t>
            </w:r>
          </w:p>
        </w:tc>
        <w:tc>
          <w:tcPr>
            <w:tcW w:w="1600" w:type="dxa"/>
            <w:tcBorders>
              <w:tl2br w:val="nil"/>
              <w:tr2bl w:val="nil"/>
            </w:tcBorders>
            <w:vAlign w:val="center"/>
          </w:tcPr>
          <w:p w14:paraId="33A5645E">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5.2</w:t>
            </w:r>
          </w:p>
        </w:tc>
        <w:tc>
          <w:tcPr>
            <w:tcW w:w="1130" w:type="dxa"/>
            <w:tcBorders>
              <w:tl2br w:val="nil"/>
              <w:tr2bl w:val="nil"/>
            </w:tcBorders>
            <w:vAlign w:val="center"/>
          </w:tcPr>
          <w:p w14:paraId="62501784">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17.3</w:t>
            </w:r>
          </w:p>
        </w:tc>
        <w:tc>
          <w:tcPr>
            <w:tcW w:w="571" w:type="pct"/>
            <w:tcBorders>
              <w:tl2br w:val="nil"/>
              <w:tr2bl w:val="nil"/>
            </w:tcBorders>
            <w:vAlign w:val="center"/>
          </w:tcPr>
          <w:p w14:paraId="60C0F112">
            <w:pPr>
              <w:autoSpaceDE/>
              <w:autoSpaceDN/>
              <w:spacing w:before="0" w:after="0" w:line="240" w:lineRule="auto"/>
              <w:ind w:left="0" w:firstLine="0"/>
              <w:jc w:val="center"/>
              <w:rPr>
                <w:rFonts w:hint="default" w:ascii="Times New Roman" w:hAnsi="Times New Roman" w:cs="Times New Roman"/>
                <w:color w:val="000000" w:themeColor="text1"/>
                <w:sz w:val="21"/>
                <w:szCs w:val="16"/>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c>
          <w:tcPr>
            <w:tcW w:w="630" w:type="pct"/>
            <w:tcBorders>
              <w:tl2br w:val="nil"/>
              <w:tr2bl w:val="nil"/>
            </w:tcBorders>
            <w:vAlign w:val="center"/>
          </w:tcPr>
          <w:p w14:paraId="78276765">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103.0</w:t>
            </w:r>
          </w:p>
        </w:tc>
        <w:tc>
          <w:tcPr>
            <w:tcW w:w="587" w:type="pct"/>
            <w:tcBorders>
              <w:tl2br w:val="nil"/>
              <w:tr2bl w:val="nil"/>
            </w:tcBorders>
            <w:vAlign w:val="center"/>
          </w:tcPr>
          <w:p w14:paraId="4254111C">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16.6</w:t>
            </w:r>
          </w:p>
        </w:tc>
      </w:tr>
      <w:tr w14:paraId="4DA38AE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continue"/>
            <w:tcBorders>
              <w:tl2br w:val="nil"/>
              <w:tr2bl w:val="nil"/>
            </w:tcBorders>
            <w:vAlign w:val="center"/>
          </w:tcPr>
          <w:p w14:paraId="664AD611">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565" w:type="pct"/>
            <w:tcBorders>
              <w:tl2br w:val="nil"/>
              <w:tr2bl w:val="nil"/>
            </w:tcBorders>
            <w:vAlign w:val="center"/>
          </w:tcPr>
          <w:p w14:paraId="0D50D39D">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20:29</w:t>
            </w:r>
          </w:p>
        </w:tc>
        <w:tc>
          <w:tcPr>
            <w:tcW w:w="721" w:type="pct"/>
            <w:tcBorders>
              <w:tl2br w:val="nil"/>
              <w:tr2bl w:val="nil"/>
            </w:tcBorders>
            <w:vAlign w:val="center"/>
          </w:tcPr>
          <w:p w14:paraId="5D6BE6A7">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14.4</w:t>
            </w:r>
          </w:p>
        </w:tc>
        <w:tc>
          <w:tcPr>
            <w:tcW w:w="1600" w:type="dxa"/>
            <w:tcBorders>
              <w:tl2br w:val="nil"/>
              <w:tr2bl w:val="nil"/>
            </w:tcBorders>
            <w:vAlign w:val="center"/>
          </w:tcPr>
          <w:p w14:paraId="3D9B55BB">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5.9</w:t>
            </w:r>
          </w:p>
        </w:tc>
        <w:tc>
          <w:tcPr>
            <w:tcW w:w="1130" w:type="dxa"/>
            <w:tcBorders>
              <w:tl2br w:val="nil"/>
              <w:tr2bl w:val="nil"/>
            </w:tcBorders>
            <w:vAlign w:val="center"/>
          </w:tcPr>
          <w:p w14:paraId="73CA3844">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19.7</w:t>
            </w:r>
          </w:p>
        </w:tc>
        <w:tc>
          <w:tcPr>
            <w:tcW w:w="571" w:type="pct"/>
            <w:tcBorders>
              <w:tl2br w:val="nil"/>
              <w:tr2bl w:val="nil"/>
            </w:tcBorders>
            <w:vAlign w:val="center"/>
          </w:tcPr>
          <w:p w14:paraId="37BC4142">
            <w:pPr>
              <w:autoSpaceDE/>
              <w:autoSpaceDN/>
              <w:spacing w:before="0" w:after="0" w:line="240" w:lineRule="auto"/>
              <w:ind w:left="0" w:firstLine="0"/>
              <w:jc w:val="center"/>
              <w:rPr>
                <w:rFonts w:hint="default" w:ascii="Times New Roman" w:hAnsi="Times New Roman" w:cs="Times New Roman"/>
                <w:color w:val="000000" w:themeColor="text1"/>
                <w:sz w:val="21"/>
                <w:szCs w:val="16"/>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c>
          <w:tcPr>
            <w:tcW w:w="630" w:type="pct"/>
            <w:tcBorders>
              <w:tl2br w:val="nil"/>
              <w:tr2bl w:val="nil"/>
            </w:tcBorders>
            <w:vAlign w:val="center"/>
          </w:tcPr>
          <w:p w14:paraId="45837BE6">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102.5</w:t>
            </w:r>
          </w:p>
        </w:tc>
        <w:tc>
          <w:tcPr>
            <w:tcW w:w="587" w:type="pct"/>
            <w:tcBorders>
              <w:tl2br w:val="nil"/>
              <w:tr2bl w:val="nil"/>
            </w:tcBorders>
            <w:vAlign w:val="center"/>
          </w:tcPr>
          <w:p w14:paraId="76F053CA">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17.2</w:t>
            </w:r>
          </w:p>
        </w:tc>
      </w:tr>
      <w:tr w14:paraId="21ADA00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452" w:type="pct"/>
            <w:vMerge w:val="continue"/>
            <w:tcBorders>
              <w:tl2br w:val="nil"/>
              <w:tr2bl w:val="nil"/>
            </w:tcBorders>
            <w:vAlign w:val="center"/>
          </w:tcPr>
          <w:p w14:paraId="126C7C0D">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565" w:type="pct"/>
            <w:tcBorders>
              <w:tl2br w:val="nil"/>
              <w:tr2bl w:val="nil"/>
            </w:tcBorders>
            <w:vAlign w:val="center"/>
          </w:tcPr>
          <w:p w14:paraId="7C25A330">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21:11</w:t>
            </w:r>
          </w:p>
        </w:tc>
        <w:tc>
          <w:tcPr>
            <w:tcW w:w="721" w:type="pct"/>
            <w:tcBorders>
              <w:tl2br w:val="nil"/>
              <w:tr2bl w:val="nil"/>
            </w:tcBorders>
            <w:vAlign w:val="center"/>
          </w:tcPr>
          <w:p w14:paraId="5EE8D7EE">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14.6</w:t>
            </w:r>
          </w:p>
        </w:tc>
        <w:tc>
          <w:tcPr>
            <w:tcW w:w="1600" w:type="dxa"/>
            <w:tcBorders>
              <w:tl2br w:val="nil"/>
              <w:tr2bl w:val="nil"/>
            </w:tcBorders>
            <w:vAlign w:val="center"/>
          </w:tcPr>
          <w:p w14:paraId="4DEC8150">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5.4</w:t>
            </w:r>
          </w:p>
        </w:tc>
        <w:tc>
          <w:tcPr>
            <w:tcW w:w="1130" w:type="dxa"/>
            <w:tcBorders>
              <w:tl2br w:val="nil"/>
              <w:tr2bl w:val="nil"/>
            </w:tcBorders>
            <w:vAlign w:val="center"/>
          </w:tcPr>
          <w:p w14:paraId="05AF49BC">
            <w:pPr>
              <w:pStyle w:val="52"/>
              <w:spacing w:before="0" w:after="0" w:line="240" w:lineRule="auto"/>
              <w:ind w:left="0" w:leftChars="0" w:firstLine="0" w:firstLineChars="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18</w:t>
            </w:r>
          </w:p>
        </w:tc>
        <w:tc>
          <w:tcPr>
            <w:tcW w:w="571" w:type="pct"/>
            <w:tcBorders>
              <w:tl2br w:val="nil"/>
              <w:tr2bl w:val="nil"/>
            </w:tcBorders>
            <w:vAlign w:val="center"/>
          </w:tcPr>
          <w:p w14:paraId="7F5CB86A">
            <w:pPr>
              <w:autoSpaceDE/>
              <w:autoSpaceDN/>
              <w:spacing w:before="0" w:after="0" w:line="240" w:lineRule="auto"/>
              <w:ind w:left="0" w:firstLine="0"/>
              <w:jc w:val="center"/>
              <w:rPr>
                <w:rFonts w:hint="default" w:ascii="Times New Roman" w:hAnsi="Times New Roman" w:cs="Times New Roman"/>
                <w:color w:val="000000" w:themeColor="text1"/>
                <w:sz w:val="21"/>
                <w:szCs w:val="16"/>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c>
          <w:tcPr>
            <w:tcW w:w="630" w:type="pct"/>
            <w:tcBorders>
              <w:tl2br w:val="nil"/>
              <w:tr2bl w:val="nil"/>
            </w:tcBorders>
            <w:vAlign w:val="center"/>
          </w:tcPr>
          <w:p w14:paraId="1B173C1D">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108.3</w:t>
            </w:r>
          </w:p>
        </w:tc>
        <w:tc>
          <w:tcPr>
            <w:tcW w:w="587" w:type="pct"/>
            <w:tcBorders>
              <w:tl2br w:val="nil"/>
              <w:tr2bl w:val="nil"/>
            </w:tcBorders>
            <w:vAlign w:val="center"/>
          </w:tcPr>
          <w:p w14:paraId="05D8A4ED">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16.5</w:t>
            </w:r>
          </w:p>
        </w:tc>
      </w:tr>
    </w:tbl>
    <w:p w14:paraId="5F878DAF">
      <w:pPr>
        <w:pStyle w:val="203"/>
        <w:rPr>
          <w:rFonts w:hint="default" w:ascii="Times New Roman" w:hAnsi="Times New Roman" w:cs="Times New Roman"/>
          <w:b/>
          <w:bCs/>
        </w:rPr>
      </w:pPr>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3.1</w:t>
      </w:r>
      <w:r>
        <w:rPr>
          <w:rFonts w:hint="default" w:ascii="Times New Roman" w:hAnsi="Times New Roman" w:cs="Times New Roman"/>
          <w:b/>
          <w:bCs/>
        </w:rPr>
        <w:fldChar w:fldCharType="end"/>
      </w:r>
      <w:r>
        <w:rPr>
          <w:rFonts w:hint="default" w:ascii="Times New Roman" w:hAnsi="Times New Roman" w:cs="Times New Roman"/>
          <w:b/>
          <w:bCs/>
          <w:lang w:val="en-US" w:eastAsia="zh-CN"/>
        </w:rPr>
        <w:t>-1</w:t>
      </w:r>
      <w:r>
        <w:rPr>
          <w:rFonts w:hint="eastAsia" w:cs="Times New Roman"/>
          <w:b/>
          <w:bCs/>
          <w:lang w:val="en-US" w:eastAsia="zh-CN"/>
        </w:rPr>
        <w:t>2</w:t>
      </w:r>
      <w:r>
        <w:rPr>
          <w:rFonts w:hint="default" w:ascii="Times New Roman" w:hAnsi="Times New Roman" w:cs="Times New Roman"/>
          <w:b/>
          <w:bCs/>
        </w:rPr>
        <w:t xml:space="preserve"> 202</w:t>
      </w:r>
      <w:r>
        <w:rPr>
          <w:rFonts w:hint="default" w:ascii="Times New Roman" w:hAnsi="Times New Roman" w:cs="Times New Roman"/>
          <w:b/>
          <w:bCs/>
          <w:lang w:val="en-US" w:eastAsia="zh-CN"/>
        </w:rPr>
        <w:t>5</w:t>
      </w:r>
      <w:r>
        <w:rPr>
          <w:rFonts w:hint="default" w:ascii="Times New Roman" w:hAnsi="Times New Roman" w:cs="Times New Roman"/>
          <w:b/>
          <w:bCs/>
        </w:rPr>
        <w:t>年</w:t>
      </w:r>
      <w:r>
        <w:rPr>
          <w:rFonts w:hint="default" w:ascii="Times New Roman" w:hAnsi="Times New Roman" w:cs="Times New Roman"/>
          <w:b/>
          <w:bCs/>
          <w:lang w:val="en-US" w:eastAsia="zh-CN"/>
        </w:rPr>
        <w:t>第三季度</w:t>
      </w:r>
      <w:r>
        <w:rPr>
          <w:rFonts w:hint="default" w:ascii="Times New Roman" w:hAnsi="Times New Roman" w:cs="Times New Roman"/>
          <w:b/>
          <w:bCs/>
        </w:rPr>
        <w:t>水泥厂窑尾废气</w:t>
      </w:r>
      <w:r>
        <w:rPr>
          <w:rFonts w:hint="default" w:ascii="Times New Roman" w:hAnsi="Times New Roman" w:cs="Times New Roman"/>
          <w:b/>
          <w:bCs/>
          <w:lang w:val="en-US" w:eastAsia="zh-CN"/>
        </w:rPr>
        <w:t>例行</w:t>
      </w:r>
      <w:r>
        <w:rPr>
          <w:rFonts w:hint="default" w:ascii="Times New Roman" w:hAnsi="Times New Roman" w:cs="Times New Roman"/>
          <w:b/>
          <w:bCs/>
        </w:rPr>
        <w:t>监测结果统计表</w:t>
      </w:r>
    </w:p>
    <w:tbl>
      <w:tblPr>
        <w:tblStyle w:val="39"/>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799"/>
        <w:gridCol w:w="1288"/>
        <w:gridCol w:w="1069"/>
        <w:gridCol w:w="1204"/>
        <w:gridCol w:w="1219"/>
        <w:gridCol w:w="1218"/>
        <w:gridCol w:w="991"/>
      </w:tblGrid>
      <w:tr w14:paraId="271C45C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911" w:type="pct"/>
            <w:gridSpan w:val="2"/>
            <w:tcBorders>
              <w:tl2br w:val="nil"/>
              <w:tr2bl w:val="nil"/>
            </w:tcBorders>
            <w:vAlign w:val="center"/>
          </w:tcPr>
          <w:p w14:paraId="526CA91A">
            <w:pPr>
              <w:pStyle w:val="52"/>
              <w:spacing w:before="0" w:after="0" w:line="240" w:lineRule="auto"/>
              <w:ind w:left="0" w:firstLine="0"/>
              <w:rPr>
                <w:rFonts w:hint="default" w:ascii="Times New Roman" w:hAnsi="Times New Roman" w:eastAsia="宋体" w:cs="Times New Roman"/>
                <w:b/>
                <w:bCs/>
                <w:color w:val="000000" w:themeColor="text1"/>
                <w:sz w:val="21"/>
                <w:szCs w:val="18"/>
                <w:lang w:eastAsia="zh-CN"/>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监测时间</w:t>
            </w:r>
          </w:p>
        </w:tc>
        <w:tc>
          <w:tcPr>
            <w:tcW w:w="765" w:type="pct"/>
            <w:tcBorders>
              <w:tl2br w:val="nil"/>
              <w:tr2bl w:val="nil"/>
            </w:tcBorders>
            <w:vAlign w:val="center"/>
          </w:tcPr>
          <w:p w14:paraId="2295A41F">
            <w:pPr>
              <w:pStyle w:val="52"/>
              <w:spacing w:before="0" w:after="0" w:line="240" w:lineRule="auto"/>
              <w:ind w:left="0" w:firstLine="0"/>
              <w:rPr>
                <w:rFonts w:hint="default" w:ascii="Times New Roman" w:hAnsi="Times New Roman"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SO</w:t>
            </w:r>
            <w:r>
              <w:rPr>
                <w:rFonts w:hint="default" w:ascii="Times New Roman" w:hAnsi="Times New Roman" w:cs="Times New Roman"/>
                <w:b/>
                <w:bCs/>
                <w:color w:val="000000" w:themeColor="text1"/>
                <w:sz w:val="21"/>
                <w:szCs w:val="18"/>
                <w:vertAlign w:val="subscript"/>
                <w:lang w:val="en-US" w:eastAsia="zh-CN"/>
                <w14:textFill>
                  <w14:solidFill>
                    <w14:schemeClr w14:val="tx1"/>
                  </w14:solidFill>
                </w14:textFill>
              </w:rPr>
              <w:t>2</w:t>
            </w:r>
          </w:p>
          <w:p w14:paraId="71C4AB33">
            <w:pPr>
              <w:pStyle w:val="52"/>
              <w:spacing w:before="0" w:after="0" w:line="240" w:lineRule="auto"/>
              <w:ind w:left="0" w:firstLine="0"/>
              <w:rPr>
                <w:rFonts w:hint="default" w:ascii="Times New Roman" w:hAnsi="Times New Roman"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（mg/m</w:t>
            </w:r>
            <w:r>
              <w:rPr>
                <w:rFonts w:hint="default" w:ascii="Times New Roman" w:hAnsi="Times New Roman" w:cs="Times New Roman"/>
                <w:b/>
                <w:bCs/>
                <w:color w:val="000000" w:themeColor="text1"/>
                <w:sz w:val="21"/>
                <w:szCs w:val="18"/>
                <w:vertAlign w:val="superscript"/>
                <w14:textFill>
                  <w14:solidFill>
                    <w14:schemeClr w14:val="tx1"/>
                  </w14:solidFill>
                </w14:textFill>
              </w:rPr>
              <w:t>3</w:t>
            </w:r>
            <w:r>
              <w:rPr>
                <w:rFonts w:hint="default" w:ascii="Times New Roman" w:hAnsi="Times New Roman" w:cs="Times New Roman"/>
                <w:b/>
                <w:bCs/>
                <w:color w:val="000000" w:themeColor="text1"/>
                <w:sz w:val="21"/>
                <w:szCs w:val="18"/>
                <w14:textFill>
                  <w14:solidFill>
                    <w14:schemeClr w14:val="tx1"/>
                  </w14:solidFill>
                </w14:textFill>
              </w:rPr>
              <w:t>）</w:t>
            </w:r>
          </w:p>
        </w:tc>
        <w:tc>
          <w:tcPr>
            <w:tcW w:w="636" w:type="pct"/>
            <w:tcBorders>
              <w:tl2br w:val="nil"/>
              <w:tr2bl w:val="nil"/>
            </w:tcBorders>
            <w:vAlign w:val="center"/>
          </w:tcPr>
          <w:p w14:paraId="79E40139">
            <w:pPr>
              <w:pStyle w:val="52"/>
              <w:spacing w:before="0" w:after="0" w:line="240" w:lineRule="auto"/>
              <w:ind w:left="0" w:firstLine="0"/>
              <w:rPr>
                <w:rFonts w:hint="default" w:ascii="Times New Roman" w:hAnsi="Times New Roman"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占标率</w:t>
            </w:r>
          </w:p>
          <w:p w14:paraId="257550C8">
            <w:pPr>
              <w:pStyle w:val="52"/>
              <w:spacing w:before="0" w:after="0" w:line="240" w:lineRule="auto"/>
              <w:ind w:left="0" w:firstLine="0"/>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w:t>
            </w:r>
          </w:p>
        </w:tc>
        <w:tc>
          <w:tcPr>
            <w:tcW w:w="715" w:type="pct"/>
            <w:tcBorders>
              <w:tl2br w:val="nil"/>
              <w:tr2bl w:val="nil"/>
            </w:tcBorders>
            <w:shd w:val="clear" w:color="auto" w:fill="auto"/>
            <w:vAlign w:val="center"/>
          </w:tcPr>
          <w:p w14:paraId="08E257D9">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是否达标</w:t>
            </w:r>
          </w:p>
        </w:tc>
        <w:tc>
          <w:tcPr>
            <w:tcW w:w="656" w:type="pct"/>
            <w:tcBorders>
              <w:tl2br w:val="nil"/>
              <w:tr2bl w:val="nil"/>
            </w:tcBorders>
            <w:shd w:val="clear" w:color="auto" w:fill="auto"/>
            <w:vAlign w:val="center"/>
          </w:tcPr>
          <w:p w14:paraId="673C10F2">
            <w:pPr>
              <w:pStyle w:val="52"/>
              <w:spacing w:before="0" w:after="0" w:line="240" w:lineRule="auto"/>
              <w:ind w:left="0" w:leftChars="0" w:firstLine="0" w:firstLineChars="0"/>
              <w:rPr>
                <w:rFonts w:hint="default" w:ascii="Times New Roman" w:hAnsi="Times New Roman"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18"/>
                <w:lang w:val="en-US" w:eastAsia="zh-CN" w:bidi="ar-SA"/>
                <w14:textFill>
                  <w14:solidFill>
                    <w14:schemeClr w14:val="tx1"/>
                  </w14:solidFill>
                </w14:textFill>
              </w:rPr>
              <w:t>NOx</w:t>
            </w:r>
          </w:p>
          <w:p w14:paraId="6EEC3F40">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（mg/m</w:t>
            </w:r>
            <w:r>
              <w:rPr>
                <w:rFonts w:hint="default" w:ascii="Times New Roman" w:hAnsi="Times New Roman" w:cs="Times New Roman"/>
                <w:b/>
                <w:bCs/>
                <w:color w:val="000000" w:themeColor="text1"/>
                <w:sz w:val="21"/>
                <w:szCs w:val="18"/>
                <w:vertAlign w:val="superscript"/>
                <w14:textFill>
                  <w14:solidFill>
                    <w14:schemeClr w14:val="tx1"/>
                  </w14:solidFill>
                </w14:textFill>
              </w:rPr>
              <w:t>3</w:t>
            </w:r>
            <w:r>
              <w:rPr>
                <w:rFonts w:hint="default" w:ascii="Times New Roman" w:hAnsi="Times New Roman" w:cs="Times New Roman"/>
                <w:b/>
                <w:bCs/>
                <w:color w:val="000000" w:themeColor="text1"/>
                <w:sz w:val="21"/>
                <w:szCs w:val="18"/>
                <w14:textFill>
                  <w14:solidFill>
                    <w14:schemeClr w14:val="tx1"/>
                  </w14:solidFill>
                </w14:textFill>
              </w:rPr>
              <w:t>）</w:t>
            </w:r>
          </w:p>
        </w:tc>
        <w:tc>
          <w:tcPr>
            <w:tcW w:w="723" w:type="pct"/>
            <w:tcBorders>
              <w:tl2br w:val="nil"/>
              <w:tr2bl w:val="nil"/>
            </w:tcBorders>
            <w:shd w:val="clear" w:color="auto" w:fill="auto"/>
            <w:vAlign w:val="center"/>
          </w:tcPr>
          <w:p w14:paraId="108C04C9">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占标率（%）</w:t>
            </w:r>
          </w:p>
        </w:tc>
        <w:tc>
          <w:tcPr>
            <w:tcW w:w="590" w:type="pct"/>
            <w:tcBorders>
              <w:tl2br w:val="nil"/>
              <w:tr2bl w:val="nil"/>
            </w:tcBorders>
            <w:shd w:val="clear" w:color="auto" w:fill="auto"/>
            <w:vAlign w:val="center"/>
          </w:tcPr>
          <w:p w14:paraId="19A27F75">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是否达标</w:t>
            </w:r>
          </w:p>
        </w:tc>
      </w:tr>
      <w:tr w14:paraId="14047C3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11" w:type="pct"/>
            <w:gridSpan w:val="2"/>
            <w:tcBorders>
              <w:tl2br w:val="nil"/>
              <w:tr2bl w:val="nil"/>
            </w:tcBorders>
            <w:vAlign w:val="center"/>
          </w:tcPr>
          <w:p w14:paraId="2E4022CE">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标准限值</w:t>
            </w:r>
          </w:p>
        </w:tc>
        <w:tc>
          <w:tcPr>
            <w:tcW w:w="765" w:type="pct"/>
            <w:tcBorders>
              <w:tl2br w:val="nil"/>
              <w:tr2bl w:val="nil"/>
            </w:tcBorders>
            <w:shd w:val="clear" w:color="auto" w:fill="auto"/>
            <w:vAlign w:val="center"/>
          </w:tcPr>
          <w:p w14:paraId="1F50F911">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200</w:t>
            </w:r>
          </w:p>
        </w:tc>
        <w:tc>
          <w:tcPr>
            <w:tcW w:w="636" w:type="pct"/>
            <w:tcBorders>
              <w:tl2br w:val="nil"/>
              <w:tr2bl w:val="nil"/>
            </w:tcBorders>
            <w:shd w:val="clear" w:color="auto" w:fill="auto"/>
            <w:vAlign w:val="center"/>
          </w:tcPr>
          <w:p w14:paraId="06220B2B">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18"/>
                <w:lang w:val="en-US" w:eastAsia="zh-CN" w:bidi="ar-SA"/>
                <w14:textFill>
                  <w14:solidFill>
                    <w14:schemeClr w14:val="tx1"/>
                  </w14:solidFill>
                </w14:textFill>
              </w:rPr>
              <w:t>/</w:t>
            </w:r>
          </w:p>
        </w:tc>
        <w:tc>
          <w:tcPr>
            <w:tcW w:w="715" w:type="pct"/>
            <w:tcBorders>
              <w:tl2br w:val="nil"/>
              <w:tr2bl w:val="nil"/>
            </w:tcBorders>
            <w:shd w:val="clear" w:color="auto" w:fill="auto"/>
            <w:vAlign w:val="center"/>
          </w:tcPr>
          <w:p w14:paraId="2329C41D">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18"/>
                <w:lang w:val="en-US" w:eastAsia="zh-CN" w:bidi="ar-SA"/>
                <w14:textFill>
                  <w14:solidFill>
                    <w14:schemeClr w14:val="tx1"/>
                  </w14:solidFill>
                </w14:textFill>
              </w:rPr>
              <w:t>/</w:t>
            </w:r>
          </w:p>
        </w:tc>
        <w:tc>
          <w:tcPr>
            <w:tcW w:w="656" w:type="pct"/>
            <w:tcBorders>
              <w:tl2br w:val="nil"/>
              <w:tr2bl w:val="nil"/>
            </w:tcBorders>
            <w:shd w:val="clear" w:color="auto" w:fill="auto"/>
            <w:vAlign w:val="center"/>
          </w:tcPr>
          <w:p w14:paraId="05BA3502">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18"/>
                <w:lang w:val="en-US" w:eastAsia="zh-CN" w:bidi="ar-SA"/>
                <w14:textFill>
                  <w14:solidFill>
                    <w14:schemeClr w14:val="tx1"/>
                  </w14:solidFill>
                </w14:textFill>
              </w:rPr>
              <w:t>400</w:t>
            </w:r>
          </w:p>
        </w:tc>
        <w:tc>
          <w:tcPr>
            <w:tcW w:w="723" w:type="pct"/>
            <w:tcBorders>
              <w:tl2br w:val="nil"/>
              <w:tr2bl w:val="nil"/>
            </w:tcBorders>
            <w:shd w:val="clear" w:color="auto" w:fill="auto"/>
            <w:vAlign w:val="center"/>
          </w:tcPr>
          <w:p w14:paraId="72151726">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w:t>
            </w:r>
          </w:p>
        </w:tc>
        <w:tc>
          <w:tcPr>
            <w:tcW w:w="590" w:type="pct"/>
            <w:tcBorders>
              <w:tl2br w:val="nil"/>
              <w:tr2bl w:val="nil"/>
            </w:tcBorders>
            <w:shd w:val="clear" w:color="auto" w:fill="auto"/>
            <w:vAlign w:val="center"/>
          </w:tcPr>
          <w:p w14:paraId="5E06C154">
            <w:pPr>
              <w:pStyle w:val="52"/>
              <w:spacing w:before="0" w:after="0" w:line="240" w:lineRule="auto"/>
              <w:ind w:left="0" w:leftChars="0" w:firstLine="0" w:firstLineChars="0"/>
              <w:rPr>
                <w:rFonts w:hint="default" w:ascii="Times New Roman" w:hAnsi="Times New Roman" w:eastAsia="宋体" w:cs="Times New Roman"/>
                <w:b/>
                <w:bCs/>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b/>
                <w:bCs/>
                <w:color w:val="000000" w:themeColor="text1"/>
                <w:kern w:val="0"/>
                <w:sz w:val="21"/>
                <w:szCs w:val="18"/>
                <w:lang w:val="en-US" w:eastAsia="zh-CN" w:bidi="ar-SA"/>
                <w14:textFill>
                  <w14:solidFill>
                    <w14:schemeClr w14:val="tx1"/>
                  </w14:solidFill>
                </w14:textFill>
              </w:rPr>
              <w:t>/</w:t>
            </w:r>
          </w:p>
        </w:tc>
      </w:tr>
      <w:tr w14:paraId="60DF470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3" w:type="pct"/>
            <w:vMerge w:val="restart"/>
            <w:tcBorders>
              <w:tl2br w:val="nil"/>
              <w:tr2bl w:val="nil"/>
            </w:tcBorders>
            <w:vAlign w:val="center"/>
          </w:tcPr>
          <w:p w14:paraId="76AADBC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2025年8月26日</w:t>
            </w:r>
          </w:p>
        </w:tc>
        <w:tc>
          <w:tcPr>
            <w:tcW w:w="478" w:type="pct"/>
            <w:tcBorders>
              <w:tl2br w:val="nil"/>
              <w:tr2bl w:val="nil"/>
            </w:tcBorders>
            <w:vAlign w:val="center"/>
          </w:tcPr>
          <w:p w14:paraId="399F5AD3">
            <w:pPr>
              <w:pStyle w:val="52"/>
              <w:spacing w:before="0" w:after="0" w:line="240" w:lineRule="auto"/>
              <w:ind w:left="0" w:firstLine="0"/>
              <w:rPr>
                <w:rFonts w:hint="default" w:ascii="Times New Roman" w:hAnsi="Times New Roman" w:cs="Times New Roman"/>
                <w:color w:val="000000" w:themeColor="text1"/>
                <w:sz w:val="21"/>
                <w:szCs w:val="18"/>
                <w:lang w:val="en-US"/>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16:47</w:t>
            </w:r>
          </w:p>
        </w:tc>
        <w:tc>
          <w:tcPr>
            <w:tcW w:w="765" w:type="pct"/>
            <w:tcBorders>
              <w:tl2br w:val="nil"/>
              <w:tr2bl w:val="nil"/>
            </w:tcBorders>
            <w:vAlign w:val="center"/>
          </w:tcPr>
          <w:p w14:paraId="602C43F4">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160</w:t>
            </w:r>
          </w:p>
        </w:tc>
        <w:tc>
          <w:tcPr>
            <w:tcW w:w="636" w:type="pct"/>
            <w:tcBorders>
              <w:tl2br w:val="nil"/>
              <w:tr2bl w:val="nil"/>
            </w:tcBorders>
            <w:vAlign w:val="center"/>
          </w:tcPr>
          <w:p w14:paraId="770F8826">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80</w:t>
            </w:r>
          </w:p>
        </w:tc>
        <w:tc>
          <w:tcPr>
            <w:tcW w:w="715" w:type="pct"/>
            <w:tcBorders>
              <w:tl2br w:val="nil"/>
              <w:tr2bl w:val="nil"/>
            </w:tcBorders>
            <w:shd w:val="clear" w:color="auto" w:fill="auto"/>
            <w:vAlign w:val="center"/>
          </w:tcPr>
          <w:p w14:paraId="0A535788">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41784949">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152</w:t>
            </w:r>
          </w:p>
        </w:tc>
        <w:tc>
          <w:tcPr>
            <w:tcW w:w="723" w:type="pct"/>
            <w:tcBorders>
              <w:tl2br w:val="nil"/>
              <w:tr2bl w:val="nil"/>
            </w:tcBorders>
            <w:shd w:val="clear" w:color="auto" w:fill="auto"/>
            <w:vAlign w:val="center"/>
          </w:tcPr>
          <w:p w14:paraId="6EC828AD">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38</w:t>
            </w:r>
          </w:p>
        </w:tc>
        <w:tc>
          <w:tcPr>
            <w:tcW w:w="590" w:type="pct"/>
            <w:tcBorders>
              <w:tl2br w:val="nil"/>
              <w:tr2bl w:val="nil"/>
            </w:tcBorders>
            <w:shd w:val="clear" w:color="auto" w:fill="auto"/>
            <w:vAlign w:val="center"/>
          </w:tcPr>
          <w:p w14:paraId="013B106E">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达标</w:t>
            </w:r>
          </w:p>
        </w:tc>
      </w:tr>
      <w:tr w14:paraId="7249471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vMerge w:val="continue"/>
            <w:tcBorders>
              <w:tl2br w:val="nil"/>
              <w:tr2bl w:val="nil"/>
            </w:tcBorders>
            <w:vAlign w:val="center"/>
          </w:tcPr>
          <w:p w14:paraId="267EF3A1">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478" w:type="pct"/>
            <w:tcBorders>
              <w:tl2br w:val="nil"/>
              <w:tr2bl w:val="nil"/>
            </w:tcBorders>
            <w:vAlign w:val="center"/>
          </w:tcPr>
          <w:p w14:paraId="4246C8C0">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16:52</w:t>
            </w:r>
          </w:p>
        </w:tc>
        <w:tc>
          <w:tcPr>
            <w:tcW w:w="765" w:type="pct"/>
            <w:tcBorders>
              <w:tl2br w:val="nil"/>
              <w:tr2bl w:val="nil"/>
            </w:tcBorders>
            <w:vAlign w:val="center"/>
          </w:tcPr>
          <w:p w14:paraId="28CF7AAD">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152</w:t>
            </w:r>
          </w:p>
        </w:tc>
        <w:tc>
          <w:tcPr>
            <w:tcW w:w="636" w:type="pct"/>
            <w:tcBorders>
              <w:tl2br w:val="nil"/>
              <w:tr2bl w:val="nil"/>
            </w:tcBorders>
            <w:vAlign w:val="center"/>
          </w:tcPr>
          <w:p w14:paraId="512B1FC7">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76</w:t>
            </w:r>
          </w:p>
        </w:tc>
        <w:tc>
          <w:tcPr>
            <w:tcW w:w="715" w:type="pct"/>
            <w:tcBorders>
              <w:tl2br w:val="nil"/>
              <w:tr2bl w:val="nil"/>
            </w:tcBorders>
            <w:shd w:val="clear" w:color="auto" w:fill="auto"/>
            <w:vAlign w:val="center"/>
          </w:tcPr>
          <w:p w14:paraId="2D4B392F">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34F4E808">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139</w:t>
            </w:r>
          </w:p>
        </w:tc>
        <w:tc>
          <w:tcPr>
            <w:tcW w:w="723" w:type="pct"/>
            <w:tcBorders>
              <w:tl2br w:val="nil"/>
              <w:tr2bl w:val="nil"/>
            </w:tcBorders>
            <w:shd w:val="clear" w:color="auto" w:fill="auto"/>
            <w:vAlign w:val="center"/>
          </w:tcPr>
          <w:p w14:paraId="45B7C60B">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34.75</w:t>
            </w:r>
          </w:p>
        </w:tc>
        <w:tc>
          <w:tcPr>
            <w:tcW w:w="590" w:type="pct"/>
            <w:tcBorders>
              <w:tl2br w:val="nil"/>
              <w:tr2bl w:val="nil"/>
            </w:tcBorders>
            <w:shd w:val="clear" w:color="auto" w:fill="auto"/>
            <w:vAlign w:val="center"/>
          </w:tcPr>
          <w:p w14:paraId="79DAB2B3">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r>
      <w:tr w14:paraId="35DE238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3" w:type="pct"/>
            <w:vMerge w:val="continue"/>
            <w:tcBorders>
              <w:tl2br w:val="nil"/>
              <w:tr2bl w:val="nil"/>
            </w:tcBorders>
            <w:vAlign w:val="center"/>
          </w:tcPr>
          <w:p w14:paraId="1C71BF67">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478" w:type="pct"/>
            <w:tcBorders>
              <w:tl2br w:val="nil"/>
              <w:tr2bl w:val="nil"/>
            </w:tcBorders>
            <w:vAlign w:val="center"/>
          </w:tcPr>
          <w:p w14:paraId="2A21AC09">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16:57</w:t>
            </w:r>
          </w:p>
        </w:tc>
        <w:tc>
          <w:tcPr>
            <w:tcW w:w="765" w:type="pct"/>
            <w:tcBorders>
              <w:tl2br w:val="nil"/>
              <w:tr2bl w:val="nil"/>
            </w:tcBorders>
            <w:vAlign w:val="center"/>
          </w:tcPr>
          <w:p w14:paraId="63827B99">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162</w:t>
            </w:r>
          </w:p>
        </w:tc>
        <w:tc>
          <w:tcPr>
            <w:tcW w:w="636" w:type="pct"/>
            <w:tcBorders>
              <w:tl2br w:val="nil"/>
              <w:tr2bl w:val="nil"/>
            </w:tcBorders>
            <w:vAlign w:val="center"/>
          </w:tcPr>
          <w:p w14:paraId="7BD0E8BA">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81</w:t>
            </w:r>
          </w:p>
        </w:tc>
        <w:tc>
          <w:tcPr>
            <w:tcW w:w="715" w:type="pct"/>
            <w:tcBorders>
              <w:tl2br w:val="nil"/>
              <w:tr2bl w:val="nil"/>
            </w:tcBorders>
            <w:shd w:val="clear" w:color="auto" w:fill="auto"/>
            <w:vAlign w:val="center"/>
          </w:tcPr>
          <w:p w14:paraId="33F2BF34">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6118159E">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165</w:t>
            </w:r>
          </w:p>
        </w:tc>
        <w:tc>
          <w:tcPr>
            <w:tcW w:w="723" w:type="pct"/>
            <w:tcBorders>
              <w:tl2br w:val="nil"/>
              <w:tr2bl w:val="nil"/>
            </w:tcBorders>
            <w:shd w:val="clear" w:color="auto" w:fill="auto"/>
            <w:vAlign w:val="center"/>
          </w:tcPr>
          <w:p w14:paraId="6AE82E6B">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41.25</w:t>
            </w:r>
          </w:p>
        </w:tc>
        <w:tc>
          <w:tcPr>
            <w:tcW w:w="590" w:type="pct"/>
            <w:tcBorders>
              <w:tl2br w:val="nil"/>
              <w:tr2bl w:val="nil"/>
            </w:tcBorders>
            <w:shd w:val="clear" w:color="auto" w:fill="auto"/>
            <w:vAlign w:val="center"/>
          </w:tcPr>
          <w:p w14:paraId="0896229C">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r>
      <w:tr w14:paraId="0187DA6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3" w:type="pct"/>
            <w:vMerge w:val="continue"/>
            <w:tcBorders>
              <w:tl2br w:val="nil"/>
              <w:tr2bl w:val="nil"/>
            </w:tcBorders>
            <w:vAlign w:val="center"/>
          </w:tcPr>
          <w:p w14:paraId="5349D281">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478" w:type="pct"/>
            <w:tcBorders>
              <w:tl2br w:val="nil"/>
              <w:tr2bl w:val="nil"/>
            </w:tcBorders>
            <w:vAlign w:val="center"/>
          </w:tcPr>
          <w:p w14:paraId="477CBB50">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17:02</w:t>
            </w:r>
          </w:p>
        </w:tc>
        <w:tc>
          <w:tcPr>
            <w:tcW w:w="765" w:type="pct"/>
            <w:tcBorders>
              <w:tl2br w:val="nil"/>
              <w:tr2bl w:val="nil"/>
            </w:tcBorders>
            <w:vAlign w:val="center"/>
          </w:tcPr>
          <w:p w14:paraId="6945BF58">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163</w:t>
            </w:r>
          </w:p>
        </w:tc>
        <w:tc>
          <w:tcPr>
            <w:tcW w:w="636" w:type="pct"/>
            <w:tcBorders>
              <w:tl2br w:val="nil"/>
              <w:tr2bl w:val="nil"/>
            </w:tcBorders>
            <w:vAlign w:val="center"/>
          </w:tcPr>
          <w:p w14:paraId="09CB95D3">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81.5</w:t>
            </w:r>
          </w:p>
        </w:tc>
        <w:tc>
          <w:tcPr>
            <w:tcW w:w="715" w:type="pct"/>
            <w:tcBorders>
              <w:tl2br w:val="nil"/>
              <w:tr2bl w:val="nil"/>
            </w:tcBorders>
            <w:shd w:val="clear" w:color="auto" w:fill="auto"/>
            <w:vAlign w:val="center"/>
          </w:tcPr>
          <w:p w14:paraId="7098B16C">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0681D5CA">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192</w:t>
            </w:r>
          </w:p>
        </w:tc>
        <w:tc>
          <w:tcPr>
            <w:tcW w:w="723" w:type="pct"/>
            <w:tcBorders>
              <w:tl2br w:val="nil"/>
              <w:tr2bl w:val="nil"/>
            </w:tcBorders>
            <w:shd w:val="clear" w:color="auto" w:fill="auto"/>
            <w:vAlign w:val="center"/>
          </w:tcPr>
          <w:p w14:paraId="42F74326">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48</w:t>
            </w:r>
          </w:p>
        </w:tc>
        <w:tc>
          <w:tcPr>
            <w:tcW w:w="590" w:type="pct"/>
            <w:tcBorders>
              <w:tl2br w:val="nil"/>
              <w:tr2bl w:val="nil"/>
            </w:tcBorders>
            <w:shd w:val="clear" w:color="auto" w:fill="auto"/>
            <w:vAlign w:val="center"/>
          </w:tcPr>
          <w:p w14:paraId="425FC711">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达标</w:t>
            </w:r>
          </w:p>
        </w:tc>
      </w:tr>
      <w:tr w14:paraId="72891A6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3" w:type="pct"/>
            <w:vMerge w:val="continue"/>
            <w:tcBorders>
              <w:tl2br w:val="nil"/>
              <w:tr2bl w:val="nil"/>
            </w:tcBorders>
            <w:vAlign w:val="center"/>
          </w:tcPr>
          <w:p w14:paraId="3E0E9139">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478" w:type="pct"/>
            <w:tcBorders>
              <w:tl2br w:val="nil"/>
              <w:tr2bl w:val="nil"/>
            </w:tcBorders>
            <w:vAlign w:val="center"/>
          </w:tcPr>
          <w:p w14:paraId="776444D5">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17:07</w:t>
            </w:r>
          </w:p>
        </w:tc>
        <w:tc>
          <w:tcPr>
            <w:tcW w:w="765" w:type="pct"/>
            <w:tcBorders>
              <w:tl2br w:val="nil"/>
              <w:tr2bl w:val="nil"/>
            </w:tcBorders>
            <w:vAlign w:val="center"/>
          </w:tcPr>
          <w:p w14:paraId="09C6979A">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161</w:t>
            </w:r>
          </w:p>
        </w:tc>
        <w:tc>
          <w:tcPr>
            <w:tcW w:w="636" w:type="pct"/>
            <w:tcBorders>
              <w:tl2br w:val="nil"/>
              <w:tr2bl w:val="nil"/>
            </w:tcBorders>
            <w:vAlign w:val="center"/>
          </w:tcPr>
          <w:p w14:paraId="7B0A4DF6">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80.5</w:t>
            </w:r>
          </w:p>
        </w:tc>
        <w:tc>
          <w:tcPr>
            <w:tcW w:w="715" w:type="pct"/>
            <w:tcBorders>
              <w:tl2br w:val="nil"/>
              <w:tr2bl w:val="nil"/>
            </w:tcBorders>
            <w:shd w:val="clear" w:color="auto" w:fill="auto"/>
            <w:vAlign w:val="center"/>
          </w:tcPr>
          <w:p w14:paraId="13C8A1FF">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386DAEC4">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189</w:t>
            </w:r>
          </w:p>
        </w:tc>
        <w:tc>
          <w:tcPr>
            <w:tcW w:w="723" w:type="pct"/>
            <w:tcBorders>
              <w:tl2br w:val="nil"/>
              <w:tr2bl w:val="nil"/>
            </w:tcBorders>
            <w:shd w:val="clear" w:color="auto" w:fill="auto"/>
            <w:vAlign w:val="center"/>
          </w:tcPr>
          <w:p w14:paraId="022AE734">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47.25</w:t>
            </w:r>
          </w:p>
        </w:tc>
        <w:tc>
          <w:tcPr>
            <w:tcW w:w="590" w:type="pct"/>
            <w:tcBorders>
              <w:tl2br w:val="nil"/>
              <w:tr2bl w:val="nil"/>
            </w:tcBorders>
            <w:shd w:val="clear" w:color="auto" w:fill="auto"/>
            <w:vAlign w:val="center"/>
          </w:tcPr>
          <w:p w14:paraId="2289F735">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r>
      <w:tr w14:paraId="2A15260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3" w:type="pct"/>
            <w:vMerge w:val="continue"/>
            <w:tcBorders>
              <w:tl2br w:val="nil"/>
              <w:tr2bl w:val="nil"/>
            </w:tcBorders>
            <w:vAlign w:val="center"/>
          </w:tcPr>
          <w:p w14:paraId="287F1FCD">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478" w:type="pct"/>
            <w:tcBorders>
              <w:tl2br w:val="nil"/>
              <w:tr2bl w:val="nil"/>
            </w:tcBorders>
            <w:vAlign w:val="center"/>
          </w:tcPr>
          <w:p w14:paraId="4D62B1DA">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17:12</w:t>
            </w:r>
          </w:p>
        </w:tc>
        <w:tc>
          <w:tcPr>
            <w:tcW w:w="765" w:type="pct"/>
            <w:tcBorders>
              <w:tl2br w:val="nil"/>
              <w:tr2bl w:val="nil"/>
            </w:tcBorders>
            <w:vAlign w:val="center"/>
          </w:tcPr>
          <w:p w14:paraId="592B81BC">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158</w:t>
            </w:r>
          </w:p>
        </w:tc>
        <w:tc>
          <w:tcPr>
            <w:tcW w:w="636" w:type="pct"/>
            <w:tcBorders>
              <w:tl2br w:val="nil"/>
              <w:tr2bl w:val="nil"/>
            </w:tcBorders>
            <w:vAlign w:val="center"/>
          </w:tcPr>
          <w:p w14:paraId="759A0F39">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79</w:t>
            </w:r>
          </w:p>
        </w:tc>
        <w:tc>
          <w:tcPr>
            <w:tcW w:w="715" w:type="pct"/>
            <w:tcBorders>
              <w:tl2br w:val="nil"/>
              <w:tr2bl w:val="nil"/>
            </w:tcBorders>
            <w:shd w:val="clear" w:color="auto" w:fill="auto"/>
            <w:vAlign w:val="center"/>
          </w:tcPr>
          <w:p w14:paraId="6198081C">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1B40B44A">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187</w:t>
            </w:r>
          </w:p>
        </w:tc>
        <w:tc>
          <w:tcPr>
            <w:tcW w:w="723" w:type="pct"/>
            <w:tcBorders>
              <w:tl2br w:val="nil"/>
              <w:tr2bl w:val="nil"/>
            </w:tcBorders>
            <w:shd w:val="clear" w:color="auto" w:fill="auto"/>
            <w:vAlign w:val="center"/>
          </w:tcPr>
          <w:p w14:paraId="1C098E5F">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46.75</w:t>
            </w:r>
          </w:p>
        </w:tc>
        <w:tc>
          <w:tcPr>
            <w:tcW w:w="590" w:type="pct"/>
            <w:tcBorders>
              <w:tl2br w:val="nil"/>
              <w:tr2bl w:val="nil"/>
            </w:tcBorders>
            <w:shd w:val="clear" w:color="auto" w:fill="auto"/>
            <w:vAlign w:val="center"/>
          </w:tcPr>
          <w:p w14:paraId="227158EF">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r>
      <w:tr w14:paraId="7A5CDD0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3" w:type="pct"/>
            <w:vMerge w:val="continue"/>
            <w:tcBorders>
              <w:tl2br w:val="nil"/>
              <w:tr2bl w:val="nil"/>
            </w:tcBorders>
            <w:vAlign w:val="center"/>
          </w:tcPr>
          <w:p w14:paraId="4808516F">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478" w:type="pct"/>
            <w:tcBorders>
              <w:tl2br w:val="nil"/>
              <w:tr2bl w:val="nil"/>
            </w:tcBorders>
            <w:vAlign w:val="center"/>
          </w:tcPr>
          <w:p w14:paraId="1ACF1FAD">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17:17</w:t>
            </w:r>
          </w:p>
        </w:tc>
        <w:tc>
          <w:tcPr>
            <w:tcW w:w="765" w:type="pct"/>
            <w:tcBorders>
              <w:tl2br w:val="nil"/>
              <w:tr2bl w:val="nil"/>
            </w:tcBorders>
            <w:vAlign w:val="center"/>
          </w:tcPr>
          <w:p w14:paraId="7EBD006D">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160</w:t>
            </w:r>
          </w:p>
        </w:tc>
        <w:tc>
          <w:tcPr>
            <w:tcW w:w="636" w:type="pct"/>
            <w:tcBorders>
              <w:tl2br w:val="nil"/>
              <w:tr2bl w:val="nil"/>
            </w:tcBorders>
            <w:vAlign w:val="center"/>
          </w:tcPr>
          <w:p w14:paraId="2592552E">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80</w:t>
            </w:r>
          </w:p>
        </w:tc>
        <w:tc>
          <w:tcPr>
            <w:tcW w:w="715" w:type="pct"/>
            <w:tcBorders>
              <w:tl2br w:val="nil"/>
              <w:tr2bl w:val="nil"/>
            </w:tcBorders>
            <w:shd w:val="clear" w:color="auto" w:fill="auto"/>
            <w:vAlign w:val="center"/>
          </w:tcPr>
          <w:p w14:paraId="10AADAB2">
            <w:pPr>
              <w:autoSpaceDE/>
              <w:autoSpaceDN/>
              <w:spacing w:before="0" w:after="0" w:line="240" w:lineRule="auto"/>
              <w:ind w:left="0" w:leftChars="0" w:firstLine="0" w:firstLineChars="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24A1264C">
            <w:pPr>
              <w:pStyle w:val="52"/>
              <w:spacing w:before="0" w:after="0" w:line="240" w:lineRule="auto"/>
              <w:ind w:left="0" w:leftChars="0" w:firstLine="0" w:firstLineChars="0"/>
              <w:rPr>
                <w:rFonts w:hint="default" w:ascii="Times New Roman" w:hAnsi="Times New Roman"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211</w:t>
            </w:r>
          </w:p>
        </w:tc>
        <w:tc>
          <w:tcPr>
            <w:tcW w:w="723" w:type="pct"/>
            <w:tcBorders>
              <w:tl2br w:val="nil"/>
              <w:tr2bl w:val="nil"/>
            </w:tcBorders>
            <w:shd w:val="clear" w:color="auto" w:fill="auto"/>
            <w:vAlign w:val="center"/>
          </w:tcPr>
          <w:p w14:paraId="6FD63355">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52.75</w:t>
            </w:r>
          </w:p>
        </w:tc>
        <w:tc>
          <w:tcPr>
            <w:tcW w:w="590" w:type="pct"/>
            <w:tcBorders>
              <w:tl2br w:val="nil"/>
              <w:tr2bl w:val="nil"/>
            </w:tcBorders>
            <w:shd w:val="clear" w:color="auto" w:fill="auto"/>
            <w:vAlign w:val="center"/>
          </w:tcPr>
          <w:p w14:paraId="2DA68718">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r>
      <w:tr w14:paraId="288420E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3" w:type="pct"/>
            <w:vMerge w:val="continue"/>
            <w:tcBorders>
              <w:tl2br w:val="nil"/>
              <w:tr2bl w:val="nil"/>
            </w:tcBorders>
            <w:vAlign w:val="center"/>
          </w:tcPr>
          <w:p w14:paraId="7865FAB0">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478" w:type="pct"/>
            <w:tcBorders>
              <w:tl2br w:val="nil"/>
              <w:tr2bl w:val="nil"/>
            </w:tcBorders>
            <w:vAlign w:val="center"/>
          </w:tcPr>
          <w:p w14:paraId="2F5F0DDC">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17:22</w:t>
            </w:r>
          </w:p>
        </w:tc>
        <w:tc>
          <w:tcPr>
            <w:tcW w:w="765" w:type="pct"/>
            <w:tcBorders>
              <w:tl2br w:val="nil"/>
              <w:tr2bl w:val="nil"/>
            </w:tcBorders>
            <w:vAlign w:val="center"/>
          </w:tcPr>
          <w:p w14:paraId="6068AD33">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157</w:t>
            </w:r>
          </w:p>
        </w:tc>
        <w:tc>
          <w:tcPr>
            <w:tcW w:w="636" w:type="pct"/>
            <w:tcBorders>
              <w:tl2br w:val="nil"/>
              <w:tr2bl w:val="nil"/>
            </w:tcBorders>
            <w:vAlign w:val="center"/>
          </w:tcPr>
          <w:p w14:paraId="57E62B46">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78.5</w:t>
            </w:r>
          </w:p>
        </w:tc>
        <w:tc>
          <w:tcPr>
            <w:tcW w:w="715" w:type="pct"/>
            <w:tcBorders>
              <w:tl2br w:val="nil"/>
              <w:tr2bl w:val="nil"/>
            </w:tcBorders>
            <w:shd w:val="clear" w:color="auto" w:fill="auto"/>
            <w:vAlign w:val="center"/>
          </w:tcPr>
          <w:p w14:paraId="6B8F42B0">
            <w:pPr>
              <w:pStyle w:val="52"/>
              <w:spacing w:before="0" w:after="0" w:line="240" w:lineRule="auto"/>
              <w:ind w:left="0" w:leftChars="0" w:firstLine="0" w:firstLineChars="0"/>
              <w:rPr>
                <w:rFonts w:hint="default" w:ascii="Times New Roman" w:hAnsi="Times New Roman"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2C1234CB">
            <w:pPr>
              <w:pStyle w:val="52"/>
              <w:spacing w:before="0" w:after="0" w:line="240" w:lineRule="auto"/>
              <w:ind w:left="0" w:leftChars="0" w:firstLine="0" w:firstLineChars="0"/>
              <w:rPr>
                <w:rFonts w:hint="default" w:ascii="Times New Roman" w:hAnsi="Times New Roman"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149</w:t>
            </w:r>
          </w:p>
        </w:tc>
        <w:tc>
          <w:tcPr>
            <w:tcW w:w="723" w:type="pct"/>
            <w:tcBorders>
              <w:tl2br w:val="nil"/>
              <w:tr2bl w:val="nil"/>
            </w:tcBorders>
            <w:shd w:val="clear" w:color="auto" w:fill="auto"/>
            <w:vAlign w:val="center"/>
          </w:tcPr>
          <w:p w14:paraId="2C597AC4">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37.25</w:t>
            </w:r>
          </w:p>
        </w:tc>
        <w:tc>
          <w:tcPr>
            <w:tcW w:w="590" w:type="pct"/>
            <w:tcBorders>
              <w:tl2br w:val="nil"/>
              <w:tr2bl w:val="nil"/>
            </w:tcBorders>
            <w:shd w:val="clear" w:color="auto" w:fill="auto"/>
            <w:vAlign w:val="center"/>
          </w:tcPr>
          <w:p w14:paraId="1B8623E1">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r>
      <w:tr w14:paraId="08E368B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3" w:type="pct"/>
            <w:vMerge w:val="continue"/>
            <w:tcBorders>
              <w:tl2br w:val="nil"/>
              <w:tr2bl w:val="nil"/>
            </w:tcBorders>
            <w:vAlign w:val="center"/>
          </w:tcPr>
          <w:p w14:paraId="26596BB4">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478" w:type="pct"/>
            <w:tcBorders>
              <w:tl2br w:val="nil"/>
              <w:tr2bl w:val="nil"/>
            </w:tcBorders>
            <w:vAlign w:val="center"/>
          </w:tcPr>
          <w:p w14:paraId="37C19F92">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17:27</w:t>
            </w:r>
          </w:p>
        </w:tc>
        <w:tc>
          <w:tcPr>
            <w:tcW w:w="765" w:type="pct"/>
            <w:tcBorders>
              <w:tl2br w:val="nil"/>
              <w:tr2bl w:val="nil"/>
            </w:tcBorders>
            <w:vAlign w:val="center"/>
          </w:tcPr>
          <w:p w14:paraId="12D4ABAD">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167</w:t>
            </w:r>
          </w:p>
        </w:tc>
        <w:tc>
          <w:tcPr>
            <w:tcW w:w="636" w:type="pct"/>
            <w:tcBorders>
              <w:tl2br w:val="nil"/>
              <w:tr2bl w:val="nil"/>
            </w:tcBorders>
            <w:vAlign w:val="center"/>
          </w:tcPr>
          <w:p w14:paraId="2D88EBAE">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83.5</w:t>
            </w:r>
          </w:p>
        </w:tc>
        <w:tc>
          <w:tcPr>
            <w:tcW w:w="715" w:type="pct"/>
            <w:tcBorders>
              <w:tl2br w:val="nil"/>
              <w:tr2bl w:val="nil"/>
            </w:tcBorders>
            <w:shd w:val="clear" w:color="auto" w:fill="auto"/>
            <w:vAlign w:val="center"/>
          </w:tcPr>
          <w:p w14:paraId="079A6EFE">
            <w:pPr>
              <w:autoSpaceDE/>
              <w:autoSpaceDN/>
              <w:spacing w:before="0" w:after="0" w:line="240" w:lineRule="auto"/>
              <w:ind w:left="0" w:leftChars="0" w:firstLine="0" w:firstLineChars="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1AEFD0CC">
            <w:pPr>
              <w:pStyle w:val="52"/>
              <w:spacing w:before="0" w:after="0" w:line="240" w:lineRule="auto"/>
              <w:ind w:left="0" w:leftChars="0" w:firstLine="0" w:firstLineChars="0"/>
              <w:rPr>
                <w:rFonts w:hint="default" w:ascii="Times New Roman" w:hAnsi="Times New Roman"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174</w:t>
            </w:r>
          </w:p>
        </w:tc>
        <w:tc>
          <w:tcPr>
            <w:tcW w:w="723" w:type="pct"/>
            <w:tcBorders>
              <w:tl2br w:val="nil"/>
              <w:tr2bl w:val="nil"/>
            </w:tcBorders>
            <w:shd w:val="clear" w:color="auto" w:fill="auto"/>
            <w:vAlign w:val="center"/>
          </w:tcPr>
          <w:p w14:paraId="560E0653">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43.5</w:t>
            </w:r>
          </w:p>
        </w:tc>
        <w:tc>
          <w:tcPr>
            <w:tcW w:w="590" w:type="pct"/>
            <w:tcBorders>
              <w:tl2br w:val="nil"/>
              <w:tr2bl w:val="nil"/>
            </w:tcBorders>
            <w:shd w:val="clear" w:color="auto" w:fill="auto"/>
            <w:vAlign w:val="center"/>
          </w:tcPr>
          <w:p w14:paraId="51ADE2AC">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r>
      <w:tr w14:paraId="3D34B7E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3" w:type="pct"/>
            <w:vMerge w:val="continue"/>
            <w:tcBorders>
              <w:tl2br w:val="nil"/>
              <w:tr2bl w:val="nil"/>
            </w:tcBorders>
            <w:vAlign w:val="center"/>
          </w:tcPr>
          <w:p w14:paraId="1141DF38">
            <w:pPr>
              <w:pStyle w:val="52"/>
              <w:spacing w:before="0" w:after="0" w:line="240" w:lineRule="auto"/>
              <w:ind w:left="0" w:firstLine="0"/>
              <w:rPr>
                <w:rFonts w:hint="default" w:ascii="Times New Roman" w:hAnsi="Times New Roman" w:cs="Times New Roman"/>
                <w:color w:val="000000" w:themeColor="text1"/>
                <w:sz w:val="21"/>
                <w:szCs w:val="18"/>
                <w:lang w:val="en-US" w:eastAsia="zh-CN"/>
                <w14:textFill>
                  <w14:solidFill>
                    <w14:schemeClr w14:val="tx1"/>
                  </w14:solidFill>
                </w14:textFill>
              </w:rPr>
            </w:pPr>
          </w:p>
        </w:tc>
        <w:tc>
          <w:tcPr>
            <w:tcW w:w="478" w:type="pct"/>
            <w:tcBorders>
              <w:tl2br w:val="nil"/>
              <w:tr2bl w:val="nil"/>
            </w:tcBorders>
            <w:vAlign w:val="center"/>
          </w:tcPr>
          <w:p w14:paraId="2CEA64EE">
            <w:pPr>
              <w:autoSpaceDE/>
              <w:autoSpaceDN/>
              <w:spacing w:before="0" w:after="0" w:line="240" w:lineRule="auto"/>
              <w:ind w:left="0" w:firstLine="0"/>
              <w:jc w:val="center"/>
              <w:rPr>
                <w:rFonts w:hint="default" w:ascii="Times New Roman" w:hAnsi="Times New Roman" w:cs="Times New Roman"/>
                <w:color w:val="000000" w:themeColor="text1"/>
                <w:sz w:val="21"/>
                <w:szCs w:val="16"/>
                <w:lang w:val="en-US" w:eastAsia="zh-CN"/>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17:32</w:t>
            </w:r>
          </w:p>
        </w:tc>
        <w:tc>
          <w:tcPr>
            <w:tcW w:w="765" w:type="pct"/>
            <w:tcBorders>
              <w:tl2br w:val="nil"/>
              <w:tr2bl w:val="nil"/>
            </w:tcBorders>
            <w:vAlign w:val="center"/>
          </w:tcPr>
          <w:p w14:paraId="7927B8B0">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160</w:t>
            </w:r>
          </w:p>
        </w:tc>
        <w:tc>
          <w:tcPr>
            <w:tcW w:w="636" w:type="pct"/>
            <w:tcBorders>
              <w:tl2br w:val="nil"/>
              <w:tr2bl w:val="nil"/>
            </w:tcBorders>
            <w:vAlign w:val="center"/>
          </w:tcPr>
          <w:p w14:paraId="28CF83BF">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80</w:t>
            </w:r>
          </w:p>
        </w:tc>
        <w:tc>
          <w:tcPr>
            <w:tcW w:w="715" w:type="pct"/>
            <w:tcBorders>
              <w:tl2br w:val="nil"/>
              <w:tr2bl w:val="nil"/>
            </w:tcBorders>
            <w:shd w:val="clear" w:color="auto" w:fill="auto"/>
            <w:vAlign w:val="center"/>
          </w:tcPr>
          <w:p w14:paraId="7D71D118">
            <w:pPr>
              <w:pStyle w:val="52"/>
              <w:spacing w:before="0" w:after="0" w:line="240" w:lineRule="auto"/>
              <w:ind w:left="0" w:leftChars="0" w:firstLine="0" w:firstLineChars="0"/>
              <w:rPr>
                <w:rFonts w:hint="default" w:ascii="Times New Roman" w:hAnsi="Times New Roman"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达标</w:t>
            </w:r>
          </w:p>
        </w:tc>
        <w:tc>
          <w:tcPr>
            <w:tcW w:w="656" w:type="pct"/>
            <w:tcBorders>
              <w:tl2br w:val="nil"/>
              <w:tr2bl w:val="nil"/>
            </w:tcBorders>
            <w:shd w:val="clear" w:color="auto" w:fill="auto"/>
            <w:vAlign w:val="center"/>
          </w:tcPr>
          <w:p w14:paraId="789857F7">
            <w:pPr>
              <w:pStyle w:val="52"/>
              <w:spacing w:before="0" w:after="0" w:line="240" w:lineRule="auto"/>
              <w:ind w:left="0" w:leftChars="0" w:firstLine="0" w:firstLineChars="0"/>
              <w:rPr>
                <w:rFonts w:hint="default" w:ascii="Times New Roman" w:hAnsi="Times New Roman"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163</w:t>
            </w:r>
          </w:p>
        </w:tc>
        <w:tc>
          <w:tcPr>
            <w:tcW w:w="723" w:type="pct"/>
            <w:tcBorders>
              <w:tl2br w:val="nil"/>
              <w:tr2bl w:val="nil"/>
            </w:tcBorders>
            <w:shd w:val="clear" w:color="auto" w:fill="auto"/>
            <w:vAlign w:val="center"/>
          </w:tcPr>
          <w:p w14:paraId="458E1312">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t>40.75</w:t>
            </w:r>
          </w:p>
        </w:tc>
        <w:tc>
          <w:tcPr>
            <w:tcW w:w="590" w:type="pct"/>
            <w:tcBorders>
              <w:tl2br w:val="nil"/>
              <w:tr2bl w:val="nil"/>
            </w:tcBorders>
            <w:shd w:val="clear" w:color="auto" w:fill="auto"/>
            <w:vAlign w:val="center"/>
          </w:tcPr>
          <w:p w14:paraId="237BA056">
            <w:pPr>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6"/>
                <w:lang w:val="en-US" w:eastAsia="zh-CN"/>
                <w14:textFill>
                  <w14:solidFill>
                    <w14:schemeClr w14:val="tx1"/>
                  </w14:solidFill>
                </w14:textFill>
              </w:rPr>
              <w:t>达标</w:t>
            </w:r>
          </w:p>
        </w:tc>
      </w:tr>
    </w:tbl>
    <w:p w14:paraId="0760B9EC">
      <w:pPr>
        <w:pStyle w:val="6"/>
        <w:rPr>
          <w:rFonts w:hint="default" w:ascii="Times New Roman" w:hAnsi="Times New Roman" w:cs="Times New Roman"/>
          <w:color w:val="0000FF"/>
        </w:rPr>
      </w:pPr>
      <w:r>
        <w:rPr>
          <w:rFonts w:hint="default" w:ascii="Times New Roman" w:hAnsi="Times New Roman" w:cs="Times New Roman"/>
        </w:rPr>
        <w:t>由监测结果可知，</w:t>
      </w:r>
      <w:r>
        <w:rPr>
          <w:rFonts w:hint="default" w:ascii="Times New Roman" w:hAnsi="Times New Roman" w:cs="Times New Roman"/>
          <w:lang w:val="en-US" w:eastAsia="zh-CN"/>
        </w:rPr>
        <w:t>企业</w:t>
      </w:r>
      <w:r>
        <w:rPr>
          <w:rFonts w:hint="default" w:ascii="Times New Roman" w:hAnsi="Times New Roman" w:cs="Times New Roman"/>
        </w:rPr>
        <w:t>水泥窑废气污染物</w:t>
      </w:r>
      <w:r>
        <w:rPr>
          <w:rFonts w:hint="default" w:ascii="Times New Roman" w:hAnsi="Times New Roman" w:eastAsia="宋体" w:cs="Times New Roman"/>
          <w:color w:val="auto"/>
          <w:sz w:val="24"/>
          <w:szCs w:val="24"/>
          <w:highlight w:val="none"/>
          <w:lang w:val="en-US" w:eastAsia="zh-CN" w:bidi="ar-SA"/>
        </w:rPr>
        <w:t>满足《水泥工业大气污染物排放标准》（GB4915-2013）（含2025年修改单）表</w:t>
      </w:r>
      <w:r>
        <w:rPr>
          <w:rFonts w:hint="eastAsia" w:cs="Times New Roman"/>
          <w:color w:val="auto"/>
          <w:sz w:val="24"/>
          <w:szCs w:val="24"/>
          <w:highlight w:val="none"/>
          <w:lang w:val="en-US" w:eastAsia="zh-CN" w:bidi="ar-SA"/>
        </w:rPr>
        <w:t>1</w:t>
      </w:r>
      <w:r>
        <w:rPr>
          <w:rFonts w:hint="default" w:ascii="Times New Roman" w:hAnsi="Times New Roman" w:eastAsia="宋体" w:cs="Times New Roman"/>
          <w:color w:val="auto"/>
          <w:sz w:val="24"/>
          <w:szCs w:val="24"/>
          <w:highlight w:val="none"/>
          <w:lang w:val="en-US" w:eastAsia="zh-CN" w:bidi="ar-SA"/>
        </w:rPr>
        <w:t>规定的大气污染物排放限值。</w:t>
      </w:r>
      <w:bookmarkEnd w:id="82"/>
    </w:p>
    <w:p w14:paraId="4930E486">
      <w:pPr>
        <w:pStyle w:val="6"/>
        <w:rPr>
          <w:rFonts w:hint="default" w:ascii="Times New Roman" w:hAnsi="Times New Roman" w:cs="Times New Roman"/>
          <w:lang w:val="en-US" w:eastAsia="zh-CN"/>
        </w:rPr>
      </w:pPr>
      <w:r>
        <w:rPr>
          <w:rFonts w:hint="default" w:ascii="Times New Roman" w:hAnsi="Times New Roman" w:cs="Times New Roman"/>
          <w:lang w:val="en-US" w:eastAsia="zh-CN"/>
        </w:rPr>
        <w:t>（2）废水</w:t>
      </w:r>
    </w:p>
    <w:p w14:paraId="112276B4">
      <w:pPr>
        <w:pStyle w:val="6"/>
        <w:rPr>
          <w:rFonts w:hint="default" w:ascii="Times New Roman" w:hAnsi="Times New Roman" w:cs="Times New Roman"/>
        </w:rPr>
      </w:pPr>
      <w:r>
        <w:rPr>
          <w:rFonts w:hint="default" w:ascii="Times New Roman" w:hAnsi="Times New Roman" w:cs="Times New Roman"/>
          <w:lang w:val="en-US" w:eastAsia="zh-CN"/>
        </w:rPr>
        <w:t>企业</w:t>
      </w:r>
      <w:r>
        <w:rPr>
          <w:rFonts w:hint="default" w:ascii="Times New Roman" w:hAnsi="Times New Roman" w:cs="Times New Roman"/>
        </w:rPr>
        <w:t>生产循环冷却水补充新鲜水量328m</w:t>
      </w:r>
      <w:r>
        <w:rPr>
          <w:rFonts w:hint="default" w:ascii="Times New Roman" w:hAnsi="Times New Roman" w:cs="Times New Roman"/>
          <w:vertAlign w:val="superscript"/>
        </w:rPr>
        <w:t>3</w:t>
      </w:r>
      <w:r>
        <w:rPr>
          <w:rFonts w:hint="default" w:ascii="Times New Roman" w:hAnsi="Times New Roman" w:cs="Times New Roman"/>
        </w:rPr>
        <w:t>/d，厂区生活、辅助生产（化验室、绿化等）用水33m</w:t>
      </w:r>
      <w:r>
        <w:rPr>
          <w:rFonts w:hint="default" w:ascii="Times New Roman" w:hAnsi="Times New Roman" w:cs="Times New Roman"/>
          <w:vertAlign w:val="superscript"/>
        </w:rPr>
        <w:t>3</w:t>
      </w:r>
      <w:r>
        <w:rPr>
          <w:rFonts w:hint="default" w:ascii="Times New Roman" w:hAnsi="Times New Roman" w:cs="Times New Roman"/>
        </w:rPr>
        <w:t>/d。水泥熟料生产过程中生产冷却水均循环使用，基本无生产废水外排。厂区内废水为生活办公排水。</w:t>
      </w:r>
    </w:p>
    <w:p w14:paraId="0A183EB3">
      <w:pPr>
        <w:pStyle w:val="6"/>
        <w:rPr>
          <w:rFonts w:hint="default" w:ascii="Times New Roman" w:hAnsi="Times New Roman" w:cs="Times New Roman"/>
        </w:rPr>
      </w:pPr>
      <w:r>
        <w:rPr>
          <w:rFonts w:hint="default" w:ascii="Times New Roman" w:hAnsi="Times New Roman" w:cs="Times New Roman"/>
          <w:lang w:val="en-US" w:eastAsia="zh-CN"/>
        </w:rPr>
        <w:t>①</w:t>
      </w:r>
      <w:r>
        <w:rPr>
          <w:rFonts w:hint="default" w:ascii="Times New Roman" w:hAnsi="Times New Roman" w:cs="Times New Roman"/>
        </w:rPr>
        <w:t>生产废水包括循环冷却排水和辅助设施排水。设备冷却水采用循环系统，不对外排放。冷却水经冷却池冷却处理后循环使用，其循环水量约4730m</w:t>
      </w:r>
      <w:r>
        <w:rPr>
          <w:rFonts w:hint="default" w:ascii="Times New Roman" w:hAnsi="Times New Roman" w:cs="Times New Roman"/>
          <w:vertAlign w:val="superscript"/>
        </w:rPr>
        <w:t>3</w:t>
      </w:r>
      <w:r>
        <w:rPr>
          <w:rFonts w:hint="default" w:ascii="Times New Roman" w:hAnsi="Times New Roman" w:cs="Times New Roman"/>
        </w:rPr>
        <w:t>/d。冷却池位于原料调配站的西侧，为钢筋混凝土结构，其容积约75m</w:t>
      </w:r>
      <w:r>
        <w:rPr>
          <w:rFonts w:hint="default" w:ascii="Times New Roman" w:hAnsi="Times New Roman" w:cs="Times New Roman"/>
          <w:vertAlign w:val="superscript"/>
        </w:rPr>
        <w:t>3</w:t>
      </w:r>
      <w:r>
        <w:rPr>
          <w:rFonts w:hint="default" w:ascii="Times New Roman" w:hAnsi="Times New Roman" w:cs="Times New Roman"/>
        </w:rPr>
        <w:t>。辅助设施排水为机修车间和实验室排水，辅助设施排水23m</w:t>
      </w:r>
      <w:r>
        <w:rPr>
          <w:rFonts w:hint="default" w:ascii="Times New Roman" w:hAnsi="Times New Roman" w:cs="Times New Roman"/>
          <w:vertAlign w:val="superscript"/>
        </w:rPr>
        <w:t>3</w:t>
      </w:r>
      <w:r>
        <w:rPr>
          <w:rFonts w:hint="default" w:ascii="Times New Roman" w:hAnsi="Times New Roman" w:cs="Times New Roman"/>
        </w:rPr>
        <w:t>/d。</w:t>
      </w:r>
    </w:p>
    <w:p w14:paraId="7DBD2953">
      <w:pPr>
        <w:pStyle w:val="6"/>
        <w:rPr>
          <w:rFonts w:hint="default" w:ascii="Times New Roman" w:hAnsi="Times New Roman" w:cs="Times New Roman"/>
        </w:rPr>
      </w:pPr>
      <w:r>
        <w:rPr>
          <w:rFonts w:hint="default" w:ascii="Times New Roman" w:hAnsi="Times New Roman" w:cs="Times New Roman"/>
          <w:lang w:val="en-US" w:eastAsia="zh-CN"/>
        </w:rPr>
        <w:t>②企业</w:t>
      </w:r>
      <w:r>
        <w:rPr>
          <w:rFonts w:hint="default" w:ascii="Times New Roman" w:hAnsi="Times New Roman" w:cs="Times New Roman"/>
        </w:rPr>
        <w:t>生活用水用水量约24m</w:t>
      </w:r>
      <w:r>
        <w:rPr>
          <w:rFonts w:hint="default" w:ascii="Times New Roman" w:hAnsi="Times New Roman" w:cs="Times New Roman"/>
          <w:vertAlign w:val="superscript"/>
        </w:rPr>
        <w:t>3</w:t>
      </w:r>
      <w:r>
        <w:rPr>
          <w:rFonts w:hint="default" w:ascii="Times New Roman" w:hAnsi="Times New Roman" w:cs="Times New Roman"/>
        </w:rPr>
        <w:t>/d，生活污水排放量19m</w:t>
      </w:r>
      <w:r>
        <w:rPr>
          <w:rFonts w:hint="default" w:ascii="Times New Roman" w:hAnsi="Times New Roman" w:cs="Times New Roman"/>
          <w:vertAlign w:val="superscript"/>
        </w:rPr>
        <w:t>3</w:t>
      </w:r>
      <w:r>
        <w:rPr>
          <w:rFonts w:hint="default" w:ascii="Times New Roman" w:hAnsi="Times New Roman" w:cs="Times New Roman"/>
        </w:rPr>
        <w:t>/d。地埋式生物接触氧化污水处理设施设计处理能力为200m</w:t>
      </w:r>
      <w:r>
        <w:rPr>
          <w:rFonts w:hint="default" w:ascii="Times New Roman" w:hAnsi="Times New Roman" w:cs="Times New Roman"/>
          <w:vertAlign w:val="superscript"/>
        </w:rPr>
        <w:t>3</w:t>
      </w:r>
      <w:r>
        <w:rPr>
          <w:rFonts w:hint="default" w:ascii="Times New Roman" w:hAnsi="Times New Roman" w:cs="Times New Roman"/>
        </w:rPr>
        <w:t>/d，目前处理量为30～50m</w:t>
      </w:r>
      <w:r>
        <w:rPr>
          <w:rFonts w:hint="default" w:ascii="Times New Roman" w:hAnsi="Times New Roman" w:cs="Times New Roman"/>
          <w:vertAlign w:val="superscript"/>
        </w:rPr>
        <w:t>3</w:t>
      </w:r>
      <w:r>
        <w:rPr>
          <w:rFonts w:hint="default" w:ascii="Times New Roman" w:hAnsi="Times New Roman" w:cs="Times New Roman"/>
        </w:rPr>
        <w:t>/d。污水经格栅去除较大悬浮颗粒物后流入集水井，均匀水质后由提升泵输送至生产循环水池。产生的剩余污泥经污泥消化池消化后由吸粪车抽走外运处理。生活污水经地埋式生物接触氧化污水处理设施处理后，用于绿化灌溉。</w:t>
      </w:r>
    </w:p>
    <w:p w14:paraId="75E75ACA">
      <w:pPr>
        <w:pStyle w:val="6"/>
        <w:rPr>
          <w:rFonts w:hint="default" w:ascii="Times New Roman" w:hAnsi="Times New Roman" w:cs="Times New Roman"/>
          <w:lang w:val="en-US" w:eastAsia="zh-CN"/>
        </w:rPr>
      </w:pPr>
      <w:r>
        <w:rPr>
          <w:rFonts w:hint="default" w:ascii="Times New Roman" w:hAnsi="Times New Roman" w:cs="Times New Roman"/>
          <w:lang w:val="en-US" w:eastAsia="zh-CN"/>
        </w:rPr>
        <w:t>（3）噪声</w:t>
      </w:r>
    </w:p>
    <w:p w14:paraId="1568566D">
      <w:pPr>
        <w:pStyle w:val="6"/>
        <w:rPr>
          <w:rFonts w:hint="default" w:ascii="Times New Roman" w:hAnsi="Times New Roman" w:cs="Times New Roman"/>
        </w:rPr>
      </w:pPr>
      <w:r>
        <w:rPr>
          <w:rFonts w:hint="default" w:ascii="Times New Roman" w:hAnsi="Times New Roman" w:cs="Times New Roman"/>
          <w:lang w:val="en-US" w:eastAsia="zh-CN"/>
        </w:rPr>
        <w:t>现有</w:t>
      </w:r>
      <w:r>
        <w:rPr>
          <w:rFonts w:hint="default" w:ascii="Times New Roman" w:hAnsi="Times New Roman" w:cs="Times New Roman"/>
        </w:rPr>
        <w:t>工程噪声主要来源于破碎机、生料磨、煤磨、罗茨风机、空压机、冷却机等机械设备运转过程中产生的振动、摩擦、撞击等机械噪声。主要高噪声设备及防治措施见</w:t>
      </w:r>
      <w:r>
        <w:rPr>
          <w:rFonts w:hint="default" w:ascii="Times New Roman" w:hAnsi="Times New Roman" w:cs="Times New Roman"/>
        </w:rPr>
        <w:fldChar w:fldCharType="begin"/>
      </w:r>
      <w:r>
        <w:rPr>
          <w:rFonts w:hint="default" w:ascii="Times New Roman" w:hAnsi="Times New Roman" w:cs="Times New Roman"/>
        </w:rPr>
        <w:instrText xml:space="preserve"> REF _Ref131418034 \h  \* MERGEFORMAT </w:instrText>
      </w:r>
      <w:r>
        <w:rPr>
          <w:rFonts w:hint="default" w:ascii="Times New Roman" w:hAnsi="Times New Roman" w:cs="Times New Roman"/>
        </w:rPr>
        <w:fldChar w:fldCharType="separate"/>
      </w:r>
      <w:r>
        <w:rPr>
          <w:rFonts w:hint="default" w:ascii="Times New Roman" w:hAnsi="Times New Roman" w:cs="Times New Roman"/>
        </w:rPr>
        <w:t>表3.1</w:t>
      </w:r>
      <w:r>
        <w:rPr>
          <w:rFonts w:hint="default" w:ascii="Times New Roman" w:hAnsi="Times New Roman" w:cs="Times New Roman"/>
        </w:rPr>
        <w:noBreakHyphen/>
      </w:r>
      <w:r>
        <w:rPr>
          <w:rFonts w:hint="default" w:ascii="Times New Roman" w:hAnsi="Times New Roman" w:cs="Times New Roman"/>
        </w:rPr>
        <w:t>1</w:t>
      </w:r>
      <w:r>
        <w:rPr>
          <w:rFonts w:hint="default" w:ascii="Times New Roman" w:hAnsi="Times New Roman" w:cs="Times New Roman"/>
          <w:lang w:val="en-US" w:eastAsia="zh-CN"/>
        </w:rPr>
        <w:t>5</w:t>
      </w:r>
      <w:r>
        <w:rPr>
          <w:rFonts w:hint="default" w:ascii="Times New Roman" w:hAnsi="Times New Roman" w:cs="Times New Roman"/>
        </w:rPr>
        <w:fldChar w:fldCharType="end"/>
      </w:r>
      <w:r>
        <w:rPr>
          <w:rFonts w:hint="default" w:ascii="Times New Roman" w:hAnsi="Times New Roman" w:cs="Times New Roman"/>
        </w:rPr>
        <w:t>。根据202</w:t>
      </w:r>
      <w:r>
        <w:rPr>
          <w:rFonts w:hint="default" w:ascii="Times New Roman" w:hAnsi="Times New Roman" w:cs="Times New Roman"/>
          <w:lang w:val="en-US" w:eastAsia="zh-CN"/>
        </w:rPr>
        <w:t>5</w:t>
      </w:r>
      <w:r>
        <w:rPr>
          <w:rFonts w:hint="default" w:ascii="Times New Roman" w:hAnsi="Times New Roman" w:cs="Times New Roman"/>
        </w:rPr>
        <w:t>年声环境监测数据，厂界昼、夜间噪声均符合，见</w:t>
      </w:r>
      <w:r>
        <w:rPr>
          <w:rFonts w:hint="default" w:ascii="Times New Roman" w:hAnsi="Times New Roman" w:cs="Times New Roman"/>
        </w:rPr>
        <w:fldChar w:fldCharType="begin"/>
      </w:r>
      <w:r>
        <w:rPr>
          <w:rFonts w:hint="default" w:ascii="Times New Roman" w:hAnsi="Times New Roman" w:cs="Times New Roman"/>
        </w:rPr>
        <w:instrText xml:space="preserve"> REF _Ref131418121 \h  \* MERGEFORMAT </w:instrText>
      </w:r>
      <w:r>
        <w:rPr>
          <w:rFonts w:hint="default" w:ascii="Times New Roman" w:hAnsi="Times New Roman" w:cs="Times New Roman"/>
        </w:rPr>
        <w:fldChar w:fldCharType="separate"/>
      </w:r>
      <w:r>
        <w:rPr>
          <w:rFonts w:hint="default" w:ascii="Times New Roman" w:hAnsi="Times New Roman" w:cs="Times New Roman"/>
        </w:rPr>
        <w:t>表3.1</w:t>
      </w:r>
      <w:r>
        <w:rPr>
          <w:rFonts w:hint="default" w:ascii="Times New Roman" w:hAnsi="Times New Roman" w:cs="Times New Roman"/>
        </w:rPr>
        <w:noBreakHyphen/>
      </w:r>
      <w:r>
        <w:rPr>
          <w:rFonts w:hint="default" w:ascii="Times New Roman" w:hAnsi="Times New Roman" w:cs="Times New Roman"/>
        </w:rPr>
        <w:t>1</w:t>
      </w:r>
      <w:r>
        <w:rPr>
          <w:rFonts w:hint="eastAsia"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rPr>
        <w:t>。</w:t>
      </w:r>
    </w:p>
    <w:p w14:paraId="28EA530B">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84" w:name="_Ref131418034"/>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3.1</w:t>
      </w:r>
      <w:r>
        <w:rPr>
          <w:rFonts w:hint="default" w:ascii="Times New Roman" w:hAnsi="Times New Roman" w:cs="Times New Roman"/>
          <w:b/>
          <w:bCs/>
        </w:rPr>
        <w:fldChar w:fldCharType="end"/>
      </w:r>
      <w:bookmarkEnd w:id="84"/>
      <w:r>
        <w:rPr>
          <w:rFonts w:hint="default" w:ascii="Times New Roman" w:hAnsi="Times New Roman" w:cs="Times New Roman"/>
          <w:b/>
          <w:bCs/>
          <w:lang w:val="en-US" w:eastAsia="zh-CN"/>
        </w:rPr>
        <w:t>-1</w:t>
      </w:r>
      <w:r>
        <w:rPr>
          <w:rFonts w:hint="eastAsia" w:cs="Times New Roman"/>
          <w:b/>
          <w:bCs/>
          <w:lang w:val="en-US" w:eastAsia="zh-CN"/>
        </w:rPr>
        <w:t>3</w:t>
      </w:r>
      <w:r>
        <w:rPr>
          <w:rFonts w:hint="default" w:ascii="Times New Roman" w:hAnsi="Times New Roman" w:cs="Times New Roman"/>
          <w:b/>
          <w:bCs/>
        </w:rPr>
        <w:t xml:space="preserve"> </w:t>
      </w:r>
      <w:r>
        <w:rPr>
          <w:rFonts w:hint="default" w:ascii="Times New Roman" w:hAnsi="Times New Roman" w:cs="Times New Roman"/>
          <w:b/>
          <w:bCs/>
          <w:lang w:val="en-US" w:eastAsia="zh-CN"/>
        </w:rPr>
        <w:t>现有</w:t>
      </w:r>
      <w:r>
        <w:rPr>
          <w:rFonts w:hint="default" w:ascii="Times New Roman" w:hAnsi="Times New Roman" w:cs="Times New Roman"/>
          <w:b/>
          <w:bCs/>
        </w:rPr>
        <w:t>工程噪声源及环保治理措施一览表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3788"/>
        <w:gridCol w:w="2614"/>
        <w:gridCol w:w="1365"/>
      </w:tblGrid>
      <w:tr w14:paraId="2333D8B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vAlign w:val="center"/>
          </w:tcPr>
          <w:p w14:paraId="326ECD25">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序号</w:t>
            </w:r>
          </w:p>
        </w:tc>
        <w:tc>
          <w:tcPr>
            <w:tcW w:w="2223" w:type="pct"/>
            <w:tcBorders>
              <w:tl2br w:val="nil"/>
              <w:tr2bl w:val="nil"/>
            </w:tcBorders>
            <w:vAlign w:val="center"/>
          </w:tcPr>
          <w:p w14:paraId="7E7C83F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噪声源</w:t>
            </w:r>
          </w:p>
        </w:tc>
        <w:tc>
          <w:tcPr>
            <w:tcW w:w="1534" w:type="pct"/>
            <w:tcBorders>
              <w:tl2br w:val="nil"/>
              <w:tr2bl w:val="nil"/>
            </w:tcBorders>
            <w:vAlign w:val="center"/>
          </w:tcPr>
          <w:p w14:paraId="7B9F6ECB">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防治措施</w:t>
            </w:r>
          </w:p>
        </w:tc>
        <w:tc>
          <w:tcPr>
            <w:tcW w:w="801" w:type="pct"/>
            <w:tcBorders>
              <w:tl2br w:val="nil"/>
              <w:tr2bl w:val="nil"/>
            </w:tcBorders>
            <w:vAlign w:val="center"/>
          </w:tcPr>
          <w:p w14:paraId="0370609D">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工作状况</w:t>
            </w:r>
          </w:p>
        </w:tc>
      </w:tr>
      <w:tr w14:paraId="5C379F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vAlign w:val="center"/>
          </w:tcPr>
          <w:p w14:paraId="3565921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w:t>
            </w:r>
          </w:p>
        </w:tc>
        <w:tc>
          <w:tcPr>
            <w:tcW w:w="2223" w:type="pct"/>
            <w:tcBorders>
              <w:tl2br w:val="nil"/>
              <w:tr2bl w:val="nil"/>
            </w:tcBorders>
            <w:vAlign w:val="center"/>
          </w:tcPr>
          <w:p w14:paraId="3CAE823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破碎机</w:t>
            </w:r>
          </w:p>
        </w:tc>
        <w:tc>
          <w:tcPr>
            <w:tcW w:w="1534" w:type="pct"/>
            <w:tcBorders>
              <w:tl2br w:val="nil"/>
              <w:tr2bl w:val="nil"/>
            </w:tcBorders>
            <w:vAlign w:val="center"/>
          </w:tcPr>
          <w:p w14:paraId="45D6E17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基础减震、建筑阻隔</w:t>
            </w:r>
          </w:p>
        </w:tc>
        <w:tc>
          <w:tcPr>
            <w:tcW w:w="801" w:type="pct"/>
            <w:tcBorders>
              <w:tl2br w:val="nil"/>
              <w:tr2bl w:val="nil"/>
            </w:tcBorders>
            <w:vAlign w:val="center"/>
          </w:tcPr>
          <w:p w14:paraId="3456398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间断</w:t>
            </w:r>
          </w:p>
        </w:tc>
      </w:tr>
      <w:tr w14:paraId="78E7A64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vAlign w:val="center"/>
          </w:tcPr>
          <w:p w14:paraId="30A62A9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w:t>
            </w:r>
          </w:p>
        </w:tc>
        <w:tc>
          <w:tcPr>
            <w:tcW w:w="2223" w:type="pct"/>
            <w:tcBorders>
              <w:tl2br w:val="nil"/>
              <w:tr2bl w:val="nil"/>
            </w:tcBorders>
            <w:vAlign w:val="center"/>
          </w:tcPr>
          <w:p w14:paraId="10DCD92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原料磨、煤磨</w:t>
            </w:r>
          </w:p>
        </w:tc>
        <w:tc>
          <w:tcPr>
            <w:tcW w:w="1534" w:type="pct"/>
            <w:tcBorders>
              <w:tl2br w:val="nil"/>
              <w:tr2bl w:val="nil"/>
            </w:tcBorders>
            <w:vAlign w:val="center"/>
          </w:tcPr>
          <w:p w14:paraId="6C74D4F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基础减震、建筑阻隔</w:t>
            </w:r>
          </w:p>
        </w:tc>
        <w:tc>
          <w:tcPr>
            <w:tcW w:w="801" w:type="pct"/>
            <w:tcBorders>
              <w:tl2br w:val="nil"/>
              <w:tr2bl w:val="nil"/>
            </w:tcBorders>
            <w:vAlign w:val="center"/>
          </w:tcPr>
          <w:p w14:paraId="499500B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连续</w:t>
            </w:r>
          </w:p>
        </w:tc>
      </w:tr>
      <w:tr w14:paraId="2D70617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vAlign w:val="center"/>
          </w:tcPr>
          <w:p w14:paraId="00A501C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w:t>
            </w:r>
          </w:p>
        </w:tc>
        <w:tc>
          <w:tcPr>
            <w:tcW w:w="2223" w:type="pct"/>
            <w:tcBorders>
              <w:tl2br w:val="nil"/>
              <w:tr2bl w:val="nil"/>
            </w:tcBorders>
            <w:vAlign w:val="center"/>
          </w:tcPr>
          <w:p w14:paraId="105C71C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鼓风机、排风机、篦冷机、空压机等</w:t>
            </w:r>
          </w:p>
        </w:tc>
        <w:tc>
          <w:tcPr>
            <w:tcW w:w="1534" w:type="pct"/>
            <w:tcBorders>
              <w:tl2br w:val="nil"/>
              <w:tr2bl w:val="nil"/>
            </w:tcBorders>
            <w:vAlign w:val="center"/>
          </w:tcPr>
          <w:p w14:paraId="760041A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基础减震、安装消音器</w:t>
            </w:r>
          </w:p>
        </w:tc>
        <w:tc>
          <w:tcPr>
            <w:tcW w:w="801" w:type="pct"/>
            <w:tcBorders>
              <w:tl2br w:val="nil"/>
              <w:tr2bl w:val="nil"/>
            </w:tcBorders>
            <w:vAlign w:val="center"/>
          </w:tcPr>
          <w:p w14:paraId="14D2E7D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连续</w:t>
            </w:r>
          </w:p>
        </w:tc>
      </w:tr>
      <w:tr w14:paraId="11A2B76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0" w:type="pct"/>
            <w:tcBorders>
              <w:tl2br w:val="nil"/>
              <w:tr2bl w:val="nil"/>
            </w:tcBorders>
            <w:vAlign w:val="center"/>
          </w:tcPr>
          <w:p w14:paraId="6B8596F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w:t>
            </w:r>
          </w:p>
        </w:tc>
        <w:tc>
          <w:tcPr>
            <w:tcW w:w="2223" w:type="pct"/>
            <w:tcBorders>
              <w:tl2br w:val="nil"/>
              <w:tr2bl w:val="nil"/>
            </w:tcBorders>
            <w:vAlign w:val="center"/>
          </w:tcPr>
          <w:p w14:paraId="324BE0B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水泵、包装机、冷却塔等</w:t>
            </w:r>
          </w:p>
        </w:tc>
        <w:tc>
          <w:tcPr>
            <w:tcW w:w="1534" w:type="pct"/>
            <w:tcBorders>
              <w:tl2br w:val="nil"/>
              <w:tr2bl w:val="nil"/>
            </w:tcBorders>
            <w:vAlign w:val="center"/>
          </w:tcPr>
          <w:p w14:paraId="59384D2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基础减震、柔性接头</w:t>
            </w:r>
          </w:p>
        </w:tc>
        <w:tc>
          <w:tcPr>
            <w:tcW w:w="801" w:type="pct"/>
            <w:tcBorders>
              <w:tl2br w:val="nil"/>
              <w:tr2bl w:val="nil"/>
            </w:tcBorders>
            <w:vAlign w:val="center"/>
          </w:tcPr>
          <w:p w14:paraId="58BAD24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连续</w:t>
            </w:r>
          </w:p>
        </w:tc>
      </w:tr>
    </w:tbl>
    <w:p w14:paraId="65CD4A80">
      <w:pPr>
        <w:pStyle w:val="203"/>
        <w:rPr>
          <w:rFonts w:hint="default" w:ascii="Times New Roman" w:hAnsi="Times New Roman" w:cs="Times New Roman"/>
          <w:b/>
          <w:bCs/>
        </w:rPr>
      </w:pPr>
      <w:bookmarkStart w:id="85" w:name="_Ref131418121"/>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3.1</w:t>
      </w:r>
      <w:r>
        <w:rPr>
          <w:rFonts w:hint="default" w:ascii="Times New Roman" w:hAnsi="Times New Roman" w:cs="Times New Roman"/>
          <w:b/>
          <w:bCs/>
        </w:rPr>
        <w:fldChar w:fldCharType="end"/>
      </w:r>
      <w:bookmarkEnd w:id="85"/>
      <w:r>
        <w:rPr>
          <w:rFonts w:hint="default" w:ascii="Times New Roman" w:hAnsi="Times New Roman" w:cs="Times New Roman"/>
          <w:b/>
          <w:bCs/>
          <w:lang w:val="en-US" w:eastAsia="zh-CN"/>
        </w:rPr>
        <w:t>-1</w:t>
      </w:r>
      <w:r>
        <w:rPr>
          <w:rFonts w:hint="eastAsia" w:cs="Times New Roman"/>
          <w:b/>
          <w:bCs/>
          <w:lang w:val="en-US" w:eastAsia="zh-CN"/>
        </w:rPr>
        <w:t>4</w:t>
      </w:r>
      <w:r>
        <w:rPr>
          <w:rFonts w:hint="default" w:ascii="Times New Roman" w:hAnsi="Times New Roman" w:cs="Times New Roman"/>
          <w:b/>
          <w:bCs/>
        </w:rPr>
        <w:t xml:space="preserve"> </w:t>
      </w:r>
      <w:r>
        <w:rPr>
          <w:rFonts w:hint="default" w:ascii="Times New Roman" w:hAnsi="Times New Roman" w:cs="Times New Roman"/>
          <w:b/>
          <w:bCs/>
          <w:lang w:val="en-US" w:eastAsia="zh-CN"/>
        </w:rPr>
        <w:t>现有</w:t>
      </w:r>
      <w:r>
        <w:rPr>
          <w:rFonts w:hint="default" w:ascii="Times New Roman" w:hAnsi="Times New Roman" w:cs="Times New Roman"/>
          <w:b/>
          <w:bCs/>
        </w:rPr>
        <w:t>工程厂界噪声监测结果</w:t>
      </w:r>
    </w:p>
    <w:tbl>
      <w:tblPr>
        <w:tblStyle w:val="39"/>
        <w:tblW w:w="4999"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112"/>
        <w:gridCol w:w="1559"/>
        <w:gridCol w:w="1529"/>
        <w:gridCol w:w="1692"/>
        <w:gridCol w:w="1406"/>
      </w:tblGrid>
      <w:tr w14:paraId="6E8D5B7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272" w:type="pct"/>
            <w:vMerge w:val="restart"/>
            <w:tcBorders>
              <w:tl2br w:val="nil"/>
              <w:tr2bl w:val="nil"/>
            </w:tcBorders>
            <w:shd w:val="clear" w:color="auto" w:fill="auto"/>
            <w:vAlign w:val="center"/>
          </w:tcPr>
          <w:p w14:paraId="48A26A56">
            <w:pPr>
              <w:pStyle w:val="52"/>
              <w:spacing w:before="0" w:after="0" w:line="240" w:lineRule="auto"/>
              <w:ind w:left="0" w:firstLine="0"/>
              <w:rPr>
                <w:rFonts w:hint="default" w:ascii="Times New Roman" w:hAnsi="Times New Roman" w:eastAsia="宋体" w:cs="Times New Roman"/>
                <w:b/>
                <w:bCs/>
                <w:color w:val="000000" w:themeColor="text1"/>
                <w:sz w:val="21"/>
                <w:szCs w:val="18"/>
                <w14:textFill>
                  <w14:solidFill>
                    <w14:schemeClr w14:val="tx1"/>
                  </w14:solidFill>
                </w14:textFill>
              </w:rPr>
            </w:pPr>
            <w:r>
              <w:rPr>
                <w:rFonts w:hint="default" w:ascii="Times New Roman" w:hAnsi="Times New Roman" w:eastAsia="宋体" w:cs="Times New Roman"/>
                <w:b/>
                <w:bCs/>
                <w:color w:val="000000" w:themeColor="text1"/>
                <w:sz w:val="21"/>
                <w:szCs w:val="18"/>
                <w14:textFill>
                  <w14:solidFill>
                    <w14:schemeClr w14:val="tx1"/>
                  </w14:solidFill>
                </w14:textFill>
              </w:rPr>
              <w:t>监测方位</w:t>
            </w:r>
          </w:p>
        </w:tc>
        <w:tc>
          <w:tcPr>
            <w:tcW w:w="1860" w:type="pct"/>
            <w:gridSpan w:val="2"/>
            <w:tcBorders>
              <w:tl2br w:val="nil"/>
              <w:tr2bl w:val="nil"/>
            </w:tcBorders>
            <w:shd w:val="clear" w:color="auto" w:fill="auto"/>
            <w:vAlign w:val="center"/>
          </w:tcPr>
          <w:p w14:paraId="4E2D0EEC">
            <w:pPr>
              <w:pStyle w:val="52"/>
              <w:spacing w:before="0" w:after="0" w:line="240" w:lineRule="auto"/>
              <w:ind w:left="0" w:firstLine="0"/>
              <w:rPr>
                <w:rFonts w:hint="default" w:ascii="Times New Roman" w:hAnsi="Times New Roman" w:eastAsia="宋体" w:cs="Times New Roman"/>
                <w:b/>
                <w:bCs/>
                <w:color w:val="000000" w:themeColor="text1"/>
                <w:sz w:val="21"/>
                <w:szCs w:val="18"/>
                <w14:textFill>
                  <w14:solidFill>
                    <w14:schemeClr w14:val="tx1"/>
                  </w14:solidFill>
                </w14:textFill>
              </w:rPr>
            </w:pPr>
            <w:r>
              <w:rPr>
                <w:rFonts w:hint="default" w:ascii="Times New Roman" w:hAnsi="Times New Roman" w:eastAsia="宋体" w:cs="Times New Roman"/>
                <w:b/>
                <w:bCs/>
                <w:color w:val="000000" w:themeColor="text1"/>
                <w:sz w:val="21"/>
                <w:szCs w:val="18"/>
                <w14:textFill>
                  <w14:solidFill>
                    <w14:schemeClr w14:val="tx1"/>
                  </w14:solidFill>
                </w14:textFill>
              </w:rPr>
              <w:t>昼间</w:t>
            </w:r>
          </w:p>
        </w:tc>
        <w:tc>
          <w:tcPr>
            <w:tcW w:w="1866" w:type="pct"/>
            <w:gridSpan w:val="2"/>
            <w:tcBorders>
              <w:tl2br w:val="nil"/>
              <w:tr2bl w:val="nil"/>
            </w:tcBorders>
            <w:shd w:val="clear" w:color="auto" w:fill="auto"/>
            <w:vAlign w:val="center"/>
          </w:tcPr>
          <w:p w14:paraId="7965F6CC">
            <w:pPr>
              <w:pStyle w:val="52"/>
              <w:spacing w:before="0" w:after="0" w:line="240" w:lineRule="auto"/>
              <w:ind w:left="0" w:firstLine="0"/>
              <w:rPr>
                <w:rFonts w:hint="default" w:ascii="Times New Roman" w:hAnsi="Times New Roman" w:eastAsia="宋体" w:cs="Times New Roman"/>
                <w:b/>
                <w:bCs/>
                <w:color w:val="000000" w:themeColor="text1"/>
                <w:sz w:val="21"/>
                <w:szCs w:val="18"/>
                <w14:textFill>
                  <w14:solidFill>
                    <w14:schemeClr w14:val="tx1"/>
                  </w14:solidFill>
                </w14:textFill>
              </w:rPr>
            </w:pPr>
            <w:r>
              <w:rPr>
                <w:rFonts w:hint="default" w:ascii="Times New Roman" w:hAnsi="Times New Roman" w:eastAsia="宋体" w:cs="Times New Roman"/>
                <w:b/>
                <w:bCs/>
                <w:color w:val="000000" w:themeColor="text1"/>
                <w:sz w:val="21"/>
                <w:szCs w:val="18"/>
                <w14:textFill>
                  <w14:solidFill>
                    <w14:schemeClr w14:val="tx1"/>
                  </w14:solidFill>
                </w14:textFill>
              </w:rPr>
              <w:t>夜间</w:t>
            </w:r>
          </w:p>
        </w:tc>
      </w:tr>
      <w:tr w14:paraId="1A9F493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272" w:type="pct"/>
            <w:vMerge w:val="continue"/>
            <w:tcBorders>
              <w:tl2br w:val="nil"/>
              <w:tr2bl w:val="nil"/>
            </w:tcBorders>
            <w:shd w:val="clear" w:color="auto" w:fill="auto"/>
            <w:vAlign w:val="center"/>
          </w:tcPr>
          <w:p w14:paraId="03B2FFA2">
            <w:pPr>
              <w:pStyle w:val="52"/>
              <w:spacing w:before="0" w:after="0" w:line="240" w:lineRule="auto"/>
              <w:ind w:left="0" w:firstLine="0"/>
              <w:rPr>
                <w:rFonts w:hint="default" w:ascii="Times New Roman" w:hAnsi="Times New Roman" w:eastAsia="宋体" w:cs="Times New Roman"/>
                <w:b/>
                <w:bCs/>
                <w:color w:val="000000" w:themeColor="text1"/>
                <w:sz w:val="21"/>
                <w:szCs w:val="18"/>
                <w14:textFill>
                  <w14:solidFill>
                    <w14:schemeClr w14:val="tx1"/>
                  </w14:solidFill>
                </w14:textFill>
              </w:rPr>
            </w:pPr>
          </w:p>
        </w:tc>
        <w:tc>
          <w:tcPr>
            <w:tcW w:w="939" w:type="pct"/>
            <w:tcBorders>
              <w:tl2br w:val="nil"/>
              <w:tr2bl w:val="nil"/>
            </w:tcBorders>
            <w:shd w:val="clear" w:color="auto" w:fill="auto"/>
            <w:vAlign w:val="center"/>
          </w:tcPr>
          <w:p w14:paraId="4F57E9B0">
            <w:pPr>
              <w:pStyle w:val="52"/>
              <w:spacing w:before="0" w:after="0" w:line="240" w:lineRule="auto"/>
              <w:ind w:left="0" w:firstLine="0"/>
              <w:rPr>
                <w:rFonts w:hint="default" w:ascii="Times New Roman" w:hAnsi="Times New Roman" w:eastAsia="宋体" w:cs="Times New Roman"/>
                <w:b/>
                <w:bCs/>
                <w:color w:val="000000" w:themeColor="text1"/>
                <w:sz w:val="21"/>
                <w:szCs w:val="18"/>
                <w14:textFill>
                  <w14:solidFill>
                    <w14:schemeClr w14:val="tx1"/>
                  </w14:solidFill>
                </w14:textFill>
              </w:rPr>
            </w:pPr>
            <w:r>
              <w:rPr>
                <w:rFonts w:hint="default" w:ascii="Times New Roman" w:hAnsi="Times New Roman" w:eastAsia="宋体" w:cs="Times New Roman"/>
                <w:b/>
                <w:bCs/>
                <w:color w:val="000000" w:themeColor="text1"/>
                <w:sz w:val="21"/>
                <w:szCs w:val="18"/>
                <w14:textFill>
                  <w14:solidFill>
                    <w14:schemeClr w14:val="tx1"/>
                  </w14:solidFill>
                </w14:textFill>
              </w:rPr>
              <w:t>监测值</w:t>
            </w:r>
          </w:p>
        </w:tc>
        <w:tc>
          <w:tcPr>
            <w:tcW w:w="920" w:type="pct"/>
            <w:tcBorders>
              <w:tl2br w:val="nil"/>
              <w:tr2bl w:val="nil"/>
            </w:tcBorders>
            <w:shd w:val="clear" w:color="auto" w:fill="auto"/>
            <w:vAlign w:val="center"/>
          </w:tcPr>
          <w:p w14:paraId="5AB51D63">
            <w:pPr>
              <w:pStyle w:val="52"/>
              <w:spacing w:before="0" w:after="0" w:line="240" w:lineRule="auto"/>
              <w:ind w:left="0" w:firstLine="0"/>
              <w:rPr>
                <w:rFonts w:hint="default" w:ascii="Times New Roman" w:hAnsi="Times New Roman" w:eastAsia="宋体" w:cs="Times New Roman"/>
                <w:b/>
                <w:bCs/>
                <w:color w:val="000000" w:themeColor="text1"/>
                <w:sz w:val="21"/>
                <w:szCs w:val="18"/>
                <w14:textFill>
                  <w14:solidFill>
                    <w14:schemeClr w14:val="tx1"/>
                  </w14:solidFill>
                </w14:textFill>
              </w:rPr>
            </w:pPr>
            <w:r>
              <w:rPr>
                <w:rFonts w:hint="default" w:ascii="Times New Roman" w:hAnsi="Times New Roman" w:eastAsia="宋体" w:cs="Times New Roman"/>
                <w:b/>
                <w:bCs/>
                <w:color w:val="000000" w:themeColor="text1"/>
                <w:sz w:val="21"/>
                <w:szCs w:val="18"/>
                <w14:textFill>
                  <w14:solidFill>
                    <w14:schemeClr w14:val="tx1"/>
                  </w14:solidFill>
                </w14:textFill>
              </w:rPr>
              <w:t>标准值</w:t>
            </w:r>
          </w:p>
        </w:tc>
        <w:tc>
          <w:tcPr>
            <w:tcW w:w="1019" w:type="pct"/>
            <w:tcBorders>
              <w:tl2br w:val="nil"/>
              <w:tr2bl w:val="nil"/>
            </w:tcBorders>
            <w:shd w:val="clear" w:color="auto" w:fill="auto"/>
            <w:vAlign w:val="center"/>
          </w:tcPr>
          <w:p w14:paraId="0D619869">
            <w:pPr>
              <w:pStyle w:val="52"/>
              <w:spacing w:before="0" w:after="0" w:line="240" w:lineRule="auto"/>
              <w:ind w:left="0" w:firstLine="0"/>
              <w:rPr>
                <w:rFonts w:hint="default" w:ascii="Times New Roman" w:hAnsi="Times New Roman" w:eastAsia="宋体" w:cs="Times New Roman"/>
                <w:b/>
                <w:bCs/>
                <w:color w:val="000000" w:themeColor="text1"/>
                <w:sz w:val="21"/>
                <w:szCs w:val="18"/>
                <w14:textFill>
                  <w14:solidFill>
                    <w14:schemeClr w14:val="tx1"/>
                  </w14:solidFill>
                </w14:textFill>
              </w:rPr>
            </w:pPr>
            <w:r>
              <w:rPr>
                <w:rFonts w:hint="default" w:ascii="Times New Roman" w:hAnsi="Times New Roman" w:eastAsia="宋体" w:cs="Times New Roman"/>
                <w:b/>
                <w:bCs/>
                <w:color w:val="000000" w:themeColor="text1"/>
                <w:sz w:val="21"/>
                <w:szCs w:val="18"/>
                <w14:textFill>
                  <w14:solidFill>
                    <w14:schemeClr w14:val="tx1"/>
                  </w14:solidFill>
                </w14:textFill>
              </w:rPr>
              <w:t>监测值</w:t>
            </w:r>
          </w:p>
        </w:tc>
        <w:tc>
          <w:tcPr>
            <w:tcW w:w="847" w:type="pct"/>
            <w:tcBorders>
              <w:tl2br w:val="nil"/>
              <w:tr2bl w:val="nil"/>
            </w:tcBorders>
            <w:shd w:val="clear" w:color="auto" w:fill="auto"/>
            <w:vAlign w:val="center"/>
          </w:tcPr>
          <w:p w14:paraId="57E72D39">
            <w:pPr>
              <w:pStyle w:val="52"/>
              <w:spacing w:before="0" w:after="0" w:line="240" w:lineRule="auto"/>
              <w:ind w:left="0" w:firstLine="0"/>
              <w:rPr>
                <w:rFonts w:hint="default" w:ascii="Times New Roman" w:hAnsi="Times New Roman" w:eastAsia="宋体" w:cs="Times New Roman"/>
                <w:b/>
                <w:bCs/>
                <w:color w:val="000000" w:themeColor="text1"/>
                <w:sz w:val="21"/>
                <w:szCs w:val="18"/>
                <w14:textFill>
                  <w14:solidFill>
                    <w14:schemeClr w14:val="tx1"/>
                  </w14:solidFill>
                </w14:textFill>
              </w:rPr>
            </w:pPr>
            <w:r>
              <w:rPr>
                <w:rFonts w:hint="default" w:ascii="Times New Roman" w:hAnsi="Times New Roman" w:eastAsia="宋体" w:cs="Times New Roman"/>
                <w:b/>
                <w:bCs/>
                <w:color w:val="000000" w:themeColor="text1"/>
                <w:sz w:val="21"/>
                <w:szCs w:val="18"/>
                <w14:textFill>
                  <w14:solidFill>
                    <w14:schemeClr w14:val="tx1"/>
                  </w14:solidFill>
                </w14:textFill>
              </w:rPr>
              <w:t>标准值</w:t>
            </w:r>
          </w:p>
        </w:tc>
      </w:tr>
      <w:tr w14:paraId="6CF0C1D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272" w:type="pct"/>
            <w:tcBorders>
              <w:tl2br w:val="nil"/>
              <w:tr2bl w:val="nil"/>
            </w:tcBorders>
            <w:shd w:val="clear" w:color="auto" w:fill="auto"/>
            <w:vAlign w:val="center"/>
          </w:tcPr>
          <w:p w14:paraId="32BCC1B4">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1#东厂界外1m</w:t>
            </w:r>
          </w:p>
        </w:tc>
        <w:tc>
          <w:tcPr>
            <w:tcW w:w="939" w:type="pct"/>
            <w:tcBorders>
              <w:tl2br w:val="nil"/>
              <w:tr2bl w:val="nil"/>
            </w:tcBorders>
            <w:shd w:val="clear" w:color="auto" w:fill="auto"/>
            <w:vAlign w:val="center"/>
          </w:tcPr>
          <w:p w14:paraId="0B3174E6">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49.3</w:t>
            </w:r>
          </w:p>
        </w:tc>
        <w:tc>
          <w:tcPr>
            <w:tcW w:w="920" w:type="pct"/>
            <w:tcBorders>
              <w:tl2br w:val="nil"/>
              <w:tr2bl w:val="nil"/>
            </w:tcBorders>
            <w:shd w:val="clear" w:color="auto" w:fill="auto"/>
            <w:vAlign w:val="center"/>
          </w:tcPr>
          <w:p w14:paraId="0F1EF73F">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65</w:t>
            </w:r>
          </w:p>
        </w:tc>
        <w:tc>
          <w:tcPr>
            <w:tcW w:w="1019" w:type="pct"/>
            <w:tcBorders>
              <w:tl2br w:val="nil"/>
              <w:tr2bl w:val="nil"/>
            </w:tcBorders>
            <w:shd w:val="clear" w:color="auto" w:fill="auto"/>
            <w:vAlign w:val="center"/>
          </w:tcPr>
          <w:p w14:paraId="51617F1C">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40.8</w:t>
            </w:r>
          </w:p>
        </w:tc>
        <w:tc>
          <w:tcPr>
            <w:tcW w:w="847" w:type="pct"/>
            <w:tcBorders>
              <w:tl2br w:val="nil"/>
              <w:tr2bl w:val="nil"/>
            </w:tcBorders>
            <w:shd w:val="clear" w:color="auto" w:fill="auto"/>
            <w:vAlign w:val="center"/>
          </w:tcPr>
          <w:p w14:paraId="3EC3BDC3">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55</w:t>
            </w:r>
          </w:p>
        </w:tc>
      </w:tr>
      <w:tr w14:paraId="7CE9257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272" w:type="pct"/>
            <w:tcBorders>
              <w:tl2br w:val="nil"/>
              <w:tr2bl w:val="nil"/>
            </w:tcBorders>
            <w:shd w:val="clear" w:color="auto" w:fill="auto"/>
            <w:vAlign w:val="center"/>
          </w:tcPr>
          <w:p w14:paraId="7BEE080E">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2#南厂界外1m</w:t>
            </w:r>
          </w:p>
        </w:tc>
        <w:tc>
          <w:tcPr>
            <w:tcW w:w="939" w:type="pct"/>
            <w:tcBorders>
              <w:tl2br w:val="nil"/>
              <w:tr2bl w:val="nil"/>
            </w:tcBorders>
            <w:shd w:val="clear" w:color="auto" w:fill="auto"/>
            <w:vAlign w:val="center"/>
          </w:tcPr>
          <w:p w14:paraId="6B6B8D55">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50.2</w:t>
            </w:r>
          </w:p>
        </w:tc>
        <w:tc>
          <w:tcPr>
            <w:tcW w:w="920" w:type="pct"/>
            <w:tcBorders>
              <w:tl2br w:val="nil"/>
              <w:tr2bl w:val="nil"/>
            </w:tcBorders>
            <w:shd w:val="clear" w:color="auto" w:fill="auto"/>
          </w:tcPr>
          <w:p w14:paraId="4354C8C0">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65</w:t>
            </w:r>
          </w:p>
        </w:tc>
        <w:tc>
          <w:tcPr>
            <w:tcW w:w="1019" w:type="pct"/>
            <w:tcBorders>
              <w:tl2br w:val="nil"/>
              <w:tr2bl w:val="nil"/>
            </w:tcBorders>
            <w:shd w:val="clear" w:color="auto" w:fill="auto"/>
            <w:vAlign w:val="center"/>
          </w:tcPr>
          <w:p w14:paraId="4EE31FDD">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40.9</w:t>
            </w:r>
          </w:p>
        </w:tc>
        <w:tc>
          <w:tcPr>
            <w:tcW w:w="847" w:type="pct"/>
            <w:tcBorders>
              <w:tl2br w:val="nil"/>
              <w:tr2bl w:val="nil"/>
            </w:tcBorders>
            <w:shd w:val="clear" w:color="auto" w:fill="auto"/>
          </w:tcPr>
          <w:p w14:paraId="4DD1F5F2">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55</w:t>
            </w:r>
          </w:p>
        </w:tc>
      </w:tr>
      <w:tr w14:paraId="55DBAF7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272" w:type="pct"/>
            <w:tcBorders>
              <w:tl2br w:val="nil"/>
              <w:tr2bl w:val="nil"/>
            </w:tcBorders>
            <w:shd w:val="clear" w:color="auto" w:fill="auto"/>
            <w:vAlign w:val="center"/>
          </w:tcPr>
          <w:p w14:paraId="16DD2F85">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3#西厂界外1m</w:t>
            </w:r>
          </w:p>
        </w:tc>
        <w:tc>
          <w:tcPr>
            <w:tcW w:w="939" w:type="pct"/>
            <w:tcBorders>
              <w:tl2br w:val="nil"/>
              <w:tr2bl w:val="nil"/>
            </w:tcBorders>
            <w:shd w:val="clear" w:color="auto" w:fill="auto"/>
            <w:vAlign w:val="center"/>
          </w:tcPr>
          <w:p w14:paraId="7725A839">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51.5</w:t>
            </w:r>
          </w:p>
        </w:tc>
        <w:tc>
          <w:tcPr>
            <w:tcW w:w="920" w:type="pct"/>
            <w:tcBorders>
              <w:tl2br w:val="nil"/>
              <w:tr2bl w:val="nil"/>
            </w:tcBorders>
            <w:shd w:val="clear" w:color="auto" w:fill="auto"/>
          </w:tcPr>
          <w:p w14:paraId="68A3E494">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65</w:t>
            </w:r>
          </w:p>
        </w:tc>
        <w:tc>
          <w:tcPr>
            <w:tcW w:w="1019" w:type="pct"/>
            <w:tcBorders>
              <w:tl2br w:val="nil"/>
              <w:tr2bl w:val="nil"/>
            </w:tcBorders>
            <w:shd w:val="clear" w:color="auto" w:fill="auto"/>
            <w:vAlign w:val="center"/>
          </w:tcPr>
          <w:p w14:paraId="1E9869E9">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40.3</w:t>
            </w:r>
          </w:p>
        </w:tc>
        <w:tc>
          <w:tcPr>
            <w:tcW w:w="847" w:type="pct"/>
            <w:tcBorders>
              <w:tl2br w:val="nil"/>
              <w:tr2bl w:val="nil"/>
            </w:tcBorders>
            <w:shd w:val="clear" w:color="auto" w:fill="auto"/>
          </w:tcPr>
          <w:p w14:paraId="7BD41D48">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55</w:t>
            </w:r>
          </w:p>
        </w:tc>
      </w:tr>
      <w:tr w14:paraId="2FF7E56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272" w:type="pct"/>
            <w:tcBorders>
              <w:tl2br w:val="nil"/>
              <w:tr2bl w:val="nil"/>
            </w:tcBorders>
            <w:shd w:val="clear" w:color="auto" w:fill="auto"/>
            <w:vAlign w:val="center"/>
          </w:tcPr>
          <w:p w14:paraId="42649844">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4#北厂界外1m</w:t>
            </w:r>
          </w:p>
        </w:tc>
        <w:tc>
          <w:tcPr>
            <w:tcW w:w="939" w:type="pct"/>
            <w:tcBorders>
              <w:tl2br w:val="nil"/>
              <w:tr2bl w:val="nil"/>
            </w:tcBorders>
            <w:shd w:val="clear" w:color="auto" w:fill="auto"/>
            <w:vAlign w:val="center"/>
          </w:tcPr>
          <w:p w14:paraId="61864146">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45.9</w:t>
            </w:r>
          </w:p>
        </w:tc>
        <w:tc>
          <w:tcPr>
            <w:tcW w:w="920" w:type="pct"/>
            <w:tcBorders>
              <w:tl2br w:val="nil"/>
              <w:tr2bl w:val="nil"/>
            </w:tcBorders>
            <w:shd w:val="clear" w:color="auto" w:fill="auto"/>
          </w:tcPr>
          <w:p w14:paraId="28272A87">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65</w:t>
            </w:r>
          </w:p>
        </w:tc>
        <w:tc>
          <w:tcPr>
            <w:tcW w:w="1019" w:type="pct"/>
            <w:tcBorders>
              <w:tl2br w:val="nil"/>
              <w:tr2bl w:val="nil"/>
            </w:tcBorders>
            <w:shd w:val="clear" w:color="auto" w:fill="auto"/>
            <w:vAlign w:val="center"/>
          </w:tcPr>
          <w:p w14:paraId="169F7C3A">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lang w:val="en-US" w:eastAsia="zh-CN"/>
                <w14:textFill>
                  <w14:solidFill>
                    <w14:schemeClr w14:val="tx1"/>
                  </w14:solidFill>
                </w14:textFill>
              </w:rPr>
              <w:t>40.6</w:t>
            </w:r>
          </w:p>
        </w:tc>
        <w:tc>
          <w:tcPr>
            <w:tcW w:w="847" w:type="pct"/>
            <w:tcBorders>
              <w:tl2br w:val="nil"/>
              <w:tr2bl w:val="nil"/>
            </w:tcBorders>
            <w:shd w:val="clear" w:color="auto" w:fill="auto"/>
          </w:tcPr>
          <w:p w14:paraId="648E8AAF">
            <w:pPr>
              <w:pStyle w:val="52"/>
              <w:spacing w:before="0" w:after="0" w:line="240" w:lineRule="auto"/>
              <w:ind w:left="0" w:firstLine="0"/>
              <w:rPr>
                <w:rFonts w:hint="default" w:ascii="Times New Roman" w:hAnsi="Times New Roman" w:eastAsia="宋体" w:cs="Times New Roman"/>
                <w:color w:val="000000" w:themeColor="text1"/>
                <w:sz w:val="21"/>
                <w:szCs w:val="18"/>
                <w14:textFill>
                  <w14:solidFill>
                    <w14:schemeClr w14:val="tx1"/>
                  </w14:solidFill>
                </w14:textFill>
              </w:rPr>
            </w:pPr>
            <w:r>
              <w:rPr>
                <w:rFonts w:hint="default" w:ascii="Times New Roman" w:hAnsi="Times New Roman" w:eastAsia="宋体" w:cs="Times New Roman"/>
                <w:color w:val="000000" w:themeColor="text1"/>
                <w:sz w:val="21"/>
                <w:szCs w:val="18"/>
                <w14:textFill>
                  <w14:solidFill>
                    <w14:schemeClr w14:val="tx1"/>
                  </w14:solidFill>
                </w14:textFill>
              </w:rPr>
              <w:t>55</w:t>
            </w:r>
          </w:p>
        </w:tc>
      </w:tr>
    </w:tbl>
    <w:p w14:paraId="3A1FD909">
      <w:pPr>
        <w:pStyle w:val="6"/>
        <w:rPr>
          <w:rFonts w:hint="default" w:ascii="Times New Roman" w:hAnsi="Times New Roman" w:cs="Times New Roman"/>
          <w:lang w:val="en-US" w:eastAsia="zh-CN"/>
        </w:rPr>
      </w:pPr>
      <w:r>
        <w:rPr>
          <w:rFonts w:hint="default" w:ascii="Times New Roman" w:hAnsi="Times New Roman" w:cs="Times New Roman"/>
          <w:lang w:val="en-US" w:eastAsia="zh-CN"/>
        </w:rPr>
        <w:t>（4）固体废物</w:t>
      </w:r>
    </w:p>
    <w:p w14:paraId="0A68527E">
      <w:pPr>
        <w:pStyle w:val="6"/>
        <w:rPr>
          <w:rFonts w:hint="default" w:ascii="Times New Roman" w:hAnsi="Times New Roman" w:cs="Times New Roman"/>
          <w:lang w:val="en-US" w:eastAsia="zh-CN"/>
        </w:rPr>
      </w:pPr>
      <w:r>
        <w:rPr>
          <w:rFonts w:hint="default" w:ascii="Times New Roman" w:hAnsi="Times New Roman" w:cs="Times New Roman"/>
          <w:lang w:val="en-US" w:eastAsia="zh-CN"/>
        </w:rPr>
        <w:t>企业在生产过程中基本上不外排固体废物，各类收尘器收集的粉尘全部回用到相应工序中，不外排；回转窑产生的废耐火砖经破碎、粉磨后可作为原料使用，不外排；日常生活中产生少量生活垃圾，年产生量约70t/a，在厂区内集中收集，委托阿克苏净宇环保产业有限责任公司定期清运。</w:t>
      </w:r>
    </w:p>
    <w:p w14:paraId="3ACC7706">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3.1.7现有工程污染物排放量</w:t>
      </w:r>
    </w:p>
    <w:p w14:paraId="398AFD27">
      <w:pPr>
        <w:pStyle w:val="6"/>
        <w:rPr>
          <w:rFonts w:hint="default" w:ascii="Times New Roman" w:hAnsi="Times New Roman" w:eastAsia="宋体" w:cs="Times New Roman"/>
          <w:lang w:val="en-US" w:eastAsia="zh-CN"/>
        </w:rPr>
      </w:pPr>
      <w:r>
        <w:rPr>
          <w:rFonts w:hint="default" w:ascii="Times New Roman" w:hAnsi="Times New Roman" w:cs="Times New Roman"/>
          <w:lang w:val="en-US" w:eastAsia="zh-CN"/>
        </w:rPr>
        <w:t>根据</w:t>
      </w:r>
      <w:r>
        <w:rPr>
          <w:rFonts w:hint="default" w:ascii="Times New Roman" w:hAnsi="Times New Roman" w:cs="Times New Roman"/>
        </w:rPr>
        <w:t>企业202</w:t>
      </w:r>
      <w:r>
        <w:rPr>
          <w:rFonts w:hint="default" w:ascii="Times New Roman" w:hAnsi="Times New Roman" w:cs="Times New Roman"/>
          <w:lang w:val="en-US" w:eastAsia="zh-CN"/>
        </w:rPr>
        <w:t>4</w:t>
      </w:r>
      <w:r>
        <w:rPr>
          <w:rFonts w:hint="default" w:ascii="Times New Roman" w:hAnsi="Times New Roman" w:cs="Times New Roman"/>
        </w:rPr>
        <w:t>年</w:t>
      </w:r>
      <w:r>
        <w:rPr>
          <w:rFonts w:hint="default" w:ascii="Times New Roman" w:hAnsi="Times New Roman" w:cs="Times New Roman"/>
          <w:lang w:val="en-US" w:eastAsia="zh-CN"/>
        </w:rPr>
        <w:t>度排污许可证执行年报，</w:t>
      </w:r>
      <w:r>
        <w:rPr>
          <w:rFonts w:hint="default" w:ascii="Times New Roman" w:hAnsi="Times New Roman" w:cs="Times New Roman"/>
        </w:rPr>
        <w:t>按照自治区错峰生产要求，</w:t>
      </w:r>
      <w:r>
        <w:rPr>
          <w:rFonts w:hint="default" w:ascii="Times New Roman" w:hAnsi="Times New Roman" w:cs="Times New Roman"/>
          <w:lang w:val="en-US" w:eastAsia="zh-CN"/>
        </w:rPr>
        <w:t>错峰生产制度约束下，企业年生产时间为103天，2485小时；无错峰生产情况下企业年生产时间250天；</w:t>
      </w:r>
      <w:r>
        <w:rPr>
          <w:rFonts w:hint="default" w:ascii="Times New Roman" w:hAnsi="Times New Roman" w:cs="Times New Roman"/>
          <w:color w:val="auto"/>
          <w:lang w:val="en-US" w:eastAsia="zh-CN"/>
        </w:rPr>
        <w:t>现有</w:t>
      </w:r>
      <w:r>
        <w:rPr>
          <w:rFonts w:hint="default" w:ascii="Times New Roman" w:hAnsi="Times New Roman" w:cs="Times New Roman"/>
          <w:color w:val="auto"/>
        </w:rPr>
        <w:t>工程满负荷工况污染物排放量及许可排放量</w:t>
      </w:r>
      <w:r>
        <w:rPr>
          <w:rFonts w:hint="default" w:ascii="Times New Roman" w:hAnsi="Times New Roman" w:cs="Times New Roman"/>
          <w:color w:val="auto"/>
          <w:lang w:val="en-US" w:eastAsia="zh-CN"/>
        </w:rPr>
        <w:t>见下表。</w:t>
      </w:r>
    </w:p>
    <w:p w14:paraId="452C023C">
      <w:pPr>
        <w:pStyle w:val="203"/>
        <w:keepNext w:val="0"/>
        <w:keepLines w:val="0"/>
        <w:pageBreakBefore w:val="0"/>
        <w:widowControl w:val="0"/>
        <w:kinsoku/>
        <w:wordWrap/>
        <w:overflowPunct/>
        <w:topLinePunct w:val="0"/>
        <w:autoSpaceDE/>
        <w:autoSpaceDN/>
        <w:bidi w:val="0"/>
        <w:adjustRightInd w:val="0"/>
        <w:snapToGrid w:val="0"/>
        <w:spacing w:before="0" w:beforeLines="0"/>
        <w:jc w:val="right"/>
        <w:textAlignment w:val="auto"/>
        <w:rPr>
          <w:rFonts w:hint="default" w:ascii="Times New Roman" w:hAnsi="Times New Roman" w:cs="Times New Roman"/>
          <w:b/>
          <w:bCs/>
          <w:color w:val="auto"/>
        </w:rPr>
      </w:pPr>
      <w:bookmarkStart w:id="86" w:name="_Ref131434751"/>
      <w:r>
        <w:rPr>
          <w:rFonts w:hint="default" w:ascii="Times New Roman" w:hAnsi="Times New Roman" w:cs="Times New Roman"/>
          <w:b/>
          <w:bCs/>
          <w:color w:val="auto"/>
        </w:rPr>
        <w:t>表</w:t>
      </w:r>
      <w:r>
        <w:rPr>
          <w:rFonts w:hint="default" w:ascii="Times New Roman" w:hAnsi="Times New Roman" w:cs="Times New Roman"/>
          <w:b/>
          <w:bCs/>
          <w:color w:val="auto"/>
        </w:rPr>
        <w:fldChar w:fldCharType="begin"/>
      </w:r>
      <w:r>
        <w:rPr>
          <w:rFonts w:hint="default" w:ascii="Times New Roman" w:hAnsi="Times New Roman" w:cs="Times New Roman"/>
          <w:b/>
          <w:bCs/>
          <w:color w:val="auto"/>
        </w:rPr>
        <w:instrText xml:space="preserve"> STYLEREF 2 \s </w:instrText>
      </w:r>
      <w:r>
        <w:rPr>
          <w:rFonts w:hint="default" w:ascii="Times New Roman" w:hAnsi="Times New Roman" w:cs="Times New Roman"/>
          <w:b/>
          <w:bCs/>
          <w:color w:val="auto"/>
        </w:rPr>
        <w:fldChar w:fldCharType="separate"/>
      </w:r>
      <w:r>
        <w:rPr>
          <w:rFonts w:hint="default" w:ascii="Times New Roman" w:hAnsi="Times New Roman" w:cs="Times New Roman"/>
          <w:b/>
          <w:bCs/>
          <w:color w:val="auto"/>
        </w:rPr>
        <w:t>3.1</w:t>
      </w:r>
      <w:r>
        <w:rPr>
          <w:rFonts w:hint="default" w:ascii="Times New Roman" w:hAnsi="Times New Roman" w:cs="Times New Roman"/>
          <w:b/>
          <w:bCs/>
          <w:color w:val="auto"/>
        </w:rPr>
        <w:fldChar w:fldCharType="end"/>
      </w:r>
      <w:bookmarkEnd w:id="86"/>
      <w:r>
        <w:rPr>
          <w:rFonts w:hint="default" w:ascii="Times New Roman" w:hAnsi="Times New Roman" w:cs="Times New Roman"/>
          <w:b/>
          <w:bCs/>
          <w:color w:val="auto"/>
          <w:lang w:val="en-US" w:eastAsia="zh-CN"/>
        </w:rPr>
        <w:t>-1</w:t>
      </w:r>
      <w:r>
        <w:rPr>
          <w:rFonts w:hint="eastAsia" w:cs="Times New Roman"/>
          <w:b/>
          <w:bCs/>
          <w:color w:val="auto"/>
          <w:lang w:val="en-US" w:eastAsia="zh-CN"/>
        </w:rPr>
        <w:t>5</w:t>
      </w:r>
      <w:r>
        <w:rPr>
          <w:rFonts w:hint="default" w:ascii="Times New Roman" w:hAnsi="Times New Roman" w:cs="Times New Roman"/>
          <w:b/>
          <w:bCs/>
          <w:color w:val="auto"/>
        </w:rPr>
        <w:t xml:space="preserve"> </w:t>
      </w:r>
      <w:r>
        <w:rPr>
          <w:rFonts w:hint="default" w:ascii="Times New Roman" w:hAnsi="Times New Roman" w:cs="Times New Roman"/>
          <w:b/>
          <w:bCs/>
          <w:color w:val="auto"/>
          <w:lang w:val="en-US" w:eastAsia="zh-CN"/>
        </w:rPr>
        <w:t>现有</w:t>
      </w:r>
      <w:r>
        <w:rPr>
          <w:rFonts w:hint="default" w:ascii="Times New Roman" w:hAnsi="Times New Roman" w:cs="Times New Roman"/>
          <w:b/>
          <w:bCs/>
          <w:color w:val="auto"/>
        </w:rPr>
        <w:t>工程满负荷工况污染物排放量及许可排放量</w:t>
      </w:r>
      <w:r>
        <w:rPr>
          <w:rFonts w:hint="default" w:ascii="Times New Roman" w:hAnsi="Times New Roman" w:cs="Times New Roman"/>
          <w:b/>
          <w:bCs/>
          <w:color w:val="auto"/>
          <w:lang w:val="en-US" w:eastAsia="zh-CN"/>
        </w:rPr>
        <w:t xml:space="preserve">   单位：</w:t>
      </w:r>
      <w:r>
        <w:rPr>
          <w:rFonts w:hint="default" w:ascii="Times New Roman" w:hAnsi="Times New Roman" w:cs="Times New Roman"/>
          <w:b/>
          <w:bCs/>
          <w:color w:val="auto"/>
        </w:rPr>
        <w:t>t/a</w:t>
      </w:r>
    </w:p>
    <w:tbl>
      <w:tblPr>
        <w:tblStyle w:val="39"/>
        <w:tblW w:w="5013"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41"/>
        <w:gridCol w:w="969"/>
        <w:gridCol w:w="969"/>
        <w:gridCol w:w="969"/>
        <w:gridCol w:w="969"/>
        <w:gridCol w:w="971"/>
        <w:gridCol w:w="1156"/>
        <w:gridCol w:w="1278"/>
      </w:tblGrid>
      <w:tr w14:paraId="3A180F0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tcBorders>
              <w:tl2br w:val="nil"/>
              <w:tr2bl w:val="nil"/>
            </w:tcBorders>
            <w:vAlign w:val="center"/>
          </w:tcPr>
          <w:p w14:paraId="7DC6129B">
            <w:pPr>
              <w:pStyle w:val="52"/>
              <w:spacing w:before="0" w:after="0" w:line="240" w:lineRule="auto"/>
              <w:ind w:left="0" w:firstLine="0"/>
              <w:rPr>
                <w:rFonts w:hint="default" w:ascii="Times New Roman" w:hAnsi="Times New Roman" w:eastAsia="宋体" w:cs="Times New Roman"/>
                <w:b/>
                <w:bCs/>
                <w:color w:val="auto"/>
                <w:sz w:val="21"/>
                <w:szCs w:val="18"/>
                <w:lang w:val="en-US" w:eastAsia="zh-CN"/>
              </w:rPr>
            </w:pPr>
            <w:r>
              <w:rPr>
                <w:rFonts w:hint="default" w:ascii="Times New Roman" w:hAnsi="Times New Roman" w:eastAsia="宋体" w:cs="Times New Roman"/>
                <w:b/>
                <w:bCs/>
                <w:color w:val="auto"/>
                <w:sz w:val="21"/>
                <w:szCs w:val="18"/>
                <w:lang w:val="en-US" w:eastAsia="zh-CN"/>
              </w:rPr>
              <w:t>排放点</w:t>
            </w:r>
          </w:p>
        </w:tc>
        <w:tc>
          <w:tcPr>
            <w:tcW w:w="582" w:type="pct"/>
            <w:tcBorders>
              <w:tl2br w:val="nil"/>
              <w:tr2bl w:val="nil"/>
            </w:tcBorders>
            <w:vAlign w:val="center"/>
          </w:tcPr>
          <w:p w14:paraId="42D02AC2">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颗粒物</w:t>
            </w:r>
          </w:p>
        </w:tc>
        <w:tc>
          <w:tcPr>
            <w:tcW w:w="582" w:type="pct"/>
            <w:tcBorders>
              <w:tl2br w:val="nil"/>
              <w:tr2bl w:val="nil"/>
            </w:tcBorders>
            <w:vAlign w:val="center"/>
          </w:tcPr>
          <w:p w14:paraId="2A7C4212">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SO</w:t>
            </w:r>
            <w:r>
              <w:rPr>
                <w:rFonts w:hint="default" w:ascii="Times New Roman" w:hAnsi="Times New Roman" w:cs="Times New Roman"/>
                <w:b/>
                <w:bCs/>
                <w:color w:val="auto"/>
                <w:sz w:val="21"/>
                <w:szCs w:val="18"/>
                <w:vertAlign w:val="subscript"/>
              </w:rPr>
              <w:t>2</w:t>
            </w:r>
          </w:p>
        </w:tc>
        <w:tc>
          <w:tcPr>
            <w:tcW w:w="582" w:type="pct"/>
            <w:tcBorders>
              <w:tl2br w:val="nil"/>
              <w:tr2bl w:val="nil"/>
            </w:tcBorders>
            <w:vAlign w:val="center"/>
          </w:tcPr>
          <w:p w14:paraId="0AFEAFCC">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NOx</w:t>
            </w:r>
          </w:p>
        </w:tc>
        <w:tc>
          <w:tcPr>
            <w:tcW w:w="582" w:type="pct"/>
            <w:tcBorders>
              <w:tl2br w:val="nil"/>
              <w:tr2bl w:val="nil"/>
            </w:tcBorders>
            <w:vAlign w:val="center"/>
          </w:tcPr>
          <w:p w14:paraId="4871566C">
            <w:pPr>
              <w:pStyle w:val="52"/>
              <w:spacing w:before="0" w:after="0" w:line="240" w:lineRule="auto"/>
              <w:ind w:left="0" w:firstLine="0"/>
              <w:rPr>
                <w:rFonts w:hint="default" w:ascii="Times New Roman" w:hAnsi="Times New Roman" w:eastAsia="宋体" w:cs="Times New Roman"/>
                <w:b/>
                <w:bCs/>
                <w:color w:val="auto"/>
                <w:sz w:val="21"/>
                <w:szCs w:val="18"/>
                <w:lang w:val="en-US" w:eastAsia="zh-CN"/>
              </w:rPr>
            </w:pPr>
            <w:r>
              <w:rPr>
                <w:rFonts w:hint="default" w:ascii="Times New Roman" w:hAnsi="Times New Roman" w:cs="Times New Roman"/>
                <w:b/>
                <w:bCs/>
                <w:color w:val="auto"/>
                <w:sz w:val="21"/>
                <w:szCs w:val="18"/>
                <w:lang w:val="en-US" w:eastAsia="zh-CN"/>
              </w:rPr>
              <w:t>氨（氨气）</w:t>
            </w:r>
          </w:p>
        </w:tc>
        <w:tc>
          <w:tcPr>
            <w:tcW w:w="583" w:type="pct"/>
            <w:tcBorders>
              <w:tl2br w:val="nil"/>
              <w:tr2bl w:val="nil"/>
            </w:tcBorders>
            <w:vAlign w:val="center"/>
          </w:tcPr>
          <w:p w14:paraId="73343893">
            <w:pPr>
              <w:pStyle w:val="52"/>
              <w:spacing w:before="0" w:after="0" w:line="240" w:lineRule="auto"/>
              <w:ind w:left="0" w:firstLine="0"/>
              <w:rPr>
                <w:rFonts w:hint="default" w:ascii="Times New Roman" w:hAnsi="Times New Roman" w:eastAsia="宋体" w:cs="Times New Roman"/>
                <w:b/>
                <w:bCs/>
                <w:color w:val="auto"/>
                <w:sz w:val="21"/>
                <w:szCs w:val="18"/>
                <w:lang w:val="en-US" w:eastAsia="zh-CN"/>
              </w:rPr>
            </w:pPr>
            <w:r>
              <w:rPr>
                <w:rFonts w:hint="default" w:ascii="Times New Roman" w:hAnsi="Times New Roman" w:cs="Times New Roman"/>
                <w:b/>
                <w:bCs/>
                <w:color w:val="auto"/>
                <w:sz w:val="21"/>
                <w:szCs w:val="18"/>
                <w:lang w:val="en-US" w:eastAsia="zh-CN"/>
              </w:rPr>
              <w:t>氟化物</w:t>
            </w:r>
          </w:p>
        </w:tc>
        <w:tc>
          <w:tcPr>
            <w:tcW w:w="694" w:type="pct"/>
            <w:tcBorders>
              <w:tl2br w:val="nil"/>
              <w:tr2bl w:val="nil"/>
            </w:tcBorders>
            <w:vAlign w:val="center"/>
          </w:tcPr>
          <w:p w14:paraId="1CE6EEE2">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最大运行时间（h）</w:t>
            </w:r>
          </w:p>
        </w:tc>
        <w:tc>
          <w:tcPr>
            <w:tcW w:w="767" w:type="pct"/>
            <w:tcBorders>
              <w:tl2br w:val="nil"/>
              <w:tr2bl w:val="nil"/>
            </w:tcBorders>
            <w:vAlign w:val="center"/>
          </w:tcPr>
          <w:p w14:paraId="3906D7C3">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备注</w:t>
            </w:r>
          </w:p>
        </w:tc>
      </w:tr>
      <w:tr w14:paraId="49D87FE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tcBorders>
              <w:tl2br w:val="nil"/>
              <w:tr2bl w:val="nil"/>
            </w:tcBorders>
            <w:vAlign w:val="center"/>
          </w:tcPr>
          <w:p w14:paraId="08ED490A">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窑头</w:t>
            </w:r>
          </w:p>
        </w:tc>
        <w:tc>
          <w:tcPr>
            <w:tcW w:w="582" w:type="pct"/>
            <w:tcBorders>
              <w:tl2br w:val="nil"/>
              <w:tr2bl w:val="nil"/>
            </w:tcBorders>
            <w:vAlign w:val="center"/>
          </w:tcPr>
          <w:p w14:paraId="74D271E1">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0.4462</w:t>
            </w:r>
          </w:p>
        </w:tc>
        <w:tc>
          <w:tcPr>
            <w:tcW w:w="582" w:type="pct"/>
            <w:tcBorders>
              <w:tl2br w:val="nil"/>
              <w:tr2bl w:val="nil"/>
            </w:tcBorders>
            <w:vAlign w:val="center"/>
          </w:tcPr>
          <w:p w14:paraId="4BE23E0A">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w:t>
            </w:r>
          </w:p>
        </w:tc>
        <w:tc>
          <w:tcPr>
            <w:tcW w:w="582" w:type="pct"/>
            <w:tcBorders>
              <w:tl2br w:val="nil"/>
              <w:tr2bl w:val="nil"/>
            </w:tcBorders>
            <w:vAlign w:val="center"/>
          </w:tcPr>
          <w:p w14:paraId="30D1A2C6">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w:t>
            </w:r>
          </w:p>
        </w:tc>
        <w:tc>
          <w:tcPr>
            <w:tcW w:w="582" w:type="pct"/>
            <w:tcBorders>
              <w:tl2br w:val="nil"/>
              <w:tr2bl w:val="nil"/>
            </w:tcBorders>
            <w:vAlign w:val="center"/>
          </w:tcPr>
          <w:p w14:paraId="3F735949">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w:t>
            </w:r>
          </w:p>
        </w:tc>
        <w:tc>
          <w:tcPr>
            <w:tcW w:w="583" w:type="pct"/>
            <w:tcBorders>
              <w:tl2br w:val="nil"/>
              <w:tr2bl w:val="nil"/>
            </w:tcBorders>
            <w:vAlign w:val="center"/>
          </w:tcPr>
          <w:p w14:paraId="28CD9D4B">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w:t>
            </w:r>
          </w:p>
        </w:tc>
        <w:tc>
          <w:tcPr>
            <w:tcW w:w="694" w:type="pct"/>
            <w:tcBorders>
              <w:tl2br w:val="nil"/>
              <w:tr2bl w:val="nil"/>
            </w:tcBorders>
            <w:vAlign w:val="center"/>
          </w:tcPr>
          <w:p w14:paraId="1BC87795">
            <w:pPr>
              <w:autoSpaceDE/>
              <w:autoSpaceDN/>
              <w:spacing w:before="0" w:after="0" w:line="240" w:lineRule="auto"/>
              <w:ind w:left="0" w:firstLine="0"/>
              <w:jc w:val="center"/>
              <w:rPr>
                <w:rFonts w:hint="default" w:ascii="Times New Roman" w:hAnsi="Times New Roman" w:cs="Times New Roman"/>
                <w:color w:val="auto"/>
                <w:sz w:val="21"/>
                <w:szCs w:val="16"/>
              </w:rPr>
            </w:pPr>
            <w:r>
              <w:rPr>
                <w:rFonts w:hint="default" w:ascii="Times New Roman" w:hAnsi="Times New Roman" w:cs="Times New Roman"/>
                <w:color w:val="auto"/>
                <w:sz w:val="21"/>
                <w:szCs w:val="16"/>
                <w:lang w:val="en-US" w:eastAsia="zh-CN"/>
              </w:rPr>
              <w:t>6480</w:t>
            </w:r>
          </w:p>
        </w:tc>
        <w:tc>
          <w:tcPr>
            <w:tcW w:w="767" w:type="pct"/>
            <w:vMerge w:val="restart"/>
            <w:tcBorders>
              <w:tl2br w:val="nil"/>
              <w:tr2bl w:val="nil"/>
            </w:tcBorders>
            <w:vAlign w:val="center"/>
          </w:tcPr>
          <w:p w14:paraId="02A1A706">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由在线监测数据核算</w:t>
            </w:r>
          </w:p>
        </w:tc>
      </w:tr>
      <w:tr w14:paraId="49CE912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tcBorders>
              <w:tl2br w:val="nil"/>
              <w:tr2bl w:val="nil"/>
            </w:tcBorders>
            <w:vAlign w:val="center"/>
          </w:tcPr>
          <w:p w14:paraId="5514C50F">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窑尾</w:t>
            </w:r>
          </w:p>
        </w:tc>
        <w:tc>
          <w:tcPr>
            <w:tcW w:w="582" w:type="pct"/>
            <w:tcBorders>
              <w:tl2br w:val="nil"/>
              <w:tr2bl w:val="nil"/>
            </w:tcBorders>
            <w:vAlign w:val="center"/>
          </w:tcPr>
          <w:p w14:paraId="3A56F6C9">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4.89</w:t>
            </w:r>
          </w:p>
        </w:tc>
        <w:tc>
          <w:tcPr>
            <w:tcW w:w="582" w:type="pct"/>
            <w:tcBorders>
              <w:tl2br w:val="nil"/>
              <w:tr2bl w:val="nil"/>
            </w:tcBorders>
            <w:shd w:val="clear" w:color="auto" w:fill="auto"/>
            <w:vAlign w:val="center"/>
          </w:tcPr>
          <w:p w14:paraId="5D8FF655">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kern w:val="0"/>
                <w:sz w:val="21"/>
                <w:szCs w:val="18"/>
                <w:lang w:val="en-US" w:eastAsia="zh-CN" w:bidi="ar-SA"/>
              </w:rPr>
              <w:t>6.4088</w:t>
            </w:r>
          </w:p>
        </w:tc>
        <w:tc>
          <w:tcPr>
            <w:tcW w:w="582" w:type="pct"/>
            <w:tcBorders>
              <w:tl2br w:val="nil"/>
              <w:tr2bl w:val="nil"/>
            </w:tcBorders>
            <w:shd w:val="clear" w:color="auto" w:fill="auto"/>
            <w:vAlign w:val="center"/>
          </w:tcPr>
          <w:p w14:paraId="5DAC8A81">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kern w:val="0"/>
                <w:sz w:val="21"/>
                <w:szCs w:val="18"/>
                <w:lang w:val="en-US" w:eastAsia="zh-CN" w:bidi="ar-SA"/>
              </w:rPr>
              <w:t>294.088</w:t>
            </w:r>
          </w:p>
        </w:tc>
        <w:tc>
          <w:tcPr>
            <w:tcW w:w="582" w:type="pct"/>
            <w:tcBorders>
              <w:tl2br w:val="nil"/>
              <w:tr2bl w:val="nil"/>
            </w:tcBorders>
            <w:vAlign w:val="center"/>
          </w:tcPr>
          <w:p w14:paraId="56D37FFD">
            <w:pPr>
              <w:pStyle w:val="52"/>
              <w:spacing w:before="0" w:after="0" w:line="240" w:lineRule="auto"/>
              <w:ind w:left="0" w:leftChars="0" w:firstLine="0" w:firstLineChars="0"/>
              <w:rPr>
                <w:rFonts w:hint="default" w:ascii="Times New Roman" w:hAnsi="Times New Roman" w:cs="Times New Roman"/>
                <w:color w:val="auto"/>
                <w:kern w:val="0"/>
                <w:sz w:val="21"/>
                <w:szCs w:val="18"/>
                <w:lang w:val="en-US" w:eastAsia="zh-CN" w:bidi="ar-SA"/>
              </w:rPr>
            </w:pPr>
            <w:r>
              <w:rPr>
                <w:rFonts w:hint="default" w:ascii="Times New Roman" w:hAnsi="Times New Roman" w:cs="Times New Roman"/>
                <w:color w:val="auto"/>
                <w:kern w:val="0"/>
                <w:sz w:val="21"/>
                <w:szCs w:val="18"/>
                <w:lang w:val="en-US" w:eastAsia="zh-CN" w:bidi="ar-SA"/>
              </w:rPr>
              <w:t>0.6879</w:t>
            </w:r>
          </w:p>
        </w:tc>
        <w:tc>
          <w:tcPr>
            <w:tcW w:w="583" w:type="pct"/>
            <w:tcBorders>
              <w:tl2br w:val="nil"/>
              <w:tr2bl w:val="nil"/>
            </w:tcBorders>
            <w:vAlign w:val="center"/>
          </w:tcPr>
          <w:p w14:paraId="0123A330">
            <w:pPr>
              <w:pStyle w:val="52"/>
              <w:spacing w:before="0" w:after="0" w:line="240" w:lineRule="auto"/>
              <w:ind w:left="0" w:leftChars="0" w:firstLine="0" w:firstLineChars="0"/>
              <w:rPr>
                <w:rFonts w:hint="default" w:ascii="Times New Roman" w:hAnsi="Times New Roman" w:cs="Times New Roman"/>
                <w:color w:val="auto"/>
                <w:kern w:val="0"/>
                <w:sz w:val="21"/>
                <w:szCs w:val="18"/>
                <w:lang w:val="en-US" w:eastAsia="zh-CN" w:bidi="ar-SA"/>
              </w:rPr>
            </w:pPr>
            <w:r>
              <w:rPr>
                <w:rFonts w:hint="default" w:ascii="Times New Roman" w:hAnsi="Times New Roman" w:cs="Times New Roman"/>
                <w:color w:val="auto"/>
                <w:kern w:val="0"/>
                <w:sz w:val="21"/>
                <w:szCs w:val="18"/>
                <w:lang w:val="en-US" w:eastAsia="zh-CN" w:bidi="ar-SA"/>
              </w:rPr>
              <w:t>0.5018</w:t>
            </w:r>
          </w:p>
        </w:tc>
        <w:tc>
          <w:tcPr>
            <w:tcW w:w="694" w:type="pct"/>
            <w:tcBorders>
              <w:tl2br w:val="nil"/>
              <w:tr2bl w:val="nil"/>
            </w:tcBorders>
            <w:vAlign w:val="center"/>
          </w:tcPr>
          <w:p w14:paraId="69EC93EB">
            <w:pPr>
              <w:autoSpaceDE/>
              <w:autoSpaceDN/>
              <w:spacing w:before="0" w:after="0" w:line="240" w:lineRule="auto"/>
              <w:ind w:left="0" w:firstLine="0"/>
              <w:jc w:val="center"/>
              <w:rPr>
                <w:rFonts w:hint="default" w:ascii="Times New Roman" w:hAnsi="Times New Roman" w:cs="Times New Roman"/>
                <w:color w:val="auto"/>
                <w:sz w:val="21"/>
                <w:szCs w:val="16"/>
              </w:rPr>
            </w:pPr>
            <w:r>
              <w:rPr>
                <w:rFonts w:hint="default" w:ascii="Times New Roman" w:hAnsi="Times New Roman" w:cs="Times New Roman"/>
                <w:color w:val="auto"/>
                <w:sz w:val="21"/>
                <w:szCs w:val="16"/>
                <w:lang w:val="en-US" w:eastAsia="zh-CN"/>
              </w:rPr>
              <w:t>6480</w:t>
            </w:r>
          </w:p>
        </w:tc>
        <w:tc>
          <w:tcPr>
            <w:tcW w:w="767" w:type="pct"/>
            <w:vMerge w:val="continue"/>
            <w:tcBorders>
              <w:tl2br w:val="nil"/>
              <w:tr2bl w:val="nil"/>
            </w:tcBorders>
            <w:vAlign w:val="center"/>
          </w:tcPr>
          <w:p w14:paraId="30261083">
            <w:pPr>
              <w:pStyle w:val="52"/>
              <w:spacing w:before="0" w:after="0" w:line="240" w:lineRule="auto"/>
              <w:ind w:left="0" w:firstLine="0"/>
              <w:rPr>
                <w:rFonts w:hint="default" w:ascii="Times New Roman" w:hAnsi="Times New Roman" w:cs="Times New Roman"/>
                <w:color w:val="auto"/>
                <w:sz w:val="21"/>
                <w:szCs w:val="18"/>
              </w:rPr>
            </w:pPr>
          </w:p>
        </w:tc>
      </w:tr>
      <w:tr w14:paraId="4D24392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PrEx>
        <w:trPr>
          <w:jc w:val="center"/>
        </w:trPr>
        <w:tc>
          <w:tcPr>
            <w:tcW w:w="625" w:type="pct"/>
            <w:tcBorders>
              <w:tl2br w:val="nil"/>
              <w:tr2bl w:val="nil"/>
            </w:tcBorders>
            <w:vAlign w:val="center"/>
          </w:tcPr>
          <w:p w14:paraId="1CB88FFD">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其他</w:t>
            </w:r>
          </w:p>
        </w:tc>
        <w:tc>
          <w:tcPr>
            <w:tcW w:w="582" w:type="pct"/>
            <w:tcBorders>
              <w:tl2br w:val="nil"/>
              <w:tr2bl w:val="nil"/>
            </w:tcBorders>
            <w:vAlign w:val="center"/>
          </w:tcPr>
          <w:p w14:paraId="55A94D30">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3.621</w:t>
            </w:r>
          </w:p>
        </w:tc>
        <w:tc>
          <w:tcPr>
            <w:tcW w:w="582" w:type="pct"/>
            <w:tcBorders>
              <w:tl2br w:val="nil"/>
              <w:tr2bl w:val="nil"/>
            </w:tcBorders>
            <w:vAlign w:val="center"/>
          </w:tcPr>
          <w:p w14:paraId="3E67214D">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w:t>
            </w:r>
          </w:p>
        </w:tc>
        <w:tc>
          <w:tcPr>
            <w:tcW w:w="582" w:type="pct"/>
            <w:tcBorders>
              <w:tl2br w:val="nil"/>
              <w:tr2bl w:val="nil"/>
            </w:tcBorders>
            <w:vAlign w:val="center"/>
          </w:tcPr>
          <w:p w14:paraId="05C2A0A1">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w:t>
            </w:r>
          </w:p>
        </w:tc>
        <w:tc>
          <w:tcPr>
            <w:tcW w:w="582" w:type="pct"/>
            <w:tcBorders>
              <w:tl2br w:val="nil"/>
              <w:tr2bl w:val="nil"/>
            </w:tcBorders>
            <w:vAlign w:val="center"/>
          </w:tcPr>
          <w:p w14:paraId="30BB306B">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w:t>
            </w:r>
          </w:p>
        </w:tc>
        <w:tc>
          <w:tcPr>
            <w:tcW w:w="583" w:type="pct"/>
            <w:tcBorders>
              <w:tl2br w:val="nil"/>
              <w:tr2bl w:val="nil"/>
            </w:tcBorders>
            <w:vAlign w:val="center"/>
          </w:tcPr>
          <w:p w14:paraId="086D8F54">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w:t>
            </w:r>
          </w:p>
        </w:tc>
        <w:tc>
          <w:tcPr>
            <w:tcW w:w="694" w:type="pct"/>
            <w:tcBorders>
              <w:tl2br w:val="nil"/>
              <w:tr2bl w:val="nil"/>
            </w:tcBorders>
            <w:vAlign w:val="center"/>
          </w:tcPr>
          <w:p w14:paraId="231CB1FC">
            <w:pPr>
              <w:autoSpaceDE/>
              <w:autoSpaceDN/>
              <w:spacing w:before="0" w:after="0" w:line="240" w:lineRule="auto"/>
              <w:ind w:left="0" w:firstLine="0"/>
              <w:jc w:val="center"/>
              <w:rPr>
                <w:rFonts w:hint="default" w:ascii="Times New Roman" w:hAnsi="Times New Roman" w:cs="Times New Roman"/>
                <w:color w:val="auto"/>
                <w:sz w:val="21"/>
                <w:szCs w:val="16"/>
              </w:rPr>
            </w:pPr>
            <w:r>
              <w:rPr>
                <w:rFonts w:hint="default" w:ascii="Times New Roman" w:hAnsi="Times New Roman" w:cs="Times New Roman"/>
                <w:color w:val="auto"/>
                <w:sz w:val="21"/>
                <w:szCs w:val="16"/>
                <w:lang w:val="en-US" w:eastAsia="zh-CN"/>
              </w:rPr>
              <w:t>6480</w:t>
            </w:r>
          </w:p>
        </w:tc>
        <w:tc>
          <w:tcPr>
            <w:tcW w:w="767" w:type="pct"/>
            <w:tcBorders>
              <w:tl2br w:val="nil"/>
              <w:tr2bl w:val="nil"/>
            </w:tcBorders>
            <w:vAlign w:val="center"/>
          </w:tcPr>
          <w:p w14:paraId="7063C143">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由例行监测数据计算</w:t>
            </w:r>
          </w:p>
        </w:tc>
      </w:tr>
      <w:tr w14:paraId="7C5C285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tcBorders>
              <w:tl2br w:val="nil"/>
              <w:tr2bl w:val="nil"/>
            </w:tcBorders>
            <w:vAlign w:val="center"/>
          </w:tcPr>
          <w:p w14:paraId="4B2CA008">
            <w:pPr>
              <w:pStyle w:val="52"/>
              <w:spacing w:before="0" w:after="0" w:line="240" w:lineRule="auto"/>
              <w:ind w:left="0" w:firstLine="0"/>
              <w:rPr>
                <w:rFonts w:hint="default" w:ascii="Times New Roman" w:hAnsi="Times New Roman" w:cs="Times New Roman"/>
                <w:b/>
                <w:color w:val="auto"/>
                <w:sz w:val="21"/>
                <w:szCs w:val="18"/>
              </w:rPr>
            </w:pPr>
            <w:r>
              <w:rPr>
                <w:rFonts w:hint="default" w:ascii="Times New Roman" w:hAnsi="Times New Roman" w:cs="Times New Roman"/>
                <w:b/>
                <w:color w:val="auto"/>
                <w:sz w:val="21"/>
                <w:szCs w:val="18"/>
              </w:rPr>
              <w:t>合计</w:t>
            </w:r>
          </w:p>
        </w:tc>
        <w:tc>
          <w:tcPr>
            <w:tcW w:w="582" w:type="pct"/>
            <w:tcBorders>
              <w:tl2br w:val="nil"/>
              <w:tr2bl w:val="nil"/>
            </w:tcBorders>
            <w:vAlign w:val="center"/>
          </w:tcPr>
          <w:p w14:paraId="14E8E626">
            <w:pPr>
              <w:pStyle w:val="52"/>
              <w:spacing w:before="0" w:after="0" w:line="240" w:lineRule="auto"/>
              <w:ind w:left="0" w:firstLine="0"/>
              <w:rPr>
                <w:rFonts w:hint="default" w:ascii="Times New Roman" w:hAnsi="Times New Roman" w:eastAsia="宋体" w:cs="Times New Roman"/>
                <w:b/>
                <w:color w:val="auto"/>
                <w:sz w:val="21"/>
                <w:szCs w:val="18"/>
                <w:lang w:val="en-US" w:eastAsia="zh-CN"/>
              </w:rPr>
            </w:pPr>
            <w:r>
              <w:rPr>
                <w:rFonts w:hint="default" w:ascii="Times New Roman" w:hAnsi="Times New Roman" w:cs="Times New Roman"/>
                <w:b/>
                <w:color w:val="auto"/>
                <w:sz w:val="21"/>
                <w:szCs w:val="18"/>
                <w:lang w:val="en-US" w:eastAsia="zh-CN"/>
              </w:rPr>
              <w:t>8.9572</w:t>
            </w:r>
          </w:p>
        </w:tc>
        <w:tc>
          <w:tcPr>
            <w:tcW w:w="582" w:type="pct"/>
            <w:tcBorders>
              <w:tl2br w:val="nil"/>
              <w:tr2bl w:val="nil"/>
            </w:tcBorders>
            <w:vAlign w:val="center"/>
          </w:tcPr>
          <w:p w14:paraId="7C42EB37">
            <w:pPr>
              <w:pStyle w:val="52"/>
              <w:spacing w:before="0" w:after="0" w:line="240" w:lineRule="auto"/>
              <w:ind w:left="0" w:firstLine="0"/>
              <w:rPr>
                <w:rFonts w:hint="default" w:ascii="Times New Roman" w:hAnsi="Times New Roman" w:eastAsia="宋体" w:cs="Times New Roman"/>
                <w:b/>
                <w:color w:val="auto"/>
                <w:sz w:val="21"/>
                <w:szCs w:val="18"/>
                <w:lang w:val="en-US" w:eastAsia="zh-CN"/>
              </w:rPr>
            </w:pPr>
            <w:r>
              <w:rPr>
                <w:rFonts w:hint="default" w:ascii="Times New Roman" w:hAnsi="Times New Roman" w:cs="Times New Roman"/>
                <w:b/>
                <w:color w:val="auto"/>
                <w:sz w:val="21"/>
                <w:szCs w:val="18"/>
                <w:lang w:val="en-US" w:eastAsia="zh-CN"/>
              </w:rPr>
              <w:t>6.4088</w:t>
            </w:r>
          </w:p>
        </w:tc>
        <w:tc>
          <w:tcPr>
            <w:tcW w:w="582" w:type="pct"/>
            <w:tcBorders>
              <w:tl2br w:val="nil"/>
              <w:tr2bl w:val="nil"/>
            </w:tcBorders>
            <w:vAlign w:val="center"/>
          </w:tcPr>
          <w:p w14:paraId="088ADF54">
            <w:pPr>
              <w:pStyle w:val="52"/>
              <w:spacing w:before="0" w:after="0" w:line="240" w:lineRule="auto"/>
              <w:ind w:left="0" w:firstLine="0"/>
              <w:rPr>
                <w:rFonts w:hint="default" w:ascii="Times New Roman" w:hAnsi="Times New Roman" w:eastAsia="宋体" w:cs="Times New Roman"/>
                <w:b/>
                <w:color w:val="auto"/>
                <w:sz w:val="21"/>
                <w:szCs w:val="18"/>
                <w:lang w:val="en-US" w:eastAsia="zh-CN"/>
              </w:rPr>
            </w:pPr>
            <w:r>
              <w:rPr>
                <w:rFonts w:hint="default" w:ascii="Times New Roman" w:hAnsi="Times New Roman" w:cs="Times New Roman"/>
                <w:b/>
                <w:color w:val="auto"/>
                <w:sz w:val="21"/>
                <w:szCs w:val="18"/>
                <w:lang w:val="en-US" w:eastAsia="zh-CN"/>
              </w:rPr>
              <w:t>294.088</w:t>
            </w:r>
          </w:p>
        </w:tc>
        <w:tc>
          <w:tcPr>
            <w:tcW w:w="582" w:type="pct"/>
            <w:tcBorders>
              <w:tl2br w:val="nil"/>
              <w:tr2bl w:val="nil"/>
            </w:tcBorders>
            <w:vAlign w:val="center"/>
          </w:tcPr>
          <w:p w14:paraId="47E23289">
            <w:pPr>
              <w:pStyle w:val="52"/>
              <w:spacing w:before="0" w:after="0" w:line="240" w:lineRule="auto"/>
              <w:ind w:left="0" w:firstLine="0"/>
              <w:rPr>
                <w:rFonts w:hint="default" w:ascii="Times New Roman" w:hAnsi="Times New Roman" w:eastAsia="宋体" w:cs="Times New Roman"/>
                <w:b/>
                <w:color w:val="auto"/>
                <w:sz w:val="21"/>
                <w:szCs w:val="18"/>
                <w:lang w:val="en-US" w:eastAsia="zh-CN"/>
              </w:rPr>
            </w:pPr>
            <w:r>
              <w:rPr>
                <w:rFonts w:hint="default" w:ascii="Times New Roman" w:hAnsi="Times New Roman" w:cs="Times New Roman"/>
                <w:b/>
                <w:color w:val="auto"/>
                <w:sz w:val="21"/>
                <w:szCs w:val="18"/>
                <w:lang w:val="en-US" w:eastAsia="zh-CN"/>
              </w:rPr>
              <w:t>0.6879</w:t>
            </w:r>
          </w:p>
        </w:tc>
        <w:tc>
          <w:tcPr>
            <w:tcW w:w="583" w:type="pct"/>
            <w:tcBorders>
              <w:tl2br w:val="nil"/>
              <w:tr2bl w:val="nil"/>
            </w:tcBorders>
            <w:vAlign w:val="center"/>
          </w:tcPr>
          <w:p w14:paraId="16FDEF24">
            <w:pPr>
              <w:pStyle w:val="52"/>
              <w:spacing w:before="0" w:after="0" w:line="240" w:lineRule="auto"/>
              <w:ind w:left="0" w:firstLine="0"/>
              <w:rPr>
                <w:rFonts w:hint="default" w:ascii="Times New Roman" w:hAnsi="Times New Roman" w:eastAsia="宋体" w:cs="Times New Roman"/>
                <w:b/>
                <w:color w:val="auto"/>
                <w:sz w:val="21"/>
                <w:szCs w:val="18"/>
                <w:lang w:val="en-US" w:eastAsia="zh-CN"/>
              </w:rPr>
            </w:pPr>
            <w:r>
              <w:rPr>
                <w:rFonts w:hint="default" w:ascii="Times New Roman" w:hAnsi="Times New Roman" w:cs="Times New Roman"/>
                <w:b/>
                <w:color w:val="auto"/>
                <w:sz w:val="21"/>
                <w:szCs w:val="18"/>
                <w:lang w:val="en-US" w:eastAsia="zh-CN"/>
              </w:rPr>
              <w:t>0.5018</w:t>
            </w:r>
          </w:p>
        </w:tc>
        <w:tc>
          <w:tcPr>
            <w:tcW w:w="694" w:type="pct"/>
            <w:tcBorders>
              <w:tl2br w:val="nil"/>
              <w:tr2bl w:val="nil"/>
            </w:tcBorders>
            <w:vAlign w:val="center"/>
          </w:tcPr>
          <w:p w14:paraId="53A81FAF">
            <w:pPr>
              <w:autoSpaceDE/>
              <w:autoSpaceDN/>
              <w:spacing w:before="0" w:after="0" w:line="240" w:lineRule="auto"/>
              <w:ind w:left="0" w:firstLine="0"/>
              <w:jc w:val="center"/>
              <w:rPr>
                <w:rFonts w:hint="default" w:ascii="Times New Roman" w:hAnsi="Times New Roman" w:cs="Times New Roman"/>
                <w:color w:val="auto"/>
                <w:sz w:val="21"/>
                <w:szCs w:val="16"/>
              </w:rPr>
            </w:pPr>
            <w:r>
              <w:rPr>
                <w:rFonts w:hint="default" w:ascii="Times New Roman" w:hAnsi="Times New Roman" w:cs="Times New Roman"/>
                <w:color w:val="auto"/>
                <w:sz w:val="21"/>
                <w:szCs w:val="16"/>
                <w:lang w:val="en-US" w:eastAsia="zh-CN"/>
              </w:rPr>
              <w:t>6480</w:t>
            </w:r>
          </w:p>
        </w:tc>
        <w:tc>
          <w:tcPr>
            <w:tcW w:w="767" w:type="pct"/>
            <w:tcBorders>
              <w:tl2br w:val="nil"/>
              <w:tr2bl w:val="nil"/>
            </w:tcBorders>
            <w:vAlign w:val="center"/>
          </w:tcPr>
          <w:p w14:paraId="2522CEC8">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w:t>
            </w:r>
          </w:p>
        </w:tc>
      </w:tr>
      <w:tr w14:paraId="702AAAE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25" w:type="pct"/>
            <w:tcBorders>
              <w:tl2br w:val="nil"/>
              <w:tr2bl w:val="nil"/>
            </w:tcBorders>
            <w:vAlign w:val="center"/>
          </w:tcPr>
          <w:p w14:paraId="3D78341A">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许可排放量</w:t>
            </w:r>
          </w:p>
        </w:tc>
        <w:tc>
          <w:tcPr>
            <w:tcW w:w="582" w:type="pct"/>
            <w:tcBorders>
              <w:tl2br w:val="nil"/>
              <w:tr2bl w:val="nil"/>
            </w:tcBorders>
            <w:vAlign w:val="center"/>
          </w:tcPr>
          <w:p w14:paraId="2600EB77">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88.33</w:t>
            </w:r>
          </w:p>
        </w:tc>
        <w:tc>
          <w:tcPr>
            <w:tcW w:w="582" w:type="pct"/>
            <w:tcBorders>
              <w:tl2br w:val="nil"/>
              <w:tr2bl w:val="nil"/>
            </w:tcBorders>
            <w:vAlign w:val="center"/>
          </w:tcPr>
          <w:p w14:paraId="224F23E8">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342.4</w:t>
            </w:r>
          </w:p>
        </w:tc>
        <w:tc>
          <w:tcPr>
            <w:tcW w:w="582" w:type="pct"/>
            <w:tcBorders>
              <w:tl2br w:val="nil"/>
              <w:tr2bl w:val="nil"/>
            </w:tcBorders>
            <w:vAlign w:val="center"/>
          </w:tcPr>
          <w:p w14:paraId="2F073E3A">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684.8</w:t>
            </w:r>
          </w:p>
        </w:tc>
        <w:tc>
          <w:tcPr>
            <w:tcW w:w="582" w:type="pct"/>
            <w:tcBorders>
              <w:tl2br w:val="nil"/>
              <w:tr2bl w:val="nil"/>
            </w:tcBorders>
            <w:vAlign w:val="center"/>
          </w:tcPr>
          <w:p w14:paraId="66DC0742">
            <w:pPr>
              <w:pStyle w:val="52"/>
              <w:spacing w:before="0" w:after="0" w:line="240" w:lineRule="auto"/>
              <w:ind w:left="0" w:firstLine="0"/>
              <w:rPr>
                <w:rFonts w:hint="default" w:ascii="Times New Roman" w:hAnsi="Times New Roman" w:cs="Times New Roman"/>
                <w:color w:val="auto"/>
                <w:sz w:val="21"/>
                <w:szCs w:val="18"/>
                <w:lang w:val="en-US" w:eastAsia="zh-CN"/>
              </w:rPr>
            </w:pPr>
            <w:r>
              <w:rPr>
                <w:rFonts w:hint="default" w:ascii="Times New Roman" w:hAnsi="Times New Roman" w:cs="Times New Roman"/>
                <w:color w:val="auto"/>
                <w:sz w:val="21"/>
                <w:szCs w:val="18"/>
                <w:lang w:val="en-US" w:eastAsia="zh-CN"/>
              </w:rPr>
              <w:t>/</w:t>
            </w:r>
          </w:p>
        </w:tc>
        <w:tc>
          <w:tcPr>
            <w:tcW w:w="583" w:type="pct"/>
            <w:tcBorders>
              <w:tl2br w:val="nil"/>
              <w:tr2bl w:val="nil"/>
            </w:tcBorders>
            <w:vAlign w:val="center"/>
          </w:tcPr>
          <w:p w14:paraId="439B3FE1">
            <w:pPr>
              <w:pStyle w:val="52"/>
              <w:spacing w:before="0" w:after="0" w:line="240" w:lineRule="auto"/>
              <w:ind w:left="0" w:firstLine="0"/>
              <w:rPr>
                <w:rFonts w:hint="default" w:ascii="Times New Roman" w:hAnsi="Times New Roman" w:cs="Times New Roman"/>
                <w:color w:val="auto"/>
                <w:sz w:val="21"/>
                <w:szCs w:val="18"/>
                <w:lang w:val="en-US" w:eastAsia="zh-CN"/>
              </w:rPr>
            </w:pPr>
            <w:r>
              <w:rPr>
                <w:rFonts w:hint="default" w:ascii="Times New Roman" w:hAnsi="Times New Roman" w:cs="Times New Roman"/>
                <w:color w:val="auto"/>
                <w:sz w:val="21"/>
                <w:szCs w:val="18"/>
                <w:lang w:val="en-US" w:eastAsia="zh-CN"/>
              </w:rPr>
              <w:t>/</w:t>
            </w:r>
          </w:p>
        </w:tc>
        <w:tc>
          <w:tcPr>
            <w:tcW w:w="694" w:type="pct"/>
            <w:tcBorders>
              <w:tl2br w:val="nil"/>
              <w:tr2bl w:val="nil"/>
            </w:tcBorders>
            <w:vAlign w:val="center"/>
          </w:tcPr>
          <w:p w14:paraId="55D20555">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w:t>
            </w:r>
          </w:p>
        </w:tc>
        <w:tc>
          <w:tcPr>
            <w:tcW w:w="767" w:type="pct"/>
            <w:tcBorders>
              <w:tl2br w:val="nil"/>
              <w:tr2bl w:val="nil"/>
            </w:tcBorders>
            <w:vAlign w:val="center"/>
          </w:tcPr>
          <w:p w14:paraId="11E5CC06">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w:t>
            </w:r>
          </w:p>
        </w:tc>
      </w:tr>
    </w:tbl>
    <w:p w14:paraId="39FD35B4">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rPr>
      </w:pPr>
      <w:r>
        <w:rPr>
          <w:rFonts w:hint="default" w:ascii="Times New Roman" w:hAnsi="Times New Roman" w:cs="Times New Roman"/>
        </w:rPr>
        <w:t>企业排污许可证中许可排放量为颗粒物</w:t>
      </w:r>
      <w:r>
        <w:rPr>
          <w:rFonts w:hint="default" w:ascii="Times New Roman" w:hAnsi="Times New Roman" w:cs="Times New Roman"/>
          <w:lang w:val="en-US" w:eastAsia="zh-CN"/>
        </w:rPr>
        <w:t>88.33</w:t>
      </w:r>
      <w:r>
        <w:rPr>
          <w:rFonts w:hint="default" w:ascii="Times New Roman" w:hAnsi="Times New Roman" w:cs="Times New Roman"/>
        </w:rPr>
        <w:t>t/a、SO</w:t>
      </w:r>
      <w:r>
        <w:rPr>
          <w:rFonts w:hint="default" w:ascii="Times New Roman" w:hAnsi="Times New Roman" w:cs="Times New Roman"/>
          <w:vertAlign w:val="subscript"/>
        </w:rPr>
        <w:t>2</w:t>
      </w:r>
      <w:r>
        <w:rPr>
          <w:rFonts w:hint="default" w:ascii="Times New Roman" w:hAnsi="Times New Roman" w:cs="Times New Roman"/>
          <w:lang w:val="en-US" w:eastAsia="zh-CN"/>
        </w:rPr>
        <w:t>342.4</w:t>
      </w:r>
      <w:r>
        <w:rPr>
          <w:rFonts w:hint="default" w:ascii="Times New Roman" w:hAnsi="Times New Roman" w:cs="Times New Roman"/>
        </w:rPr>
        <w:t>t/a、NOx</w:t>
      </w:r>
      <w:r>
        <w:rPr>
          <w:rFonts w:hint="default" w:ascii="Times New Roman" w:hAnsi="Times New Roman" w:cs="Times New Roman"/>
          <w:lang w:val="en-US" w:eastAsia="zh-CN"/>
        </w:rPr>
        <w:t>684.8</w:t>
      </w:r>
      <w:r>
        <w:rPr>
          <w:rFonts w:hint="default" w:ascii="Times New Roman" w:hAnsi="Times New Roman" w:cs="Times New Roman"/>
        </w:rPr>
        <w:t>t/a。实际排放量小于许可排放量，因此，</w:t>
      </w:r>
      <w:r>
        <w:rPr>
          <w:rFonts w:hint="default" w:ascii="Times New Roman" w:hAnsi="Times New Roman" w:cs="Times New Roman"/>
          <w:lang w:val="en-US" w:eastAsia="zh-CN"/>
        </w:rPr>
        <w:t>现有</w:t>
      </w:r>
      <w:r>
        <w:rPr>
          <w:rFonts w:hint="default" w:ascii="Times New Roman" w:hAnsi="Times New Roman" w:cs="Times New Roman"/>
        </w:rPr>
        <w:t>工程污染物排放满足污染物总量控制指标要求。</w:t>
      </w:r>
    </w:p>
    <w:p w14:paraId="00ECB474">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3.1.8排污许可及执行报告情况</w:t>
      </w:r>
    </w:p>
    <w:p w14:paraId="52FC9C48">
      <w:pPr>
        <w:pStyle w:val="6"/>
        <w:rPr>
          <w:rFonts w:hint="default" w:ascii="Times New Roman" w:hAnsi="Times New Roman" w:cs="Times New Roman"/>
        </w:rPr>
      </w:pPr>
      <w:bookmarkStart w:id="87" w:name="_Hlk151317124"/>
      <w:r>
        <w:rPr>
          <w:rFonts w:hint="default" w:ascii="Times New Roman" w:hAnsi="Times New Roman" w:cs="Times New Roman"/>
        </w:rPr>
        <w:t>新疆兴悦化工有限公司于2017年1</w:t>
      </w:r>
      <w:r>
        <w:rPr>
          <w:rFonts w:hint="default" w:ascii="Times New Roman" w:hAnsi="Times New Roman" w:cs="Times New Roman"/>
          <w:lang w:val="en-US" w:eastAsia="zh-CN"/>
        </w:rPr>
        <w:t>1</w:t>
      </w:r>
      <w:r>
        <w:rPr>
          <w:rFonts w:hint="default" w:ascii="Times New Roman" w:hAnsi="Times New Roman" w:cs="Times New Roman"/>
        </w:rPr>
        <w:t>月</w:t>
      </w:r>
      <w:r>
        <w:rPr>
          <w:rFonts w:hint="default" w:ascii="Times New Roman" w:hAnsi="Times New Roman" w:cs="Times New Roman"/>
          <w:lang w:val="en-US" w:eastAsia="zh-CN"/>
        </w:rPr>
        <w:t>30</w:t>
      </w:r>
      <w:r>
        <w:rPr>
          <w:rFonts w:hint="default" w:ascii="Times New Roman" w:hAnsi="Times New Roman" w:cs="Times New Roman"/>
        </w:rPr>
        <w:t>日申领排污许可证，于202</w:t>
      </w:r>
      <w:r>
        <w:rPr>
          <w:rFonts w:hint="default" w:ascii="Times New Roman" w:hAnsi="Times New Roman" w:cs="Times New Roman"/>
          <w:lang w:val="en-US" w:eastAsia="zh-CN"/>
        </w:rPr>
        <w:t>0</w:t>
      </w:r>
      <w:r>
        <w:rPr>
          <w:rFonts w:hint="default" w:ascii="Times New Roman" w:hAnsi="Times New Roman" w:cs="Times New Roman"/>
        </w:rPr>
        <w:t>年重新申请排污许可证，企业排污许可证编号为：91652900568850956L001P，有效期：自2020年11月30日至2025年11月29日止。</w:t>
      </w:r>
    </w:p>
    <w:p w14:paraId="1217C1E0">
      <w:pPr>
        <w:pStyle w:val="6"/>
        <w:rPr>
          <w:rFonts w:hint="default" w:ascii="Times New Roman" w:hAnsi="Times New Roman" w:cs="Times New Roman"/>
        </w:rPr>
      </w:pPr>
      <w:r>
        <w:rPr>
          <w:rFonts w:hint="default" w:ascii="Times New Roman" w:hAnsi="Times New Roman" w:cs="Times New Roman"/>
        </w:rPr>
        <w:t>企业按要求公开了排污许可证执行报告季报、年报，公开平台为全国排污许可证管理信息平台。年报主要内容包括：排污单位基本情况、污染防治设施运行情况、自行监测执行情况、环境管理台账执行情况、实际排放情况及合规判定分析、信息公开情况、排污单位内部环境管理体系建设与运行情况、其他排污许可证规定的内容执行情况、其他需要说明的问题、结论、附图附件等。季报主要内容包括：污染物实际排放浓度和排放量、合规判定分析、超标排放或污染防治设施异常情况说明等内容。</w:t>
      </w:r>
    </w:p>
    <w:p w14:paraId="2B11D9DF">
      <w:pPr>
        <w:pStyle w:val="6"/>
        <w:rPr>
          <w:rFonts w:hint="default" w:ascii="Times New Roman" w:hAnsi="Times New Roman" w:cs="Times New Roman"/>
        </w:rPr>
      </w:pPr>
      <w:r>
        <w:rPr>
          <w:rFonts w:hint="default" w:ascii="Times New Roman" w:hAnsi="Times New Roman" w:cs="Times New Roman"/>
        </w:rPr>
        <w:t>企业按要求设置了环境管理台账，台账包括基本信息、监测记录信息、其他环境管理信息、生产设施运行管理信息、污染治理设施运行管理信息等，台账采用电子台账+纸质台账的记录形式，保存期限不少于五年，满足《排污许可证申请与核发技术规范 水泥工业》（HJ847-2017）中相关要求。</w:t>
      </w:r>
      <w:bookmarkEnd w:id="87"/>
    </w:p>
    <w:p w14:paraId="5C725619">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88" w:name="_Hlk151317189"/>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3.1</w:t>
      </w:r>
      <w:r>
        <w:rPr>
          <w:rFonts w:hint="default" w:ascii="Times New Roman" w:hAnsi="Times New Roman" w:cs="Times New Roman"/>
          <w:b/>
          <w:bCs/>
        </w:rPr>
        <w:fldChar w:fldCharType="end"/>
      </w:r>
      <w:r>
        <w:rPr>
          <w:rFonts w:hint="default" w:ascii="Times New Roman" w:hAnsi="Times New Roman" w:cs="Times New Roman"/>
          <w:b/>
          <w:bCs/>
          <w:lang w:val="en-US" w:eastAsia="zh-CN"/>
        </w:rPr>
        <w:t>-</w:t>
      </w:r>
      <w:r>
        <w:rPr>
          <w:rFonts w:hint="default" w:ascii="Times New Roman" w:hAnsi="Times New Roman" w:cs="Times New Roman"/>
          <w:b/>
          <w:bCs/>
        </w:rPr>
        <w:fldChar w:fldCharType="begin"/>
      </w:r>
      <w:r>
        <w:rPr>
          <w:rFonts w:hint="default" w:ascii="Times New Roman" w:hAnsi="Times New Roman" w:cs="Times New Roman"/>
          <w:b/>
          <w:bCs/>
        </w:rPr>
        <w:instrText xml:space="preserve"> SEQ 表 \* ARABIC \s 2 </w:instrText>
      </w:r>
      <w:r>
        <w:rPr>
          <w:rFonts w:hint="default" w:ascii="Times New Roman" w:hAnsi="Times New Roman" w:cs="Times New Roman"/>
          <w:b/>
          <w:bCs/>
        </w:rPr>
        <w:fldChar w:fldCharType="separate"/>
      </w:r>
      <w:r>
        <w:rPr>
          <w:rFonts w:hint="default" w:ascii="Times New Roman" w:hAnsi="Times New Roman" w:cs="Times New Roman"/>
          <w:b/>
          <w:bCs/>
        </w:rPr>
        <w:t>1</w:t>
      </w:r>
      <w:r>
        <w:rPr>
          <w:rFonts w:hint="eastAsia" w:cs="Times New Roman"/>
          <w:b/>
          <w:bCs/>
          <w:lang w:val="en-US" w:eastAsia="zh-CN"/>
        </w:rPr>
        <w:t>6</w:t>
      </w:r>
      <w:r>
        <w:rPr>
          <w:rFonts w:hint="default" w:ascii="Times New Roman" w:hAnsi="Times New Roman" w:cs="Times New Roman"/>
          <w:b/>
          <w:bCs/>
        </w:rPr>
        <w:fldChar w:fldCharType="end"/>
      </w:r>
      <w:r>
        <w:rPr>
          <w:rFonts w:hint="default" w:ascii="Times New Roman" w:hAnsi="Times New Roman" w:cs="Times New Roman"/>
          <w:b/>
          <w:bCs/>
        </w:rPr>
        <w:t xml:space="preserve"> 排污许可执行情况一览表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4028"/>
        <w:gridCol w:w="3866"/>
      </w:tblGrid>
      <w:tr w14:paraId="5CA0AB3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365" w:type="pct"/>
            <w:tcBorders>
              <w:tl2br w:val="nil"/>
              <w:tr2bl w:val="nil"/>
            </w:tcBorders>
            <w:vAlign w:val="center"/>
          </w:tcPr>
          <w:p w14:paraId="1D6EA51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序号</w:t>
            </w:r>
          </w:p>
        </w:tc>
        <w:tc>
          <w:tcPr>
            <w:tcW w:w="2365" w:type="pct"/>
            <w:tcBorders>
              <w:tl2br w:val="nil"/>
              <w:tr2bl w:val="nil"/>
            </w:tcBorders>
            <w:vAlign w:val="center"/>
          </w:tcPr>
          <w:p w14:paraId="7C973FC5">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要求</w:t>
            </w:r>
          </w:p>
        </w:tc>
        <w:tc>
          <w:tcPr>
            <w:tcW w:w="2270" w:type="pct"/>
            <w:tcBorders>
              <w:tl2br w:val="nil"/>
              <w:tr2bl w:val="nil"/>
            </w:tcBorders>
            <w:vAlign w:val="center"/>
          </w:tcPr>
          <w:p w14:paraId="41231B3B">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落实情况</w:t>
            </w:r>
          </w:p>
        </w:tc>
      </w:tr>
      <w:tr w14:paraId="6DEDB56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7976802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w:t>
            </w:r>
          </w:p>
        </w:tc>
        <w:tc>
          <w:tcPr>
            <w:tcW w:w="2365" w:type="pct"/>
            <w:tcBorders>
              <w:tl2br w:val="nil"/>
              <w:tr2bl w:val="nil"/>
            </w:tcBorders>
            <w:vAlign w:val="center"/>
          </w:tcPr>
          <w:p w14:paraId="6298EA3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各有组织废气排放污染物排放浓度符合《水泥工业大气污染物排放标准（GB 4915-2013）》要求</w:t>
            </w:r>
          </w:p>
        </w:tc>
        <w:tc>
          <w:tcPr>
            <w:tcW w:w="2270" w:type="pct"/>
            <w:tcBorders>
              <w:tl2br w:val="nil"/>
              <w:tr2bl w:val="nil"/>
            </w:tcBorders>
            <w:vAlign w:val="center"/>
          </w:tcPr>
          <w:p w14:paraId="7164A4E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根据例行监测及在线监测结果，污染物排放浓度</w:t>
            </w:r>
            <w:r>
              <w:rPr>
                <w:rFonts w:hint="default" w:ascii="Times New Roman" w:hAnsi="Times New Roman" w:cs="Times New Roman"/>
                <w:color w:val="000000" w:themeColor="text1"/>
                <w:sz w:val="21"/>
                <w:szCs w:val="18"/>
                <w14:textFill>
                  <w14:solidFill>
                    <w14:schemeClr w14:val="tx1"/>
                  </w14:solidFill>
                </w14:textFill>
              </w:rPr>
              <w:t>符合《水泥工业大气污染物排放标准》（GB4915-2013）（含2025年修改单）限值要求</w:t>
            </w:r>
          </w:p>
        </w:tc>
      </w:tr>
      <w:tr w14:paraId="33FB011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7725882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w:t>
            </w:r>
          </w:p>
        </w:tc>
        <w:tc>
          <w:tcPr>
            <w:tcW w:w="2365" w:type="pct"/>
            <w:tcBorders>
              <w:tl2br w:val="nil"/>
              <w:tr2bl w:val="nil"/>
            </w:tcBorders>
            <w:vAlign w:val="center"/>
          </w:tcPr>
          <w:p w14:paraId="4FD1B04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熟料封闭储存，或者设置不低于堆放物高度的严密围挡存储，并采取有效覆盖等措施防治扬尘污染</w:t>
            </w:r>
          </w:p>
        </w:tc>
        <w:tc>
          <w:tcPr>
            <w:tcW w:w="2270" w:type="pct"/>
            <w:tcBorders>
              <w:tl2br w:val="nil"/>
              <w:tr2bl w:val="nil"/>
            </w:tcBorders>
            <w:vAlign w:val="center"/>
          </w:tcPr>
          <w:p w14:paraId="28B793F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熟料全部密封储存，进下料口、出下料口全部配置收尘器，熟料严禁外堆，减少扬尘</w:t>
            </w:r>
          </w:p>
        </w:tc>
      </w:tr>
      <w:tr w14:paraId="4718660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05BF879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w:t>
            </w:r>
          </w:p>
        </w:tc>
        <w:tc>
          <w:tcPr>
            <w:tcW w:w="2365" w:type="pct"/>
            <w:tcBorders>
              <w:tl2br w:val="nil"/>
              <w:tr2bl w:val="nil"/>
            </w:tcBorders>
            <w:vAlign w:val="center"/>
          </w:tcPr>
          <w:p w14:paraId="356AB01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原煤采用封闭储库，或设置不低于堆放物高度的严密围挡并配套洒水抑尘装置</w:t>
            </w:r>
          </w:p>
        </w:tc>
        <w:tc>
          <w:tcPr>
            <w:tcW w:w="2270" w:type="pct"/>
            <w:tcBorders>
              <w:tl2br w:val="nil"/>
              <w:tr2bl w:val="nil"/>
            </w:tcBorders>
            <w:vAlign w:val="center"/>
          </w:tcPr>
          <w:p w14:paraId="1FF2CF2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原煤全部密封储存，物料不外堆，进原煤车辆全部进行覆盖同时定期对道路进行洒水，减少扬尘</w:t>
            </w:r>
          </w:p>
        </w:tc>
      </w:tr>
      <w:tr w14:paraId="747B707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6105688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w:t>
            </w:r>
          </w:p>
        </w:tc>
        <w:tc>
          <w:tcPr>
            <w:tcW w:w="2365" w:type="pct"/>
            <w:tcBorders>
              <w:tl2br w:val="nil"/>
              <w:tr2bl w:val="nil"/>
            </w:tcBorders>
            <w:vAlign w:val="center"/>
          </w:tcPr>
          <w:p w14:paraId="102A71AD">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脱硝氨水用全封闭罐车运输、配氨气回收或吸收回用装置、氨罐区设氨气泄漏检测设施</w:t>
            </w:r>
          </w:p>
        </w:tc>
        <w:tc>
          <w:tcPr>
            <w:tcW w:w="2270" w:type="pct"/>
            <w:tcBorders>
              <w:tl2br w:val="nil"/>
              <w:tr2bl w:val="nil"/>
            </w:tcBorders>
            <w:vAlign w:val="center"/>
          </w:tcPr>
          <w:p w14:paraId="065CB252">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氨水进厂使用全封闭罐车运输，氨水罐区域设氨气泄漏检测设施</w:t>
            </w:r>
          </w:p>
        </w:tc>
      </w:tr>
      <w:tr w14:paraId="2BF678F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1127F4F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w:t>
            </w:r>
          </w:p>
        </w:tc>
        <w:tc>
          <w:tcPr>
            <w:tcW w:w="2365" w:type="pct"/>
            <w:tcBorders>
              <w:tl2br w:val="nil"/>
              <w:tr2bl w:val="nil"/>
            </w:tcBorders>
            <w:vAlign w:val="center"/>
          </w:tcPr>
          <w:p w14:paraId="3F105D3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1.运输皮带、斗提等应封闭，各转载、下料口等产尘点应设置集尘罩并配置袋式除尘器，库顶等泄压口应配备袋式除尘器；2.熟料散装车辆应采用封闭或覆盖等抑尘措施</w:t>
            </w:r>
          </w:p>
        </w:tc>
        <w:tc>
          <w:tcPr>
            <w:tcW w:w="2270" w:type="pct"/>
            <w:tcBorders>
              <w:tl2br w:val="nil"/>
              <w:tr2bl w:val="nil"/>
            </w:tcBorders>
            <w:vAlign w:val="center"/>
          </w:tcPr>
          <w:p w14:paraId="5AF4D2A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运输皮带全部密封，各转运站、下料口安装收尘器、熟料发运出厂要求全部进行覆盖出厂</w:t>
            </w:r>
          </w:p>
        </w:tc>
      </w:tr>
      <w:tr w14:paraId="16CCF7C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6F6AFACE">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6</w:t>
            </w:r>
          </w:p>
        </w:tc>
        <w:tc>
          <w:tcPr>
            <w:tcW w:w="2365" w:type="pct"/>
            <w:tcBorders>
              <w:tl2br w:val="nil"/>
              <w:tr2bl w:val="nil"/>
            </w:tcBorders>
            <w:vAlign w:val="center"/>
          </w:tcPr>
          <w:p w14:paraId="26AF4903">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运输皮带、斗提、斜槽等应封闭，对块石、粘湿物料、浆料等装卸过程也可采取其他有抑尘措施的运输方式，各转载、下料口等产尘点应设置集气罩并配备袋式除尘器</w:t>
            </w:r>
          </w:p>
        </w:tc>
        <w:tc>
          <w:tcPr>
            <w:tcW w:w="2270" w:type="pct"/>
            <w:tcBorders>
              <w:tl2br w:val="nil"/>
              <w:tr2bl w:val="nil"/>
            </w:tcBorders>
            <w:vAlign w:val="center"/>
          </w:tcPr>
          <w:p w14:paraId="2C2C3BC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运输皮带、斗提、斜槽等全封闭，各转载、下料口等产尘点配置收尘器，进厂车辆全部进行覆盖同时定期对道路进行洒水</w:t>
            </w:r>
          </w:p>
        </w:tc>
      </w:tr>
      <w:tr w14:paraId="497AD7F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67AF419B">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7</w:t>
            </w:r>
          </w:p>
        </w:tc>
        <w:tc>
          <w:tcPr>
            <w:tcW w:w="2365" w:type="pct"/>
            <w:tcBorders>
              <w:tl2br w:val="nil"/>
              <w:tr2bl w:val="nil"/>
            </w:tcBorders>
            <w:vAlign w:val="center"/>
          </w:tcPr>
          <w:p w14:paraId="3184E1B0">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1.煤粉采用密闭储仓；2.运输皮带、绞刀、斜槽等应封闭，各转载、破碎、下料口等产尘点应设置集尘罩并配备袋式除尘器</w:t>
            </w:r>
          </w:p>
        </w:tc>
        <w:tc>
          <w:tcPr>
            <w:tcW w:w="2270" w:type="pct"/>
            <w:tcBorders>
              <w:tl2br w:val="nil"/>
              <w:tr2bl w:val="nil"/>
            </w:tcBorders>
            <w:vAlign w:val="center"/>
          </w:tcPr>
          <w:p w14:paraId="36A82D7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煤粉采用密封储存，运输皮带、绞刀等全部密封，减少扬尘</w:t>
            </w:r>
          </w:p>
        </w:tc>
      </w:tr>
      <w:tr w14:paraId="00A1A28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583D54DE">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8</w:t>
            </w:r>
          </w:p>
        </w:tc>
        <w:tc>
          <w:tcPr>
            <w:tcW w:w="2365" w:type="pct"/>
            <w:tcBorders>
              <w:tl2br w:val="nil"/>
              <w:tr2bl w:val="nil"/>
            </w:tcBorders>
            <w:vAlign w:val="center"/>
          </w:tcPr>
          <w:p w14:paraId="449476FA">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粉状物料密闭储存，其他块石、粘湿物料、浆料等辅材设置不低于堆放物高度的严密围挡，并采取有效覆盖等措施防治扬尘污染</w:t>
            </w:r>
          </w:p>
        </w:tc>
        <w:tc>
          <w:tcPr>
            <w:tcW w:w="2270" w:type="pct"/>
            <w:tcBorders>
              <w:tl2br w:val="nil"/>
              <w:tr2bl w:val="nil"/>
            </w:tcBorders>
            <w:vAlign w:val="center"/>
          </w:tcPr>
          <w:p w14:paraId="77311D4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物料全部进入堆棚，进厂车辆全部进行覆盖同时定期对道路进行洒水</w:t>
            </w:r>
          </w:p>
        </w:tc>
      </w:tr>
      <w:tr w14:paraId="230C324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5D6AC7F0">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9</w:t>
            </w:r>
          </w:p>
        </w:tc>
        <w:tc>
          <w:tcPr>
            <w:tcW w:w="2365" w:type="pct"/>
            <w:tcBorders>
              <w:tl2br w:val="nil"/>
              <w:tr2bl w:val="nil"/>
            </w:tcBorders>
            <w:vAlign w:val="center"/>
          </w:tcPr>
          <w:p w14:paraId="5EA117AE">
            <w:pPr>
              <w:pStyle w:val="52"/>
              <w:spacing w:before="0" w:after="0" w:line="240" w:lineRule="auto"/>
              <w:ind w:left="0" w:firstLine="0"/>
              <w:rPr>
                <w:rFonts w:hint="default" w:ascii="Times New Roman" w:hAnsi="Times New Roman" w:cs="Times New Roman"/>
                <w:bCs/>
                <w:color w:val="auto"/>
                <w:sz w:val="21"/>
                <w:szCs w:val="18"/>
              </w:rPr>
            </w:pPr>
            <w:r>
              <w:rPr>
                <w:rFonts w:hint="default" w:ascii="Times New Roman" w:hAnsi="Times New Roman" w:cs="Times New Roman"/>
                <w:bCs/>
                <w:color w:val="auto"/>
                <w:sz w:val="21"/>
                <w:szCs w:val="18"/>
              </w:rPr>
              <w:t>1.粉状物料全部密闭储存，其他块石、粘湿物料、浆料等辅材设置不低于堆放物高度的严密围挡，并采取有效覆盖等措施防治扬尘污染；2.封闭式皮带、斗提、斜槽运输，对块石、粘湿物料、浆料等装卸过程也可采取其他有抑尘措施的运输方式，各转载、下料口等产尘点应设置集尘罩并配备袋式除尘器，库顶等泄压口配备袋式除尘器；3.粉煤灰采用密闭罐车运输</w:t>
            </w:r>
          </w:p>
        </w:tc>
        <w:tc>
          <w:tcPr>
            <w:tcW w:w="2270" w:type="pct"/>
            <w:tcBorders>
              <w:tl2br w:val="nil"/>
              <w:tr2bl w:val="nil"/>
            </w:tcBorders>
            <w:vAlign w:val="center"/>
          </w:tcPr>
          <w:p w14:paraId="09F1CACE">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1.厂区内原辅材料以及各类物料均为密封储存，露天物料采用围挡及防尘网全面覆盖；2.物料转运点、下料点等扬尘点设置集尘罩并配备袋式除尘器，库顶等泄压口配备袋式除尘器，含尘气体处理后达标排放；3.对熟料卸车过程中设置水雾除尘，原材料运输过程中采取苫盖作业，减少扬尘；每天利用洒水车对厂区进行大面积洒水降尘作业，每日6 次；4.粉煤灰采用密闭罐车运输</w:t>
            </w:r>
          </w:p>
        </w:tc>
      </w:tr>
      <w:tr w14:paraId="2434B72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0B17B9CB">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10</w:t>
            </w:r>
          </w:p>
        </w:tc>
        <w:tc>
          <w:tcPr>
            <w:tcW w:w="2365" w:type="pct"/>
            <w:tcBorders>
              <w:tl2br w:val="nil"/>
              <w:tr2bl w:val="nil"/>
            </w:tcBorders>
            <w:vAlign w:val="center"/>
          </w:tcPr>
          <w:p w14:paraId="1C21F069">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1.包装车间全封闭；2.袋装水泥装车点位采用集中通风除尘系统</w:t>
            </w:r>
          </w:p>
        </w:tc>
        <w:tc>
          <w:tcPr>
            <w:tcW w:w="2270" w:type="pct"/>
            <w:tcBorders>
              <w:tl2br w:val="nil"/>
              <w:tr2bl w:val="nil"/>
            </w:tcBorders>
            <w:vAlign w:val="center"/>
          </w:tcPr>
          <w:p w14:paraId="77C051B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1.包装车间全封闭；2.袋装水泥装车前点位采用集中除尘系统</w:t>
            </w:r>
          </w:p>
        </w:tc>
      </w:tr>
      <w:tr w14:paraId="20F0ED9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043744EF">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11</w:t>
            </w:r>
          </w:p>
        </w:tc>
        <w:tc>
          <w:tcPr>
            <w:tcW w:w="2365" w:type="pct"/>
            <w:tcBorders>
              <w:tl2br w:val="nil"/>
              <w:tr2bl w:val="nil"/>
            </w:tcBorders>
            <w:vAlign w:val="center"/>
          </w:tcPr>
          <w:p w14:paraId="1B6E9199">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水泥散装采用密闭罐车，散装应采用带抽风口的散装卸料装置，物料装车与除尘同步进行，抽取的气体除尘后排放</w:t>
            </w:r>
          </w:p>
        </w:tc>
        <w:tc>
          <w:tcPr>
            <w:tcW w:w="2270" w:type="pct"/>
            <w:tcBorders>
              <w:tl2br w:val="nil"/>
              <w:tr2bl w:val="nil"/>
            </w:tcBorders>
            <w:vAlign w:val="center"/>
          </w:tcPr>
          <w:p w14:paraId="313441C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1.水泥散装采取封闭罐车运输，散装装车设施配置高效脉冲袋式除尘器并带有排气筒；2.物料装车与除尘同步进行，抽取的气体除尘后排放</w:t>
            </w:r>
          </w:p>
        </w:tc>
      </w:tr>
      <w:tr w14:paraId="728931A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65" w:type="pct"/>
            <w:tcBorders>
              <w:tl2br w:val="nil"/>
              <w:tr2bl w:val="nil"/>
            </w:tcBorders>
            <w:vAlign w:val="center"/>
          </w:tcPr>
          <w:p w14:paraId="19D59F82">
            <w:pPr>
              <w:pStyle w:val="52"/>
              <w:spacing w:before="0" w:after="0" w:line="240" w:lineRule="auto"/>
              <w:ind w:left="0" w:firstLine="0"/>
              <w:rPr>
                <w:rFonts w:hint="default" w:ascii="Times New Roman" w:hAnsi="Times New Roman" w:cs="Times New Roman"/>
                <w:bCs/>
                <w:color w:val="000000" w:themeColor="text1"/>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12</w:t>
            </w:r>
          </w:p>
        </w:tc>
        <w:tc>
          <w:tcPr>
            <w:tcW w:w="2365" w:type="pct"/>
            <w:tcBorders>
              <w:tl2br w:val="nil"/>
              <w:tr2bl w:val="nil"/>
            </w:tcBorders>
            <w:vAlign w:val="center"/>
          </w:tcPr>
          <w:p w14:paraId="200FCC64">
            <w:pPr>
              <w:pStyle w:val="52"/>
              <w:spacing w:before="0" w:after="0" w:line="240" w:lineRule="auto"/>
              <w:ind w:left="0" w:firstLine="0"/>
              <w:rPr>
                <w:rFonts w:hint="default" w:ascii="Times New Roman" w:hAnsi="Times New Roman" w:cs="Times New Roman"/>
                <w:bCs/>
                <w:color w:val="auto"/>
                <w:sz w:val="21"/>
                <w:szCs w:val="18"/>
              </w:rPr>
            </w:pPr>
            <w:r>
              <w:rPr>
                <w:rFonts w:hint="default" w:ascii="Times New Roman" w:hAnsi="Times New Roman" w:cs="Times New Roman"/>
                <w:bCs/>
                <w:color w:val="auto"/>
                <w:sz w:val="21"/>
                <w:szCs w:val="18"/>
              </w:rPr>
              <w:t>废水达到《污水综合排放标准》（GB 8978-1996）标准，送园区污水处理厂集中处置</w:t>
            </w:r>
          </w:p>
        </w:tc>
        <w:tc>
          <w:tcPr>
            <w:tcW w:w="2270" w:type="pct"/>
            <w:tcBorders>
              <w:tl2br w:val="nil"/>
              <w:tr2bl w:val="nil"/>
            </w:tcBorders>
            <w:vAlign w:val="center"/>
          </w:tcPr>
          <w:p w14:paraId="076A5A29">
            <w:pPr>
              <w:pStyle w:val="52"/>
              <w:spacing w:before="0" w:after="0" w:line="240" w:lineRule="auto"/>
              <w:ind w:left="0" w:firstLine="0"/>
              <w:rPr>
                <w:rFonts w:hint="default" w:ascii="Times New Roman" w:hAnsi="Times New Roman" w:eastAsia="宋体" w:cs="Times New Roman"/>
                <w:color w:val="auto"/>
                <w:sz w:val="21"/>
                <w:szCs w:val="18"/>
                <w:lang w:eastAsia="zh-CN"/>
              </w:rPr>
            </w:pPr>
            <w:r>
              <w:rPr>
                <w:rFonts w:hint="default" w:ascii="Times New Roman" w:hAnsi="Times New Roman" w:cs="Times New Roman"/>
                <w:color w:val="auto"/>
                <w:sz w:val="21"/>
                <w:szCs w:val="18"/>
              </w:rPr>
              <w:t>生产废水不排放，</w:t>
            </w:r>
            <w:r>
              <w:rPr>
                <w:rFonts w:hint="default" w:ascii="Times New Roman" w:hAnsi="Times New Roman" w:cs="Times New Roman"/>
                <w:color w:val="000000"/>
                <w:sz w:val="21"/>
                <w:szCs w:val="22"/>
              </w:rPr>
              <w:t>生活污水经地埋式生物接触氧化污水处理设施处理后，用于绿化灌溉</w:t>
            </w:r>
          </w:p>
        </w:tc>
      </w:tr>
      <w:bookmarkEnd w:id="88"/>
    </w:tbl>
    <w:p w14:paraId="3952BCA8">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3.1.9自行监测情况</w:t>
      </w:r>
    </w:p>
    <w:p w14:paraId="45D4965A">
      <w:pPr>
        <w:pStyle w:val="6"/>
        <w:keepNext w:val="0"/>
        <w:keepLines w:val="0"/>
        <w:pageBreakBefore w:val="0"/>
        <w:widowControl w:val="0"/>
        <w:kinsoku/>
        <w:wordWrap w:val="0"/>
        <w:overflowPunct/>
        <w:topLinePunct w:val="0"/>
        <w:autoSpaceDE/>
        <w:autoSpaceDN/>
        <w:bidi w:val="0"/>
        <w:adjustRightInd w:val="0"/>
        <w:snapToGrid w:val="0"/>
        <w:jc w:val="left"/>
        <w:textAlignment w:val="auto"/>
        <w:rPr>
          <w:rFonts w:hint="default" w:ascii="Times New Roman" w:hAnsi="Times New Roman" w:cs="Times New Roman"/>
        </w:rPr>
      </w:pPr>
      <w:r>
        <w:rPr>
          <w:rFonts w:hint="default" w:ascii="Times New Roman" w:hAnsi="Times New Roman" w:cs="Times New Roman"/>
        </w:rPr>
        <w:t>企业制定了《新疆兴悦化工有限公司自行监测方案》，按要求建立了监测档案信息管理制度，保存原始监测记录和监测数据报告，纸质版和电子版信息全部保存五年以上，监测期间生产记录以及企业委托手工监测或第三方运维自动监测设备的委托合同、承担委托任务单位的资质和单位基本情况等资料。企业自行监测信息公开网址是：https://permit.mee.gov.cn/perxxgkinfo/syssb/xkgg/xkgg!licenseInformation.action</w:t>
      </w:r>
      <w:r>
        <w:rPr>
          <w:rFonts w:hint="default" w:ascii="Times New Roman" w:hAnsi="Times New Roman" w:cs="Times New Roman"/>
          <w:color w:val="0000FF"/>
        </w:rPr>
        <w:t>。</w:t>
      </w:r>
    </w:p>
    <w:p w14:paraId="00D2B2B6">
      <w:pPr>
        <w:pStyle w:val="6"/>
        <w:rPr>
          <w:rFonts w:hint="default" w:ascii="Times New Roman" w:hAnsi="Times New Roman" w:cs="Times New Roman"/>
        </w:rPr>
      </w:pPr>
      <w:r>
        <w:rPr>
          <w:rFonts w:hint="default" w:ascii="Times New Roman" w:hAnsi="Times New Roman" w:cs="Times New Roman"/>
        </w:rPr>
        <w:t>现有工程环评工作开展于20</w:t>
      </w:r>
      <w:r>
        <w:rPr>
          <w:rFonts w:hint="default" w:ascii="Times New Roman" w:hAnsi="Times New Roman" w:cs="Times New Roman"/>
          <w:lang w:val="en-US" w:eastAsia="zh-CN"/>
        </w:rPr>
        <w:t>13</w:t>
      </w:r>
      <w:r>
        <w:rPr>
          <w:rFonts w:hint="default" w:ascii="Times New Roman" w:hAnsi="Times New Roman" w:cs="Times New Roman"/>
        </w:rPr>
        <w:t>年，其环境影响评价文件及批复没有要求开展周边环境质量影响监测，因此企业没有制定周边环境质量影响监测计划。</w:t>
      </w:r>
    </w:p>
    <w:p w14:paraId="757B8937">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3.1.10现有工程存在的环境问题及拟采取的整改方案</w:t>
      </w:r>
    </w:p>
    <w:p w14:paraId="33147F9F">
      <w:pPr>
        <w:pStyle w:val="6"/>
        <w:rPr>
          <w:rFonts w:hint="default" w:ascii="Times New Roman" w:hAnsi="Times New Roman" w:cs="Times New Roman"/>
        </w:rPr>
      </w:pPr>
      <w:r>
        <w:rPr>
          <w:rFonts w:hint="default" w:ascii="Times New Roman" w:hAnsi="Times New Roman" w:cs="Times New Roman"/>
        </w:rPr>
        <w:t>（1）排放标准执行情况</w:t>
      </w:r>
    </w:p>
    <w:p w14:paraId="1A749D55">
      <w:pPr>
        <w:pStyle w:val="6"/>
        <w:rPr>
          <w:rFonts w:hint="default" w:ascii="Times New Roman" w:hAnsi="Times New Roman" w:cs="Times New Roman"/>
        </w:rPr>
      </w:pPr>
      <w:r>
        <w:rPr>
          <w:rFonts w:hint="default" w:ascii="Times New Roman" w:hAnsi="Times New Roman" w:cs="Times New Roman"/>
        </w:rPr>
        <w:t>根据现场踏勘以及建设单位提供的监测数据，现有水泥厂废气、废水、噪声可达标排放，固体废物全部综合利用或妥善处置。生产经营活动符合国家产业政策及环保要求，大气、噪声等污染物均达标排放，符合《水泥工业大气污染物排放标准》（GB4915-2013）（含2025年修改单）以及《工业企业厂界环境噪声排放标准》（GB12348-2008）内容规定。</w:t>
      </w:r>
    </w:p>
    <w:p w14:paraId="6E860AFA">
      <w:pPr>
        <w:pStyle w:val="6"/>
        <w:rPr>
          <w:rFonts w:hint="default" w:ascii="Times New Roman" w:hAnsi="Times New Roman" w:cs="Times New Roman"/>
        </w:rPr>
      </w:pPr>
      <w:r>
        <w:rPr>
          <w:rFonts w:hint="default" w:ascii="Times New Roman" w:hAnsi="Times New Roman" w:cs="Times New Roman"/>
        </w:rPr>
        <w:t>（2）排污许可执行情况</w:t>
      </w:r>
    </w:p>
    <w:p w14:paraId="682649B9">
      <w:pPr>
        <w:pStyle w:val="6"/>
        <w:rPr>
          <w:rFonts w:hint="default" w:ascii="Times New Roman" w:hAnsi="Times New Roman" w:cs="Times New Roman"/>
        </w:rPr>
      </w:pPr>
      <w:r>
        <w:rPr>
          <w:rFonts w:hint="default" w:ascii="Times New Roman" w:hAnsi="Times New Roman" w:cs="Times New Roman"/>
          <w:lang w:val="en-US" w:eastAsia="zh-CN"/>
        </w:rPr>
        <w:t>现有</w:t>
      </w:r>
      <w:r>
        <w:rPr>
          <w:rFonts w:hint="default" w:ascii="Times New Roman" w:hAnsi="Times New Roman" w:cs="Times New Roman"/>
        </w:rPr>
        <w:t>工程</w:t>
      </w:r>
      <w:r>
        <w:rPr>
          <w:rFonts w:hint="default" w:ascii="Times New Roman" w:hAnsi="Times New Roman" w:cs="Times New Roman"/>
          <w:color w:val="auto"/>
        </w:rPr>
        <w:t>于2017年取得排污许可证，2018~202</w:t>
      </w:r>
      <w:r>
        <w:rPr>
          <w:rFonts w:hint="default" w:ascii="Times New Roman" w:hAnsi="Times New Roman" w:cs="Times New Roman"/>
          <w:color w:val="auto"/>
          <w:lang w:val="en-US" w:eastAsia="zh-CN"/>
        </w:rPr>
        <w:t>5</w:t>
      </w:r>
      <w:r>
        <w:rPr>
          <w:rFonts w:hint="default" w:ascii="Times New Roman" w:hAnsi="Times New Roman" w:cs="Times New Roman"/>
          <w:color w:val="auto"/>
        </w:rPr>
        <w:t>年实际运</w:t>
      </w:r>
      <w:r>
        <w:rPr>
          <w:rFonts w:hint="default" w:ascii="Times New Roman" w:hAnsi="Times New Roman" w:cs="Times New Roman"/>
        </w:rPr>
        <w:t>行时间、污染物排放量均符合排污许可证要求，各除尘器外排废气污染物均符合《水泥工业大气污染物排放标准》（GB4915-2013）（含2025年修改单）</w:t>
      </w:r>
      <w:r>
        <w:rPr>
          <w:rFonts w:hint="eastAsia" w:cs="Times New Roman"/>
          <w:lang w:val="en-US" w:eastAsia="zh-CN"/>
        </w:rPr>
        <w:t>中相关</w:t>
      </w:r>
      <w:r>
        <w:rPr>
          <w:rFonts w:hint="default" w:ascii="Times New Roman" w:hAnsi="Times New Roman" w:cs="Times New Roman"/>
        </w:rPr>
        <w:t>限值要求。排污许可证执行情况符合管理要求。</w:t>
      </w:r>
    </w:p>
    <w:p w14:paraId="6CBD3CF0">
      <w:pPr>
        <w:pStyle w:val="6"/>
        <w:rPr>
          <w:rFonts w:hint="default" w:ascii="Times New Roman" w:hAnsi="Times New Roman" w:cs="Times New Roman"/>
        </w:rPr>
      </w:pPr>
      <w:r>
        <w:rPr>
          <w:rFonts w:hint="default" w:ascii="Times New Roman" w:hAnsi="Times New Roman" w:cs="Times New Roman"/>
        </w:rPr>
        <w:t>（3）《新疆维吾尔自治区工业炉窑大气污染综合治理方案》执行情况</w:t>
      </w:r>
    </w:p>
    <w:p w14:paraId="1EA611A4">
      <w:pPr>
        <w:pStyle w:val="6"/>
        <w:rPr>
          <w:rFonts w:hint="default" w:ascii="Times New Roman" w:hAnsi="Times New Roman" w:cs="Times New Roman"/>
        </w:rPr>
      </w:pPr>
      <w:r>
        <w:rPr>
          <w:rFonts w:hint="default" w:ascii="Times New Roman" w:hAnsi="Times New Roman" w:cs="Times New Roman"/>
        </w:rPr>
        <w:t>2019年9月30日自治区生态环境厅、自治区发展和改革委员会、自治区工业和信息化厅、自治区财政厅联合印发《新疆维吾尔自治区工业炉窑大气污染综合治理方案》（新大气发〔</w:t>
      </w:r>
      <w:r>
        <w:rPr>
          <w:rFonts w:hint="default" w:ascii="Times New Roman" w:hAnsi="Times New Roman" w:cs="Times New Roman"/>
          <w:lang w:val="en-US" w:eastAsia="zh-CN"/>
        </w:rPr>
        <w:t>2019</w:t>
      </w:r>
      <w:r>
        <w:rPr>
          <w:rFonts w:hint="default" w:ascii="Times New Roman" w:hAnsi="Times New Roman" w:cs="Times New Roman"/>
        </w:rPr>
        <w:t>〕127号）。</w:t>
      </w:r>
    </w:p>
    <w:p w14:paraId="1B84D097">
      <w:pPr>
        <w:pStyle w:val="6"/>
        <w:rPr>
          <w:rFonts w:hint="default" w:ascii="Times New Roman" w:hAnsi="Times New Roman" w:cs="Times New Roman"/>
        </w:rPr>
      </w:pPr>
      <w:r>
        <w:rPr>
          <w:rFonts w:hint="default" w:ascii="Times New Roman" w:hAnsi="Times New Roman" w:cs="Times New Roman"/>
          <w:lang w:val="en-US" w:eastAsia="zh-CN"/>
        </w:rPr>
        <w:t>现有</w:t>
      </w:r>
      <w:r>
        <w:rPr>
          <w:rFonts w:hint="default" w:ascii="Times New Roman" w:hAnsi="Times New Roman" w:cs="Times New Roman"/>
        </w:rPr>
        <w:t>工程采用的新型干法水泥窑不属于《产业结构调整指导目录》淘汰类工业炉窑。依托工程已核发排污许可证，并严格执行许可要求。窑尾配备选择性非催化还原（SNCR）脱硝设施，生产工艺产尘点（装置）采取密闭</w:t>
      </w:r>
      <w:r>
        <w:rPr>
          <w:rFonts w:hint="default" w:ascii="Times New Roman" w:hAnsi="Times New Roman" w:cs="Times New Roman"/>
          <w:color w:val="auto"/>
        </w:rPr>
        <w:t>、封闭或设置集气罩等措施，窑头采用电除尘器，窑尾配备电除尘+袋式除尘器，</w:t>
      </w:r>
      <w:r>
        <w:rPr>
          <w:rFonts w:hint="default" w:ascii="Times New Roman" w:hAnsi="Times New Roman" w:cs="Times New Roman"/>
        </w:rPr>
        <w:t>污染物均能达到排放标准。因此，</w:t>
      </w:r>
      <w:r>
        <w:rPr>
          <w:rFonts w:hint="default" w:ascii="Times New Roman" w:hAnsi="Times New Roman" w:cs="Times New Roman"/>
          <w:lang w:val="en-US" w:eastAsia="zh-CN"/>
        </w:rPr>
        <w:t>现有</w:t>
      </w:r>
      <w:r>
        <w:rPr>
          <w:rFonts w:hint="default" w:ascii="Times New Roman" w:hAnsi="Times New Roman" w:cs="Times New Roman"/>
        </w:rPr>
        <w:t>工程符合《新疆维吾尔自治区工业炉窑大气污染综合治理方案》相关要求。</w:t>
      </w:r>
    </w:p>
    <w:p w14:paraId="41DAE43F">
      <w:pPr>
        <w:pStyle w:val="6"/>
        <w:rPr>
          <w:rFonts w:hint="default" w:ascii="Times New Roman" w:hAnsi="Times New Roman" w:cs="Times New Roman"/>
        </w:rPr>
      </w:pPr>
      <w:r>
        <w:rPr>
          <w:rFonts w:hint="default" w:ascii="Times New Roman" w:hAnsi="Times New Roman" w:cs="Times New Roman"/>
        </w:rPr>
        <w:t>（4）《关于印发新疆水泥错峰生产管理办法的通知》（信经办﹝2016﹞524号）执行情况</w:t>
      </w:r>
    </w:p>
    <w:p w14:paraId="54DDF462">
      <w:pPr>
        <w:pStyle w:val="6"/>
        <w:rPr>
          <w:rFonts w:hint="default" w:ascii="Times New Roman" w:hAnsi="Times New Roman" w:cs="Times New Roman"/>
        </w:rPr>
      </w:pPr>
      <w:r>
        <w:rPr>
          <w:rFonts w:hint="default" w:ascii="Times New Roman" w:hAnsi="Times New Roman" w:cs="Times New Roman"/>
        </w:rPr>
        <w:t>根据《关于印发新疆水泥错峰生产管理办法的通知》（信经办﹝2016﹞524号），错峰生产时间和错峰周期长短根据市场需求认真测算，合理确定，由相关部</w:t>
      </w:r>
      <w:r>
        <w:rPr>
          <w:rFonts w:hint="default" w:ascii="Times New Roman" w:hAnsi="Times New Roman" w:cs="Times New Roman"/>
          <w:color w:val="auto"/>
        </w:rPr>
        <w:t>门每年10月底前下发错峰生产停窑计划。</w:t>
      </w:r>
      <w:r>
        <w:rPr>
          <w:rFonts w:hint="default" w:ascii="Times New Roman" w:hAnsi="Times New Roman" w:cs="Times New Roman"/>
          <w:color w:val="auto"/>
          <w:lang w:val="en-US" w:eastAsia="zh-CN"/>
        </w:rPr>
        <w:t>现有</w:t>
      </w:r>
      <w:r>
        <w:rPr>
          <w:rFonts w:hint="default" w:ascii="Times New Roman" w:hAnsi="Times New Roman" w:cs="Times New Roman"/>
          <w:color w:val="auto"/>
        </w:rPr>
        <w:t>工程严格执行水泥错峰生产管理办法要求，2017年~202</w:t>
      </w:r>
      <w:r>
        <w:rPr>
          <w:rFonts w:hint="default" w:ascii="Times New Roman" w:hAnsi="Times New Roman" w:cs="Times New Roman"/>
          <w:color w:val="auto"/>
          <w:lang w:val="en-US" w:eastAsia="zh-CN"/>
        </w:rPr>
        <w:t>5</w:t>
      </w:r>
      <w:r>
        <w:rPr>
          <w:rFonts w:hint="default" w:ascii="Times New Roman" w:hAnsi="Times New Roman" w:cs="Times New Roman"/>
          <w:color w:val="auto"/>
        </w:rPr>
        <w:t>年实际运行时间均小于规定的生产时间，因此项目符合错峰生产要求。</w:t>
      </w:r>
    </w:p>
    <w:p w14:paraId="392F5DD8">
      <w:pPr>
        <w:pStyle w:val="6"/>
        <w:rPr>
          <w:rFonts w:hint="default" w:ascii="Times New Roman" w:hAnsi="Times New Roman" w:eastAsia="宋体" w:cs="Times New Roman"/>
          <w:highlight w:val="none"/>
          <w:lang w:val="en-US" w:eastAsia="zh-CN"/>
        </w:rPr>
      </w:pPr>
      <w:r>
        <w:rPr>
          <w:rFonts w:hint="eastAsia" w:cs="Times New Roman"/>
          <w:highlight w:val="none"/>
          <w:lang w:eastAsia="zh-CN"/>
        </w:rPr>
        <w:t>（</w:t>
      </w:r>
      <w:r>
        <w:rPr>
          <w:rFonts w:hint="eastAsia" w:cs="Times New Roman"/>
          <w:highlight w:val="none"/>
          <w:lang w:val="en-US" w:eastAsia="zh-CN"/>
        </w:rPr>
        <w:t>5</w:t>
      </w:r>
      <w:r>
        <w:rPr>
          <w:rFonts w:hint="eastAsia" w:cs="Times New Roman"/>
          <w:highlight w:val="none"/>
          <w:lang w:eastAsia="zh-CN"/>
        </w:rPr>
        <w:t>）</w:t>
      </w:r>
      <w:r>
        <w:rPr>
          <w:rFonts w:hint="eastAsia" w:cs="Times New Roman"/>
          <w:highlight w:val="none"/>
          <w:lang w:val="en-US" w:eastAsia="zh-CN"/>
        </w:rPr>
        <w:t>《关于推进实施水泥行业超低排放的意见》执行情况</w:t>
      </w:r>
    </w:p>
    <w:p w14:paraId="07CD3993">
      <w:pPr>
        <w:pStyle w:val="6"/>
        <w:rPr>
          <w:rFonts w:hint="default" w:ascii="Times New Roman" w:hAnsi="Times New Roman" w:eastAsia="宋体" w:cs="Times New Roman"/>
          <w:highlight w:val="none"/>
          <w:lang w:val="en-US" w:eastAsia="zh-CN"/>
        </w:rPr>
      </w:pPr>
      <w:r>
        <w:rPr>
          <w:rFonts w:hint="eastAsia" w:cs="Times New Roman"/>
          <w:highlight w:val="none"/>
          <w:lang w:val="en-US" w:eastAsia="zh-CN"/>
        </w:rPr>
        <w:t>根据生态环境部、国家发展改革委、工业和信息化部、财政部和交通运输部联合发布的《关于推进实施水泥行业超低排放的意见》（环大气〔2024〕5号）文件要求“推动实施水泥熟料生产企业（不含矿山）和独立粉磨站（含生产特种水泥、协同处置固废的水泥企业）超低排放改造。到2025年底前，重点区域取得明显进展，力争50%水泥熟料产能完成改造，区域内大型国有企业集团基本完成有组织、无组织超低排放改造；到2028年底前，重点区域水泥熟料生产企业基本完成改造，全国力争80%水泥熟料产能完成改造”，水泥企业超低排放是指所有生产环节（破碎、粉磨、配料、熟料煅烧、烘干、协同处置等，以及原燃料和产品储存运输）的大气污染物有组织、无组织排放及运输过程达到超低排放要求。控制指标和措施要求如下：</w:t>
      </w:r>
    </w:p>
    <w:p w14:paraId="342D9CFB">
      <w:pPr>
        <w:pStyle w:val="6"/>
        <w:rPr>
          <w:rFonts w:hint="default" w:ascii="Times New Roman" w:hAnsi="Times New Roman" w:cs="Times New Roman"/>
          <w:highlight w:val="none"/>
        </w:rPr>
      </w:pPr>
      <w:r>
        <w:rPr>
          <w:rFonts w:hint="eastAsia" w:cs="Times New Roman"/>
          <w:highlight w:val="none"/>
          <w:lang w:val="en-US" w:eastAsia="zh-CN"/>
        </w:rPr>
        <w:t>①</w:t>
      </w:r>
      <w:r>
        <w:rPr>
          <w:rFonts w:hint="default" w:ascii="Times New Roman" w:hAnsi="Times New Roman" w:cs="Times New Roman"/>
          <w:highlight w:val="none"/>
        </w:rPr>
        <w:t>有组织排放控制指标。在基准含氧量10%的条件下，水泥窑及窑尾余热利用系统废气颗粒物、二氧化硫、氮氧化物排放浓度小时均值分别不高于10mg/m、35mg/m、50mg/m。其他有组织排放具体指标要求见</w:t>
      </w:r>
      <w:r>
        <w:rPr>
          <w:rFonts w:hint="eastAsia" w:cs="Times New Roman"/>
          <w:highlight w:val="none"/>
          <w:lang w:val="en-US" w:eastAsia="zh-CN"/>
        </w:rPr>
        <w:t>表3.1-17</w:t>
      </w:r>
      <w:r>
        <w:rPr>
          <w:rFonts w:hint="default" w:ascii="Times New Roman" w:hAnsi="Times New Roman" w:cs="Times New Roman"/>
          <w:highlight w:val="none"/>
        </w:rPr>
        <w:t>，氨等表中未作规定的按国家或地方标准执行。达到超低排放的水泥企业每月生产时间至少95%以上时段排放浓度小时均值满足上述要求。</w:t>
      </w:r>
    </w:p>
    <w:p w14:paraId="3A38B01C">
      <w:pPr>
        <w:pStyle w:val="6"/>
        <w:spacing w:line="240" w:lineRule="auto"/>
        <w:ind w:left="0" w:leftChars="0" w:right="0" w:rightChars="0" w:firstLine="0" w:firstLineChars="0"/>
        <w:jc w:val="center"/>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表3.1-17 有组织排放指标限值</w:t>
      </w:r>
    </w:p>
    <w:tbl>
      <w:tblPr>
        <w:tblStyle w:val="40"/>
        <w:tblW w:w="0" w:type="auto"/>
        <w:tblInd w:w="108"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14"/>
        <w:gridCol w:w="1395"/>
        <w:gridCol w:w="1245"/>
        <w:gridCol w:w="1155"/>
        <w:gridCol w:w="2191"/>
      </w:tblGrid>
      <w:tr w14:paraId="619BCCA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4" w:type="dxa"/>
            <w:vMerge w:val="restart"/>
            <w:tcBorders>
              <w:tl2br w:val="nil"/>
              <w:tr2bl w:val="nil"/>
            </w:tcBorders>
            <w:tcMar>
              <w:left w:w="108" w:type="dxa"/>
              <w:right w:w="108" w:type="dxa"/>
            </w:tcMar>
            <w:vAlign w:val="center"/>
          </w:tcPr>
          <w:p w14:paraId="34AE06A8">
            <w:pPr>
              <w:pStyle w:val="6"/>
              <w:spacing w:line="240" w:lineRule="auto"/>
              <w:ind w:left="0" w:leftChars="0" w:right="0" w:rightChars="0" w:firstLine="0" w:firstLineChars="0"/>
              <w:jc w:val="center"/>
              <w:rPr>
                <w:rFonts w:hint="default" w:ascii="Times New Roman" w:hAnsi="Times New Roman" w:eastAsia="宋体" w:cs="Times New Roman"/>
                <w:b/>
                <w:bCs/>
                <w:sz w:val="21"/>
                <w:szCs w:val="16"/>
                <w:highlight w:val="none"/>
                <w:vertAlign w:val="baseline"/>
                <w:lang w:val="en-US" w:eastAsia="zh-CN"/>
              </w:rPr>
            </w:pPr>
            <w:r>
              <w:rPr>
                <w:rFonts w:hint="eastAsia" w:cs="Times New Roman"/>
                <w:b/>
                <w:bCs/>
                <w:sz w:val="21"/>
                <w:szCs w:val="16"/>
                <w:highlight w:val="none"/>
                <w:vertAlign w:val="baseline"/>
                <w:lang w:val="en-US" w:eastAsia="zh-CN"/>
              </w:rPr>
              <w:t>排放环节</w:t>
            </w:r>
            <w:r>
              <w:rPr>
                <w:rFonts w:hint="eastAsia" w:cs="Times New Roman"/>
                <w:b/>
                <w:bCs/>
                <w:sz w:val="21"/>
                <w:szCs w:val="16"/>
                <w:highlight w:val="none"/>
                <w:vertAlign w:val="superscript"/>
                <w:lang w:val="en-US" w:eastAsia="zh-CN"/>
              </w:rPr>
              <w:t>a</w:t>
            </w:r>
          </w:p>
        </w:tc>
        <w:tc>
          <w:tcPr>
            <w:tcW w:w="1395" w:type="dxa"/>
            <w:vMerge w:val="restart"/>
            <w:tcBorders>
              <w:tl2br w:val="nil"/>
              <w:tr2bl w:val="nil"/>
            </w:tcBorders>
            <w:tcMar>
              <w:left w:w="108" w:type="dxa"/>
              <w:right w:w="108" w:type="dxa"/>
            </w:tcMar>
            <w:vAlign w:val="center"/>
          </w:tcPr>
          <w:p w14:paraId="58337868">
            <w:pPr>
              <w:pStyle w:val="6"/>
              <w:spacing w:line="240" w:lineRule="auto"/>
              <w:ind w:left="0" w:leftChars="0" w:right="0" w:rightChars="0" w:firstLine="0" w:firstLineChars="0"/>
              <w:jc w:val="center"/>
              <w:rPr>
                <w:rFonts w:hint="eastAsia" w:ascii="Times New Roman" w:hAnsi="Times New Roman" w:eastAsia="宋体" w:cs="Times New Roman"/>
                <w:b/>
                <w:bCs/>
                <w:sz w:val="21"/>
                <w:szCs w:val="16"/>
                <w:highlight w:val="none"/>
                <w:vertAlign w:val="baseline"/>
                <w:lang w:val="en-US" w:eastAsia="zh-CN"/>
              </w:rPr>
            </w:pPr>
            <w:r>
              <w:rPr>
                <w:rFonts w:hint="eastAsia" w:cs="Times New Roman"/>
                <w:b/>
                <w:bCs/>
                <w:sz w:val="21"/>
                <w:szCs w:val="16"/>
                <w:highlight w:val="none"/>
                <w:vertAlign w:val="baseline"/>
                <w:lang w:val="en-US" w:eastAsia="zh-CN"/>
              </w:rPr>
              <w:t>基准含氧量（%）</w:t>
            </w:r>
          </w:p>
        </w:tc>
        <w:tc>
          <w:tcPr>
            <w:tcW w:w="4591" w:type="dxa"/>
            <w:gridSpan w:val="3"/>
            <w:tcBorders>
              <w:tl2br w:val="nil"/>
              <w:tr2bl w:val="nil"/>
            </w:tcBorders>
            <w:tcMar>
              <w:left w:w="108" w:type="dxa"/>
              <w:right w:w="108" w:type="dxa"/>
            </w:tcMar>
            <w:vAlign w:val="center"/>
          </w:tcPr>
          <w:p w14:paraId="6C8F1F3C">
            <w:pPr>
              <w:pStyle w:val="6"/>
              <w:spacing w:line="240" w:lineRule="auto"/>
              <w:ind w:left="0" w:leftChars="0" w:right="0" w:rightChars="0" w:firstLine="0" w:firstLineChars="0"/>
              <w:jc w:val="center"/>
              <w:rPr>
                <w:rFonts w:hint="default" w:ascii="Times New Roman" w:hAnsi="Times New Roman" w:cs="Times New Roman"/>
                <w:b/>
                <w:bCs/>
                <w:sz w:val="21"/>
                <w:szCs w:val="16"/>
                <w:highlight w:val="none"/>
                <w:vertAlign w:val="baseline"/>
              </w:rPr>
            </w:pPr>
            <w:r>
              <w:rPr>
                <w:rFonts w:hint="eastAsia" w:cs="Times New Roman"/>
                <w:b/>
                <w:bCs/>
                <w:sz w:val="21"/>
                <w:szCs w:val="16"/>
                <w:highlight w:val="none"/>
                <w:vertAlign w:val="baseline"/>
                <w:lang w:val="en-US" w:eastAsia="zh-CN"/>
              </w:rPr>
              <w:t>污染物项目</w:t>
            </w:r>
          </w:p>
        </w:tc>
      </w:tr>
      <w:tr w14:paraId="08B038C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4" w:type="dxa"/>
            <w:vMerge w:val="continue"/>
            <w:tcBorders>
              <w:tl2br w:val="nil"/>
              <w:tr2bl w:val="nil"/>
            </w:tcBorders>
            <w:tcMar>
              <w:left w:w="108" w:type="dxa"/>
              <w:right w:w="108" w:type="dxa"/>
            </w:tcMar>
            <w:vAlign w:val="center"/>
          </w:tcPr>
          <w:p w14:paraId="65A270A0">
            <w:pPr>
              <w:pStyle w:val="6"/>
              <w:spacing w:line="240" w:lineRule="auto"/>
              <w:ind w:left="0" w:leftChars="0" w:right="0" w:rightChars="0" w:firstLine="0" w:firstLineChars="0"/>
              <w:jc w:val="center"/>
              <w:rPr>
                <w:rFonts w:hint="eastAsia" w:cs="Times New Roman"/>
                <w:b/>
                <w:bCs/>
                <w:sz w:val="21"/>
                <w:szCs w:val="16"/>
                <w:highlight w:val="none"/>
                <w:vertAlign w:val="baseline"/>
                <w:lang w:val="en-US" w:eastAsia="zh-CN"/>
              </w:rPr>
            </w:pPr>
          </w:p>
        </w:tc>
        <w:tc>
          <w:tcPr>
            <w:tcW w:w="1395" w:type="dxa"/>
            <w:vMerge w:val="continue"/>
            <w:tcBorders>
              <w:tl2br w:val="nil"/>
              <w:tr2bl w:val="nil"/>
            </w:tcBorders>
            <w:tcMar>
              <w:left w:w="108" w:type="dxa"/>
              <w:right w:w="108" w:type="dxa"/>
            </w:tcMar>
            <w:vAlign w:val="center"/>
          </w:tcPr>
          <w:p w14:paraId="584FDDD0">
            <w:pPr>
              <w:pStyle w:val="6"/>
              <w:spacing w:line="240" w:lineRule="auto"/>
              <w:ind w:left="0" w:leftChars="0" w:right="0" w:rightChars="0" w:firstLine="0" w:firstLineChars="0"/>
              <w:jc w:val="center"/>
              <w:rPr>
                <w:rFonts w:hint="eastAsia" w:cs="Times New Roman"/>
                <w:b/>
                <w:bCs/>
                <w:sz w:val="21"/>
                <w:szCs w:val="16"/>
                <w:highlight w:val="none"/>
                <w:vertAlign w:val="baseline"/>
                <w:lang w:val="en-US" w:eastAsia="zh-CN"/>
              </w:rPr>
            </w:pPr>
          </w:p>
        </w:tc>
        <w:tc>
          <w:tcPr>
            <w:tcW w:w="1245" w:type="dxa"/>
            <w:tcBorders>
              <w:tl2br w:val="nil"/>
              <w:tr2bl w:val="nil"/>
            </w:tcBorders>
            <w:tcMar>
              <w:left w:w="108" w:type="dxa"/>
              <w:right w:w="108" w:type="dxa"/>
            </w:tcMar>
            <w:vAlign w:val="center"/>
          </w:tcPr>
          <w:p w14:paraId="4E94BCAA">
            <w:pPr>
              <w:pStyle w:val="6"/>
              <w:spacing w:line="240" w:lineRule="auto"/>
              <w:ind w:left="0" w:leftChars="0" w:right="0" w:rightChars="0" w:firstLine="0" w:firstLineChars="0"/>
              <w:jc w:val="center"/>
              <w:rPr>
                <w:rFonts w:hint="eastAsia" w:ascii="Times New Roman" w:hAnsi="Times New Roman" w:eastAsia="宋体" w:cs="Times New Roman"/>
                <w:b/>
                <w:bCs/>
                <w:sz w:val="21"/>
                <w:szCs w:val="16"/>
                <w:highlight w:val="none"/>
                <w:vertAlign w:val="baseline"/>
                <w:lang w:val="en-US" w:eastAsia="zh-CN"/>
              </w:rPr>
            </w:pPr>
            <w:r>
              <w:rPr>
                <w:rFonts w:hint="eastAsia" w:cs="Times New Roman"/>
                <w:b/>
                <w:bCs/>
                <w:sz w:val="21"/>
                <w:szCs w:val="16"/>
                <w:highlight w:val="none"/>
                <w:vertAlign w:val="baseline"/>
                <w:lang w:val="en-US" w:eastAsia="zh-CN"/>
              </w:rPr>
              <w:t>颗粒物</w:t>
            </w:r>
          </w:p>
        </w:tc>
        <w:tc>
          <w:tcPr>
            <w:tcW w:w="1155" w:type="dxa"/>
            <w:tcBorders>
              <w:tl2br w:val="nil"/>
              <w:tr2bl w:val="nil"/>
            </w:tcBorders>
            <w:tcMar>
              <w:left w:w="108" w:type="dxa"/>
              <w:right w:w="108" w:type="dxa"/>
            </w:tcMar>
            <w:vAlign w:val="center"/>
          </w:tcPr>
          <w:p w14:paraId="34A9BE22">
            <w:pPr>
              <w:pStyle w:val="6"/>
              <w:spacing w:line="240" w:lineRule="auto"/>
              <w:ind w:left="0" w:leftChars="0" w:right="0" w:rightChars="0" w:firstLine="0" w:firstLineChars="0"/>
              <w:jc w:val="center"/>
              <w:rPr>
                <w:rFonts w:hint="default" w:ascii="Times New Roman" w:hAnsi="Times New Roman" w:eastAsia="宋体" w:cs="Times New Roman"/>
                <w:b/>
                <w:bCs/>
                <w:sz w:val="21"/>
                <w:szCs w:val="16"/>
                <w:highlight w:val="none"/>
                <w:vertAlign w:val="baseline"/>
                <w:lang w:val="en-US" w:eastAsia="zh-CN"/>
              </w:rPr>
            </w:pPr>
            <w:r>
              <w:rPr>
                <w:rFonts w:hint="eastAsia" w:cs="Times New Roman"/>
                <w:b/>
                <w:bCs/>
                <w:sz w:val="21"/>
                <w:szCs w:val="16"/>
                <w:highlight w:val="none"/>
                <w:vertAlign w:val="baseline"/>
                <w:lang w:val="en-US" w:eastAsia="zh-CN"/>
              </w:rPr>
              <w:t>二氧化硫</w:t>
            </w:r>
          </w:p>
        </w:tc>
        <w:tc>
          <w:tcPr>
            <w:tcW w:w="2191" w:type="dxa"/>
            <w:tcBorders>
              <w:tl2br w:val="nil"/>
              <w:tr2bl w:val="nil"/>
            </w:tcBorders>
            <w:tcMar>
              <w:left w:w="108" w:type="dxa"/>
              <w:right w:w="108" w:type="dxa"/>
            </w:tcMar>
            <w:vAlign w:val="center"/>
          </w:tcPr>
          <w:p w14:paraId="111EC06A">
            <w:pPr>
              <w:pStyle w:val="6"/>
              <w:spacing w:line="240" w:lineRule="auto"/>
              <w:ind w:left="0" w:leftChars="0" w:right="0" w:rightChars="0" w:firstLine="0" w:firstLineChars="0"/>
              <w:jc w:val="center"/>
              <w:rPr>
                <w:rFonts w:hint="eastAsia" w:ascii="Times New Roman" w:hAnsi="Times New Roman" w:eastAsia="宋体" w:cs="Times New Roman"/>
                <w:b/>
                <w:bCs/>
                <w:sz w:val="21"/>
                <w:szCs w:val="16"/>
                <w:highlight w:val="none"/>
                <w:vertAlign w:val="baseline"/>
                <w:lang w:val="en-US" w:eastAsia="zh-CN"/>
              </w:rPr>
            </w:pPr>
            <w:r>
              <w:rPr>
                <w:rFonts w:hint="eastAsia" w:cs="Times New Roman"/>
                <w:b/>
                <w:bCs/>
                <w:sz w:val="21"/>
                <w:szCs w:val="16"/>
                <w:highlight w:val="none"/>
                <w:vertAlign w:val="baseline"/>
                <w:lang w:val="en-US" w:eastAsia="zh-CN"/>
              </w:rPr>
              <w:t>氮氧化物（以NO</w:t>
            </w:r>
            <w:r>
              <w:rPr>
                <w:rFonts w:hint="eastAsia" w:cs="Times New Roman"/>
                <w:b/>
                <w:bCs/>
                <w:sz w:val="21"/>
                <w:szCs w:val="16"/>
                <w:highlight w:val="none"/>
                <w:vertAlign w:val="subscript"/>
                <w:lang w:val="en-US" w:eastAsia="zh-CN"/>
              </w:rPr>
              <w:t>2</w:t>
            </w:r>
            <w:r>
              <w:rPr>
                <w:rFonts w:hint="eastAsia" w:cs="Times New Roman"/>
                <w:b/>
                <w:bCs/>
                <w:sz w:val="21"/>
                <w:szCs w:val="16"/>
                <w:highlight w:val="none"/>
                <w:vertAlign w:val="baseline"/>
                <w:lang w:val="en-US" w:eastAsia="zh-CN"/>
              </w:rPr>
              <w:t>计）</w:t>
            </w:r>
          </w:p>
        </w:tc>
      </w:tr>
      <w:tr w14:paraId="0775251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4" w:type="dxa"/>
            <w:tcBorders>
              <w:tl2br w:val="nil"/>
              <w:tr2bl w:val="nil"/>
            </w:tcBorders>
            <w:tcMar>
              <w:left w:w="108" w:type="dxa"/>
              <w:right w:w="108" w:type="dxa"/>
            </w:tcMar>
            <w:vAlign w:val="center"/>
          </w:tcPr>
          <w:p w14:paraId="6B5CEEBD">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水泥窑及窑尾余热利用系统</w:t>
            </w:r>
          </w:p>
        </w:tc>
        <w:tc>
          <w:tcPr>
            <w:tcW w:w="1395" w:type="dxa"/>
            <w:tcBorders>
              <w:tl2br w:val="nil"/>
              <w:tr2bl w:val="nil"/>
            </w:tcBorders>
            <w:tcMar>
              <w:left w:w="108" w:type="dxa"/>
              <w:right w:w="108" w:type="dxa"/>
            </w:tcMar>
            <w:vAlign w:val="center"/>
          </w:tcPr>
          <w:p w14:paraId="565CAEF7">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10</w:t>
            </w:r>
          </w:p>
        </w:tc>
        <w:tc>
          <w:tcPr>
            <w:tcW w:w="1245" w:type="dxa"/>
            <w:tcBorders>
              <w:tl2br w:val="nil"/>
              <w:tr2bl w:val="nil"/>
            </w:tcBorders>
            <w:tcMar>
              <w:left w:w="108" w:type="dxa"/>
              <w:right w:w="108" w:type="dxa"/>
            </w:tcMar>
            <w:vAlign w:val="center"/>
          </w:tcPr>
          <w:p w14:paraId="21530CBB">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10</w:t>
            </w:r>
          </w:p>
        </w:tc>
        <w:tc>
          <w:tcPr>
            <w:tcW w:w="1155" w:type="dxa"/>
            <w:tcBorders>
              <w:tl2br w:val="nil"/>
              <w:tr2bl w:val="nil"/>
            </w:tcBorders>
            <w:tcMar>
              <w:left w:w="108" w:type="dxa"/>
              <w:right w:w="108" w:type="dxa"/>
            </w:tcMar>
            <w:vAlign w:val="center"/>
          </w:tcPr>
          <w:p w14:paraId="7426D8B9">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35</w:t>
            </w:r>
          </w:p>
        </w:tc>
        <w:tc>
          <w:tcPr>
            <w:tcW w:w="2191" w:type="dxa"/>
            <w:tcBorders>
              <w:tl2br w:val="nil"/>
              <w:tr2bl w:val="nil"/>
            </w:tcBorders>
            <w:tcMar>
              <w:left w:w="108" w:type="dxa"/>
              <w:right w:w="108" w:type="dxa"/>
            </w:tcMar>
            <w:vAlign w:val="center"/>
          </w:tcPr>
          <w:p w14:paraId="2D70D028">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50</w:t>
            </w:r>
          </w:p>
        </w:tc>
      </w:tr>
      <w:tr w14:paraId="7C94D1B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4" w:type="dxa"/>
            <w:tcBorders>
              <w:tl2br w:val="nil"/>
              <w:tr2bl w:val="nil"/>
            </w:tcBorders>
            <w:tcMar>
              <w:left w:w="108" w:type="dxa"/>
              <w:right w:w="108" w:type="dxa"/>
            </w:tcMar>
            <w:vAlign w:val="center"/>
          </w:tcPr>
          <w:p w14:paraId="62085101">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水泥窑窑头（冷却机）</w:t>
            </w:r>
          </w:p>
        </w:tc>
        <w:tc>
          <w:tcPr>
            <w:tcW w:w="1395" w:type="dxa"/>
            <w:tcBorders>
              <w:tl2br w:val="nil"/>
              <w:tr2bl w:val="nil"/>
            </w:tcBorders>
            <w:tcMar>
              <w:left w:w="108" w:type="dxa"/>
              <w:right w:w="108" w:type="dxa"/>
            </w:tcMar>
            <w:vAlign w:val="center"/>
          </w:tcPr>
          <w:p w14:paraId="04B0388F">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c>
          <w:tcPr>
            <w:tcW w:w="1245" w:type="dxa"/>
            <w:tcBorders>
              <w:tl2br w:val="nil"/>
              <w:tr2bl w:val="nil"/>
            </w:tcBorders>
            <w:tcMar>
              <w:left w:w="108" w:type="dxa"/>
              <w:right w:w="108" w:type="dxa"/>
            </w:tcMar>
            <w:vAlign w:val="center"/>
          </w:tcPr>
          <w:p w14:paraId="10B3795F">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10</w:t>
            </w:r>
          </w:p>
        </w:tc>
        <w:tc>
          <w:tcPr>
            <w:tcW w:w="1155" w:type="dxa"/>
            <w:tcBorders>
              <w:tl2br w:val="nil"/>
              <w:tr2bl w:val="nil"/>
            </w:tcBorders>
            <w:tcMar>
              <w:left w:w="108" w:type="dxa"/>
              <w:right w:w="108" w:type="dxa"/>
            </w:tcMar>
            <w:vAlign w:val="center"/>
          </w:tcPr>
          <w:p w14:paraId="2B8E3A7F">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c>
          <w:tcPr>
            <w:tcW w:w="2191" w:type="dxa"/>
            <w:tcBorders>
              <w:tl2br w:val="nil"/>
              <w:tr2bl w:val="nil"/>
            </w:tcBorders>
            <w:tcMar>
              <w:left w:w="108" w:type="dxa"/>
              <w:right w:w="108" w:type="dxa"/>
            </w:tcMar>
            <w:vAlign w:val="center"/>
          </w:tcPr>
          <w:p w14:paraId="6C55119D">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r>
      <w:tr w14:paraId="5FE01D1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4" w:type="dxa"/>
            <w:tcBorders>
              <w:tl2br w:val="nil"/>
              <w:tr2bl w:val="nil"/>
            </w:tcBorders>
            <w:tcMar>
              <w:left w:w="108" w:type="dxa"/>
              <w:right w:w="108" w:type="dxa"/>
            </w:tcMar>
            <w:vAlign w:val="center"/>
          </w:tcPr>
          <w:p w14:paraId="4B7980A8">
            <w:pPr>
              <w:pStyle w:val="6"/>
              <w:spacing w:line="240" w:lineRule="auto"/>
              <w:ind w:left="0" w:leftChars="0" w:right="0" w:rightChars="0" w:firstLine="0" w:firstLineChars="0"/>
              <w:jc w:val="center"/>
              <w:rPr>
                <w:rFonts w:hint="default"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烘干机、烘干磨、煤磨</w:t>
            </w:r>
          </w:p>
        </w:tc>
        <w:tc>
          <w:tcPr>
            <w:tcW w:w="1395" w:type="dxa"/>
            <w:tcBorders>
              <w:tl2br w:val="nil"/>
              <w:tr2bl w:val="nil"/>
            </w:tcBorders>
            <w:tcMar>
              <w:left w:w="108" w:type="dxa"/>
              <w:right w:w="108" w:type="dxa"/>
            </w:tcMar>
            <w:vAlign w:val="center"/>
          </w:tcPr>
          <w:p w14:paraId="0E0AFC9C">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实测值</w:t>
            </w:r>
            <w:r>
              <w:rPr>
                <w:rFonts w:hint="eastAsia" w:cs="Times New Roman"/>
                <w:sz w:val="21"/>
                <w:szCs w:val="16"/>
                <w:highlight w:val="none"/>
                <w:vertAlign w:val="superscript"/>
                <w:lang w:val="en-US" w:eastAsia="zh-CN"/>
              </w:rPr>
              <w:t>b</w:t>
            </w:r>
          </w:p>
        </w:tc>
        <w:tc>
          <w:tcPr>
            <w:tcW w:w="1245" w:type="dxa"/>
            <w:tcBorders>
              <w:tl2br w:val="nil"/>
              <w:tr2bl w:val="nil"/>
            </w:tcBorders>
            <w:tcMar>
              <w:left w:w="108" w:type="dxa"/>
              <w:right w:w="108" w:type="dxa"/>
            </w:tcMar>
            <w:vAlign w:val="center"/>
          </w:tcPr>
          <w:p w14:paraId="3979D7DC">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10</w:t>
            </w:r>
          </w:p>
        </w:tc>
        <w:tc>
          <w:tcPr>
            <w:tcW w:w="1155" w:type="dxa"/>
            <w:tcBorders>
              <w:tl2br w:val="nil"/>
              <w:tr2bl w:val="nil"/>
            </w:tcBorders>
            <w:tcMar>
              <w:left w:w="108" w:type="dxa"/>
              <w:right w:w="108" w:type="dxa"/>
            </w:tcMar>
            <w:vAlign w:val="center"/>
          </w:tcPr>
          <w:p w14:paraId="07831B1B">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c>
          <w:tcPr>
            <w:tcW w:w="2191" w:type="dxa"/>
            <w:tcBorders>
              <w:tl2br w:val="nil"/>
              <w:tr2bl w:val="nil"/>
            </w:tcBorders>
            <w:tcMar>
              <w:left w:w="108" w:type="dxa"/>
              <w:right w:w="108" w:type="dxa"/>
            </w:tcMar>
            <w:vAlign w:val="center"/>
          </w:tcPr>
          <w:p w14:paraId="45CED19B">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r>
      <w:tr w14:paraId="5044485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4" w:type="dxa"/>
            <w:tcBorders>
              <w:tl2br w:val="nil"/>
              <w:tr2bl w:val="nil"/>
            </w:tcBorders>
            <w:tcMar>
              <w:left w:w="108" w:type="dxa"/>
              <w:right w:w="108" w:type="dxa"/>
            </w:tcMar>
            <w:vAlign w:val="center"/>
          </w:tcPr>
          <w:p w14:paraId="3515FAF8">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破碎机、磨机、包装机</w:t>
            </w:r>
          </w:p>
        </w:tc>
        <w:tc>
          <w:tcPr>
            <w:tcW w:w="1395" w:type="dxa"/>
            <w:tcBorders>
              <w:tl2br w:val="nil"/>
              <w:tr2bl w:val="nil"/>
            </w:tcBorders>
            <w:tcMar>
              <w:left w:w="108" w:type="dxa"/>
              <w:right w:w="108" w:type="dxa"/>
            </w:tcMar>
            <w:vAlign w:val="center"/>
          </w:tcPr>
          <w:p w14:paraId="79102942">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c>
          <w:tcPr>
            <w:tcW w:w="1245" w:type="dxa"/>
            <w:tcBorders>
              <w:tl2br w:val="nil"/>
              <w:tr2bl w:val="nil"/>
            </w:tcBorders>
            <w:tcMar>
              <w:left w:w="108" w:type="dxa"/>
              <w:right w:w="108" w:type="dxa"/>
            </w:tcMar>
            <w:vAlign w:val="center"/>
          </w:tcPr>
          <w:p w14:paraId="5029A9B0">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10</w:t>
            </w:r>
          </w:p>
        </w:tc>
        <w:tc>
          <w:tcPr>
            <w:tcW w:w="1155" w:type="dxa"/>
            <w:tcBorders>
              <w:tl2br w:val="nil"/>
              <w:tr2bl w:val="nil"/>
            </w:tcBorders>
            <w:tcMar>
              <w:left w:w="108" w:type="dxa"/>
              <w:right w:w="108" w:type="dxa"/>
            </w:tcMar>
            <w:vAlign w:val="center"/>
          </w:tcPr>
          <w:p w14:paraId="3180C260">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c>
          <w:tcPr>
            <w:tcW w:w="2191" w:type="dxa"/>
            <w:tcBorders>
              <w:tl2br w:val="nil"/>
              <w:tr2bl w:val="nil"/>
            </w:tcBorders>
            <w:tcMar>
              <w:left w:w="108" w:type="dxa"/>
              <w:right w:w="108" w:type="dxa"/>
            </w:tcMar>
            <w:vAlign w:val="center"/>
          </w:tcPr>
          <w:p w14:paraId="3C1170B0">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r>
      <w:tr w14:paraId="2B85B98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14" w:type="dxa"/>
            <w:tcBorders>
              <w:tl2br w:val="nil"/>
              <w:tr2bl w:val="nil"/>
            </w:tcBorders>
            <w:tcMar>
              <w:left w:w="108" w:type="dxa"/>
              <w:right w:w="108" w:type="dxa"/>
            </w:tcMar>
            <w:vAlign w:val="center"/>
          </w:tcPr>
          <w:p w14:paraId="105DAE4A">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输送设备、水泥仓及其他通风生产设备</w:t>
            </w:r>
          </w:p>
        </w:tc>
        <w:tc>
          <w:tcPr>
            <w:tcW w:w="1395" w:type="dxa"/>
            <w:tcBorders>
              <w:tl2br w:val="nil"/>
              <w:tr2bl w:val="nil"/>
            </w:tcBorders>
            <w:tcMar>
              <w:left w:w="108" w:type="dxa"/>
              <w:right w:w="108" w:type="dxa"/>
            </w:tcMar>
            <w:vAlign w:val="center"/>
          </w:tcPr>
          <w:p w14:paraId="0E8D9A51">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c>
          <w:tcPr>
            <w:tcW w:w="1245" w:type="dxa"/>
            <w:tcBorders>
              <w:tl2br w:val="nil"/>
              <w:tr2bl w:val="nil"/>
            </w:tcBorders>
            <w:tcMar>
              <w:left w:w="108" w:type="dxa"/>
              <w:right w:w="108" w:type="dxa"/>
            </w:tcMar>
            <w:vAlign w:val="center"/>
          </w:tcPr>
          <w:p w14:paraId="326A14A6">
            <w:pPr>
              <w:pStyle w:val="6"/>
              <w:spacing w:line="240" w:lineRule="auto"/>
              <w:ind w:left="0" w:leftChars="0" w:right="0" w:rightChars="0" w:firstLine="0" w:firstLineChars="0"/>
              <w:jc w:val="center"/>
              <w:rPr>
                <w:rFonts w:hint="default"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10</w:t>
            </w:r>
          </w:p>
        </w:tc>
        <w:tc>
          <w:tcPr>
            <w:tcW w:w="1155" w:type="dxa"/>
            <w:tcBorders>
              <w:tl2br w:val="nil"/>
              <w:tr2bl w:val="nil"/>
            </w:tcBorders>
            <w:tcMar>
              <w:left w:w="108" w:type="dxa"/>
              <w:right w:w="108" w:type="dxa"/>
            </w:tcMar>
            <w:vAlign w:val="center"/>
          </w:tcPr>
          <w:p w14:paraId="19645E57">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c>
          <w:tcPr>
            <w:tcW w:w="2191" w:type="dxa"/>
            <w:tcBorders>
              <w:tl2br w:val="nil"/>
              <w:tr2bl w:val="nil"/>
            </w:tcBorders>
            <w:tcMar>
              <w:left w:w="108" w:type="dxa"/>
              <w:right w:w="108" w:type="dxa"/>
            </w:tcMar>
            <w:vAlign w:val="center"/>
          </w:tcPr>
          <w:p w14:paraId="59AA126E">
            <w:pPr>
              <w:pStyle w:val="6"/>
              <w:spacing w:line="240" w:lineRule="auto"/>
              <w:ind w:left="0" w:leftChars="0" w:right="0" w:rightChars="0" w:firstLine="0" w:firstLineChars="0"/>
              <w:jc w:val="center"/>
              <w:rPr>
                <w:rFonts w:hint="eastAsia" w:ascii="Times New Roman" w:hAnsi="Times New Roman" w:eastAsia="宋体"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w:t>
            </w:r>
          </w:p>
        </w:tc>
      </w:tr>
      <w:tr w14:paraId="452B9D8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8300" w:type="dxa"/>
            <w:gridSpan w:val="5"/>
            <w:tcBorders>
              <w:tl2br w:val="nil"/>
              <w:tr2bl w:val="nil"/>
            </w:tcBorders>
            <w:tcMar>
              <w:left w:w="108" w:type="dxa"/>
              <w:right w:w="108" w:type="dxa"/>
            </w:tcMar>
            <w:vAlign w:val="center"/>
          </w:tcPr>
          <w:p w14:paraId="0923C4CF">
            <w:pPr>
              <w:pStyle w:val="6"/>
              <w:spacing w:line="240" w:lineRule="auto"/>
              <w:ind w:left="0" w:leftChars="0" w:right="0" w:rightChars="0" w:firstLine="0" w:firstLineChars="0"/>
              <w:jc w:val="both"/>
              <w:rPr>
                <w:rFonts w:hint="eastAsia" w:cs="Times New Roman"/>
                <w:sz w:val="21"/>
                <w:szCs w:val="16"/>
                <w:highlight w:val="none"/>
                <w:vertAlign w:val="baseline"/>
                <w:lang w:val="en-US" w:eastAsia="zh-CN"/>
              </w:rPr>
            </w:pPr>
            <w:r>
              <w:rPr>
                <w:rFonts w:hint="eastAsia" w:cs="Times New Roman"/>
                <w:sz w:val="21"/>
                <w:szCs w:val="16"/>
                <w:highlight w:val="none"/>
                <w:vertAlign w:val="baseline"/>
                <w:lang w:val="en-US" w:eastAsia="zh-CN"/>
              </w:rPr>
              <w:t>注：a氨等表中未作规定的按国家及地方标准执行。</w:t>
            </w:r>
          </w:p>
          <w:p w14:paraId="18D8326C">
            <w:pPr>
              <w:pStyle w:val="6"/>
              <w:spacing w:line="240" w:lineRule="auto"/>
              <w:ind w:left="0" w:leftChars="0" w:right="0" w:rightChars="0" w:firstLine="420" w:firstLineChars="200"/>
              <w:jc w:val="both"/>
              <w:rPr>
                <w:rFonts w:hint="default" w:ascii="Times New Roman" w:hAnsi="Times New Roman" w:cs="Times New Roman"/>
                <w:sz w:val="21"/>
                <w:szCs w:val="16"/>
                <w:highlight w:val="none"/>
                <w:vertAlign w:val="baseline"/>
              </w:rPr>
            </w:pPr>
            <w:r>
              <w:rPr>
                <w:rFonts w:hint="eastAsia" w:cs="Times New Roman"/>
                <w:sz w:val="21"/>
                <w:szCs w:val="16"/>
                <w:highlight w:val="none"/>
                <w:vertAlign w:val="baseline"/>
                <w:lang w:val="en-US" w:eastAsia="zh-CN"/>
              </w:rPr>
              <w:t>b采用窑头余热，或采用经脱硫脱硝并达到超低排放要求的窑尾烟气。</w:t>
            </w:r>
          </w:p>
        </w:tc>
      </w:tr>
    </w:tbl>
    <w:p w14:paraId="5AAFB844">
      <w:pPr>
        <w:pStyle w:val="6"/>
        <w:rPr>
          <w:rFonts w:hint="eastAsia" w:ascii="Times New Roman" w:hAnsi="Times New Roman" w:eastAsia="宋体" w:cs="Times New Roman"/>
          <w:highlight w:val="none"/>
          <w:lang w:val="en-US" w:eastAsia="zh-CN"/>
        </w:rPr>
      </w:pPr>
      <w:r>
        <w:rPr>
          <w:rFonts w:hint="eastAsia" w:cs="Times New Roman"/>
          <w:highlight w:val="none"/>
          <w:lang w:val="en-US" w:eastAsia="zh-CN"/>
        </w:rPr>
        <w:t>②无组织排放控制措施。物料储存、物料输送、生产工艺过程等无组织排放源，在保障安全生产的前提下，采取密闭、封闭等有效控制设施。无组织排放控制设施与生产设施同步正常运行，产尘点及生产设施无可见烟粉尘外逸，厂区整洁无积尘。具体要求见表3.1-18。</w:t>
      </w:r>
    </w:p>
    <w:p w14:paraId="0D8CE45A">
      <w:pPr>
        <w:pStyle w:val="6"/>
        <w:spacing w:line="240" w:lineRule="auto"/>
        <w:ind w:left="0" w:leftChars="0" w:right="0" w:rightChars="0" w:firstLine="0" w:firstLineChars="0"/>
        <w:jc w:val="center"/>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表3.1-18 无组织排放控制措施</w:t>
      </w:r>
    </w:p>
    <w:tbl>
      <w:tblPr>
        <w:tblStyle w:val="40"/>
        <w:tblW w:w="0" w:type="auto"/>
        <w:tblInd w:w="108"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44"/>
        <w:gridCol w:w="6856"/>
      </w:tblGrid>
      <w:tr w14:paraId="54FFEF0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44" w:type="dxa"/>
            <w:tcBorders>
              <w:tl2br w:val="nil"/>
              <w:tr2bl w:val="nil"/>
            </w:tcBorders>
            <w:tcMar>
              <w:left w:w="108" w:type="dxa"/>
              <w:right w:w="108" w:type="dxa"/>
            </w:tcMar>
            <w:vAlign w:val="center"/>
          </w:tcPr>
          <w:p w14:paraId="3D7A67DC">
            <w:pPr>
              <w:pStyle w:val="6"/>
              <w:spacing w:line="240" w:lineRule="auto"/>
              <w:ind w:left="0" w:leftChars="0" w:right="0" w:rightChars="0" w:firstLine="0" w:firstLineChars="0"/>
              <w:jc w:val="center"/>
              <w:rPr>
                <w:rFonts w:hint="default"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主要环节</w:t>
            </w:r>
          </w:p>
        </w:tc>
        <w:tc>
          <w:tcPr>
            <w:tcW w:w="6856" w:type="dxa"/>
            <w:tcBorders>
              <w:tl2br w:val="nil"/>
              <w:tr2bl w:val="nil"/>
            </w:tcBorders>
            <w:tcMar>
              <w:left w:w="108" w:type="dxa"/>
              <w:right w:w="108" w:type="dxa"/>
            </w:tcMar>
            <w:vAlign w:val="center"/>
          </w:tcPr>
          <w:p w14:paraId="066C68C3">
            <w:pPr>
              <w:pStyle w:val="6"/>
              <w:spacing w:line="240" w:lineRule="auto"/>
              <w:ind w:left="0" w:leftChars="0" w:right="0" w:rightChars="0" w:firstLine="0" w:firstLineChars="0"/>
              <w:jc w:val="center"/>
              <w:rPr>
                <w:rFonts w:hint="default"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控制措施</w:t>
            </w:r>
          </w:p>
        </w:tc>
      </w:tr>
      <w:tr w14:paraId="1C89300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44" w:type="dxa"/>
            <w:tcBorders>
              <w:tl2br w:val="nil"/>
              <w:tr2bl w:val="nil"/>
            </w:tcBorders>
            <w:tcMar>
              <w:left w:w="108" w:type="dxa"/>
              <w:right w:w="108" w:type="dxa"/>
            </w:tcMar>
            <w:vAlign w:val="center"/>
          </w:tcPr>
          <w:p w14:paraId="0DA0E68E">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物料储存</w:t>
            </w:r>
          </w:p>
        </w:tc>
        <w:tc>
          <w:tcPr>
            <w:tcW w:w="6856" w:type="dxa"/>
            <w:tcBorders>
              <w:tl2br w:val="nil"/>
              <w:tr2bl w:val="nil"/>
            </w:tcBorders>
            <w:tcMar>
              <w:left w:w="108" w:type="dxa"/>
              <w:right w:w="108" w:type="dxa"/>
            </w:tcMar>
            <w:vAlign w:val="center"/>
          </w:tcPr>
          <w:p w14:paraId="42D05A9F">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石灰石、页岩、泥岩、煤矸石、原煤等原燃料在封闭料棚内存放。</w:t>
            </w:r>
          </w:p>
          <w:p w14:paraId="41574A41">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熟料封闭储存。</w:t>
            </w:r>
          </w:p>
          <w:p w14:paraId="6E324641">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生料、干粉煤灰、矿渣微粉、成品水泥等粉状物料采用密闭料仓、储罐等方式密闭储存。</w:t>
            </w:r>
          </w:p>
          <w:p w14:paraId="4A3CD1FF">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协同处置固体废物的，贮存设施采用封闭措施，有生活垃圾或污泥存放时处于负压状态;贮存设施内抽取的空气导入水泥窑高温区焚烧处理，或通过其他措施处理达标后排放。料棚(不含熟料、原煤)产尘点安装抑尘设施，车辆行驶区域及出入口地面硬化并安装自动门。</w:t>
            </w:r>
          </w:p>
        </w:tc>
      </w:tr>
      <w:tr w14:paraId="1ECAEE7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44" w:type="dxa"/>
            <w:tcBorders>
              <w:tl2br w:val="nil"/>
              <w:tr2bl w:val="nil"/>
            </w:tcBorders>
            <w:tcMar>
              <w:left w:w="108" w:type="dxa"/>
              <w:right w:w="108" w:type="dxa"/>
            </w:tcMar>
            <w:vAlign w:val="center"/>
          </w:tcPr>
          <w:p w14:paraId="28AAC913">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物料输送</w:t>
            </w:r>
          </w:p>
        </w:tc>
        <w:tc>
          <w:tcPr>
            <w:tcW w:w="6856" w:type="dxa"/>
            <w:tcBorders>
              <w:tl2br w:val="nil"/>
              <w:tr2bl w:val="nil"/>
            </w:tcBorders>
            <w:tcMar>
              <w:left w:w="108" w:type="dxa"/>
              <w:right w:w="108" w:type="dxa"/>
            </w:tcMar>
            <w:vAlign w:val="center"/>
          </w:tcPr>
          <w:p w14:paraId="2848B84C">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散状原燃料及产品卸车、上料、配料、输送密闭或封闭作业。运输皮带采用皮带通廊等方式封闭，各转载、下料口等产尘点正常生产时保证无可见烟粉尘外逸与撒料。库顶配备袋式除尘器。</w:t>
            </w:r>
          </w:p>
          <w:p w14:paraId="61A590F3">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除尘灰采用负压、罐车等密闭方式运输。</w:t>
            </w:r>
          </w:p>
        </w:tc>
      </w:tr>
      <w:tr w14:paraId="20333AD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44" w:type="dxa"/>
            <w:tcBorders>
              <w:tl2br w:val="nil"/>
              <w:tr2bl w:val="nil"/>
            </w:tcBorders>
            <w:tcMar>
              <w:left w:w="108" w:type="dxa"/>
              <w:right w:w="108" w:type="dxa"/>
            </w:tcMar>
            <w:vAlign w:val="center"/>
          </w:tcPr>
          <w:p w14:paraId="7FB73658">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生产工艺</w:t>
            </w:r>
          </w:p>
        </w:tc>
        <w:tc>
          <w:tcPr>
            <w:tcW w:w="6856" w:type="dxa"/>
            <w:tcBorders>
              <w:tl2br w:val="nil"/>
              <w:tr2bl w:val="nil"/>
            </w:tcBorders>
            <w:tcMar>
              <w:left w:w="108" w:type="dxa"/>
              <w:right w:w="108" w:type="dxa"/>
            </w:tcMar>
            <w:vAlign w:val="center"/>
          </w:tcPr>
          <w:p w14:paraId="29C948CD">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石灰石、煤、混合材等物料厂内破碎时，在破碎机进料口设置集气罩或封闭，出料口采用密闭装置，并配备除尘设施。磨前喂料装置、烘干机与集气罩的连接处密闭。窑系统保持微负压，定期检查。熟料冷却机卸料口设置集气罩，配备除尘设施。氨水或液氨采用专用罐车运输，配套氨气回收或吸收回用装置。氨水罐区及易泄漏点位设置氨气泄漏检测措施。</w:t>
            </w:r>
          </w:p>
        </w:tc>
      </w:tr>
      <w:tr w14:paraId="65AB12E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444" w:type="dxa"/>
            <w:tcBorders>
              <w:tl2br w:val="nil"/>
              <w:tr2bl w:val="nil"/>
            </w:tcBorders>
            <w:tcMar>
              <w:left w:w="108" w:type="dxa"/>
              <w:right w:w="108" w:type="dxa"/>
            </w:tcMar>
            <w:vAlign w:val="center"/>
          </w:tcPr>
          <w:p w14:paraId="66EA9665">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其他</w:t>
            </w:r>
          </w:p>
        </w:tc>
        <w:tc>
          <w:tcPr>
            <w:tcW w:w="6856" w:type="dxa"/>
            <w:tcBorders>
              <w:tl2br w:val="nil"/>
              <w:tr2bl w:val="nil"/>
            </w:tcBorders>
            <w:tcMar>
              <w:left w:w="108" w:type="dxa"/>
              <w:right w:w="108" w:type="dxa"/>
            </w:tcMar>
            <w:vAlign w:val="center"/>
          </w:tcPr>
          <w:p w14:paraId="0E591173">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厂区道路全部硬化，及时清扫、定期洒水。企业厂区出口或汽车运输料场出口处(料场口与厂区出口距离在100米以内的可合并安装1处洗车台)配备高压清洗装置，对所有货物运输车辆的车轮、底盘进行冲洗。</w:t>
            </w:r>
          </w:p>
        </w:tc>
      </w:tr>
    </w:tbl>
    <w:p w14:paraId="7EA1D452">
      <w:pPr>
        <w:pStyle w:val="6"/>
        <w:rPr>
          <w:rFonts w:hint="eastAsia" w:ascii="Times New Roman" w:hAnsi="Times New Roman" w:eastAsia="宋体" w:cs="Times New Roman"/>
          <w:highlight w:val="none"/>
          <w:lang w:val="en-US" w:eastAsia="zh-CN"/>
        </w:rPr>
      </w:pPr>
      <w:r>
        <w:rPr>
          <w:rFonts w:hint="eastAsia" w:cs="Times New Roman"/>
          <w:highlight w:val="none"/>
          <w:lang w:val="en-US" w:eastAsia="zh-CN"/>
        </w:rPr>
        <w:t>③清洁运输要求。进出企业的原燃料采用铁路、水路、管道、管状带式输送机、皮带通廊等清洁方式运输比例不低于80%；达不到的企业，汽车运输部分全部采用新能源或国六排放标准车辆。重点区域企业原燃料清洁运输比例达不到80%的部分采用新能源汽车替代(2025年底前新能源汽车替代比例不低于60%)，其他原燃料运输全部采用新能源或国六排放标准车辆。产品运输优先采用清洁运输方式，汽车运输全部采用新能源或国六排放标准车辆。厂内使用新能源运输车辆(2025年底前可采用国六排放标准车辆)。非道路移动机械原则上采用新能源，无对应产品的满足国四及以上排放标准(2025年底前可采用国三排放标准非道路移动机械)。</w:t>
      </w:r>
    </w:p>
    <w:p w14:paraId="15A3DEF9">
      <w:pPr>
        <w:pStyle w:val="6"/>
        <w:spacing w:line="240" w:lineRule="auto"/>
        <w:ind w:left="0" w:leftChars="0" w:right="0" w:rightChars="0" w:firstLine="0" w:firstLineChars="0"/>
        <w:jc w:val="center"/>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表3.1-19 清洁运输管理要求</w:t>
      </w:r>
    </w:p>
    <w:tbl>
      <w:tblPr>
        <w:tblStyle w:val="40"/>
        <w:tblW w:w="0" w:type="auto"/>
        <w:tblInd w:w="108"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94"/>
        <w:gridCol w:w="3550"/>
        <w:gridCol w:w="3754"/>
      </w:tblGrid>
      <w:tr w14:paraId="247A4C5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4" w:type="dxa"/>
            <w:tcBorders>
              <w:tl2br w:val="nil"/>
              <w:tr2bl w:val="nil"/>
            </w:tcBorders>
            <w:tcMar>
              <w:left w:w="108" w:type="dxa"/>
              <w:right w:w="108" w:type="dxa"/>
            </w:tcMar>
            <w:vAlign w:val="center"/>
          </w:tcPr>
          <w:p w14:paraId="7A07DED6">
            <w:pPr>
              <w:pStyle w:val="6"/>
              <w:spacing w:line="240" w:lineRule="auto"/>
              <w:ind w:left="0" w:leftChars="0" w:right="0" w:rightChars="0" w:firstLine="0" w:firstLineChars="0"/>
              <w:jc w:val="center"/>
              <w:rPr>
                <w:rFonts w:hint="default"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分类</w:t>
            </w:r>
          </w:p>
        </w:tc>
        <w:tc>
          <w:tcPr>
            <w:tcW w:w="3550" w:type="dxa"/>
            <w:tcBorders>
              <w:tl2br w:val="nil"/>
              <w:tr2bl w:val="nil"/>
            </w:tcBorders>
            <w:tcMar>
              <w:left w:w="108" w:type="dxa"/>
              <w:right w:w="108" w:type="dxa"/>
            </w:tcMar>
            <w:vAlign w:val="center"/>
          </w:tcPr>
          <w:p w14:paraId="6DD72DDF">
            <w:pPr>
              <w:pStyle w:val="6"/>
              <w:spacing w:line="240" w:lineRule="auto"/>
              <w:ind w:left="0" w:leftChars="0" w:right="0" w:rightChars="0" w:firstLine="0" w:firstLineChars="0"/>
              <w:jc w:val="center"/>
              <w:rPr>
                <w:rFonts w:hint="default"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措施</w:t>
            </w:r>
          </w:p>
        </w:tc>
        <w:tc>
          <w:tcPr>
            <w:tcW w:w="3754" w:type="dxa"/>
            <w:tcBorders>
              <w:tl2br w:val="nil"/>
              <w:tr2bl w:val="nil"/>
            </w:tcBorders>
            <w:tcMar>
              <w:left w:w="108" w:type="dxa"/>
              <w:right w:w="108" w:type="dxa"/>
            </w:tcMar>
            <w:vAlign w:val="center"/>
          </w:tcPr>
          <w:p w14:paraId="72780C65">
            <w:pPr>
              <w:pStyle w:val="6"/>
              <w:spacing w:line="240" w:lineRule="auto"/>
              <w:ind w:left="0" w:leftChars="0" w:right="0" w:rightChars="0" w:firstLine="0" w:firstLineChars="0"/>
              <w:jc w:val="center"/>
              <w:rPr>
                <w:rFonts w:hint="default"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参数</w:t>
            </w:r>
          </w:p>
        </w:tc>
      </w:tr>
      <w:tr w14:paraId="508648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4" w:type="dxa"/>
            <w:tcBorders>
              <w:tl2br w:val="nil"/>
              <w:tr2bl w:val="nil"/>
            </w:tcBorders>
            <w:tcMar>
              <w:left w:w="108" w:type="dxa"/>
              <w:right w:w="108" w:type="dxa"/>
            </w:tcMar>
            <w:vAlign w:val="center"/>
          </w:tcPr>
          <w:p w14:paraId="38A97B74">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门禁及视频监控系统</w:t>
            </w:r>
          </w:p>
        </w:tc>
        <w:tc>
          <w:tcPr>
            <w:tcW w:w="3550" w:type="dxa"/>
            <w:tcBorders>
              <w:tl2br w:val="nil"/>
              <w:tr2bl w:val="nil"/>
            </w:tcBorders>
            <w:tcMar>
              <w:left w:w="108" w:type="dxa"/>
              <w:right w:w="108" w:type="dxa"/>
            </w:tcMar>
            <w:vAlign w:val="center"/>
          </w:tcPr>
          <w:p w14:paraId="18ED3817">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覆盖原辅材料、燃料、产品及副产品等运输车辆进出厂区的出入口，对进出车辆进行照片及视频的采集、校验，实施进出厂管理，并对采集的数据进行统计和储存，与生态环境部门联网，实现对运输车辆和非道路移动机械使用情况实时监管。建立运输车辆基本信息电子台账，并对进出厂车辆实施自动记录，实时保存、更新和上传。运输车辆基本信息电子台账保存周期不少于5年，车辆进出厂历史记录保存周期不少于24个月，视频保存周期不少于12个月。</w:t>
            </w:r>
          </w:p>
        </w:tc>
        <w:tc>
          <w:tcPr>
            <w:tcW w:w="3754" w:type="dxa"/>
            <w:tcBorders>
              <w:tl2br w:val="nil"/>
              <w:tr2bl w:val="nil"/>
            </w:tcBorders>
            <w:tcMar>
              <w:left w:w="108" w:type="dxa"/>
              <w:right w:w="108" w:type="dxa"/>
            </w:tcMar>
            <w:vAlign w:val="center"/>
          </w:tcPr>
          <w:p w14:paraId="35520AA2">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电子台账主要参数:出入口编号、道闸编号、进出厂状态、进厂时间/出厂时间、进厂照片/出厂照片、车牌号码、号牌颜色、车辆类型、车辆识别代码(VIN)、注册登记日期、车辆型号、发动机型号、发动机生产厂、发动机编号、燃料类型、排放标准、使用性质、联网状态、随车清单、行驶证、运输货物名称、运输量、车队名称等。</w:t>
            </w:r>
          </w:p>
        </w:tc>
      </w:tr>
      <w:tr w14:paraId="6F97234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4" w:type="dxa"/>
            <w:tcBorders>
              <w:tl2br w:val="nil"/>
              <w:tr2bl w:val="nil"/>
            </w:tcBorders>
            <w:tcMar>
              <w:left w:w="108" w:type="dxa"/>
              <w:right w:w="108" w:type="dxa"/>
            </w:tcMar>
            <w:vAlign w:val="center"/>
          </w:tcPr>
          <w:p w14:paraId="0AA455D9">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场内运输车辆电子台账</w:t>
            </w:r>
          </w:p>
        </w:tc>
        <w:tc>
          <w:tcPr>
            <w:tcW w:w="3550" w:type="dxa"/>
            <w:tcBorders>
              <w:tl2br w:val="nil"/>
              <w:tr2bl w:val="nil"/>
            </w:tcBorders>
            <w:tcMar>
              <w:left w:w="108" w:type="dxa"/>
              <w:right w:w="108" w:type="dxa"/>
            </w:tcMar>
            <w:vAlign w:val="center"/>
          </w:tcPr>
          <w:p w14:paraId="132D740D">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对厂内运输车辆实施信息登记管理，并实时更新上传，本地历史记录保存周期不少于5年。</w:t>
            </w:r>
          </w:p>
        </w:tc>
        <w:tc>
          <w:tcPr>
            <w:tcW w:w="3754" w:type="dxa"/>
            <w:tcBorders>
              <w:tl2br w:val="nil"/>
              <w:tr2bl w:val="nil"/>
            </w:tcBorders>
            <w:tcMar>
              <w:left w:w="108" w:type="dxa"/>
              <w:right w:w="108" w:type="dxa"/>
            </w:tcMar>
            <w:vAlign w:val="center"/>
          </w:tcPr>
          <w:p w14:paraId="6636FB08">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环保登记编码、车辆识别代码(VIN)、生产日期、车牌号码、注册登记日期、车辆型号、发动机型号、发动机生产厂、发动机编号、燃料类型、排放标准、随车清单、行驶证、车辆所有人(单位)等。</w:t>
            </w:r>
          </w:p>
        </w:tc>
      </w:tr>
      <w:tr w14:paraId="6F38671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94" w:type="dxa"/>
            <w:tcBorders>
              <w:tl2br w:val="nil"/>
              <w:tr2bl w:val="nil"/>
            </w:tcBorders>
            <w:tcMar>
              <w:left w:w="108" w:type="dxa"/>
              <w:right w:w="108" w:type="dxa"/>
            </w:tcMar>
            <w:vAlign w:val="center"/>
          </w:tcPr>
          <w:p w14:paraId="36A38351">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非道路移动机械电子台账</w:t>
            </w:r>
          </w:p>
        </w:tc>
        <w:tc>
          <w:tcPr>
            <w:tcW w:w="3550" w:type="dxa"/>
            <w:tcBorders>
              <w:tl2br w:val="nil"/>
              <w:tr2bl w:val="nil"/>
            </w:tcBorders>
            <w:tcMar>
              <w:left w:w="108" w:type="dxa"/>
              <w:right w:w="108" w:type="dxa"/>
            </w:tcMar>
            <w:vAlign w:val="center"/>
          </w:tcPr>
          <w:p w14:paraId="15B8930A">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对非道路移动机械实施信息登记管理，并实时更新上传，本地历史记录保存周期不少于5年。</w:t>
            </w:r>
          </w:p>
        </w:tc>
        <w:tc>
          <w:tcPr>
            <w:tcW w:w="3754" w:type="dxa"/>
            <w:tcBorders>
              <w:tl2br w:val="nil"/>
              <w:tr2bl w:val="nil"/>
            </w:tcBorders>
            <w:tcMar>
              <w:left w:w="108" w:type="dxa"/>
              <w:right w:w="108" w:type="dxa"/>
            </w:tcMar>
            <w:vAlign w:val="center"/>
          </w:tcPr>
          <w:p w14:paraId="66F58FD9">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环保登记编码、机械生产日期、车牌号码、排放标准、燃料类型、机械种类、机械环保代码/产品识别码(PIN)、机械型号、发动机型号、发动机生产厂、发动机编号、整车(机)铭牌、发动机铭牌、机械环保标签、所属人(单位)等。</w:t>
            </w:r>
          </w:p>
        </w:tc>
      </w:tr>
    </w:tbl>
    <w:p w14:paraId="06CECA4C">
      <w:pPr>
        <w:pStyle w:val="6"/>
        <w:rPr>
          <w:rFonts w:hint="eastAsia" w:ascii="Times New Roman" w:hAnsi="Times New Roman" w:eastAsia="宋体" w:cs="Times New Roman"/>
          <w:highlight w:val="none"/>
          <w:lang w:eastAsia="zh-CN"/>
        </w:rPr>
      </w:pPr>
      <w:r>
        <w:rPr>
          <w:rFonts w:hint="default" w:ascii="Times New Roman" w:hAnsi="Times New Roman" w:cs="Times New Roman"/>
          <w:highlight w:val="none"/>
        </w:rPr>
        <w:t>根据地区生态环境主管部门制定的阿克苏地区水泥行业超低改造进展，企业计划在2028年底完成</w:t>
      </w:r>
      <w:r>
        <w:rPr>
          <w:rFonts w:hint="eastAsia" w:cs="Times New Roman"/>
          <w:highlight w:val="none"/>
          <w:lang w:val="en-US" w:eastAsia="zh-CN"/>
        </w:rPr>
        <w:t>企业</w:t>
      </w:r>
      <w:r>
        <w:rPr>
          <w:rFonts w:hint="default" w:ascii="Times New Roman" w:hAnsi="Times New Roman" w:cs="Times New Roman"/>
          <w:highlight w:val="none"/>
        </w:rPr>
        <w:t>所有超低排放改造项目，本企业所在地属于一般区域，改造计划满足《关于推进实施水泥行业超低排放的意见》中对超低排放改造的要求</w:t>
      </w:r>
      <w:r>
        <w:rPr>
          <w:rFonts w:hint="eastAsia" w:cs="Times New Roman"/>
          <w:highlight w:val="none"/>
          <w:lang w:eastAsia="zh-CN"/>
        </w:rPr>
        <w:t>。</w:t>
      </w:r>
    </w:p>
    <w:p w14:paraId="0547F168">
      <w:pPr>
        <w:pStyle w:val="6"/>
        <w:rPr>
          <w:rFonts w:hint="default" w:ascii="Times New Roman" w:hAnsi="Times New Roman" w:eastAsia="宋体" w:cs="Times New Roman"/>
          <w:highlight w:val="none"/>
          <w:lang w:val="en-US" w:eastAsia="zh-CN"/>
        </w:rPr>
      </w:pPr>
      <w:r>
        <w:rPr>
          <w:rFonts w:hint="eastAsia" w:cs="Times New Roman"/>
          <w:highlight w:val="none"/>
          <w:lang w:eastAsia="zh-CN"/>
        </w:rPr>
        <w:t>（</w:t>
      </w:r>
      <w:r>
        <w:rPr>
          <w:rFonts w:hint="eastAsia" w:cs="Times New Roman"/>
          <w:highlight w:val="none"/>
          <w:lang w:val="en-US" w:eastAsia="zh-CN"/>
        </w:rPr>
        <w:t>6</w:t>
      </w:r>
      <w:r>
        <w:rPr>
          <w:rFonts w:hint="eastAsia" w:cs="Times New Roman"/>
          <w:highlight w:val="none"/>
          <w:lang w:eastAsia="zh-CN"/>
        </w:rPr>
        <w:t>）重污染天气重点行业应急减排</w:t>
      </w:r>
      <w:r>
        <w:rPr>
          <w:rFonts w:hint="eastAsia" w:cs="Times New Roman"/>
          <w:highlight w:val="none"/>
          <w:lang w:val="en-US" w:eastAsia="zh-CN"/>
        </w:rPr>
        <w:t>措施实行情况</w:t>
      </w:r>
    </w:p>
    <w:p w14:paraId="6E8E9FB3">
      <w:pPr>
        <w:pStyle w:val="6"/>
        <w:rPr>
          <w:rFonts w:hint="default" w:cs="Times New Roman"/>
          <w:highlight w:val="none"/>
          <w:lang w:val="en-US" w:eastAsia="zh-CN"/>
        </w:rPr>
      </w:pPr>
      <w:r>
        <w:rPr>
          <w:rFonts w:hint="eastAsia" w:cs="Times New Roman"/>
          <w:highlight w:val="none"/>
          <w:lang w:eastAsia="zh-CN"/>
        </w:rPr>
        <w:t>企业属于水泥制造企业，属于《重污染天气应急减排清单编制技术指南》中规定的重点行业，</w:t>
      </w:r>
      <w:r>
        <w:rPr>
          <w:rFonts w:hint="eastAsia" w:cs="Times New Roman"/>
          <w:highlight w:val="none"/>
          <w:lang w:val="en-US" w:eastAsia="zh-CN"/>
        </w:rPr>
        <w:t>需按要求编制重污染天气应急减排清单并按要求实行。</w:t>
      </w:r>
    </w:p>
    <w:p w14:paraId="685E6E21">
      <w:pPr>
        <w:pStyle w:val="6"/>
        <w:rPr>
          <w:rFonts w:hint="default" w:cs="Times New Roman"/>
          <w:highlight w:val="none"/>
          <w:lang w:val="en-US" w:eastAsia="zh-CN"/>
        </w:rPr>
      </w:pPr>
      <w:r>
        <w:rPr>
          <w:rFonts w:hint="eastAsia" w:cs="Times New Roman"/>
          <w:highlight w:val="none"/>
          <w:lang w:val="en-US" w:eastAsia="zh-CN"/>
        </w:rPr>
        <w:t>参照《重污染天气重点行业应急减排措施制定技术指南》（2022年版），企业重污染天气绩效分级情况见下表：</w:t>
      </w:r>
    </w:p>
    <w:p w14:paraId="51278B4D">
      <w:pPr>
        <w:pStyle w:val="6"/>
        <w:spacing w:line="240" w:lineRule="auto"/>
        <w:ind w:left="0" w:leftChars="0" w:right="0" w:rightChars="0" w:firstLine="0" w:firstLineChars="0"/>
        <w:jc w:val="center"/>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表3.1-20 水泥行业重污染天气绩效分级总表</w:t>
      </w:r>
    </w:p>
    <w:tbl>
      <w:tblPr>
        <w:tblStyle w:val="39"/>
        <w:tblW w:w="4998"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761"/>
        <w:gridCol w:w="1701"/>
        <w:gridCol w:w="1562"/>
        <w:gridCol w:w="814"/>
        <w:gridCol w:w="1761"/>
        <w:gridCol w:w="14"/>
      </w:tblGrid>
      <w:tr w14:paraId="46DE017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tblHeader/>
          <w:jc w:val="center"/>
        </w:trPr>
        <w:tc>
          <w:tcPr>
            <w:tcW w:w="529" w:type="pct"/>
            <w:tcBorders>
              <w:tl2br w:val="nil"/>
              <w:tr2bl w:val="nil"/>
            </w:tcBorders>
            <w:noWrap w:val="0"/>
            <w:vAlign w:val="center"/>
          </w:tcPr>
          <w:p w14:paraId="45AAD034">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b/>
                <w:bCs w:val="0"/>
                <w:sz w:val="21"/>
                <w:szCs w:val="21"/>
                <w:highlight w:val="none"/>
              </w:rPr>
            </w:pPr>
            <w:r>
              <w:rPr>
                <w:rFonts w:hint="default" w:ascii="Times New Roman" w:hAnsi="Times New Roman" w:eastAsia="宋体" w:cs="Times New Roman"/>
                <w:b/>
                <w:bCs w:val="0"/>
                <w:sz w:val="21"/>
                <w:szCs w:val="21"/>
                <w:highlight w:val="none"/>
              </w:rPr>
              <w:t>差异化指标</w:t>
            </w:r>
          </w:p>
        </w:tc>
        <w:tc>
          <w:tcPr>
            <w:tcW w:w="1034" w:type="pct"/>
            <w:tcBorders>
              <w:tl2br w:val="nil"/>
              <w:tr2bl w:val="nil"/>
            </w:tcBorders>
            <w:noWrap w:val="0"/>
            <w:vAlign w:val="center"/>
          </w:tcPr>
          <w:p w14:paraId="54891E4F">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b/>
                <w:bCs w:val="0"/>
                <w:sz w:val="21"/>
                <w:szCs w:val="21"/>
                <w:highlight w:val="none"/>
                <w:lang w:val="en-US" w:eastAsia="zh-CN"/>
              </w:rPr>
            </w:pPr>
            <w:r>
              <w:rPr>
                <w:rFonts w:hint="default" w:ascii="Times New Roman" w:hAnsi="Times New Roman" w:eastAsia="宋体" w:cs="Times New Roman"/>
                <w:b/>
                <w:bCs w:val="0"/>
                <w:sz w:val="21"/>
                <w:szCs w:val="21"/>
                <w:highlight w:val="none"/>
                <w:lang w:val="en-US" w:eastAsia="zh-CN"/>
              </w:rPr>
              <w:t>A级绩效指标</w:t>
            </w:r>
          </w:p>
        </w:tc>
        <w:tc>
          <w:tcPr>
            <w:tcW w:w="998" w:type="pct"/>
            <w:tcBorders>
              <w:tl2br w:val="nil"/>
              <w:tr2bl w:val="nil"/>
            </w:tcBorders>
            <w:noWrap w:val="0"/>
            <w:vAlign w:val="center"/>
          </w:tcPr>
          <w:p w14:paraId="4266EC87">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b/>
                <w:bCs w:val="0"/>
                <w:sz w:val="21"/>
                <w:szCs w:val="21"/>
                <w:highlight w:val="none"/>
                <w:lang w:val="en-US" w:eastAsia="zh-CN"/>
              </w:rPr>
            </w:pPr>
            <w:r>
              <w:rPr>
                <w:rFonts w:hint="default" w:ascii="Times New Roman" w:hAnsi="Times New Roman" w:eastAsia="宋体" w:cs="Times New Roman"/>
                <w:b/>
                <w:bCs w:val="0"/>
                <w:sz w:val="21"/>
                <w:szCs w:val="21"/>
                <w:highlight w:val="none"/>
                <w:lang w:val="en-US" w:eastAsia="zh-CN"/>
              </w:rPr>
              <w:t>B级绩效指标</w:t>
            </w:r>
          </w:p>
        </w:tc>
        <w:tc>
          <w:tcPr>
            <w:tcW w:w="917" w:type="pct"/>
            <w:tcBorders>
              <w:tl2br w:val="nil"/>
              <w:tr2bl w:val="nil"/>
            </w:tcBorders>
            <w:noWrap w:val="0"/>
            <w:vAlign w:val="center"/>
          </w:tcPr>
          <w:p w14:paraId="24757119">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b/>
                <w:bCs w:val="0"/>
                <w:kern w:val="2"/>
                <w:sz w:val="21"/>
                <w:szCs w:val="21"/>
                <w:highlight w:val="none"/>
                <w:lang w:val="en-US" w:eastAsia="zh-CN" w:bidi="ar-SA"/>
              </w:rPr>
            </w:pPr>
            <w:r>
              <w:rPr>
                <w:rFonts w:hint="default" w:ascii="Times New Roman" w:hAnsi="Times New Roman" w:eastAsia="宋体" w:cs="Times New Roman"/>
                <w:b/>
                <w:bCs w:val="0"/>
                <w:sz w:val="21"/>
                <w:szCs w:val="21"/>
                <w:highlight w:val="none"/>
                <w:lang w:val="en-US" w:eastAsia="zh-CN"/>
              </w:rPr>
              <w:t>C</w:t>
            </w:r>
            <w:r>
              <w:rPr>
                <w:rFonts w:hint="default" w:ascii="Times New Roman" w:hAnsi="Times New Roman" w:eastAsia="宋体" w:cs="Times New Roman"/>
                <w:b/>
                <w:bCs w:val="0"/>
                <w:sz w:val="21"/>
                <w:szCs w:val="21"/>
                <w:highlight w:val="none"/>
              </w:rPr>
              <w:t>级绩效指标</w:t>
            </w:r>
          </w:p>
        </w:tc>
        <w:tc>
          <w:tcPr>
            <w:tcW w:w="478" w:type="pct"/>
            <w:tcBorders>
              <w:tl2br w:val="nil"/>
              <w:tr2bl w:val="nil"/>
            </w:tcBorders>
            <w:noWrap w:val="0"/>
            <w:vAlign w:val="center"/>
          </w:tcPr>
          <w:p w14:paraId="393A92A2">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b/>
                <w:bCs w:val="0"/>
                <w:kern w:val="2"/>
                <w:sz w:val="21"/>
                <w:szCs w:val="21"/>
                <w:highlight w:val="none"/>
                <w:lang w:val="en-US" w:eastAsia="zh-CN" w:bidi="ar-SA"/>
              </w:rPr>
            </w:pPr>
            <w:r>
              <w:rPr>
                <w:rFonts w:hint="default" w:ascii="Times New Roman" w:hAnsi="Times New Roman" w:eastAsia="宋体" w:cs="Times New Roman"/>
                <w:b/>
                <w:bCs w:val="0"/>
                <w:kern w:val="2"/>
                <w:sz w:val="21"/>
                <w:szCs w:val="21"/>
                <w:highlight w:val="none"/>
                <w:lang w:val="en-US" w:eastAsia="zh-CN" w:bidi="ar-SA"/>
              </w:rPr>
              <w:t>D级绩效指标</w:t>
            </w:r>
          </w:p>
        </w:tc>
        <w:tc>
          <w:tcPr>
            <w:tcW w:w="1034" w:type="pct"/>
            <w:tcBorders>
              <w:tl2br w:val="nil"/>
              <w:tr2bl w:val="nil"/>
            </w:tcBorders>
            <w:noWrap w:val="0"/>
            <w:vAlign w:val="center"/>
          </w:tcPr>
          <w:p w14:paraId="50F15279">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b/>
                <w:bCs w:val="0"/>
                <w:sz w:val="21"/>
                <w:szCs w:val="21"/>
                <w:highlight w:val="none"/>
              </w:rPr>
            </w:pPr>
            <w:r>
              <w:rPr>
                <w:rFonts w:hint="default" w:ascii="Times New Roman" w:hAnsi="Times New Roman" w:eastAsia="宋体" w:cs="Times New Roman"/>
                <w:b/>
                <w:bCs w:val="0"/>
                <w:sz w:val="21"/>
                <w:szCs w:val="21"/>
                <w:highlight w:val="none"/>
              </w:rPr>
              <w:t>企业对标情况</w:t>
            </w:r>
          </w:p>
        </w:tc>
      </w:tr>
      <w:tr w14:paraId="604DB3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90" w:hRule="atLeast"/>
          <w:jc w:val="center"/>
        </w:trPr>
        <w:tc>
          <w:tcPr>
            <w:tcW w:w="529" w:type="pct"/>
            <w:tcBorders>
              <w:tl2br w:val="nil"/>
              <w:tr2bl w:val="nil"/>
            </w:tcBorders>
            <w:noWrap w:val="0"/>
            <w:vAlign w:val="center"/>
          </w:tcPr>
          <w:p w14:paraId="23F783C4">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装备水平</w:t>
            </w:r>
          </w:p>
        </w:tc>
        <w:tc>
          <w:tcPr>
            <w:tcW w:w="2033" w:type="pct"/>
            <w:gridSpan w:val="2"/>
            <w:tcBorders>
              <w:tl2br w:val="nil"/>
              <w:tr2bl w:val="nil"/>
            </w:tcBorders>
            <w:noWrap w:val="0"/>
            <w:vAlign w:val="center"/>
          </w:tcPr>
          <w:p w14:paraId="333966B4">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0"/>
                <w:sz w:val="21"/>
                <w:szCs w:val="21"/>
                <w:highlight w:val="none"/>
              </w:rPr>
              <w:t>采用不低于2000吨/日新型干法水泥熟料生产工艺、不低于1000吨/日特种</w:t>
            </w:r>
            <w:r>
              <w:rPr>
                <w:rFonts w:hint="default" w:ascii="Times New Roman" w:hAnsi="Times New Roman" w:eastAsia="宋体" w:cs="Times New Roman"/>
                <w:kern w:val="0"/>
                <w:sz w:val="21"/>
                <w:szCs w:val="21"/>
                <w:highlight w:val="none"/>
                <w:vertAlign w:val="superscript"/>
              </w:rPr>
              <w:t>a</w:t>
            </w:r>
            <w:r>
              <w:rPr>
                <w:rFonts w:hint="default" w:ascii="Times New Roman" w:hAnsi="Times New Roman" w:eastAsia="宋体" w:cs="Times New Roman"/>
                <w:kern w:val="0"/>
                <w:sz w:val="21"/>
                <w:szCs w:val="21"/>
                <w:highlight w:val="none"/>
              </w:rPr>
              <w:t>水泥熟料生产工艺</w:t>
            </w:r>
          </w:p>
        </w:tc>
        <w:tc>
          <w:tcPr>
            <w:tcW w:w="917" w:type="pct"/>
            <w:tcBorders>
              <w:tl2br w:val="nil"/>
              <w:tr2bl w:val="nil"/>
            </w:tcBorders>
            <w:noWrap w:val="0"/>
            <w:vAlign w:val="center"/>
          </w:tcPr>
          <w:p w14:paraId="308146CE">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采用2000吨/日（不含）以下新型干法水泥熟料生产工艺、1000吨/日（不含）以下特种</w:t>
            </w:r>
            <w:r>
              <w:rPr>
                <w:rFonts w:hint="default" w:ascii="Times New Roman" w:hAnsi="Times New Roman" w:eastAsia="宋体" w:cs="Times New Roman"/>
                <w:kern w:val="0"/>
                <w:sz w:val="21"/>
                <w:szCs w:val="21"/>
                <w:highlight w:val="none"/>
                <w:vertAlign w:val="superscript"/>
              </w:rPr>
              <w:t>a</w:t>
            </w:r>
            <w:r>
              <w:rPr>
                <w:rFonts w:hint="default" w:ascii="Times New Roman" w:hAnsi="Times New Roman" w:eastAsia="宋体" w:cs="Times New Roman"/>
                <w:kern w:val="0"/>
                <w:sz w:val="21"/>
                <w:szCs w:val="21"/>
                <w:highlight w:val="none"/>
              </w:rPr>
              <w:t>水泥熟料生产工艺</w:t>
            </w:r>
          </w:p>
        </w:tc>
        <w:tc>
          <w:tcPr>
            <w:tcW w:w="478" w:type="pct"/>
            <w:tcBorders>
              <w:tl2br w:val="nil"/>
              <w:tr2bl w:val="nil"/>
            </w:tcBorders>
            <w:noWrap w:val="0"/>
            <w:vAlign w:val="center"/>
          </w:tcPr>
          <w:p w14:paraId="468EEBC2">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其他</w:t>
            </w:r>
          </w:p>
        </w:tc>
        <w:tc>
          <w:tcPr>
            <w:tcW w:w="1034" w:type="pct"/>
            <w:tcBorders>
              <w:tl2br w:val="nil"/>
              <w:tr2bl w:val="nil"/>
            </w:tcBorders>
            <w:noWrap w:val="0"/>
            <w:vAlign w:val="center"/>
          </w:tcPr>
          <w:p w14:paraId="7953F6E7">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企业采用3200吨/日新型干法水泥熟料生产工艺（A、B级）</w:t>
            </w:r>
          </w:p>
        </w:tc>
      </w:tr>
      <w:tr w14:paraId="0A60A41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jc w:val="center"/>
        </w:trPr>
        <w:tc>
          <w:tcPr>
            <w:tcW w:w="529" w:type="pct"/>
            <w:tcBorders>
              <w:tl2br w:val="nil"/>
              <w:tr2bl w:val="nil"/>
            </w:tcBorders>
            <w:noWrap w:val="0"/>
            <w:vAlign w:val="center"/>
          </w:tcPr>
          <w:p w14:paraId="3D6FE03C">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污染治理技术</w:t>
            </w:r>
          </w:p>
        </w:tc>
        <w:tc>
          <w:tcPr>
            <w:tcW w:w="1034" w:type="pct"/>
            <w:tcBorders>
              <w:tl2br w:val="nil"/>
              <w:tr2bl w:val="nil"/>
            </w:tcBorders>
            <w:noWrap w:val="0"/>
            <w:vAlign w:val="center"/>
          </w:tcPr>
          <w:p w14:paraId="670D0874">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1、窑头、窑尾配备覆膜袋式等高效除尘设施（设计效率不低于99.99%），一般产尘点采用袋式除尘器；</w:t>
            </w:r>
          </w:p>
          <w:p w14:paraId="4812D874">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0"/>
                <w:sz w:val="21"/>
                <w:szCs w:val="21"/>
                <w:highlight w:val="none"/>
              </w:rPr>
              <w:t>2、水泥窑配备两种及以上低氮燃烧技术（包括低氮燃烧器，分风、分料、分煤燃烧，以及其他分解炉氧含量精细化管控技术等）+窑尾配备选择性非催化还原（SNCR）/窑尾配备选择性催化还原（SCR）等脱硝技术；每吨熟料氨水消耗量小于4千克</w:t>
            </w:r>
            <w:r>
              <w:rPr>
                <w:rFonts w:hint="default" w:ascii="Times New Roman" w:hAnsi="Times New Roman" w:eastAsia="宋体" w:cs="Times New Roman"/>
                <w:kern w:val="0"/>
                <w:sz w:val="21"/>
                <w:szCs w:val="21"/>
                <w:highlight w:val="none"/>
                <w:vertAlign w:val="superscript"/>
              </w:rPr>
              <w:t>b</w:t>
            </w:r>
            <w:r>
              <w:rPr>
                <w:rFonts w:hint="default" w:ascii="Times New Roman" w:hAnsi="Times New Roman" w:eastAsia="宋体" w:cs="Times New Roman"/>
                <w:kern w:val="0"/>
                <w:sz w:val="21"/>
                <w:szCs w:val="21"/>
                <w:highlight w:val="none"/>
              </w:rPr>
              <w:t>；窑磨同步运转率大于80%</w:t>
            </w:r>
          </w:p>
        </w:tc>
        <w:tc>
          <w:tcPr>
            <w:tcW w:w="998" w:type="pct"/>
            <w:tcBorders>
              <w:tl2br w:val="nil"/>
              <w:tr2bl w:val="nil"/>
            </w:tcBorders>
            <w:noWrap w:val="0"/>
            <w:vAlign w:val="center"/>
          </w:tcPr>
          <w:p w14:paraId="79771B14">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1、窑头、窑尾配备袋式除尘器/电除尘器/电袋除尘器，一般产尘点采用袋式除尘器；</w:t>
            </w:r>
          </w:p>
          <w:p w14:paraId="47DF90B3">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0"/>
                <w:sz w:val="21"/>
                <w:szCs w:val="21"/>
                <w:highlight w:val="none"/>
              </w:rPr>
              <w:t>2、水泥窑配备两种及以上低氮燃烧技术（包括低氮燃烧器，分风、分料、分煤燃烧，以及其他分解炉氧含量精细化管控技术等）+选择性非催化还原（SNCR：窑磨同步运转率大于80%）/窑尾配备选择性催化还原（SCR）等脱硝技术（每吨熟料氨水消耗量小于4千克</w:t>
            </w:r>
            <w:r>
              <w:rPr>
                <w:rFonts w:hint="default" w:ascii="Times New Roman" w:hAnsi="Times New Roman" w:eastAsia="宋体" w:cs="Times New Roman"/>
                <w:kern w:val="0"/>
                <w:sz w:val="21"/>
                <w:szCs w:val="21"/>
                <w:highlight w:val="none"/>
                <w:vertAlign w:val="superscript"/>
              </w:rPr>
              <w:t>b</w:t>
            </w:r>
            <w:r>
              <w:rPr>
                <w:rFonts w:hint="default" w:ascii="Times New Roman" w:hAnsi="Times New Roman" w:eastAsia="宋体" w:cs="Times New Roman"/>
                <w:kern w:val="0"/>
                <w:sz w:val="21"/>
                <w:szCs w:val="21"/>
                <w:highlight w:val="none"/>
              </w:rPr>
              <w:t>）</w:t>
            </w:r>
          </w:p>
        </w:tc>
        <w:tc>
          <w:tcPr>
            <w:tcW w:w="917" w:type="pct"/>
            <w:tcBorders>
              <w:tl2br w:val="nil"/>
              <w:tr2bl w:val="nil"/>
            </w:tcBorders>
            <w:noWrap w:val="0"/>
            <w:vAlign w:val="center"/>
          </w:tcPr>
          <w:p w14:paraId="4ACB107F">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1、窑头、窑尾配备袋式除尘器/电除尘器／电袋除尘器，一般产尘点采用袋式除尘器；</w:t>
            </w:r>
          </w:p>
          <w:p w14:paraId="7ABE7FDA">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2、水泥窑配备一种及以上低氮燃烧技术（包括低氮燃烧器，分风、分料、分煤燃烧，以及其他分解炉氧含量精细化管控技术等）+窑尾配备选择性非催化还原（SNCR）等脱硝技术</w:t>
            </w:r>
          </w:p>
        </w:tc>
        <w:tc>
          <w:tcPr>
            <w:tcW w:w="478" w:type="pct"/>
            <w:tcBorders>
              <w:tl2br w:val="nil"/>
              <w:tr2bl w:val="nil"/>
            </w:tcBorders>
            <w:noWrap w:val="0"/>
            <w:vAlign w:val="center"/>
          </w:tcPr>
          <w:p w14:paraId="52C4945A">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未达到C级要求</w:t>
            </w:r>
          </w:p>
        </w:tc>
        <w:tc>
          <w:tcPr>
            <w:tcW w:w="1034" w:type="pct"/>
            <w:tcBorders>
              <w:tl2br w:val="nil"/>
              <w:tr2bl w:val="nil"/>
            </w:tcBorders>
            <w:noWrap w:val="0"/>
            <w:vAlign w:val="center"/>
          </w:tcPr>
          <w:p w14:paraId="61D2CF1C">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1、企业窑头、窑尾均配备有高效除尘设施，一般产尘点均配备有袋式除尘器；</w:t>
            </w:r>
          </w:p>
          <w:p w14:paraId="59463955">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2、水泥窑窑尾配备有低氮燃烧+SNCR法脱硝装置</w:t>
            </w:r>
          </w:p>
          <w:p w14:paraId="4B2634E7">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（C级）</w:t>
            </w:r>
          </w:p>
        </w:tc>
      </w:tr>
      <w:tr w14:paraId="1828E38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jc w:val="center"/>
        </w:trPr>
        <w:tc>
          <w:tcPr>
            <w:tcW w:w="529" w:type="pct"/>
            <w:vMerge w:val="restart"/>
            <w:tcBorders>
              <w:tl2br w:val="nil"/>
              <w:tr2bl w:val="nil"/>
            </w:tcBorders>
            <w:noWrap w:val="0"/>
            <w:vAlign w:val="center"/>
          </w:tcPr>
          <w:p w14:paraId="30208883">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排放限值</w:t>
            </w:r>
          </w:p>
        </w:tc>
        <w:tc>
          <w:tcPr>
            <w:tcW w:w="1034" w:type="pct"/>
            <w:tcBorders>
              <w:tl2br w:val="nil"/>
              <w:tr2bl w:val="nil"/>
            </w:tcBorders>
            <w:noWrap w:val="0"/>
            <w:vAlign w:val="center"/>
          </w:tcPr>
          <w:p w14:paraId="1917D8B0">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0"/>
                <w:sz w:val="21"/>
                <w:szCs w:val="21"/>
                <w:highlight w:val="none"/>
              </w:rPr>
              <w:t>水泥窑及窑尾余热利用系统：PM、SO</w:t>
            </w:r>
            <w:r>
              <w:rPr>
                <w:rFonts w:hint="default" w:ascii="Times New Roman" w:hAnsi="Times New Roman" w:eastAsia="宋体" w:cs="Times New Roman"/>
                <w:kern w:val="0"/>
                <w:sz w:val="21"/>
                <w:szCs w:val="21"/>
                <w:highlight w:val="none"/>
                <w:vertAlign w:val="subscript"/>
              </w:rPr>
              <w:t>2</w:t>
            </w:r>
            <w:r>
              <w:rPr>
                <w:rFonts w:hint="default" w:ascii="Times New Roman" w:hAnsi="Times New Roman" w:eastAsia="宋体" w:cs="Times New Roman"/>
                <w:kern w:val="0"/>
                <w:sz w:val="21"/>
                <w:szCs w:val="21"/>
                <w:highlight w:val="none"/>
              </w:rPr>
              <w:t>、NO</w:t>
            </w:r>
            <w:r>
              <w:rPr>
                <w:rFonts w:hint="default" w:ascii="Times New Roman" w:hAnsi="Times New Roman" w:eastAsia="宋体" w:cs="Times New Roman"/>
                <w:kern w:val="0"/>
                <w:sz w:val="21"/>
                <w:szCs w:val="21"/>
                <w:highlight w:val="none"/>
                <w:vertAlign w:val="subscript"/>
              </w:rPr>
              <w:t>x</w:t>
            </w:r>
            <w:r>
              <w:rPr>
                <w:rFonts w:hint="default" w:ascii="Times New Roman" w:hAnsi="Times New Roman" w:eastAsia="宋体" w:cs="Times New Roman"/>
                <w:kern w:val="0"/>
                <w:sz w:val="21"/>
                <w:szCs w:val="21"/>
                <w:highlight w:val="none"/>
              </w:rPr>
              <w:t>排放浓度分别不高于10、35、50 mg/m</w:t>
            </w:r>
            <w:r>
              <w:rPr>
                <w:rFonts w:hint="default" w:ascii="Times New Roman" w:hAnsi="Times New Roman" w:eastAsia="宋体" w:cs="Times New Roman"/>
                <w:kern w:val="0"/>
                <w:sz w:val="21"/>
                <w:szCs w:val="21"/>
                <w:highlight w:val="none"/>
                <w:vertAlign w:val="superscript"/>
              </w:rPr>
              <w:t>3</w:t>
            </w:r>
            <w:r>
              <w:rPr>
                <w:rFonts w:hint="default" w:ascii="Times New Roman" w:hAnsi="Times New Roman" w:eastAsia="宋体" w:cs="Times New Roman"/>
                <w:kern w:val="0"/>
                <w:sz w:val="21"/>
                <w:szCs w:val="21"/>
                <w:highlight w:val="none"/>
              </w:rPr>
              <w:t>，氨逃逸≤5mg/m</w:t>
            </w:r>
            <w:r>
              <w:rPr>
                <w:rFonts w:hint="default" w:ascii="Times New Roman" w:hAnsi="Times New Roman" w:eastAsia="宋体" w:cs="Times New Roman"/>
                <w:kern w:val="0"/>
                <w:sz w:val="21"/>
                <w:szCs w:val="21"/>
                <w:highlight w:val="none"/>
                <w:vertAlign w:val="superscript"/>
              </w:rPr>
              <w:t>3</w:t>
            </w:r>
            <w:r>
              <w:rPr>
                <w:rFonts w:hint="default" w:ascii="Times New Roman" w:hAnsi="Times New Roman" w:eastAsia="宋体" w:cs="Times New Roman"/>
                <w:kern w:val="0"/>
                <w:sz w:val="21"/>
                <w:szCs w:val="21"/>
                <w:highlight w:val="none"/>
              </w:rPr>
              <w:t>（窑尾基准氧含量10%）；烘干系统利用余热；其他产尘点：PM排放浓度不高于10 mg/m</w:t>
            </w:r>
            <w:r>
              <w:rPr>
                <w:rFonts w:hint="default" w:ascii="Times New Roman" w:hAnsi="Times New Roman" w:eastAsia="宋体" w:cs="Times New Roman"/>
                <w:kern w:val="0"/>
                <w:sz w:val="21"/>
                <w:szCs w:val="21"/>
                <w:highlight w:val="none"/>
                <w:vertAlign w:val="superscript"/>
              </w:rPr>
              <w:t>3</w:t>
            </w:r>
          </w:p>
        </w:tc>
        <w:tc>
          <w:tcPr>
            <w:tcW w:w="998" w:type="pct"/>
            <w:tcBorders>
              <w:tl2br w:val="nil"/>
              <w:tr2bl w:val="nil"/>
            </w:tcBorders>
            <w:noWrap w:val="0"/>
            <w:vAlign w:val="center"/>
          </w:tcPr>
          <w:p w14:paraId="51C78FD9">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kern w:val="0"/>
                <w:sz w:val="21"/>
                <w:szCs w:val="21"/>
                <w:highlight w:val="none"/>
              </w:rPr>
              <w:t>水泥窑及窑尾余热利用系统：PM、SO</w:t>
            </w:r>
            <w:r>
              <w:rPr>
                <w:rFonts w:hint="default" w:ascii="Times New Roman" w:hAnsi="Times New Roman" w:eastAsia="宋体" w:cs="Times New Roman"/>
                <w:kern w:val="0"/>
                <w:sz w:val="21"/>
                <w:szCs w:val="21"/>
                <w:highlight w:val="none"/>
                <w:vertAlign w:val="subscript"/>
              </w:rPr>
              <w:t>2</w:t>
            </w:r>
            <w:r>
              <w:rPr>
                <w:rFonts w:hint="default" w:ascii="Times New Roman" w:hAnsi="Times New Roman" w:eastAsia="宋体" w:cs="Times New Roman"/>
                <w:kern w:val="0"/>
                <w:sz w:val="21"/>
                <w:szCs w:val="21"/>
                <w:highlight w:val="none"/>
              </w:rPr>
              <w:t>、NO</w:t>
            </w:r>
            <w:r>
              <w:rPr>
                <w:rFonts w:hint="default" w:ascii="Times New Roman" w:hAnsi="Times New Roman" w:eastAsia="宋体" w:cs="Times New Roman"/>
                <w:kern w:val="0"/>
                <w:sz w:val="21"/>
                <w:szCs w:val="21"/>
                <w:highlight w:val="none"/>
                <w:vertAlign w:val="subscript"/>
              </w:rPr>
              <w:t>x</w:t>
            </w:r>
            <w:r>
              <w:rPr>
                <w:rFonts w:hint="default" w:ascii="Times New Roman" w:hAnsi="Times New Roman" w:eastAsia="宋体" w:cs="Times New Roman"/>
                <w:kern w:val="0"/>
                <w:sz w:val="21"/>
                <w:szCs w:val="21"/>
                <w:highlight w:val="none"/>
              </w:rPr>
              <w:t>排放浓度分别不高于10、50、100mg/m</w:t>
            </w:r>
            <w:r>
              <w:rPr>
                <w:rFonts w:hint="default" w:ascii="Times New Roman" w:hAnsi="Times New Roman" w:eastAsia="宋体" w:cs="Times New Roman"/>
                <w:kern w:val="0"/>
                <w:sz w:val="21"/>
                <w:szCs w:val="21"/>
                <w:highlight w:val="none"/>
                <w:vertAlign w:val="superscript"/>
              </w:rPr>
              <w:t>3</w:t>
            </w:r>
            <w:r>
              <w:rPr>
                <w:rFonts w:hint="default" w:ascii="Times New Roman" w:hAnsi="Times New Roman" w:eastAsia="宋体" w:cs="Times New Roman"/>
                <w:kern w:val="0"/>
                <w:sz w:val="21"/>
                <w:szCs w:val="21"/>
                <w:highlight w:val="none"/>
              </w:rPr>
              <w:t>，氨逃逸≤8mg/m</w:t>
            </w:r>
            <w:r>
              <w:rPr>
                <w:rFonts w:hint="default" w:ascii="Times New Roman" w:hAnsi="Times New Roman" w:eastAsia="宋体" w:cs="Times New Roman"/>
                <w:kern w:val="0"/>
                <w:sz w:val="21"/>
                <w:szCs w:val="21"/>
                <w:highlight w:val="none"/>
                <w:vertAlign w:val="superscript"/>
              </w:rPr>
              <w:t>3</w:t>
            </w:r>
            <w:r>
              <w:rPr>
                <w:rFonts w:hint="default" w:ascii="Times New Roman" w:hAnsi="Times New Roman" w:eastAsia="宋体" w:cs="Times New Roman"/>
                <w:kern w:val="0"/>
                <w:sz w:val="21"/>
                <w:szCs w:val="21"/>
                <w:highlight w:val="none"/>
              </w:rPr>
              <w:t>（窑尾基准氧含量10%）；独立热源烘干机、烘干磨、煤磨及冷却机：PM、SO</w:t>
            </w:r>
            <w:r>
              <w:rPr>
                <w:rFonts w:hint="default" w:ascii="Times New Roman" w:hAnsi="Times New Roman" w:eastAsia="宋体" w:cs="Times New Roman"/>
                <w:kern w:val="0"/>
                <w:sz w:val="21"/>
                <w:szCs w:val="21"/>
                <w:highlight w:val="none"/>
                <w:vertAlign w:val="subscript"/>
              </w:rPr>
              <w:t>2</w:t>
            </w:r>
            <w:r>
              <w:rPr>
                <w:rFonts w:hint="default" w:ascii="Times New Roman" w:hAnsi="Times New Roman" w:eastAsia="宋体" w:cs="Times New Roman"/>
                <w:kern w:val="0"/>
                <w:sz w:val="21"/>
                <w:szCs w:val="21"/>
                <w:highlight w:val="none"/>
              </w:rPr>
              <w:t>、NO</w:t>
            </w:r>
            <w:r>
              <w:rPr>
                <w:rFonts w:hint="default" w:ascii="Times New Roman" w:hAnsi="Times New Roman" w:eastAsia="宋体" w:cs="Times New Roman"/>
                <w:kern w:val="0"/>
                <w:sz w:val="21"/>
                <w:szCs w:val="21"/>
                <w:highlight w:val="none"/>
                <w:vertAlign w:val="subscript"/>
              </w:rPr>
              <w:t>x</w:t>
            </w:r>
            <w:r>
              <w:rPr>
                <w:rFonts w:hint="default" w:ascii="Times New Roman" w:hAnsi="Times New Roman" w:eastAsia="宋体" w:cs="Times New Roman"/>
                <w:kern w:val="0"/>
                <w:sz w:val="21"/>
                <w:szCs w:val="21"/>
                <w:highlight w:val="none"/>
              </w:rPr>
              <w:t>排放浓度分别不高于10、50、150 mg/m</w:t>
            </w:r>
            <w:r>
              <w:rPr>
                <w:rFonts w:hint="default" w:ascii="Times New Roman" w:hAnsi="Times New Roman" w:eastAsia="宋体" w:cs="Times New Roman"/>
                <w:kern w:val="0"/>
                <w:sz w:val="21"/>
                <w:szCs w:val="21"/>
                <w:highlight w:val="none"/>
                <w:vertAlign w:val="superscript"/>
              </w:rPr>
              <w:t>3</w:t>
            </w:r>
            <w:r>
              <w:rPr>
                <w:rFonts w:hint="default" w:ascii="Times New Roman" w:hAnsi="Times New Roman" w:eastAsia="宋体" w:cs="Times New Roman"/>
                <w:kern w:val="0"/>
                <w:sz w:val="21"/>
                <w:szCs w:val="21"/>
                <w:highlight w:val="none"/>
              </w:rPr>
              <w:t>；其他产尘点：PM排放浓度不高于10 mg/m</w:t>
            </w:r>
            <w:r>
              <w:rPr>
                <w:rFonts w:hint="default" w:ascii="Times New Roman" w:hAnsi="Times New Roman" w:eastAsia="宋体" w:cs="Times New Roman"/>
                <w:kern w:val="0"/>
                <w:sz w:val="21"/>
                <w:szCs w:val="21"/>
                <w:highlight w:val="none"/>
                <w:vertAlign w:val="superscript"/>
              </w:rPr>
              <w:t>3</w:t>
            </w:r>
          </w:p>
        </w:tc>
        <w:tc>
          <w:tcPr>
            <w:tcW w:w="917" w:type="pct"/>
            <w:tcBorders>
              <w:tl2br w:val="nil"/>
              <w:tr2bl w:val="nil"/>
            </w:tcBorders>
            <w:noWrap w:val="0"/>
            <w:vAlign w:val="center"/>
          </w:tcPr>
          <w:p w14:paraId="0A01E506">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水泥窑及窑尾余热利用系统：PM、SO</w:t>
            </w:r>
            <w:r>
              <w:rPr>
                <w:rFonts w:hint="default" w:ascii="Times New Roman" w:hAnsi="Times New Roman" w:eastAsia="宋体" w:cs="Times New Roman"/>
                <w:kern w:val="0"/>
                <w:sz w:val="21"/>
                <w:szCs w:val="21"/>
                <w:highlight w:val="none"/>
                <w:vertAlign w:val="subscript"/>
              </w:rPr>
              <w:t>2</w:t>
            </w:r>
            <w:r>
              <w:rPr>
                <w:rFonts w:hint="default" w:ascii="Times New Roman" w:hAnsi="Times New Roman" w:eastAsia="宋体" w:cs="Times New Roman"/>
                <w:kern w:val="0"/>
                <w:sz w:val="21"/>
                <w:szCs w:val="21"/>
                <w:highlight w:val="none"/>
              </w:rPr>
              <w:t>、NOx排放浓度分别不高于20、100、260 mg/m</w:t>
            </w:r>
            <w:r>
              <w:rPr>
                <w:rFonts w:hint="default" w:ascii="Times New Roman" w:hAnsi="Times New Roman" w:eastAsia="宋体" w:cs="Times New Roman"/>
                <w:kern w:val="0"/>
                <w:sz w:val="21"/>
                <w:szCs w:val="21"/>
                <w:highlight w:val="none"/>
                <w:vertAlign w:val="superscript"/>
              </w:rPr>
              <w:t>3</w:t>
            </w:r>
            <w:r>
              <w:rPr>
                <w:rFonts w:hint="default" w:ascii="Times New Roman" w:hAnsi="Times New Roman" w:eastAsia="宋体" w:cs="Times New Roman"/>
                <w:kern w:val="0"/>
                <w:sz w:val="21"/>
                <w:szCs w:val="21"/>
                <w:highlight w:val="none"/>
              </w:rPr>
              <w:t>，氨逃逸≤8 mg/m</w:t>
            </w:r>
            <w:r>
              <w:rPr>
                <w:rFonts w:hint="default" w:ascii="Times New Roman" w:hAnsi="Times New Roman" w:eastAsia="宋体" w:cs="Times New Roman"/>
                <w:kern w:val="0"/>
                <w:sz w:val="21"/>
                <w:szCs w:val="21"/>
                <w:highlight w:val="none"/>
                <w:vertAlign w:val="superscript"/>
              </w:rPr>
              <w:t>3</w:t>
            </w:r>
            <w:r>
              <w:rPr>
                <w:rFonts w:hint="default" w:ascii="Times New Roman" w:hAnsi="Times New Roman" w:eastAsia="宋体" w:cs="Times New Roman"/>
                <w:kern w:val="0"/>
                <w:sz w:val="21"/>
                <w:szCs w:val="21"/>
                <w:highlight w:val="none"/>
              </w:rPr>
              <w:t>（基准氧含量10%）；独立热源烘干机、烘干磨、煤磨及冷却机：PM、SO</w:t>
            </w:r>
            <w:r>
              <w:rPr>
                <w:rFonts w:hint="default" w:ascii="Times New Roman" w:hAnsi="Times New Roman" w:eastAsia="宋体" w:cs="Times New Roman"/>
                <w:kern w:val="0"/>
                <w:sz w:val="21"/>
                <w:szCs w:val="21"/>
                <w:highlight w:val="none"/>
                <w:vertAlign w:val="subscript"/>
              </w:rPr>
              <w:t>2</w:t>
            </w:r>
            <w:r>
              <w:rPr>
                <w:rFonts w:hint="default" w:ascii="Times New Roman" w:hAnsi="Times New Roman" w:eastAsia="宋体" w:cs="Times New Roman"/>
                <w:kern w:val="0"/>
                <w:sz w:val="21"/>
                <w:szCs w:val="21"/>
                <w:highlight w:val="none"/>
              </w:rPr>
              <w:t>、NOx排放浓度分别不高于20、200、300 mg/m</w:t>
            </w:r>
            <w:r>
              <w:rPr>
                <w:rFonts w:hint="default" w:ascii="Times New Roman" w:hAnsi="Times New Roman" w:eastAsia="宋体" w:cs="Times New Roman"/>
                <w:kern w:val="0"/>
                <w:sz w:val="21"/>
                <w:szCs w:val="21"/>
                <w:highlight w:val="none"/>
                <w:vertAlign w:val="superscript"/>
              </w:rPr>
              <w:t>3</w:t>
            </w:r>
            <w:r>
              <w:rPr>
                <w:rFonts w:hint="default" w:ascii="Times New Roman" w:hAnsi="Times New Roman" w:eastAsia="宋体" w:cs="Times New Roman"/>
                <w:kern w:val="0"/>
                <w:sz w:val="21"/>
                <w:szCs w:val="21"/>
                <w:highlight w:val="none"/>
              </w:rPr>
              <w:t>；其他产尘点：PM排放浓度不高于20mg/m</w:t>
            </w:r>
            <w:r>
              <w:rPr>
                <w:rFonts w:hint="default" w:ascii="Times New Roman" w:hAnsi="Times New Roman" w:eastAsia="宋体" w:cs="Times New Roman"/>
                <w:kern w:val="0"/>
                <w:sz w:val="21"/>
                <w:szCs w:val="21"/>
                <w:highlight w:val="none"/>
                <w:vertAlign w:val="superscript"/>
              </w:rPr>
              <w:t>3</w:t>
            </w:r>
          </w:p>
        </w:tc>
        <w:tc>
          <w:tcPr>
            <w:tcW w:w="478" w:type="pct"/>
            <w:vMerge w:val="restart"/>
            <w:tcBorders>
              <w:tl2br w:val="nil"/>
              <w:tr2bl w:val="nil"/>
            </w:tcBorders>
            <w:noWrap w:val="0"/>
            <w:vAlign w:val="center"/>
          </w:tcPr>
          <w:p w14:paraId="61846D46">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未达到C级要求</w:t>
            </w:r>
          </w:p>
        </w:tc>
        <w:tc>
          <w:tcPr>
            <w:tcW w:w="1034" w:type="pct"/>
            <w:vMerge w:val="restart"/>
            <w:tcBorders>
              <w:tl2br w:val="nil"/>
              <w:tr2bl w:val="nil"/>
            </w:tcBorders>
            <w:noWrap w:val="0"/>
            <w:vAlign w:val="center"/>
          </w:tcPr>
          <w:p w14:paraId="04736EB4">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vertAlign w:val="baseline"/>
                <w:lang w:eastAsia="zh-CN"/>
              </w:rPr>
            </w:pPr>
            <w:r>
              <w:rPr>
                <w:rFonts w:hint="default" w:ascii="Times New Roman" w:hAnsi="Times New Roman" w:eastAsia="宋体" w:cs="Times New Roman"/>
                <w:sz w:val="21"/>
                <w:szCs w:val="21"/>
                <w:highlight w:val="none"/>
                <w:lang w:val="en-US" w:eastAsia="zh-CN"/>
              </w:rPr>
              <w:t>根据202</w:t>
            </w:r>
            <w:r>
              <w:rPr>
                <w:rFonts w:hint="eastAsia" w:ascii="Times New Roman" w:hAnsi="Times New Roman" w:eastAsia="宋体" w:cs="Times New Roman"/>
                <w:sz w:val="21"/>
                <w:szCs w:val="21"/>
                <w:highlight w:val="none"/>
                <w:lang w:val="en-US" w:eastAsia="zh-CN"/>
              </w:rPr>
              <w:t>5</w:t>
            </w:r>
            <w:r>
              <w:rPr>
                <w:rFonts w:hint="default" w:ascii="Times New Roman" w:hAnsi="Times New Roman" w:eastAsia="宋体" w:cs="Times New Roman"/>
                <w:sz w:val="21"/>
                <w:szCs w:val="21"/>
                <w:highlight w:val="none"/>
                <w:lang w:val="en-US" w:eastAsia="zh-CN"/>
              </w:rPr>
              <w:t>年</w:t>
            </w:r>
            <w:r>
              <w:rPr>
                <w:rFonts w:hint="eastAsia" w:ascii="Times New Roman" w:hAnsi="Times New Roman" w:eastAsia="宋体" w:cs="Times New Roman"/>
                <w:sz w:val="21"/>
                <w:szCs w:val="21"/>
                <w:highlight w:val="none"/>
                <w:lang w:val="en-US" w:eastAsia="zh-CN"/>
              </w:rPr>
              <w:t>8</w:t>
            </w:r>
            <w:r>
              <w:rPr>
                <w:rFonts w:hint="default" w:ascii="Times New Roman" w:hAnsi="Times New Roman" w:eastAsia="宋体" w:cs="Times New Roman"/>
                <w:sz w:val="21"/>
                <w:szCs w:val="21"/>
                <w:highlight w:val="none"/>
                <w:lang w:val="en-US" w:eastAsia="zh-CN"/>
              </w:rPr>
              <w:t>月企业厂区例行委外监测内容，水泥窑及窑尾余热利用系统：PM、S0</w:t>
            </w:r>
            <w:r>
              <w:rPr>
                <w:rFonts w:hint="default" w:ascii="Times New Roman" w:hAnsi="Times New Roman" w:eastAsia="宋体" w:cs="Times New Roman"/>
                <w:sz w:val="21"/>
                <w:szCs w:val="21"/>
                <w:highlight w:val="none"/>
                <w:vertAlign w:val="subscript"/>
                <w:lang w:val="en-US" w:eastAsia="zh-CN"/>
              </w:rPr>
              <w:t>2</w:t>
            </w:r>
            <w:r>
              <w:rPr>
                <w:rFonts w:hint="default" w:ascii="Times New Roman" w:hAnsi="Times New Roman" w:eastAsia="宋体" w:cs="Times New Roman"/>
                <w:sz w:val="21"/>
                <w:szCs w:val="21"/>
                <w:highlight w:val="none"/>
                <w:lang w:val="en-US" w:eastAsia="zh-CN"/>
              </w:rPr>
              <w:t>、NO</w:t>
            </w:r>
            <w:r>
              <w:rPr>
                <w:rFonts w:hint="default" w:ascii="Times New Roman" w:hAnsi="Times New Roman" w:eastAsia="宋体" w:cs="Times New Roman"/>
                <w:sz w:val="21"/>
                <w:szCs w:val="21"/>
                <w:highlight w:val="none"/>
                <w:vertAlign w:val="subscript"/>
                <w:lang w:val="en-US" w:eastAsia="zh-CN"/>
              </w:rPr>
              <w:t>x</w:t>
            </w:r>
            <w:r>
              <w:rPr>
                <w:rFonts w:hint="default" w:ascii="Times New Roman" w:hAnsi="Times New Roman" w:eastAsia="宋体" w:cs="Times New Roman"/>
                <w:sz w:val="21"/>
                <w:szCs w:val="21"/>
                <w:highlight w:val="none"/>
                <w:lang w:val="en-US" w:eastAsia="zh-CN"/>
              </w:rPr>
              <w:t>排放浓度分别为＜6.2、＜163、＜211mg/m</w:t>
            </w:r>
            <w:r>
              <w:rPr>
                <w:rFonts w:hint="default" w:ascii="Times New Roman" w:hAnsi="Times New Roman" w:eastAsia="宋体" w:cs="Times New Roman"/>
                <w:sz w:val="21"/>
                <w:szCs w:val="21"/>
                <w:highlight w:val="none"/>
                <w:vertAlign w:val="superscript"/>
                <w:lang w:val="en-US" w:eastAsia="zh-CN"/>
              </w:rPr>
              <w:t>3</w:t>
            </w:r>
            <w:r>
              <w:rPr>
                <w:rFonts w:hint="default" w:ascii="Times New Roman" w:hAnsi="Times New Roman" w:eastAsia="宋体" w:cs="Times New Roman"/>
                <w:sz w:val="21"/>
                <w:szCs w:val="21"/>
                <w:highlight w:val="none"/>
                <w:lang w:val="en-US" w:eastAsia="zh-CN"/>
              </w:rPr>
              <w:t>，氨逃逸＜</w:t>
            </w:r>
            <w:r>
              <w:rPr>
                <w:rFonts w:hint="eastAsia" w:ascii="Times New Roman" w:hAnsi="Times New Roman" w:eastAsia="宋体" w:cs="Times New Roman"/>
                <w:sz w:val="21"/>
                <w:szCs w:val="21"/>
                <w:highlight w:val="none"/>
                <w:lang w:val="en-US" w:eastAsia="zh-CN"/>
              </w:rPr>
              <w:t>4.93</w:t>
            </w:r>
            <w:r>
              <w:rPr>
                <w:rFonts w:hint="default" w:ascii="Times New Roman" w:hAnsi="Times New Roman" w:eastAsia="宋体" w:cs="Times New Roman"/>
                <w:sz w:val="21"/>
                <w:szCs w:val="21"/>
                <w:highlight w:val="none"/>
                <w:lang w:val="en-US" w:eastAsia="zh-CN"/>
              </w:rPr>
              <w:t>mg/m</w:t>
            </w:r>
            <w:r>
              <w:rPr>
                <w:rFonts w:hint="default" w:ascii="Times New Roman" w:hAnsi="Times New Roman" w:eastAsia="宋体" w:cs="Times New Roman"/>
                <w:sz w:val="21"/>
                <w:szCs w:val="21"/>
                <w:highlight w:val="none"/>
                <w:vertAlign w:val="superscript"/>
                <w:lang w:val="en-US" w:eastAsia="zh-CN"/>
              </w:rPr>
              <w:t>3</w:t>
            </w:r>
            <w:r>
              <w:rPr>
                <w:rFonts w:hint="default" w:ascii="Times New Roman" w:hAnsi="Times New Roman" w:eastAsia="宋体" w:cs="Times New Roman"/>
                <w:sz w:val="21"/>
                <w:szCs w:val="21"/>
                <w:highlight w:val="none"/>
              </w:rPr>
              <w:t>；其他产尘点PM排放浓度</w:t>
            </w:r>
            <w:r>
              <w:rPr>
                <w:rFonts w:hint="default" w:ascii="Times New Roman" w:hAnsi="Times New Roman" w:eastAsia="宋体" w:cs="Times New Roman"/>
                <w:sz w:val="21"/>
                <w:szCs w:val="21"/>
                <w:highlight w:val="none"/>
                <w:lang w:val="en-US" w:eastAsia="zh-CN"/>
              </w:rPr>
              <w:t>均＜</w:t>
            </w:r>
            <w:r>
              <w:rPr>
                <w:rFonts w:hint="eastAsia" w:ascii="Times New Roman" w:hAnsi="Times New Roman" w:eastAsia="宋体" w:cs="Times New Roman"/>
                <w:sz w:val="21"/>
                <w:szCs w:val="21"/>
                <w:highlight w:val="none"/>
                <w:lang w:val="en-US" w:eastAsia="zh-CN"/>
              </w:rPr>
              <w:t>11.4</w:t>
            </w:r>
            <w:r>
              <w:rPr>
                <w:rFonts w:hint="default" w:ascii="Times New Roman" w:hAnsi="Times New Roman" w:eastAsia="宋体" w:cs="Times New Roman"/>
                <w:sz w:val="21"/>
                <w:szCs w:val="21"/>
                <w:highlight w:val="none"/>
              </w:rPr>
              <w:t>mg/m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vertAlign w:val="baseline"/>
                <w:lang w:eastAsia="zh-CN"/>
              </w:rPr>
              <w:t>；</w:t>
            </w:r>
          </w:p>
          <w:p w14:paraId="6DC796AD">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vertAlign w:val="superscript"/>
              </w:rPr>
            </w:pPr>
            <w:r>
              <w:rPr>
                <w:rFonts w:hint="default" w:ascii="Times New Roman" w:hAnsi="Times New Roman" w:eastAsia="宋体" w:cs="Times New Roman"/>
                <w:sz w:val="21"/>
                <w:szCs w:val="21"/>
                <w:highlight w:val="none"/>
              </w:rPr>
              <w:t>排放口各项污染物自动监测浓度，一年内稳定运行达标占比在95%以上；厂界无组织排放浓度</w:t>
            </w:r>
            <w:r>
              <w:rPr>
                <w:rFonts w:hint="eastAsia" w:ascii="Times New Roman" w:hAnsi="Times New Roman" w:eastAsia="宋体" w:cs="Times New Roman"/>
                <w:sz w:val="21"/>
                <w:szCs w:val="21"/>
                <w:highlight w:val="none"/>
                <w:lang w:val="en-US" w:eastAsia="zh-CN"/>
              </w:rPr>
              <w:t>小于</w:t>
            </w:r>
            <w:r>
              <w:rPr>
                <w:rFonts w:hint="default" w:ascii="Times New Roman" w:hAnsi="Times New Roman" w:eastAsia="宋体" w:cs="Times New Roman"/>
                <w:sz w:val="21"/>
                <w:szCs w:val="21"/>
                <w:highlight w:val="none"/>
              </w:rPr>
              <w:t>0.5</w:t>
            </w:r>
            <w:r>
              <w:rPr>
                <w:rFonts w:hint="eastAsia" w:ascii="Times New Roman" w:hAnsi="Times New Roman" w:eastAsia="宋体" w:cs="Times New Roman"/>
                <w:sz w:val="21"/>
                <w:szCs w:val="21"/>
                <w:highlight w:val="none"/>
                <w:lang w:val="en-US" w:eastAsia="zh-CN"/>
              </w:rPr>
              <w:t>08</w:t>
            </w:r>
            <w:r>
              <w:rPr>
                <w:rFonts w:hint="default" w:ascii="Times New Roman" w:hAnsi="Times New Roman" w:eastAsia="宋体" w:cs="Times New Roman"/>
                <w:sz w:val="21"/>
                <w:szCs w:val="21"/>
                <w:highlight w:val="none"/>
              </w:rPr>
              <w:t>mg/m</w:t>
            </w:r>
            <w:r>
              <w:rPr>
                <w:rFonts w:hint="default" w:ascii="Times New Roman" w:hAnsi="Times New Roman" w:eastAsia="宋体" w:cs="Times New Roman"/>
                <w:sz w:val="21"/>
                <w:szCs w:val="21"/>
                <w:highlight w:val="none"/>
                <w:vertAlign w:val="superscript"/>
              </w:rPr>
              <w:t>3</w:t>
            </w:r>
          </w:p>
          <w:p w14:paraId="6D445B8D">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eastAsia="宋体" w:cs="Times New Roman"/>
                <w:sz w:val="21"/>
                <w:szCs w:val="21"/>
                <w:highlight w:val="none"/>
                <w:vertAlign w:val="baseline"/>
                <w:lang w:eastAsia="zh-CN"/>
              </w:rPr>
              <w:t>（</w:t>
            </w:r>
            <w:r>
              <w:rPr>
                <w:rFonts w:hint="eastAsia" w:ascii="Times New Roman" w:hAnsi="Times New Roman" w:eastAsia="宋体" w:cs="Times New Roman"/>
                <w:sz w:val="21"/>
                <w:szCs w:val="21"/>
                <w:highlight w:val="none"/>
                <w:vertAlign w:val="baseline"/>
                <w:lang w:val="en-US" w:eastAsia="zh-CN"/>
              </w:rPr>
              <w:t>D</w:t>
            </w:r>
            <w:r>
              <w:rPr>
                <w:rFonts w:hint="default" w:ascii="Times New Roman" w:hAnsi="Times New Roman" w:eastAsia="宋体" w:cs="Times New Roman"/>
                <w:sz w:val="21"/>
                <w:szCs w:val="21"/>
                <w:highlight w:val="none"/>
                <w:vertAlign w:val="baseline"/>
                <w:lang w:val="en-US" w:eastAsia="zh-CN"/>
              </w:rPr>
              <w:t>级</w:t>
            </w:r>
            <w:r>
              <w:rPr>
                <w:rFonts w:hint="default" w:ascii="Times New Roman" w:hAnsi="Times New Roman" w:eastAsia="宋体" w:cs="Times New Roman"/>
                <w:sz w:val="21"/>
                <w:szCs w:val="21"/>
                <w:highlight w:val="none"/>
                <w:vertAlign w:val="baseline"/>
                <w:lang w:eastAsia="zh-CN"/>
              </w:rPr>
              <w:t>）</w:t>
            </w:r>
          </w:p>
        </w:tc>
      </w:tr>
      <w:tr w14:paraId="08AA9D8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897" w:hRule="atLeast"/>
          <w:jc w:val="center"/>
        </w:trPr>
        <w:tc>
          <w:tcPr>
            <w:tcW w:w="529" w:type="pct"/>
            <w:vMerge w:val="continue"/>
            <w:tcBorders>
              <w:tl2br w:val="nil"/>
              <w:tr2bl w:val="nil"/>
            </w:tcBorders>
            <w:noWrap w:val="0"/>
            <w:vAlign w:val="center"/>
          </w:tcPr>
          <w:p w14:paraId="7DF44121">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p>
        </w:tc>
        <w:tc>
          <w:tcPr>
            <w:tcW w:w="2950" w:type="pct"/>
            <w:gridSpan w:val="3"/>
            <w:tcBorders>
              <w:tl2br w:val="nil"/>
              <w:tr2bl w:val="nil"/>
            </w:tcBorders>
            <w:noWrap w:val="0"/>
            <w:vAlign w:val="center"/>
          </w:tcPr>
          <w:p w14:paraId="2EC127C8">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排放口各项污染物自动监测浓度，一年内稳定运行达标占比在95%以上；厂界</w:t>
            </w:r>
            <w:r>
              <w:rPr>
                <w:rFonts w:hint="default" w:ascii="Times New Roman" w:hAnsi="Times New Roman" w:eastAsia="宋体" w:cs="Times New Roman"/>
                <w:kern w:val="0"/>
                <w:sz w:val="21"/>
                <w:szCs w:val="21"/>
                <w:highlight w:val="none"/>
                <w:lang w:val="en-US" w:eastAsia="zh-CN"/>
              </w:rPr>
              <w:t>PM</w:t>
            </w:r>
            <w:r>
              <w:rPr>
                <w:rFonts w:hint="default" w:ascii="Times New Roman" w:hAnsi="Times New Roman" w:eastAsia="宋体" w:cs="Times New Roman"/>
                <w:kern w:val="0"/>
                <w:sz w:val="21"/>
                <w:szCs w:val="21"/>
                <w:highlight w:val="none"/>
              </w:rPr>
              <w:t>无组织排放浓度不高于0.5 mg/m</w:t>
            </w:r>
            <w:r>
              <w:rPr>
                <w:rFonts w:hint="default" w:ascii="Times New Roman" w:hAnsi="Times New Roman" w:eastAsia="宋体" w:cs="Times New Roman"/>
                <w:kern w:val="0"/>
                <w:sz w:val="21"/>
                <w:szCs w:val="21"/>
                <w:highlight w:val="none"/>
                <w:vertAlign w:val="superscript"/>
              </w:rPr>
              <w:t>3</w:t>
            </w:r>
          </w:p>
        </w:tc>
        <w:tc>
          <w:tcPr>
            <w:tcW w:w="478" w:type="pct"/>
            <w:vMerge w:val="continue"/>
            <w:tcBorders>
              <w:tl2br w:val="nil"/>
              <w:tr2bl w:val="nil"/>
            </w:tcBorders>
            <w:noWrap w:val="0"/>
            <w:vAlign w:val="center"/>
          </w:tcPr>
          <w:p w14:paraId="27219366">
            <w:pPr>
              <w:keepNext w:val="0"/>
              <w:keepLines w:val="0"/>
              <w:pageBreakBefore w:val="0"/>
              <w:kinsoku/>
              <w:wordWrap/>
              <w:overflowPunct/>
              <w:topLinePunct w:val="0"/>
              <w:autoSpaceDE/>
              <w:autoSpaceDN/>
              <w:bidi w:val="0"/>
              <w:adjustRightInd w:val="0"/>
              <w:snapToGrid w:val="0"/>
              <w:spacing w:before="0" w:after="0" w:line="240" w:lineRule="auto"/>
              <w:ind w:left="0" w:firstLine="420" w:firstLineChars="200"/>
              <w:jc w:val="both"/>
              <w:textAlignment w:val="auto"/>
              <w:rPr>
                <w:rFonts w:hint="default" w:ascii="Times New Roman" w:hAnsi="Times New Roman" w:eastAsia="宋体" w:cs="Times New Roman"/>
                <w:kern w:val="0"/>
                <w:sz w:val="21"/>
                <w:szCs w:val="21"/>
                <w:highlight w:val="none"/>
              </w:rPr>
            </w:pPr>
          </w:p>
        </w:tc>
        <w:tc>
          <w:tcPr>
            <w:tcW w:w="1034" w:type="pct"/>
            <w:vMerge w:val="continue"/>
            <w:tcBorders>
              <w:tl2br w:val="nil"/>
              <w:tr2bl w:val="nil"/>
            </w:tcBorders>
            <w:noWrap w:val="0"/>
            <w:vAlign w:val="center"/>
          </w:tcPr>
          <w:p w14:paraId="36AC0763">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p>
        </w:tc>
      </w:tr>
      <w:tr w14:paraId="3149468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000" w:hRule="atLeast"/>
          <w:jc w:val="center"/>
        </w:trPr>
        <w:tc>
          <w:tcPr>
            <w:tcW w:w="529" w:type="pct"/>
            <w:vMerge w:val="restart"/>
            <w:tcBorders>
              <w:tl2br w:val="nil"/>
              <w:tr2bl w:val="nil"/>
            </w:tcBorders>
            <w:noWrap w:val="0"/>
            <w:vAlign w:val="center"/>
          </w:tcPr>
          <w:p w14:paraId="3C459281">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无组织管控</w:t>
            </w:r>
          </w:p>
        </w:tc>
        <w:tc>
          <w:tcPr>
            <w:tcW w:w="2950" w:type="pct"/>
            <w:gridSpan w:val="3"/>
            <w:tcBorders>
              <w:tl2br w:val="nil"/>
              <w:tr2bl w:val="nil"/>
            </w:tcBorders>
            <w:noWrap w:val="0"/>
            <w:vAlign w:val="center"/>
          </w:tcPr>
          <w:p w14:paraId="2856EA4A">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1、煤、粉状物料全部密闭或封闭储存；</w:t>
            </w:r>
          </w:p>
          <w:p w14:paraId="4F61A4DC">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2、物料采用封闭式皮带、斗提、斜槽运输，各物料破碎、转载、下料口设置集尘罩并配置袋式除尘器，库顶等泄压口配备袋式除尘器</w:t>
            </w:r>
          </w:p>
        </w:tc>
        <w:tc>
          <w:tcPr>
            <w:tcW w:w="478" w:type="pct"/>
            <w:vMerge w:val="restart"/>
            <w:tcBorders>
              <w:tl2br w:val="nil"/>
              <w:tr2bl w:val="nil"/>
            </w:tcBorders>
            <w:noWrap w:val="0"/>
            <w:vAlign w:val="center"/>
          </w:tcPr>
          <w:p w14:paraId="54BBC79D">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未达到C级要求</w:t>
            </w:r>
          </w:p>
        </w:tc>
        <w:tc>
          <w:tcPr>
            <w:tcW w:w="1034" w:type="pct"/>
            <w:vMerge w:val="restart"/>
            <w:tcBorders>
              <w:tl2br w:val="nil"/>
              <w:tr2bl w:val="nil"/>
            </w:tcBorders>
            <w:noWrap w:val="0"/>
            <w:vAlign w:val="center"/>
          </w:tcPr>
          <w:p w14:paraId="6A872FB2">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1、企业煤、粉状物料均置于封闭式储库内储存；</w:t>
            </w:r>
          </w:p>
          <w:p w14:paraId="5598264C">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2、企业物料均采用封闭式皮带、斗提</w:t>
            </w:r>
            <w:r>
              <w:rPr>
                <w:rFonts w:hint="default" w:ascii="Times New Roman" w:hAnsi="Times New Roman" w:eastAsia="宋体" w:cs="Times New Roman"/>
                <w:sz w:val="21"/>
                <w:szCs w:val="21"/>
                <w:highlight w:val="none"/>
              </w:rPr>
              <w:t>斜槽运输，各物料破碎、转载、下料口</w:t>
            </w:r>
            <w:r>
              <w:rPr>
                <w:rFonts w:hint="default" w:ascii="Times New Roman" w:hAnsi="Times New Roman" w:eastAsia="宋体" w:cs="Times New Roman"/>
                <w:sz w:val="21"/>
                <w:szCs w:val="21"/>
                <w:highlight w:val="none"/>
                <w:lang w:val="en-US" w:eastAsia="zh-CN"/>
              </w:rPr>
              <w:t>均</w:t>
            </w:r>
            <w:r>
              <w:rPr>
                <w:rFonts w:hint="default" w:ascii="Times New Roman" w:hAnsi="Times New Roman" w:eastAsia="宋体" w:cs="Times New Roman"/>
                <w:sz w:val="21"/>
                <w:szCs w:val="21"/>
                <w:highlight w:val="none"/>
              </w:rPr>
              <w:t>设置</w:t>
            </w:r>
            <w:r>
              <w:rPr>
                <w:rFonts w:hint="default" w:ascii="Times New Roman" w:hAnsi="Times New Roman" w:eastAsia="宋体" w:cs="Times New Roman"/>
                <w:sz w:val="21"/>
                <w:szCs w:val="21"/>
                <w:highlight w:val="none"/>
                <w:lang w:val="en-US" w:eastAsia="zh-CN"/>
              </w:rPr>
              <w:t>有</w:t>
            </w:r>
            <w:r>
              <w:rPr>
                <w:rFonts w:hint="default" w:ascii="Times New Roman" w:hAnsi="Times New Roman" w:eastAsia="宋体" w:cs="Times New Roman"/>
                <w:sz w:val="21"/>
                <w:szCs w:val="21"/>
                <w:highlight w:val="none"/>
              </w:rPr>
              <w:t>集尘罩并配置袋式除尘器，库顶等泄压口</w:t>
            </w:r>
            <w:r>
              <w:rPr>
                <w:rFonts w:hint="default" w:ascii="Times New Roman" w:hAnsi="Times New Roman" w:eastAsia="宋体" w:cs="Times New Roman"/>
                <w:sz w:val="21"/>
                <w:szCs w:val="21"/>
                <w:highlight w:val="none"/>
                <w:lang w:val="en-US" w:eastAsia="zh-CN"/>
              </w:rPr>
              <w:t>均</w:t>
            </w:r>
            <w:r>
              <w:rPr>
                <w:rFonts w:hint="default" w:ascii="Times New Roman" w:hAnsi="Times New Roman" w:eastAsia="宋体" w:cs="Times New Roman"/>
                <w:sz w:val="21"/>
                <w:szCs w:val="21"/>
                <w:highlight w:val="none"/>
              </w:rPr>
              <w:t>配备袋式除尘器</w:t>
            </w:r>
            <w:r>
              <w:rPr>
                <w:rFonts w:hint="default" w:ascii="Times New Roman" w:hAnsi="Times New Roman" w:eastAsia="宋体" w:cs="Times New Roman"/>
                <w:sz w:val="21"/>
                <w:szCs w:val="21"/>
                <w:highlight w:val="none"/>
                <w:lang w:eastAsia="zh-CN"/>
              </w:rPr>
              <w:t>；</w:t>
            </w:r>
          </w:p>
          <w:p w14:paraId="398E3313">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sz w:val="21"/>
                <w:szCs w:val="21"/>
                <w:highlight w:val="none"/>
                <w:lang w:val="en-US" w:eastAsia="zh-CN"/>
              </w:rPr>
              <w:t>3、</w:t>
            </w:r>
            <w:r>
              <w:rPr>
                <w:rFonts w:hint="default" w:ascii="Times New Roman" w:hAnsi="Times New Roman" w:eastAsia="宋体" w:cs="Times New Roman"/>
                <w:kern w:val="0"/>
                <w:sz w:val="21"/>
                <w:szCs w:val="21"/>
                <w:highlight w:val="none"/>
              </w:rPr>
              <w:t>料棚出入口配备自动门，其他物料全部封闭或半封闭储存；熟料卸车点位采用集中通风除尘系统，水泥包装车间全封闭；袋装水泥装车点位采用集中通风除尘系统，水泥散装采用密闭罐车，并配备带抽风口的散装卸料器</w:t>
            </w:r>
          </w:p>
          <w:p w14:paraId="271BB8AF">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eastAsia="zh-CN"/>
              </w:rPr>
              <w:t>（</w:t>
            </w:r>
            <w:r>
              <w:rPr>
                <w:rFonts w:hint="default" w:ascii="Times New Roman" w:hAnsi="Times New Roman" w:eastAsia="宋体" w:cs="Times New Roman"/>
                <w:kern w:val="0"/>
                <w:sz w:val="21"/>
                <w:szCs w:val="21"/>
                <w:highlight w:val="none"/>
                <w:lang w:val="en-US" w:eastAsia="zh-CN"/>
              </w:rPr>
              <w:t>B级</w:t>
            </w:r>
            <w:r>
              <w:rPr>
                <w:rFonts w:hint="default" w:ascii="Times New Roman" w:hAnsi="Times New Roman" w:eastAsia="宋体" w:cs="Times New Roman"/>
                <w:kern w:val="0"/>
                <w:sz w:val="21"/>
                <w:szCs w:val="21"/>
                <w:highlight w:val="none"/>
                <w:lang w:eastAsia="zh-CN"/>
              </w:rPr>
              <w:t>）</w:t>
            </w:r>
          </w:p>
        </w:tc>
      </w:tr>
      <w:tr w14:paraId="479E01C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1188" w:hRule="atLeast"/>
          <w:jc w:val="center"/>
        </w:trPr>
        <w:tc>
          <w:tcPr>
            <w:tcW w:w="529" w:type="pct"/>
            <w:vMerge w:val="continue"/>
            <w:tcBorders>
              <w:tl2br w:val="nil"/>
              <w:tr2bl w:val="nil"/>
            </w:tcBorders>
            <w:noWrap w:val="0"/>
            <w:vAlign w:val="center"/>
          </w:tcPr>
          <w:p w14:paraId="663F47E5">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p>
        </w:tc>
        <w:tc>
          <w:tcPr>
            <w:tcW w:w="1034" w:type="pct"/>
            <w:tcBorders>
              <w:tl2br w:val="nil"/>
              <w:tr2bl w:val="nil"/>
            </w:tcBorders>
            <w:noWrap w:val="0"/>
            <w:vAlign w:val="center"/>
          </w:tcPr>
          <w:p w14:paraId="1734B1AA">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料棚配备抑尘设施，料棚出入口配备自动门，其他物料全部封闭储存；熟料卸车点位采用集中通风除尘系统，水泥包装车间全封闭；袋装水泥装车点位采用集中通风除尘系统，水泥散装采用密闭罐车，并配备带抽风口的散装卸料器</w:t>
            </w:r>
          </w:p>
        </w:tc>
        <w:tc>
          <w:tcPr>
            <w:tcW w:w="998" w:type="pct"/>
            <w:tcBorders>
              <w:tl2br w:val="nil"/>
              <w:tr2bl w:val="nil"/>
            </w:tcBorders>
            <w:noWrap w:val="0"/>
            <w:vAlign w:val="center"/>
          </w:tcPr>
          <w:p w14:paraId="086A96A9">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料棚出入口配备自动门，其他物料全部封闭或半封闭储存；熟料卸车点位采用集中通风除尘系统，水泥包装车间全封闭；袋装水泥装车点位采用集中通风除尘系统，水泥散装采用密闭罐车，并配备带抽风口的散装卸料器</w:t>
            </w:r>
          </w:p>
        </w:tc>
        <w:tc>
          <w:tcPr>
            <w:tcW w:w="917" w:type="pct"/>
            <w:tcBorders>
              <w:tl2br w:val="nil"/>
              <w:tr2bl w:val="nil"/>
            </w:tcBorders>
            <w:noWrap w:val="0"/>
            <w:vAlign w:val="center"/>
          </w:tcPr>
          <w:p w14:paraId="74BF5C18">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其他块石、粘湿物料等辅材设置不低于堆放物高度的严密围挡，并采取有效覆盖等措施；水泥包装车间全封闭，水泥散装采用密闭罐车</w:t>
            </w:r>
          </w:p>
        </w:tc>
        <w:tc>
          <w:tcPr>
            <w:tcW w:w="478" w:type="pct"/>
            <w:vMerge w:val="continue"/>
            <w:tcBorders>
              <w:tl2br w:val="nil"/>
              <w:tr2bl w:val="nil"/>
            </w:tcBorders>
            <w:noWrap w:val="0"/>
            <w:vAlign w:val="center"/>
          </w:tcPr>
          <w:p w14:paraId="7473F7A9">
            <w:pPr>
              <w:keepNext w:val="0"/>
              <w:keepLines w:val="0"/>
              <w:pageBreakBefore w:val="0"/>
              <w:widowControl/>
              <w:kinsoku/>
              <w:wordWrap/>
              <w:overflowPunct/>
              <w:topLinePunct w:val="0"/>
              <w:autoSpaceDE/>
              <w:autoSpaceDN/>
              <w:bidi w:val="0"/>
              <w:adjustRightInd w:val="0"/>
              <w:snapToGrid w:val="0"/>
              <w:spacing w:before="0" w:after="0" w:line="240" w:lineRule="auto"/>
              <w:ind w:left="0" w:firstLine="420" w:firstLineChars="200"/>
              <w:jc w:val="both"/>
              <w:textAlignment w:val="auto"/>
              <w:rPr>
                <w:rFonts w:hint="default" w:ascii="Times New Roman" w:hAnsi="Times New Roman" w:eastAsia="宋体" w:cs="Times New Roman"/>
                <w:kern w:val="2"/>
                <w:sz w:val="21"/>
                <w:szCs w:val="21"/>
                <w:highlight w:val="none"/>
                <w:lang w:val="en-US" w:eastAsia="zh-CN" w:bidi="ar-SA"/>
              </w:rPr>
            </w:pPr>
          </w:p>
        </w:tc>
        <w:tc>
          <w:tcPr>
            <w:tcW w:w="1034" w:type="pct"/>
            <w:vMerge w:val="continue"/>
            <w:tcBorders>
              <w:tl2br w:val="nil"/>
              <w:tr2bl w:val="nil"/>
            </w:tcBorders>
            <w:noWrap w:val="0"/>
            <w:vAlign w:val="center"/>
          </w:tcPr>
          <w:p w14:paraId="5899FFA8">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p>
        </w:tc>
      </w:tr>
      <w:tr w14:paraId="4A3A082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564" w:hRule="atLeast"/>
          <w:jc w:val="center"/>
        </w:trPr>
        <w:tc>
          <w:tcPr>
            <w:tcW w:w="529" w:type="pct"/>
            <w:vMerge w:val="restart"/>
            <w:tcBorders>
              <w:tl2br w:val="nil"/>
              <w:tr2bl w:val="nil"/>
            </w:tcBorders>
            <w:noWrap w:val="0"/>
            <w:vAlign w:val="center"/>
          </w:tcPr>
          <w:p w14:paraId="7D5A93C1">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监测监控水平</w:t>
            </w:r>
          </w:p>
        </w:tc>
        <w:tc>
          <w:tcPr>
            <w:tcW w:w="2033" w:type="pct"/>
            <w:gridSpan w:val="2"/>
            <w:tcBorders>
              <w:tl2br w:val="nil"/>
              <w:tr2bl w:val="nil"/>
            </w:tcBorders>
            <w:noWrap w:val="0"/>
            <w:vAlign w:val="center"/>
          </w:tcPr>
          <w:p w14:paraId="261AC1AC">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水泥窑安装DCS，重点排污企业主要排放口</w:t>
            </w:r>
            <w:r>
              <w:rPr>
                <w:rFonts w:hint="default" w:ascii="Times New Roman" w:hAnsi="Times New Roman" w:eastAsia="宋体" w:cs="Times New Roman"/>
                <w:kern w:val="0"/>
                <w:sz w:val="21"/>
                <w:szCs w:val="21"/>
                <w:highlight w:val="none"/>
                <w:vertAlign w:val="superscript"/>
              </w:rPr>
              <w:t>c</w:t>
            </w:r>
            <w:r>
              <w:rPr>
                <w:rFonts w:hint="default" w:ascii="Times New Roman" w:hAnsi="Times New Roman" w:eastAsia="宋体" w:cs="Times New Roman"/>
                <w:kern w:val="0"/>
                <w:sz w:val="21"/>
                <w:szCs w:val="21"/>
                <w:highlight w:val="none"/>
              </w:rPr>
              <w:t>安装CEMS（含氨逃逸在线监测）；DCS、CEMS监控等数据保存一年以上</w:t>
            </w:r>
          </w:p>
        </w:tc>
        <w:tc>
          <w:tcPr>
            <w:tcW w:w="1395" w:type="pct"/>
            <w:gridSpan w:val="2"/>
            <w:tcBorders>
              <w:tl2br w:val="nil"/>
              <w:tr2bl w:val="nil"/>
            </w:tcBorders>
            <w:noWrap w:val="0"/>
            <w:vAlign w:val="center"/>
          </w:tcPr>
          <w:p w14:paraId="5171FBF0">
            <w:pPr>
              <w:keepNext w:val="0"/>
              <w:keepLines w:val="0"/>
              <w:pageBreakBefore w:val="0"/>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水泥窑安装DCS，重点排污企业主要排放口</w:t>
            </w:r>
            <w:r>
              <w:rPr>
                <w:rFonts w:hint="default" w:ascii="Times New Roman" w:hAnsi="Times New Roman" w:eastAsia="宋体" w:cs="Times New Roman"/>
                <w:kern w:val="0"/>
                <w:sz w:val="21"/>
                <w:szCs w:val="21"/>
                <w:highlight w:val="none"/>
                <w:vertAlign w:val="superscript"/>
              </w:rPr>
              <w:t>c</w:t>
            </w:r>
            <w:r>
              <w:rPr>
                <w:rFonts w:hint="default" w:ascii="Times New Roman" w:hAnsi="Times New Roman" w:eastAsia="宋体" w:cs="Times New Roman"/>
                <w:kern w:val="0"/>
                <w:sz w:val="21"/>
                <w:szCs w:val="21"/>
                <w:highlight w:val="none"/>
              </w:rPr>
              <w:t>安装CEMS；DCS、CEMS监控等数据保存一年以上</w:t>
            </w:r>
          </w:p>
        </w:tc>
        <w:tc>
          <w:tcPr>
            <w:tcW w:w="1034" w:type="pct"/>
            <w:vMerge w:val="restart"/>
            <w:tcBorders>
              <w:tl2br w:val="nil"/>
              <w:tr2bl w:val="nil"/>
            </w:tcBorders>
            <w:noWrap w:val="0"/>
            <w:vAlign w:val="center"/>
          </w:tcPr>
          <w:p w14:paraId="1878F6A5">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企业水泥窑安装DCS，主要排放口</w:t>
            </w:r>
            <w:r>
              <w:rPr>
                <w:rFonts w:hint="default" w:ascii="Times New Roman" w:hAnsi="Times New Roman" w:eastAsia="宋体" w:cs="Times New Roman"/>
                <w:sz w:val="21"/>
                <w:szCs w:val="21"/>
                <w:highlight w:val="none"/>
                <w:vertAlign w:val="superscript"/>
                <w:lang w:val="en-US" w:eastAsia="zh-CN"/>
              </w:rPr>
              <w:t>c</w:t>
            </w:r>
            <w:r>
              <w:rPr>
                <w:rFonts w:hint="default" w:ascii="Times New Roman" w:hAnsi="Times New Roman" w:eastAsia="宋体" w:cs="Times New Roman"/>
                <w:sz w:val="21"/>
                <w:szCs w:val="21"/>
                <w:highlight w:val="none"/>
                <w:lang w:val="en-US" w:eastAsia="zh-CN"/>
              </w:rPr>
              <w:t>安装有CEMS；DCS、CEMS监控等数据保存一年以上；企业安装有污染源视频监控系统，视频监控数据保存在三个月以上</w:t>
            </w:r>
          </w:p>
          <w:p w14:paraId="05E63A37">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（C级）</w:t>
            </w:r>
          </w:p>
        </w:tc>
      </w:tr>
      <w:tr w14:paraId="6286E3F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535" w:hRule="atLeast"/>
          <w:jc w:val="center"/>
        </w:trPr>
        <w:tc>
          <w:tcPr>
            <w:tcW w:w="529" w:type="pct"/>
            <w:vMerge w:val="continue"/>
            <w:tcBorders>
              <w:tl2br w:val="nil"/>
              <w:tr2bl w:val="nil"/>
            </w:tcBorders>
            <w:noWrap w:val="0"/>
            <w:vAlign w:val="center"/>
          </w:tcPr>
          <w:p w14:paraId="757A0315">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p>
        </w:tc>
        <w:tc>
          <w:tcPr>
            <w:tcW w:w="2033" w:type="pct"/>
            <w:gridSpan w:val="2"/>
            <w:tcBorders>
              <w:tl2br w:val="nil"/>
              <w:tr2bl w:val="nil"/>
            </w:tcBorders>
            <w:noWrap w:val="0"/>
            <w:vAlign w:val="center"/>
          </w:tcPr>
          <w:p w14:paraId="68F91BD1">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料场车辆出入口等易产尘点，安装高清视频监控设施，视频监控数据保存三个月以上</w:t>
            </w:r>
          </w:p>
        </w:tc>
        <w:tc>
          <w:tcPr>
            <w:tcW w:w="1395" w:type="pct"/>
            <w:gridSpan w:val="2"/>
            <w:tcBorders>
              <w:tl2br w:val="nil"/>
              <w:tr2bl w:val="nil"/>
            </w:tcBorders>
            <w:noWrap w:val="0"/>
            <w:vAlign w:val="center"/>
          </w:tcPr>
          <w:p w14:paraId="7EC40BCB">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highlight w:val="none"/>
              </w:rPr>
              <w:t>未达到A、B级要求</w:t>
            </w:r>
          </w:p>
        </w:tc>
        <w:tc>
          <w:tcPr>
            <w:tcW w:w="1034" w:type="pct"/>
            <w:vMerge w:val="continue"/>
            <w:tcBorders>
              <w:tl2br w:val="nil"/>
              <w:tr2bl w:val="nil"/>
            </w:tcBorders>
            <w:noWrap w:val="0"/>
            <w:vAlign w:val="center"/>
          </w:tcPr>
          <w:p w14:paraId="6F143A2F">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p>
        </w:tc>
      </w:tr>
      <w:tr w14:paraId="7C3EA0B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jc w:val="center"/>
        </w:trPr>
        <w:tc>
          <w:tcPr>
            <w:tcW w:w="529" w:type="pct"/>
            <w:vMerge w:val="restart"/>
            <w:tcBorders>
              <w:tl2br w:val="nil"/>
              <w:tr2bl w:val="nil"/>
            </w:tcBorders>
            <w:noWrap w:val="0"/>
            <w:vAlign w:val="center"/>
          </w:tcPr>
          <w:p w14:paraId="121A0355">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环境管理水平</w:t>
            </w:r>
          </w:p>
        </w:tc>
        <w:tc>
          <w:tcPr>
            <w:tcW w:w="3428" w:type="pct"/>
            <w:gridSpan w:val="4"/>
            <w:tcBorders>
              <w:tl2br w:val="nil"/>
              <w:tr2bl w:val="nil"/>
            </w:tcBorders>
            <w:noWrap w:val="0"/>
            <w:vAlign w:val="center"/>
          </w:tcPr>
          <w:p w14:paraId="08C07D2C">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环保档案齐全：1、环评批复文件；2、排污许可证及季度、年度执行报告；3、竣工验收文件；4、废气治理设施运行管理规程；5、一年内第三方废气监测报告</w:t>
            </w:r>
          </w:p>
        </w:tc>
        <w:tc>
          <w:tcPr>
            <w:tcW w:w="1034" w:type="pct"/>
            <w:vMerge w:val="restart"/>
            <w:tcBorders>
              <w:tl2br w:val="nil"/>
              <w:tr2bl w:val="nil"/>
            </w:tcBorders>
            <w:noWrap w:val="0"/>
            <w:vAlign w:val="center"/>
          </w:tcPr>
          <w:p w14:paraId="7A935F1E">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企业各项环保档案均齐全；各项台账记录均存档；企业设置有环保部门，配置了专职环保人员，且具备相应环境管理能力</w:t>
            </w:r>
          </w:p>
          <w:p w14:paraId="46E42957">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w:t>
            </w:r>
            <w:r>
              <w:rPr>
                <w:rFonts w:hint="eastAsia" w:ascii="Times New Roman" w:hAnsi="Times New Roman" w:eastAsia="宋体" w:cs="Times New Roman"/>
                <w:sz w:val="21"/>
                <w:szCs w:val="21"/>
                <w:highlight w:val="none"/>
                <w:lang w:val="en-US" w:eastAsia="zh-CN"/>
              </w:rPr>
              <w:t>A、B</w:t>
            </w:r>
            <w:r>
              <w:rPr>
                <w:rFonts w:hint="default" w:ascii="Times New Roman" w:hAnsi="Times New Roman" w:eastAsia="宋体" w:cs="Times New Roman"/>
                <w:sz w:val="21"/>
                <w:szCs w:val="21"/>
                <w:highlight w:val="none"/>
                <w:lang w:val="en-US" w:eastAsia="zh-CN"/>
              </w:rPr>
              <w:t>级）</w:t>
            </w:r>
          </w:p>
        </w:tc>
      </w:tr>
      <w:tr w14:paraId="2CDC9D8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jc w:val="center"/>
        </w:trPr>
        <w:tc>
          <w:tcPr>
            <w:tcW w:w="529" w:type="pct"/>
            <w:vMerge w:val="continue"/>
            <w:tcBorders>
              <w:tl2br w:val="nil"/>
              <w:tr2bl w:val="nil"/>
            </w:tcBorders>
            <w:noWrap w:val="0"/>
            <w:vAlign w:val="center"/>
          </w:tcPr>
          <w:p w14:paraId="6481E05D">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p>
        </w:tc>
        <w:tc>
          <w:tcPr>
            <w:tcW w:w="2033" w:type="pct"/>
            <w:gridSpan w:val="2"/>
            <w:tcBorders>
              <w:tl2br w:val="nil"/>
              <w:tr2bl w:val="nil"/>
            </w:tcBorders>
            <w:noWrap w:val="0"/>
            <w:vAlign w:val="center"/>
          </w:tcPr>
          <w:p w14:paraId="7525B482">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台账记录：1、生产设施运行管理信息（生产时间、运行负荷、产品产量等）；2、废气污染治理设施运行管理信息（除尘滤料更换量和时间、脱硝剂添加量和时间、含烟气量和污染物出口浓度的月度DCS曲线图等）；3、监测记录信息（主要污染排放口废气排放记录（手工监测和在线监测）等）；4、主要原辅材料消耗记录；5、燃料（天然气）消耗记录</w:t>
            </w:r>
          </w:p>
        </w:tc>
        <w:tc>
          <w:tcPr>
            <w:tcW w:w="917" w:type="pct"/>
            <w:tcBorders>
              <w:tl2br w:val="nil"/>
              <w:tr2bl w:val="nil"/>
            </w:tcBorders>
            <w:noWrap w:val="0"/>
            <w:vAlign w:val="center"/>
          </w:tcPr>
          <w:p w14:paraId="3ADED07E">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至少符合A级要求中1、2、3项</w:t>
            </w:r>
          </w:p>
        </w:tc>
        <w:tc>
          <w:tcPr>
            <w:tcW w:w="478" w:type="pct"/>
            <w:tcBorders>
              <w:tl2br w:val="nil"/>
              <w:tr2bl w:val="nil"/>
            </w:tcBorders>
            <w:noWrap w:val="0"/>
            <w:vAlign w:val="center"/>
          </w:tcPr>
          <w:p w14:paraId="096E3817">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未达到C级要求</w:t>
            </w:r>
          </w:p>
        </w:tc>
        <w:tc>
          <w:tcPr>
            <w:tcW w:w="1034" w:type="pct"/>
            <w:vMerge w:val="continue"/>
            <w:tcBorders>
              <w:tl2br w:val="nil"/>
              <w:tr2bl w:val="nil"/>
            </w:tcBorders>
            <w:noWrap w:val="0"/>
            <w:vAlign w:val="center"/>
          </w:tcPr>
          <w:p w14:paraId="3181B8FC">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p>
        </w:tc>
      </w:tr>
      <w:tr w14:paraId="20447EB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jc w:val="center"/>
        </w:trPr>
        <w:tc>
          <w:tcPr>
            <w:tcW w:w="529" w:type="pct"/>
            <w:vMerge w:val="continue"/>
            <w:tcBorders>
              <w:tl2br w:val="nil"/>
              <w:tr2bl w:val="nil"/>
            </w:tcBorders>
            <w:noWrap w:val="0"/>
            <w:vAlign w:val="center"/>
          </w:tcPr>
          <w:p w14:paraId="0CF0DF87">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p>
        </w:tc>
        <w:tc>
          <w:tcPr>
            <w:tcW w:w="2033" w:type="pct"/>
            <w:gridSpan w:val="2"/>
            <w:tcBorders>
              <w:tl2br w:val="nil"/>
              <w:tr2bl w:val="nil"/>
            </w:tcBorders>
            <w:noWrap w:val="0"/>
            <w:vAlign w:val="center"/>
          </w:tcPr>
          <w:p w14:paraId="4658C182">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人员配置：设置环保部门，配备专职环保人员，并具备相应的环境管理能力</w:t>
            </w:r>
          </w:p>
        </w:tc>
        <w:tc>
          <w:tcPr>
            <w:tcW w:w="1395" w:type="pct"/>
            <w:gridSpan w:val="2"/>
            <w:tcBorders>
              <w:tl2br w:val="nil"/>
              <w:tr2bl w:val="nil"/>
            </w:tcBorders>
            <w:noWrap w:val="0"/>
            <w:vAlign w:val="center"/>
          </w:tcPr>
          <w:p w14:paraId="4E8CD386">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人员配置：配备专职环保人员，并具备相应的环境管理能力</w:t>
            </w:r>
          </w:p>
        </w:tc>
        <w:tc>
          <w:tcPr>
            <w:tcW w:w="1034" w:type="pct"/>
            <w:vMerge w:val="continue"/>
            <w:tcBorders>
              <w:tl2br w:val="nil"/>
              <w:tr2bl w:val="nil"/>
            </w:tcBorders>
            <w:noWrap w:val="0"/>
            <w:vAlign w:val="center"/>
          </w:tcPr>
          <w:p w14:paraId="3541BC56">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both"/>
              <w:textAlignment w:val="auto"/>
              <w:rPr>
                <w:rFonts w:hint="default" w:ascii="Times New Roman" w:hAnsi="Times New Roman" w:eastAsia="宋体" w:cs="Times New Roman"/>
                <w:sz w:val="21"/>
                <w:szCs w:val="21"/>
                <w:highlight w:val="none"/>
                <w:lang w:val="en-US" w:eastAsia="zh-CN"/>
              </w:rPr>
            </w:pPr>
          </w:p>
        </w:tc>
      </w:tr>
      <w:tr w14:paraId="4ABD953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26" w:hRule="atLeast"/>
          <w:jc w:val="center"/>
        </w:trPr>
        <w:tc>
          <w:tcPr>
            <w:tcW w:w="529" w:type="pct"/>
            <w:tcBorders>
              <w:tl2br w:val="nil"/>
              <w:tr2bl w:val="nil"/>
            </w:tcBorders>
            <w:noWrap w:val="0"/>
            <w:vAlign w:val="center"/>
          </w:tcPr>
          <w:p w14:paraId="488F3304">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运输方式</w:t>
            </w:r>
          </w:p>
        </w:tc>
        <w:tc>
          <w:tcPr>
            <w:tcW w:w="1034" w:type="pct"/>
            <w:tcBorders>
              <w:tl2br w:val="nil"/>
              <w:tr2bl w:val="nil"/>
            </w:tcBorders>
            <w:noWrap w:val="0"/>
            <w:vAlign w:val="center"/>
          </w:tcPr>
          <w:p w14:paraId="6885BC19">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1、物料（除水泥罐式货车外）公路运输全部使用达到国五及以上排放标准重型载货车辆（含燃气）或新能源车辆；</w:t>
            </w:r>
          </w:p>
          <w:p w14:paraId="69C547FA">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2、厂内运输车辆全部达到国五及以上排放标准（含燃气）或使用新能源车辆；</w:t>
            </w:r>
          </w:p>
          <w:p w14:paraId="198391B5">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3、厂内非道路移动机械全部达到国三及以上排放标准或使用新能源机械</w:t>
            </w:r>
          </w:p>
        </w:tc>
        <w:tc>
          <w:tcPr>
            <w:tcW w:w="998" w:type="pct"/>
            <w:tcBorders>
              <w:tl2br w:val="nil"/>
              <w:tr2bl w:val="nil"/>
            </w:tcBorders>
            <w:noWrap w:val="0"/>
            <w:vAlign w:val="center"/>
          </w:tcPr>
          <w:p w14:paraId="13F20620">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1、物料（除水泥罐式货车外）公路运输使用达到国五及以上重型载货车辆（含燃气）或新能源车辆比例不低于80%，其他车辆达到国四排放标准；</w:t>
            </w:r>
          </w:p>
          <w:p w14:paraId="433F2956">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kern w:val="0"/>
                <w:sz w:val="21"/>
                <w:szCs w:val="21"/>
                <w:highlight w:val="none"/>
              </w:rPr>
              <w:t>2、厂内运输车辆全部达到国五及以上排放标准（含燃气）或使用新能源车辆；</w:t>
            </w:r>
          </w:p>
          <w:p w14:paraId="4D93C0FF">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3、厂内非道路移动机械全部达到国三及以上排放标准或使用新能源机械</w:t>
            </w:r>
          </w:p>
        </w:tc>
        <w:tc>
          <w:tcPr>
            <w:tcW w:w="917" w:type="pct"/>
            <w:tcBorders>
              <w:tl2br w:val="nil"/>
              <w:tr2bl w:val="nil"/>
            </w:tcBorders>
            <w:noWrap w:val="0"/>
            <w:vAlign w:val="center"/>
          </w:tcPr>
          <w:p w14:paraId="5B30F0FC">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物料（除水泥罐式货车外）公路运输使用达到国五及以上重型载货车辆（含燃气）或新能源车辆占比不低于50%</w:t>
            </w:r>
          </w:p>
        </w:tc>
        <w:tc>
          <w:tcPr>
            <w:tcW w:w="478" w:type="pct"/>
            <w:tcBorders>
              <w:tl2br w:val="nil"/>
              <w:tr2bl w:val="nil"/>
            </w:tcBorders>
            <w:noWrap w:val="0"/>
            <w:vAlign w:val="center"/>
          </w:tcPr>
          <w:p w14:paraId="380154D7">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未达到C级要求</w:t>
            </w:r>
          </w:p>
        </w:tc>
        <w:tc>
          <w:tcPr>
            <w:tcW w:w="1034" w:type="pct"/>
            <w:tcBorders>
              <w:tl2br w:val="nil"/>
              <w:tr2bl w:val="nil"/>
            </w:tcBorders>
            <w:noWrap w:val="0"/>
            <w:vAlign w:val="center"/>
          </w:tcPr>
          <w:p w14:paraId="488B18AC">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lang w:val="en-US" w:eastAsia="zh-CN"/>
              </w:rPr>
              <w:t>企业所有运输车辆均达国五及以上排放标准，满足物料（除水泥罐式货车外）公路运输使用达到国五及以上重型载货车辆（含燃气）或新能源车辆占比不低于50%的要求</w:t>
            </w:r>
          </w:p>
          <w:p w14:paraId="74CF4F5F">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r>
              <w:rPr>
                <w:rFonts w:hint="default" w:ascii="Times New Roman" w:hAnsi="Times New Roman" w:eastAsia="宋体" w:cs="Times New Roman"/>
                <w:sz w:val="21"/>
                <w:szCs w:val="21"/>
                <w:highlight w:val="none"/>
                <w:lang w:val="en-US" w:eastAsia="zh-CN"/>
              </w:rPr>
              <w:t>C级</w:t>
            </w:r>
            <w:r>
              <w:rPr>
                <w:rFonts w:hint="default" w:ascii="Times New Roman" w:hAnsi="Times New Roman" w:eastAsia="宋体" w:cs="Times New Roman"/>
                <w:sz w:val="21"/>
                <w:szCs w:val="21"/>
                <w:highlight w:val="none"/>
                <w:lang w:eastAsia="zh-CN"/>
              </w:rPr>
              <w:t>）</w:t>
            </w:r>
          </w:p>
        </w:tc>
      </w:tr>
      <w:tr w14:paraId="4181145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26" w:hRule="atLeast"/>
          <w:jc w:val="center"/>
        </w:trPr>
        <w:tc>
          <w:tcPr>
            <w:tcW w:w="529" w:type="pct"/>
            <w:tcBorders>
              <w:tl2br w:val="nil"/>
              <w:tr2bl w:val="nil"/>
            </w:tcBorders>
            <w:noWrap w:val="0"/>
            <w:vAlign w:val="center"/>
          </w:tcPr>
          <w:p w14:paraId="3C79E909">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运输监管</w:t>
            </w:r>
          </w:p>
        </w:tc>
        <w:tc>
          <w:tcPr>
            <w:tcW w:w="2033" w:type="pct"/>
            <w:gridSpan w:val="2"/>
            <w:tcBorders>
              <w:tl2br w:val="nil"/>
              <w:tr2bl w:val="nil"/>
            </w:tcBorders>
            <w:noWrap w:val="0"/>
            <w:vAlign w:val="center"/>
          </w:tcPr>
          <w:p w14:paraId="3F220B3F">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参照《重污染天气重点行业移动源应急管理技术指南》建立门禁系统和电子台账</w:t>
            </w:r>
          </w:p>
        </w:tc>
        <w:tc>
          <w:tcPr>
            <w:tcW w:w="1395" w:type="pct"/>
            <w:gridSpan w:val="2"/>
            <w:tcBorders>
              <w:tl2br w:val="nil"/>
              <w:tr2bl w:val="nil"/>
            </w:tcBorders>
            <w:noWrap w:val="0"/>
            <w:vAlign w:val="center"/>
          </w:tcPr>
          <w:p w14:paraId="1FFD8CA7">
            <w:pPr>
              <w:keepNext w:val="0"/>
              <w:keepLines w:val="0"/>
              <w:pageBreakBefore w:val="0"/>
              <w:widowControl/>
              <w:kinsoku/>
              <w:wordWrap/>
              <w:overflowPunct/>
              <w:topLinePunct w:val="0"/>
              <w:autoSpaceDE/>
              <w:autoSpaceDN/>
              <w:bidi w:val="0"/>
              <w:adjustRightInd w:val="0"/>
              <w:snapToGrid w:val="0"/>
              <w:spacing w:before="0" w:after="0" w:line="240" w:lineRule="auto"/>
              <w:ind w:left="0" w:leftChars="0" w:firstLine="0" w:firstLineChars="0"/>
              <w:jc w:val="both"/>
              <w:textAlignment w:val="auto"/>
              <w:rPr>
                <w:rFonts w:hint="default" w:ascii="Times New Roman" w:hAnsi="Times New Roman" w:eastAsia="宋体" w:cs="Times New Roman"/>
                <w:kern w:val="0"/>
                <w:sz w:val="21"/>
                <w:szCs w:val="21"/>
                <w:highlight w:val="none"/>
                <w:lang w:val="en-US" w:eastAsia="zh-CN"/>
              </w:rPr>
            </w:pPr>
            <w:r>
              <w:rPr>
                <w:rFonts w:hint="default" w:ascii="Times New Roman" w:hAnsi="Times New Roman" w:eastAsia="宋体" w:cs="Times New Roman"/>
                <w:kern w:val="0"/>
                <w:sz w:val="21"/>
                <w:szCs w:val="21"/>
                <w:highlight w:val="none"/>
              </w:rPr>
              <w:t>未达到A、B级要求</w:t>
            </w:r>
          </w:p>
        </w:tc>
        <w:tc>
          <w:tcPr>
            <w:tcW w:w="1034" w:type="pct"/>
            <w:tcBorders>
              <w:tl2br w:val="nil"/>
              <w:tr2bl w:val="nil"/>
            </w:tcBorders>
            <w:noWrap w:val="0"/>
            <w:vAlign w:val="center"/>
          </w:tcPr>
          <w:p w14:paraId="1ECED9FB">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企业按要求</w:t>
            </w:r>
            <w:r>
              <w:rPr>
                <w:rFonts w:hint="default" w:ascii="Times New Roman" w:hAnsi="Times New Roman" w:eastAsia="宋体" w:cs="Times New Roman"/>
                <w:sz w:val="21"/>
                <w:szCs w:val="21"/>
                <w:highlight w:val="none"/>
              </w:rPr>
              <w:t>建立门禁系统</w:t>
            </w:r>
            <w:r>
              <w:rPr>
                <w:rFonts w:hint="eastAsia" w:ascii="Times New Roman" w:hAnsi="Times New Roman" w:eastAsia="宋体" w:cs="Times New Roman"/>
                <w:sz w:val="21"/>
                <w:szCs w:val="21"/>
                <w:highlight w:val="none"/>
                <w:lang w:val="en-US" w:eastAsia="zh-CN"/>
              </w:rPr>
              <w:t>和电子台账</w:t>
            </w:r>
          </w:p>
          <w:p w14:paraId="5C5983CE">
            <w:pPr>
              <w:keepNext w:val="0"/>
              <w:keepLines w:val="0"/>
              <w:pageBreakBefore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A、B</w:t>
            </w:r>
            <w:r>
              <w:rPr>
                <w:rFonts w:hint="default" w:ascii="Times New Roman" w:hAnsi="Times New Roman" w:eastAsia="宋体" w:cs="Times New Roman"/>
                <w:sz w:val="21"/>
                <w:szCs w:val="21"/>
                <w:highlight w:val="none"/>
                <w:lang w:val="en-US" w:eastAsia="zh-CN"/>
              </w:rPr>
              <w:t>级</w:t>
            </w:r>
            <w:r>
              <w:rPr>
                <w:rFonts w:hint="default" w:ascii="Times New Roman" w:hAnsi="Times New Roman" w:eastAsia="宋体" w:cs="Times New Roman"/>
                <w:sz w:val="21"/>
                <w:szCs w:val="21"/>
                <w:highlight w:val="none"/>
                <w:lang w:eastAsia="zh-CN"/>
              </w:rPr>
              <w:t>）</w:t>
            </w:r>
          </w:p>
        </w:tc>
      </w:tr>
      <w:tr w14:paraId="2B8EA9E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529" w:type="pct"/>
            <w:tcBorders>
              <w:tl2br w:val="nil"/>
              <w:tr2bl w:val="nil"/>
            </w:tcBorders>
            <w:noWrap w:val="0"/>
            <w:vAlign w:val="center"/>
          </w:tcPr>
          <w:p w14:paraId="2D71E60C">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b/>
                <w:bCs/>
                <w:sz w:val="21"/>
                <w:szCs w:val="21"/>
                <w:highlight w:val="none"/>
                <w:lang w:val="en-US" w:eastAsia="zh-CN"/>
              </w:rPr>
              <w:t>初步</w:t>
            </w:r>
            <w:r>
              <w:rPr>
                <w:rFonts w:hint="default" w:ascii="Times New Roman" w:hAnsi="Times New Roman" w:eastAsia="宋体" w:cs="Times New Roman"/>
                <w:b/>
                <w:bCs/>
                <w:sz w:val="21"/>
                <w:szCs w:val="21"/>
                <w:highlight w:val="none"/>
              </w:rPr>
              <w:t>评级结果</w:t>
            </w:r>
          </w:p>
        </w:tc>
        <w:tc>
          <w:tcPr>
            <w:tcW w:w="4470" w:type="pct"/>
            <w:gridSpan w:val="6"/>
            <w:tcBorders>
              <w:tl2br w:val="nil"/>
              <w:tr2bl w:val="nil"/>
            </w:tcBorders>
            <w:noWrap w:val="0"/>
            <w:vAlign w:val="center"/>
          </w:tcPr>
          <w:p w14:paraId="4C8DAEFD">
            <w:pPr>
              <w:keepNext w:val="0"/>
              <w:keepLines w:val="0"/>
              <w:pageBreakBefore w:val="0"/>
              <w:kinsoku/>
              <w:wordWrap/>
              <w:overflowPunct/>
              <w:topLinePunct w:val="0"/>
              <w:autoSpaceDE/>
              <w:autoSpaceDN/>
              <w:bidi w:val="0"/>
              <w:adjustRightInd w:val="0"/>
              <w:snapToGrid w:val="0"/>
              <w:spacing w:before="0" w:after="0" w:line="240" w:lineRule="auto"/>
              <w:ind w:left="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D</w:t>
            </w:r>
            <w:r>
              <w:rPr>
                <w:rFonts w:hint="default" w:ascii="Times New Roman" w:hAnsi="Times New Roman" w:eastAsia="宋体" w:cs="Times New Roman"/>
                <w:sz w:val="21"/>
                <w:szCs w:val="21"/>
                <w:highlight w:val="none"/>
                <w:lang w:val="en-US" w:eastAsia="zh-CN"/>
              </w:rPr>
              <w:t>级</w:t>
            </w:r>
          </w:p>
        </w:tc>
      </w:tr>
    </w:tbl>
    <w:p w14:paraId="6E47A8F9">
      <w:pPr>
        <w:pStyle w:val="6"/>
        <w:rPr>
          <w:rFonts w:hint="default" w:ascii="Times New Roman" w:hAnsi="Times New Roman" w:eastAsia="宋体" w:cs="Times New Roman"/>
          <w:highlight w:val="none"/>
          <w:lang w:val="en-US" w:eastAsia="zh-CN"/>
        </w:rPr>
      </w:pPr>
      <w:r>
        <w:rPr>
          <w:rFonts w:hint="eastAsia" w:cs="Times New Roman"/>
          <w:highlight w:val="none"/>
          <w:lang w:val="en-US" w:eastAsia="zh-CN"/>
        </w:rPr>
        <w:t>根据判定结果，不同级别企业在重污染天气下需执行的应急减排措施要求见下表所示：</w:t>
      </w:r>
    </w:p>
    <w:p w14:paraId="50C34BD4">
      <w:pPr>
        <w:pStyle w:val="6"/>
        <w:spacing w:line="240" w:lineRule="auto"/>
        <w:ind w:left="0" w:leftChars="0" w:right="0" w:rightChars="0" w:firstLine="0" w:firstLineChars="0"/>
        <w:jc w:val="center"/>
        <w:rPr>
          <w:rFonts w:hint="default" w:cs="Times New Roman"/>
          <w:b/>
          <w:bCs/>
          <w:highlight w:val="none"/>
          <w:lang w:val="en-US" w:eastAsia="zh-CN"/>
        </w:rPr>
      </w:pPr>
      <w:r>
        <w:rPr>
          <w:rFonts w:hint="eastAsia" w:cs="Times New Roman"/>
          <w:b/>
          <w:bCs/>
          <w:highlight w:val="none"/>
          <w:lang w:val="en-US" w:eastAsia="zh-CN"/>
        </w:rPr>
        <w:t>表3.1-21 水泥企业应急减排措施要求</w:t>
      </w:r>
    </w:p>
    <w:tbl>
      <w:tblPr>
        <w:tblStyle w:val="40"/>
        <w:tblW w:w="0" w:type="auto"/>
        <w:tblInd w:w="108"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7012"/>
      </w:tblGrid>
      <w:tr w14:paraId="2E5446A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8" w:type="dxa"/>
            <w:tcBorders>
              <w:tl2br w:val="nil"/>
              <w:tr2bl w:val="nil"/>
            </w:tcBorders>
            <w:tcMar>
              <w:left w:w="108" w:type="dxa"/>
              <w:right w:w="108" w:type="dxa"/>
            </w:tcMar>
            <w:vAlign w:val="center"/>
          </w:tcPr>
          <w:p w14:paraId="0E441B82">
            <w:pPr>
              <w:pStyle w:val="6"/>
              <w:spacing w:line="240" w:lineRule="auto"/>
              <w:ind w:left="0" w:leftChars="0" w:right="0" w:rightChars="0" w:firstLine="0" w:firstLineChars="0"/>
              <w:jc w:val="center"/>
              <w:rPr>
                <w:rFonts w:hint="default"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企业级别</w:t>
            </w:r>
          </w:p>
        </w:tc>
        <w:tc>
          <w:tcPr>
            <w:tcW w:w="7012" w:type="dxa"/>
            <w:tcBorders>
              <w:tl2br w:val="nil"/>
              <w:tr2bl w:val="nil"/>
            </w:tcBorders>
            <w:tcMar>
              <w:left w:w="108" w:type="dxa"/>
              <w:right w:w="108" w:type="dxa"/>
            </w:tcMar>
            <w:vAlign w:val="center"/>
          </w:tcPr>
          <w:p w14:paraId="0787C81A">
            <w:pPr>
              <w:pStyle w:val="6"/>
              <w:spacing w:line="240" w:lineRule="auto"/>
              <w:ind w:left="0" w:leftChars="0" w:right="0" w:rightChars="0" w:firstLine="0" w:firstLineChars="0"/>
              <w:jc w:val="center"/>
              <w:rPr>
                <w:rFonts w:hint="default" w:cs="Times New Roman"/>
                <w:b/>
                <w:bCs/>
                <w:sz w:val="21"/>
                <w:szCs w:val="21"/>
                <w:highlight w:val="none"/>
                <w:vertAlign w:val="baseline"/>
                <w:lang w:val="en-US" w:eastAsia="zh-CN"/>
              </w:rPr>
            </w:pPr>
            <w:r>
              <w:rPr>
                <w:rFonts w:hint="eastAsia" w:cs="Times New Roman"/>
                <w:b/>
                <w:bCs/>
                <w:sz w:val="21"/>
                <w:szCs w:val="21"/>
                <w:highlight w:val="none"/>
                <w:vertAlign w:val="baseline"/>
                <w:lang w:val="en-US" w:eastAsia="zh-CN"/>
              </w:rPr>
              <w:t>减排措施要求</w:t>
            </w:r>
          </w:p>
        </w:tc>
      </w:tr>
      <w:tr w14:paraId="462B6FE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8" w:type="dxa"/>
            <w:tcBorders>
              <w:tl2br w:val="nil"/>
              <w:tr2bl w:val="nil"/>
            </w:tcBorders>
            <w:tcMar>
              <w:left w:w="108" w:type="dxa"/>
              <w:right w:w="108" w:type="dxa"/>
            </w:tcMar>
            <w:vAlign w:val="center"/>
          </w:tcPr>
          <w:p w14:paraId="5B95AD7E">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lang w:val="en-US" w:eastAsia="zh-CN"/>
              </w:rPr>
              <w:t>A级企业</w:t>
            </w:r>
          </w:p>
        </w:tc>
        <w:tc>
          <w:tcPr>
            <w:tcW w:w="7012" w:type="dxa"/>
            <w:tcBorders>
              <w:tl2br w:val="nil"/>
              <w:tr2bl w:val="nil"/>
            </w:tcBorders>
            <w:tcMar>
              <w:left w:w="108" w:type="dxa"/>
              <w:right w:w="108" w:type="dxa"/>
            </w:tcMar>
            <w:vAlign w:val="center"/>
          </w:tcPr>
          <w:p w14:paraId="240F489F">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lang w:val="en-US" w:eastAsia="zh-CN"/>
              </w:rPr>
              <w:t>鼓励结合实际，自主采取减排措施</w:t>
            </w:r>
          </w:p>
        </w:tc>
      </w:tr>
      <w:tr w14:paraId="46A1A97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8" w:type="dxa"/>
            <w:tcBorders>
              <w:tl2br w:val="nil"/>
              <w:tr2bl w:val="nil"/>
            </w:tcBorders>
            <w:tcMar>
              <w:left w:w="108" w:type="dxa"/>
              <w:right w:w="108" w:type="dxa"/>
            </w:tcMar>
            <w:vAlign w:val="center"/>
          </w:tcPr>
          <w:p w14:paraId="72C7BDDF">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B级企业</w:t>
            </w:r>
          </w:p>
        </w:tc>
        <w:tc>
          <w:tcPr>
            <w:tcW w:w="7012" w:type="dxa"/>
            <w:tcBorders>
              <w:tl2br w:val="nil"/>
              <w:tr2bl w:val="nil"/>
            </w:tcBorders>
            <w:tcMar>
              <w:left w:w="108" w:type="dxa"/>
              <w:right w:w="108" w:type="dxa"/>
            </w:tcMar>
            <w:vAlign w:val="center"/>
          </w:tcPr>
          <w:p w14:paraId="1678E522">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（1）黄色预警期间：停止使用国四及以下重型载货车辆（含燃气）进行运输。</w:t>
            </w:r>
          </w:p>
          <w:p w14:paraId="15D0FC34">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（2）橙色预警期间：限产20%，以“环评批复产能、排污许可载明产能、前一年正常生产实际产量”三者日均值的最小值为基准核算；停止使用国四及以下重型载货车辆（含燃气）进行运输。</w:t>
            </w:r>
          </w:p>
          <w:p w14:paraId="63C1218B">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（3）红色预警期间：停产；停止使用国四及以下重型载货车辆（含燃气）进行运输。</w:t>
            </w:r>
          </w:p>
        </w:tc>
      </w:tr>
      <w:tr w14:paraId="0FBBCA2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8" w:type="dxa"/>
            <w:tcBorders>
              <w:tl2br w:val="nil"/>
              <w:tr2bl w:val="nil"/>
            </w:tcBorders>
            <w:tcMar>
              <w:left w:w="108" w:type="dxa"/>
              <w:right w:w="108" w:type="dxa"/>
            </w:tcMar>
            <w:vAlign w:val="center"/>
          </w:tcPr>
          <w:p w14:paraId="4AF8230D">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C级企业</w:t>
            </w:r>
          </w:p>
        </w:tc>
        <w:tc>
          <w:tcPr>
            <w:tcW w:w="7012" w:type="dxa"/>
            <w:tcBorders>
              <w:tl2br w:val="nil"/>
              <w:tr2bl w:val="nil"/>
            </w:tcBorders>
            <w:tcMar>
              <w:left w:w="108" w:type="dxa"/>
              <w:right w:w="108" w:type="dxa"/>
            </w:tcMar>
            <w:vAlign w:val="center"/>
          </w:tcPr>
          <w:p w14:paraId="22571633">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（1）黄色预警期间：停产50%，以生产线计；停止使用国四及以下重型载货车辆（含燃气）进行运输。</w:t>
            </w:r>
          </w:p>
          <w:p w14:paraId="71118C48">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（2）橙色预警期间：停产；停止使用国四及以下重型载货车辆（含燃气）进行运输。</w:t>
            </w:r>
          </w:p>
          <w:p w14:paraId="0EC83D73">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（3）红色预警期间：停产，停止公路运输。</w:t>
            </w:r>
          </w:p>
        </w:tc>
      </w:tr>
      <w:tr w14:paraId="7F5C26B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8" w:type="dxa"/>
            <w:tcBorders>
              <w:tl2br w:val="nil"/>
              <w:tr2bl w:val="nil"/>
            </w:tcBorders>
            <w:tcMar>
              <w:left w:w="108" w:type="dxa"/>
              <w:right w:w="108" w:type="dxa"/>
            </w:tcMar>
            <w:vAlign w:val="center"/>
          </w:tcPr>
          <w:p w14:paraId="19296F13">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D级企业</w:t>
            </w:r>
          </w:p>
        </w:tc>
        <w:tc>
          <w:tcPr>
            <w:tcW w:w="7012" w:type="dxa"/>
            <w:tcBorders>
              <w:tl2br w:val="nil"/>
              <w:tr2bl w:val="nil"/>
            </w:tcBorders>
            <w:tcMar>
              <w:left w:w="108" w:type="dxa"/>
              <w:right w:w="108" w:type="dxa"/>
            </w:tcMar>
            <w:vAlign w:val="center"/>
          </w:tcPr>
          <w:p w14:paraId="36CF1693">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黄色及以上预警期间：停产；停止公路运输。</w:t>
            </w:r>
          </w:p>
        </w:tc>
      </w:tr>
      <w:tr w14:paraId="3FEB4E0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8" w:type="dxa"/>
            <w:tcBorders>
              <w:tl2br w:val="nil"/>
              <w:tr2bl w:val="nil"/>
            </w:tcBorders>
            <w:tcMar>
              <w:left w:w="108" w:type="dxa"/>
              <w:right w:w="108" w:type="dxa"/>
            </w:tcMar>
            <w:vAlign w:val="center"/>
          </w:tcPr>
          <w:p w14:paraId="3A4D502F">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引领性企业</w:t>
            </w:r>
          </w:p>
        </w:tc>
        <w:tc>
          <w:tcPr>
            <w:tcW w:w="7012" w:type="dxa"/>
            <w:tcBorders>
              <w:tl2br w:val="nil"/>
              <w:tr2bl w:val="nil"/>
            </w:tcBorders>
            <w:tcMar>
              <w:left w:w="108" w:type="dxa"/>
              <w:right w:w="108" w:type="dxa"/>
            </w:tcMar>
            <w:vAlign w:val="center"/>
          </w:tcPr>
          <w:p w14:paraId="43CC654F">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鼓励结合实际，自主采取减排措施。</w:t>
            </w:r>
          </w:p>
        </w:tc>
      </w:tr>
      <w:tr w14:paraId="26F4E43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8" w:type="dxa"/>
            <w:tcBorders>
              <w:tl2br w:val="nil"/>
              <w:tr2bl w:val="nil"/>
            </w:tcBorders>
            <w:tcMar>
              <w:left w:w="108" w:type="dxa"/>
              <w:right w:w="108" w:type="dxa"/>
            </w:tcMar>
            <w:vAlign w:val="center"/>
          </w:tcPr>
          <w:p w14:paraId="3F81B96D">
            <w:pPr>
              <w:pStyle w:val="6"/>
              <w:spacing w:line="240" w:lineRule="auto"/>
              <w:ind w:left="0" w:leftChars="0" w:right="0" w:rightChars="0" w:firstLine="0" w:firstLineChars="0"/>
              <w:jc w:val="center"/>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非引领性企业</w:t>
            </w:r>
          </w:p>
        </w:tc>
        <w:tc>
          <w:tcPr>
            <w:tcW w:w="7012" w:type="dxa"/>
            <w:tcBorders>
              <w:tl2br w:val="nil"/>
              <w:tr2bl w:val="nil"/>
            </w:tcBorders>
            <w:tcMar>
              <w:left w:w="108" w:type="dxa"/>
              <w:right w:w="108" w:type="dxa"/>
            </w:tcMar>
            <w:vAlign w:val="center"/>
          </w:tcPr>
          <w:p w14:paraId="5EBCEE35">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（1）黄色预警期间：停止使用国四及以下排放标准的车辆进行运输。</w:t>
            </w:r>
          </w:p>
          <w:p w14:paraId="241B333F">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（2）橙色及以上预警期间：停产；停止公路运输。</w:t>
            </w:r>
          </w:p>
        </w:tc>
      </w:tr>
      <w:tr w14:paraId="05C2295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8" w:type="dxa"/>
            <w:tcBorders>
              <w:tl2br w:val="nil"/>
              <w:tr2bl w:val="nil"/>
            </w:tcBorders>
            <w:tcMar>
              <w:left w:w="108" w:type="dxa"/>
              <w:right w:w="108" w:type="dxa"/>
            </w:tcMar>
            <w:vAlign w:val="center"/>
          </w:tcPr>
          <w:p w14:paraId="5AA84F7E">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协同处置废物企业</w:t>
            </w:r>
          </w:p>
        </w:tc>
        <w:tc>
          <w:tcPr>
            <w:tcW w:w="7012" w:type="dxa"/>
            <w:tcBorders>
              <w:tl2br w:val="nil"/>
              <w:tr2bl w:val="nil"/>
            </w:tcBorders>
            <w:tcMar>
              <w:left w:w="108" w:type="dxa"/>
              <w:right w:w="108" w:type="dxa"/>
            </w:tcMar>
            <w:vAlign w:val="center"/>
          </w:tcPr>
          <w:p w14:paraId="4D032C81">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1）橙色预警期间：协同处置城市生活垃圾、污泥或危险废物的企业，绩效评级未达到C级，且生活垃圾与污泥处置总量低于200吨/日，或危险废物处置总量低于熟料产能3%的生产线，停产；停止使用国四及以下重型载货车辆（含燃气）进行运输。</w:t>
            </w:r>
          </w:p>
          <w:p w14:paraId="5BF942F6">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2）红色预警期间：协同处置城市生活垃圾、污泥或危险废物的企业，绩效评级未达到C级，生活垃圾与污泥处置总量低于400吨/日，或危险废物处置总量低于熟料产能4%的生产线，停产；停止使用国四及以下重型载货车辆（含燃气）进行运输。</w:t>
            </w:r>
          </w:p>
        </w:tc>
      </w:tr>
      <w:tr w14:paraId="4712CE6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88" w:type="dxa"/>
            <w:tcBorders>
              <w:tl2br w:val="nil"/>
              <w:tr2bl w:val="nil"/>
            </w:tcBorders>
            <w:tcMar>
              <w:left w:w="108" w:type="dxa"/>
              <w:right w:w="108" w:type="dxa"/>
            </w:tcMar>
            <w:vAlign w:val="center"/>
          </w:tcPr>
          <w:p w14:paraId="58794FD5">
            <w:pPr>
              <w:pStyle w:val="6"/>
              <w:spacing w:line="240" w:lineRule="auto"/>
              <w:ind w:left="0" w:leftChars="0" w:right="0" w:rightChars="0" w:firstLine="0" w:firstLineChars="0"/>
              <w:jc w:val="center"/>
              <w:rPr>
                <w:rFonts w:hint="default"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备注</w:t>
            </w:r>
          </w:p>
        </w:tc>
        <w:tc>
          <w:tcPr>
            <w:tcW w:w="7012" w:type="dxa"/>
            <w:tcBorders>
              <w:tl2br w:val="nil"/>
              <w:tr2bl w:val="nil"/>
            </w:tcBorders>
            <w:tcMar>
              <w:left w:w="108" w:type="dxa"/>
              <w:right w:w="108" w:type="dxa"/>
            </w:tcMar>
            <w:vAlign w:val="center"/>
          </w:tcPr>
          <w:p w14:paraId="2BE4D91E">
            <w:pPr>
              <w:pStyle w:val="6"/>
              <w:spacing w:line="240" w:lineRule="auto"/>
              <w:ind w:left="0" w:leftChars="0" w:right="0" w:rightChars="0" w:firstLine="0" w:firstLineChars="0"/>
              <w:jc w:val="both"/>
              <w:rPr>
                <w:rFonts w:hint="eastAsia" w:cs="Times New Roman"/>
                <w:sz w:val="21"/>
                <w:szCs w:val="21"/>
                <w:highlight w:val="none"/>
                <w:vertAlign w:val="baseline"/>
                <w:lang w:val="en-US" w:eastAsia="zh-CN"/>
              </w:rPr>
            </w:pPr>
            <w:r>
              <w:rPr>
                <w:rFonts w:hint="eastAsia" w:cs="Times New Roman"/>
                <w:sz w:val="21"/>
                <w:szCs w:val="21"/>
                <w:highlight w:val="none"/>
                <w:vertAlign w:val="baseline"/>
                <w:lang w:val="en-US" w:eastAsia="zh-CN"/>
              </w:rPr>
              <w:t>针对短时间难以停产的工序，建议在重污染频发的秋冬季期间，提前调整生产计划，确保预警期间企业能够落实相应减排措施；依据绩效评价等级，在行业自发组织错峰生产，落实应急减排措施。有条件的城市可以结合实际采取区域统筹的方式，实行轮流停产减排。</w:t>
            </w:r>
          </w:p>
        </w:tc>
      </w:tr>
    </w:tbl>
    <w:p w14:paraId="6C1C813E">
      <w:pPr>
        <w:pStyle w:val="6"/>
        <w:rPr>
          <w:rFonts w:hint="default" w:ascii="Times New Roman" w:hAnsi="Times New Roman" w:cs="Times New Roman"/>
          <w:highlight w:val="none"/>
        </w:rPr>
      </w:pPr>
      <w:r>
        <w:rPr>
          <w:rFonts w:hint="default" w:ascii="Times New Roman" w:hAnsi="Times New Roman" w:cs="Times New Roman"/>
          <w:highlight w:val="none"/>
        </w:rPr>
        <w:t>（5）存在主要环境问题及建议</w:t>
      </w:r>
    </w:p>
    <w:p w14:paraId="303CA75B">
      <w:pPr>
        <w:pStyle w:val="6"/>
        <w:rPr>
          <w:rFonts w:hint="eastAsia" w:cs="Times New Roman"/>
          <w:highlight w:val="none"/>
          <w:lang w:val="en-US" w:eastAsia="zh-CN"/>
        </w:rPr>
      </w:pPr>
      <w:bookmarkStart w:id="89" w:name="_Hlk151212446"/>
      <w:r>
        <w:rPr>
          <w:rFonts w:hint="eastAsia" w:cs="Times New Roman"/>
          <w:highlight w:val="none"/>
          <w:lang w:val="en-US" w:eastAsia="zh-CN"/>
        </w:rPr>
        <w:t>①未完成超低排放改造问题</w:t>
      </w:r>
    </w:p>
    <w:p w14:paraId="01CE53E1">
      <w:pPr>
        <w:pStyle w:val="6"/>
        <w:rPr>
          <w:rFonts w:hint="eastAsia" w:cs="Times New Roman"/>
          <w:highlight w:val="none"/>
          <w:lang w:val="en-US" w:eastAsia="zh-CN"/>
        </w:rPr>
      </w:pPr>
      <w:r>
        <w:rPr>
          <w:rFonts w:hint="eastAsia" w:cs="Times New Roman"/>
          <w:highlight w:val="none"/>
          <w:lang w:val="en-US" w:eastAsia="zh-CN"/>
        </w:rPr>
        <w:t>企业目前未按照《关于推进实施水泥行业超低排放的意见》（环大气〔2024〕5号）要求完成超低排放改造，虽已制定改造计划，计划2028年底完成所有改造项目，但当前在有组织排放（部分生产环节污染物浓度未达标）、无组织排放（物料储存输送等环节封闭化不足）、清洁运输（车辆清洁化水平及大宗物料清洁运输比例不达标）方面仍存在差距。</w:t>
      </w:r>
    </w:p>
    <w:p w14:paraId="7255EE0D">
      <w:pPr>
        <w:pStyle w:val="6"/>
        <w:rPr>
          <w:rFonts w:hint="eastAsia" w:cs="Times New Roman"/>
          <w:highlight w:val="none"/>
          <w:lang w:val="en-US" w:eastAsia="zh-CN"/>
        </w:rPr>
      </w:pPr>
      <w:r>
        <w:rPr>
          <w:rFonts w:hint="eastAsia" w:cs="Times New Roman"/>
          <w:highlight w:val="none"/>
          <w:lang w:val="en-US" w:eastAsia="zh-CN"/>
        </w:rPr>
        <w:t>企业需在2028年底前全面完成所有生产环节超低排放改造，通过生态环境部门评估监测并纳入管理台账。有组织排放方面，升级窑尾除尘、脱硫及脱硝系统，2026年底完成；增加氨逃逸监测设备，2027年10月前完成；无组织排放方面，石灰石、页岩、原煤等原燃料封闭料棚存放、熟料封闭储存、粉状物料采用密闭料仓/储罐，2027年12月完成；物料全程密闭输送改造，2028年6月前完成；清洁运输方面，提升大宗物料清洁运输比例至80%以上，更换厂内新能源或国六标准车辆，安装门禁监控及电子台账系统，2027年底完成；同时建立超低排放管理体系，开展员工培训，定期开展自行监测。</w:t>
      </w:r>
    </w:p>
    <w:p w14:paraId="3D9D791E">
      <w:pPr>
        <w:pStyle w:val="6"/>
        <w:rPr>
          <w:rFonts w:hint="eastAsia" w:cs="Times New Roman"/>
          <w:highlight w:val="none"/>
          <w:lang w:val="en-US" w:eastAsia="zh-CN"/>
        </w:rPr>
      </w:pPr>
      <w:r>
        <w:rPr>
          <w:rFonts w:hint="eastAsia" w:cs="Times New Roman"/>
          <w:highlight w:val="none"/>
          <w:lang w:val="en-US" w:eastAsia="zh-CN"/>
        </w:rPr>
        <w:t>②未开展重污染天气绩效分级及应急减排清单编制问题</w:t>
      </w:r>
    </w:p>
    <w:p w14:paraId="46E7604A">
      <w:pPr>
        <w:pStyle w:val="6"/>
        <w:rPr>
          <w:rFonts w:hint="eastAsia" w:cs="Times New Roman"/>
          <w:highlight w:val="none"/>
          <w:lang w:val="en-US" w:eastAsia="zh-CN"/>
        </w:rPr>
      </w:pPr>
      <w:r>
        <w:rPr>
          <w:rFonts w:hint="eastAsia" w:cs="Times New Roman"/>
          <w:highlight w:val="none"/>
          <w:lang w:val="en-US" w:eastAsia="zh-CN"/>
        </w:rPr>
        <w:t>企业目前未按照《重污染天气应急减排清单编制技术指南》及《重点行业大气污染防治绩效分级及重污染天气应急减排措施技术指南 水泥工业》相关要求，开展重污染天气绩效分级，未编制应急减排清单，未建立应急减排执行机制，存在未申报绩效分级、缺乏差异化应急减排措施、无清单动态更新机制等不足的问题。</w:t>
      </w:r>
    </w:p>
    <w:bookmarkEnd w:id="89"/>
    <w:p w14:paraId="3532605A">
      <w:pPr>
        <w:pStyle w:val="6"/>
        <w:rPr>
          <w:rFonts w:hint="default" w:ascii="Times New Roman" w:hAnsi="Times New Roman" w:cs="Times New Roman"/>
          <w:highlight w:val="none"/>
        </w:rPr>
      </w:pPr>
      <w:r>
        <w:rPr>
          <w:rFonts w:hint="eastAsia" w:cs="Times New Roman"/>
          <w:highlight w:val="none"/>
          <w:lang w:val="en-US" w:eastAsia="zh-CN"/>
        </w:rPr>
        <w:t>企业需尽快对照技术指南梳理企业相关指标，委托第三方开展绩效分级评估并提交申报材料，依据绩效分级结果，结合企业实际制定红、橙、黄三级预警差异化减排措施，编制包含企业基本信息、减排目标等内容的应急减排清单，同时制定企业重污染天气应急预案，建立应急减排执行台账，安装监控系统，开展应急演练，建立清单年度修订及备案机制，并根据绩效分级变化调整减排措施。</w:t>
      </w:r>
    </w:p>
    <w:bookmarkEnd w:id="79"/>
    <w:p w14:paraId="73A2C6FA">
      <w:pPr>
        <w:pStyle w:val="3"/>
        <w:keepNext/>
        <w:keepLines/>
        <w:pageBreakBefore w:val="0"/>
        <w:widowControl/>
        <w:kinsoku/>
        <w:wordWrap/>
        <w:overflowPunct/>
        <w:topLinePunct w:val="0"/>
        <w:autoSpaceDE/>
        <w:autoSpaceDN/>
        <w:bidi w:val="0"/>
        <w:adjustRightInd/>
        <w:snapToGrid/>
        <w:spacing w:beforeLines="0" w:afterLines="0" w:line="360" w:lineRule="auto"/>
        <w:textAlignment w:val="auto"/>
        <w:rPr>
          <w:rFonts w:hint="default" w:ascii="Times New Roman" w:hAnsi="Times New Roman" w:eastAsia="宋体" w:cs="Times New Roman"/>
          <w:sz w:val="24"/>
          <w:szCs w:val="18"/>
          <w:highlight w:val="none"/>
        </w:rPr>
      </w:pPr>
      <w:bookmarkStart w:id="90" w:name="_Toc6302"/>
      <w:bookmarkStart w:id="91" w:name="_Toc3719"/>
      <w:bookmarkStart w:id="92" w:name="_Toc8595"/>
      <w:r>
        <w:rPr>
          <w:rFonts w:hint="default" w:ascii="Times New Roman" w:hAnsi="Times New Roman" w:eastAsia="宋体" w:cs="Times New Roman"/>
          <w:sz w:val="24"/>
          <w:szCs w:val="18"/>
          <w:highlight w:val="none"/>
        </w:rPr>
        <w:t>3.</w:t>
      </w:r>
      <w:r>
        <w:rPr>
          <w:rFonts w:hint="default" w:ascii="Times New Roman" w:hAnsi="Times New Roman" w:cs="Times New Roman"/>
          <w:sz w:val="24"/>
          <w:szCs w:val="18"/>
          <w:highlight w:val="none"/>
          <w:lang w:val="en-US" w:eastAsia="zh-CN"/>
        </w:rPr>
        <w:t>2</w:t>
      </w:r>
      <w:r>
        <w:rPr>
          <w:rFonts w:hint="default" w:ascii="Times New Roman" w:hAnsi="Times New Roman" w:eastAsia="宋体" w:cs="Times New Roman"/>
          <w:sz w:val="24"/>
          <w:szCs w:val="18"/>
          <w:highlight w:val="none"/>
          <w:lang w:val="en-US" w:eastAsia="zh-CN"/>
        </w:rPr>
        <w:t>建设项目</w:t>
      </w:r>
      <w:r>
        <w:rPr>
          <w:rFonts w:hint="default" w:ascii="Times New Roman" w:hAnsi="Times New Roman" w:eastAsia="宋体" w:cs="Times New Roman"/>
          <w:sz w:val="24"/>
          <w:szCs w:val="18"/>
          <w:highlight w:val="none"/>
        </w:rPr>
        <w:t>概况</w:t>
      </w:r>
      <w:bookmarkEnd w:id="75"/>
      <w:bookmarkEnd w:id="90"/>
      <w:bookmarkEnd w:id="91"/>
      <w:bookmarkEnd w:id="92"/>
    </w:p>
    <w:p w14:paraId="455883F7">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rPr>
        <w:t>3.</w:t>
      </w:r>
      <w:r>
        <w:rPr>
          <w:rFonts w:hint="default" w:ascii="Times New Roman" w:hAnsi="Times New Roman" w:cs="Times New Roman"/>
          <w:b/>
          <w:bCs w:val="0"/>
          <w:kern w:val="2"/>
          <w:sz w:val="24"/>
          <w:szCs w:val="24"/>
          <w:highlight w:val="none"/>
          <w:lang w:val="en-US" w:eastAsia="zh-CN"/>
        </w:rPr>
        <w:t>2</w:t>
      </w:r>
      <w:r>
        <w:rPr>
          <w:rFonts w:hint="default" w:ascii="Times New Roman" w:hAnsi="Times New Roman" w:eastAsia="宋体" w:cs="Times New Roman"/>
          <w:b/>
          <w:bCs w:val="0"/>
          <w:kern w:val="2"/>
          <w:sz w:val="24"/>
          <w:szCs w:val="24"/>
          <w:highlight w:val="none"/>
        </w:rPr>
        <w:t>.1项目基本情况</w:t>
      </w:r>
    </w:p>
    <w:p w14:paraId="129729B0">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项目名称：新疆兴悦化工有限公司水泥窑协同处置250t/a精蒸馏残渣技改项目</w:t>
      </w:r>
    </w:p>
    <w:p w14:paraId="20C6BDA5">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建设单位：新疆兴悦化工有限公司</w:t>
      </w:r>
    </w:p>
    <w:p w14:paraId="7CC4C488">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建设性质：</w:t>
      </w:r>
      <w:r>
        <w:rPr>
          <w:rFonts w:hint="default" w:ascii="Times New Roman" w:hAnsi="Times New Roman" w:cs="Times New Roman"/>
          <w:sz w:val="24"/>
          <w:szCs w:val="24"/>
          <w:highlight w:val="none"/>
          <w:lang w:val="en-US" w:eastAsia="zh-CN"/>
        </w:rPr>
        <w:t>技术改造</w:t>
      </w:r>
    </w:p>
    <w:p w14:paraId="7ABDA0B0">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行业类别：N7724危险废物治理</w:t>
      </w:r>
    </w:p>
    <w:p w14:paraId="02800330">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建设地点：项目</w:t>
      </w:r>
      <w:r>
        <w:rPr>
          <w:rFonts w:hint="default" w:ascii="Times New Roman" w:hAnsi="Times New Roman" w:cs="Times New Roman"/>
          <w:sz w:val="24"/>
          <w:szCs w:val="24"/>
          <w:highlight w:val="none"/>
          <w:lang w:val="en-US" w:eastAsia="zh-CN"/>
        </w:rPr>
        <w:t>建设地点</w:t>
      </w:r>
      <w:r>
        <w:rPr>
          <w:rFonts w:hint="default" w:ascii="Times New Roman" w:hAnsi="Times New Roman" w:eastAsia="宋体" w:cs="Times New Roman"/>
          <w:sz w:val="24"/>
          <w:szCs w:val="24"/>
          <w:highlight w:val="none"/>
          <w:lang w:val="en-US" w:eastAsia="zh-CN"/>
        </w:rPr>
        <w:t>位于</w:t>
      </w:r>
      <w:r>
        <w:rPr>
          <w:rFonts w:hint="default" w:ascii="Times New Roman" w:hAnsi="Times New Roman" w:cs="Times New Roman"/>
          <w:sz w:val="24"/>
          <w:szCs w:val="24"/>
          <w:highlight w:val="none"/>
          <w:lang w:val="en-US" w:eastAsia="zh-CN"/>
        </w:rPr>
        <w:t>阿克苏经济技术开发区</w:t>
      </w:r>
      <w:r>
        <w:rPr>
          <w:rFonts w:hint="default" w:ascii="Times New Roman" w:hAnsi="Times New Roman" w:eastAsia="宋体" w:cs="Times New Roman"/>
          <w:sz w:val="24"/>
          <w:szCs w:val="24"/>
          <w:highlight w:val="none"/>
          <w:lang w:val="en-US" w:eastAsia="zh-CN"/>
        </w:rPr>
        <w:t>，新疆兴悦化工有限公司现</w:t>
      </w:r>
      <w:r>
        <w:rPr>
          <w:rFonts w:hint="default" w:ascii="Times New Roman" w:hAnsi="Times New Roman" w:cs="Times New Roman"/>
          <w:sz w:val="24"/>
          <w:szCs w:val="24"/>
          <w:highlight w:val="none"/>
          <w:lang w:val="en-US" w:eastAsia="zh-CN"/>
        </w:rPr>
        <w:t>有</w:t>
      </w:r>
      <w:r>
        <w:rPr>
          <w:rFonts w:hint="default" w:ascii="Times New Roman" w:hAnsi="Times New Roman" w:eastAsia="宋体" w:cs="Times New Roman"/>
          <w:sz w:val="24"/>
          <w:szCs w:val="24"/>
          <w:highlight w:val="none"/>
          <w:lang w:val="en-US" w:eastAsia="zh-CN"/>
        </w:rPr>
        <w:t>厂区内</w:t>
      </w:r>
      <w:r>
        <w:rPr>
          <w:rFonts w:hint="default"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中心地理坐标</w:t>
      </w:r>
      <w:r>
        <w:rPr>
          <w:rFonts w:hint="default" w:ascii="Times New Roman" w:hAnsi="Times New Roman" w:cs="Times New Roman"/>
          <w:sz w:val="24"/>
          <w:szCs w:val="24"/>
          <w:highlight w:val="none"/>
          <w:lang w:val="en-US" w:eastAsia="zh-CN"/>
        </w:rPr>
        <w:t>为：</w:t>
      </w:r>
      <w:r>
        <w:rPr>
          <w:rFonts w:hint="default" w:ascii="Times New Roman" w:hAnsi="Times New Roman" w:eastAsia="宋体" w:cs="Times New Roman"/>
          <w:sz w:val="24"/>
          <w:szCs w:val="24"/>
          <w:highlight w:val="none"/>
          <w:lang w:val="en-US" w:eastAsia="zh-CN"/>
        </w:rPr>
        <w:t>东经80°06'57.37</w:t>
      </w:r>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val="en-US" w:eastAsia="zh-CN"/>
        </w:rPr>
        <w:t>"，北纬41°04'07.81</w:t>
      </w:r>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val="en-US" w:eastAsia="zh-CN"/>
        </w:rPr>
        <w:t>"，项目地理位置见</w:t>
      </w:r>
      <w:r>
        <w:rPr>
          <w:rFonts w:hint="default" w:ascii="Times New Roman" w:hAnsi="Times New Roman" w:cs="Times New Roman"/>
          <w:sz w:val="24"/>
          <w:szCs w:val="24"/>
          <w:highlight w:val="none"/>
          <w:lang w:val="en-US" w:eastAsia="zh-CN"/>
        </w:rPr>
        <w:t>图3.2-1</w:t>
      </w:r>
      <w:r>
        <w:rPr>
          <w:rFonts w:hint="default" w:ascii="Times New Roman" w:hAnsi="Times New Roman" w:eastAsia="宋体" w:cs="Times New Roman"/>
          <w:sz w:val="24"/>
          <w:szCs w:val="24"/>
          <w:highlight w:val="none"/>
          <w:lang w:val="en-US" w:eastAsia="zh-CN"/>
        </w:rPr>
        <w:t>。</w:t>
      </w:r>
    </w:p>
    <w:p w14:paraId="6FAA608C">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b w:val="0"/>
          <w:bCs w:val="0"/>
          <w:sz w:val="24"/>
          <w:szCs w:val="24"/>
          <w:highlight w:val="none"/>
          <w:lang w:val="en-US" w:eastAsia="zh-CN"/>
        </w:rPr>
      </w:pPr>
      <w:r>
        <w:rPr>
          <w:rFonts w:hint="default" w:ascii="Times New Roman" w:hAnsi="Times New Roman" w:cs="Times New Roman"/>
        </w:rPr>
        <mc:AlternateContent>
          <mc:Choice Requires="wps">
            <w:drawing>
              <wp:anchor distT="0" distB="0" distL="114300" distR="114300" simplePos="0" relativeHeight="251694080" behindDoc="0" locked="0" layoutInCell="1" allowOverlap="1">
                <wp:simplePos x="0" y="0"/>
                <wp:positionH relativeFrom="column">
                  <wp:posOffset>309880</wp:posOffset>
                </wp:positionH>
                <wp:positionV relativeFrom="paragraph">
                  <wp:posOffset>1576070</wp:posOffset>
                </wp:positionV>
                <wp:extent cx="939800" cy="320675"/>
                <wp:effectExtent l="12700" t="12700" r="22860" b="215265"/>
                <wp:wrapNone/>
                <wp:docPr id="116" name="圆角矩形标注 116"/>
                <wp:cNvGraphicFramePr/>
                <a:graphic xmlns:a="http://schemas.openxmlformats.org/drawingml/2006/main">
                  <a:graphicData uri="http://schemas.microsoft.com/office/word/2010/wordprocessingShape">
                    <wps:wsp>
                      <wps:cNvSpPr/>
                      <wps:spPr>
                        <a:xfrm>
                          <a:off x="0" y="0"/>
                          <a:ext cx="939800" cy="320675"/>
                        </a:xfrm>
                        <a:prstGeom prst="wedgeRoundRectCallout">
                          <a:avLst>
                            <a:gd name="adj1" fmla="val 42500"/>
                            <a:gd name="adj2" fmla="val 110000"/>
                            <a:gd name="adj3" fmla="val 16667"/>
                          </a:avLst>
                        </a:prstGeom>
                        <a:solidFill>
                          <a:srgbClr val="000000">
                            <a:alpha val="0"/>
                          </a:srgbClr>
                        </a:solidFill>
                        <a:ln>
                          <a:solidFill>
                            <a:srgbClr val="FF0000"/>
                          </a:solidFill>
                        </a:ln>
                      </wps:spPr>
                      <wps:style>
                        <a:lnRef idx="2">
                          <a:schemeClr val="accent1"/>
                        </a:lnRef>
                        <a:fillRef idx="2">
                          <a:schemeClr val="accent1"/>
                        </a:fillRef>
                        <a:effectRef idx="0">
                          <a:srgbClr val="FFFFFF"/>
                        </a:effectRef>
                        <a:fontRef idx="minor">
                          <a:schemeClr val="lt1"/>
                        </a:fontRef>
                      </wps:style>
                      <wps:txbx>
                        <w:txbxContent>
                          <w:p w14:paraId="0A0FCB28">
                            <w:pPr>
                              <w:jc w:val="center"/>
                              <w:rPr>
                                <w:b/>
                                <w:bCs/>
                                <w:color w:val="FF0000"/>
                                <w:sz w:val="21"/>
                                <w:szCs w:val="16"/>
                              </w:rPr>
                            </w:pPr>
                            <w:r>
                              <w:rPr>
                                <w:rFonts w:hint="eastAsia"/>
                                <w:b/>
                                <w:bCs/>
                                <w:color w:val="FF0000"/>
                                <w:sz w:val="21"/>
                                <w:szCs w:val="16"/>
                              </w:rPr>
                              <w:t>项目所在地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4.4pt;margin-top:124.1pt;height:25.25pt;width:74pt;z-index:251694080;v-text-anchor:middle;mso-width-relative:page;mso-height-relative:page;" fillcolor="#000000" filled="t" stroked="t" coordsize="21600,21600" o:gfxdata="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D5xl3g1wAAAAoB&#10;AAAPAAAAAAAAAAEAIAAAACIAAABkcnMvZG93bnJldi54bWxQSwECFAAUAAAACACHTuJAwfUo9scC&#10;AACbBQAADgAAAAAAAAABACAAAAAmAQAAZHJzL2Uyb0RvYy54bWxQSwUGAAAAAAYABgBZAQAAXwYA&#10;AAAA&#10;" adj="19980,34560,14400">
                <v:fill on="t" opacity="0f" focussize="0,0"/>
                <v:stroke weight="2pt" color="#FF0000 [3204]" joinstyle="round"/>
                <v:imagedata o:title=""/>
                <o:lock v:ext="edit" aspectratio="f"/>
                <v:textbox>
                  <w:txbxContent>
                    <w:p w14:paraId="0A0FCB28">
                      <w:pPr>
                        <w:jc w:val="center"/>
                        <w:rPr>
                          <w:b/>
                          <w:bCs/>
                          <w:color w:val="FF0000"/>
                          <w:sz w:val="21"/>
                          <w:szCs w:val="16"/>
                        </w:rPr>
                      </w:pPr>
                      <w:r>
                        <w:rPr>
                          <w:rFonts w:hint="eastAsia"/>
                          <w:b/>
                          <w:bCs/>
                          <w:color w:val="FF0000"/>
                          <w:sz w:val="21"/>
                          <w:szCs w:val="16"/>
                        </w:rPr>
                        <w:t>项目所在地</w:t>
                      </w:r>
                    </w:p>
                  </w:txbxContent>
                </v:textbox>
              </v:shape>
            </w:pict>
          </mc:Fallback>
        </mc:AlternateContent>
      </w:r>
      <w:r>
        <w:rPr>
          <w:rFonts w:hint="default" w:ascii="Times New Roman" w:hAnsi="Times New Roman" w:cs="Times New Roman"/>
          <w:b w:val="0"/>
          <w:bCs w:val="0"/>
          <w:sz w:val="24"/>
          <w:szCs w:val="24"/>
          <w:highlight w:val="none"/>
          <w:lang w:val="en-US" w:eastAsia="zh-CN"/>
        </w:rPr>
        <w:drawing>
          <wp:anchor distT="0" distB="0" distL="114300" distR="114300" simplePos="0" relativeHeight="251693056" behindDoc="0" locked="0" layoutInCell="1" allowOverlap="1">
            <wp:simplePos x="0" y="0"/>
            <wp:positionH relativeFrom="column">
              <wp:posOffset>4702175</wp:posOffset>
            </wp:positionH>
            <wp:positionV relativeFrom="paragraph">
              <wp:posOffset>238760</wp:posOffset>
            </wp:positionV>
            <wp:extent cx="360045" cy="578485"/>
            <wp:effectExtent l="0" t="0" r="5715" b="635"/>
            <wp:wrapNone/>
            <wp:docPr id="115" name="图片 115" descr="指北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指北针"/>
                    <pic:cNvPicPr>
                      <a:picLocks noChangeAspect="1"/>
                    </pic:cNvPicPr>
                  </pic:nvPicPr>
                  <pic:blipFill>
                    <a:blip r:embed="rId20"/>
                    <a:stretch>
                      <a:fillRect/>
                    </a:stretch>
                  </pic:blipFill>
                  <pic:spPr>
                    <a:xfrm>
                      <a:off x="0" y="0"/>
                      <a:ext cx="360045" cy="578485"/>
                    </a:xfrm>
                    <a:prstGeom prst="rect">
                      <a:avLst/>
                    </a:prstGeom>
                  </pic:spPr>
                </pic:pic>
              </a:graphicData>
            </a:graphic>
          </wp:anchor>
        </w:drawing>
      </w:r>
      <w:r>
        <w:rPr>
          <w:rFonts w:hint="default" w:ascii="Times New Roman" w:hAnsi="Times New Roman" w:cs="Times New Roman"/>
          <w:b w:val="0"/>
          <w:bCs w:val="0"/>
          <w:sz w:val="24"/>
          <w:szCs w:val="24"/>
          <w:highlight w:val="none"/>
          <w:lang w:val="en-US" w:eastAsia="zh-CN"/>
        </w:rPr>
        <w:drawing>
          <wp:inline distT="0" distB="0" distL="114300" distR="114300">
            <wp:extent cx="5219700" cy="7754620"/>
            <wp:effectExtent l="9525" t="9525" r="13335" b="23495"/>
            <wp:docPr id="102" name="图片 102" descr="阿克苏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阿克苏市"/>
                    <pic:cNvPicPr>
                      <a:picLocks noChangeAspect="1"/>
                    </pic:cNvPicPr>
                  </pic:nvPicPr>
                  <pic:blipFill>
                    <a:blip r:embed="rId21"/>
                    <a:srcRect l="6480" t="5602" r="6072" b="3208"/>
                    <a:stretch>
                      <a:fillRect/>
                    </a:stretch>
                  </pic:blipFill>
                  <pic:spPr>
                    <a:xfrm>
                      <a:off x="0" y="0"/>
                      <a:ext cx="5219700" cy="7754620"/>
                    </a:xfrm>
                    <a:prstGeom prst="rect">
                      <a:avLst/>
                    </a:prstGeom>
                    <a:ln>
                      <a:solidFill>
                        <a:schemeClr val="tx1"/>
                      </a:solidFill>
                    </a:ln>
                  </pic:spPr>
                </pic:pic>
              </a:graphicData>
            </a:graphic>
          </wp:inline>
        </w:drawing>
      </w:r>
    </w:p>
    <w:p w14:paraId="61491182">
      <w:pPr>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图</w:t>
      </w:r>
      <w:r>
        <w:rPr>
          <w:rFonts w:hint="eastAsia" w:cs="Times New Roman"/>
          <w:b/>
          <w:bCs/>
          <w:sz w:val="24"/>
          <w:szCs w:val="24"/>
          <w:highlight w:val="none"/>
          <w:lang w:val="en-US" w:eastAsia="zh-CN"/>
        </w:rPr>
        <w:t>3.2</w:t>
      </w:r>
      <w:r>
        <w:rPr>
          <w:rFonts w:hint="default" w:ascii="Times New Roman" w:hAnsi="Times New Roman" w:cs="Times New Roman"/>
          <w:b/>
          <w:bCs/>
          <w:sz w:val="24"/>
          <w:szCs w:val="24"/>
          <w:highlight w:val="none"/>
          <w:lang w:val="en-US" w:eastAsia="zh-CN"/>
        </w:rPr>
        <w:t>-1 项目地理位置图</w:t>
      </w:r>
    </w:p>
    <w:p w14:paraId="01BE62E0">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周边环境：</w:t>
      </w:r>
      <w:r>
        <w:rPr>
          <w:rFonts w:hint="default" w:ascii="Times New Roman" w:hAnsi="Times New Roman" w:cs="Times New Roman"/>
          <w:sz w:val="24"/>
          <w:szCs w:val="24"/>
          <w:highlight w:val="none"/>
          <w:lang w:val="en-US" w:eastAsia="zh-CN"/>
        </w:rPr>
        <w:t>项目</w:t>
      </w:r>
      <w:r>
        <w:rPr>
          <w:rFonts w:hint="default" w:ascii="Times New Roman" w:hAnsi="Times New Roman" w:eastAsia="宋体" w:cs="Times New Roman"/>
          <w:sz w:val="24"/>
          <w:szCs w:val="24"/>
          <w:highlight w:val="none"/>
          <w:lang w:val="en-US" w:eastAsia="zh-CN"/>
        </w:rPr>
        <w:t>厂区北侧</w:t>
      </w:r>
      <w:r>
        <w:rPr>
          <w:rFonts w:hint="default" w:ascii="Times New Roman" w:hAnsi="Times New Roman" w:cs="Times New Roman"/>
          <w:sz w:val="24"/>
          <w:szCs w:val="24"/>
          <w:highlight w:val="none"/>
          <w:lang w:val="en-US" w:eastAsia="zh-CN"/>
        </w:rPr>
        <w:t>隔园区道路为新疆国宇生物质碳业有限公司</w:t>
      </w:r>
      <w:r>
        <w:rPr>
          <w:rFonts w:hint="default" w:ascii="Times New Roman" w:hAnsi="Times New Roman" w:eastAsia="宋体" w:cs="Times New Roman"/>
          <w:sz w:val="24"/>
          <w:szCs w:val="24"/>
          <w:highlight w:val="none"/>
          <w:lang w:val="en-US" w:eastAsia="zh-CN"/>
        </w:rPr>
        <w:t>，东侧紧邻新疆兴发化工有限公司，南侧</w:t>
      </w:r>
      <w:r>
        <w:rPr>
          <w:rFonts w:hint="default" w:ascii="Times New Roman" w:hAnsi="Times New Roman" w:cs="Times New Roman"/>
          <w:sz w:val="24"/>
          <w:szCs w:val="24"/>
          <w:highlight w:val="none"/>
          <w:lang w:val="en-US" w:eastAsia="zh-CN"/>
        </w:rPr>
        <w:t>与</w:t>
      </w:r>
      <w:r>
        <w:rPr>
          <w:rFonts w:hint="default" w:ascii="Times New Roman" w:hAnsi="Times New Roman" w:eastAsia="宋体" w:cs="Times New Roman"/>
          <w:sz w:val="24"/>
          <w:szCs w:val="24"/>
          <w:highlight w:val="none"/>
          <w:lang w:val="en-US" w:eastAsia="zh-CN"/>
        </w:rPr>
        <w:t>西侧</w:t>
      </w:r>
      <w:r>
        <w:rPr>
          <w:rFonts w:hint="default" w:ascii="Times New Roman" w:hAnsi="Times New Roman" w:cs="Times New Roman"/>
          <w:sz w:val="24"/>
          <w:szCs w:val="24"/>
          <w:highlight w:val="none"/>
          <w:lang w:val="en-US" w:eastAsia="zh-CN"/>
        </w:rPr>
        <w:t>均为园区道路与空地。</w:t>
      </w:r>
    </w:p>
    <w:p w14:paraId="6C2E30F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建设周期及工程投资：建设期为</w:t>
      </w:r>
      <w:r>
        <w:rPr>
          <w:rFonts w:hint="eastAsia" w:cs="Times New Roman"/>
          <w:sz w:val="24"/>
          <w:szCs w:val="24"/>
          <w:highlight w:val="none"/>
          <w:lang w:val="en-US" w:eastAsia="zh-CN"/>
        </w:rPr>
        <w:t>8个月</w:t>
      </w:r>
      <w:r>
        <w:rPr>
          <w:rFonts w:hint="default" w:ascii="Times New Roman" w:hAnsi="Times New Roman" w:eastAsia="宋体" w:cs="Times New Roman"/>
          <w:sz w:val="24"/>
          <w:szCs w:val="24"/>
          <w:highlight w:val="none"/>
          <w:lang w:val="en-US" w:eastAsia="zh-CN"/>
        </w:rPr>
        <w:t>，项目总投资</w:t>
      </w:r>
      <w:r>
        <w:rPr>
          <w:rFonts w:hint="eastAsia" w:cs="Times New Roman"/>
          <w:sz w:val="24"/>
          <w:szCs w:val="24"/>
          <w:highlight w:val="none"/>
          <w:lang w:val="en-US" w:eastAsia="zh-CN"/>
        </w:rPr>
        <w:t>500</w:t>
      </w:r>
      <w:r>
        <w:rPr>
          <w:rFonts w:hint="default" w:ascii="Times New Roman" w:hAnsi="Times New Roman" w:eastAsia="宋体" w:cs="Times New Roman"/>
          <w:sz w:val="24"/>
          <w:szCs w:val="24"/>
          <w:highlight w:val="none"/>
          <w:lang w:val="en-US" w:eastAsia="zh-CN"/>
        </w:rPr>
        <w:t>万元，其中环保投资</w:t>
      </w:r>
      <w:r>
        <w:rPr>
          <w:rFonts w:hint="eastAsia" w:cs="Times New Roman"/>
          <w:sz w:val="24"/>
          <w:szCs w:val="24"/>
          <w:highlight w:val="none"/>
          <w:lang w:val="en-US" w:eastAsia="zh-CN"/>
        </w:rPr>
        <w:t>99</w:t>
      </w:r>
      <w:r>
        <w:rPr>
          <w:rFonts w:hint="default" w:ascii="Times New Roman" w:hAnsi="Times New Roman" w:eastAsia="宋体" w:cs="Times New Roman"/>
          <w:sz w:val="24"/>
          <w:szCs w:val="24"/>
          <w:highlight w:val="none"/>
          <w:lang w:val="en-US" w:eastAsia="zh-CN"/>
        </w:rPr>
        <w:t>万元，占总投资</w:t>
      </w:r>
      <w:r>
        <w:rPr>
          <w:rFonts w:hint="eastAsia" w:cs="Times New Roman"/>
          <w:sz w:val="24"/>
          <w:szCs w:val="24"/>
          <w:highlight w:val="none"/>
          <w:lang w:val="en-US" w:eastAsia="zh-CN"/>
        </w:rPr>
        <w:t>19.8</w:t>
      </w:r>
      <w:r>
        <w:rPr>
          <w:rFonts w:hint="default" w:ascii="Times New Roman" w:hAnsi="Times New Roman" w:eastAsia="宋体" w:cs="Times New Roman"/>
          <w:sz w:val="24"/>
          <w:szCs w:val="24"/>
          <w:highlight w:val="none"/>
          <w:lang w:val="en-US" w:eastAsia="zh-CN"/>
        </w:rPr>
        <w:t>%。</w:t>
      </w:r>
    </w:p>
    <w:p w14:paraId="3A8219E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工作制度及劳动定员：</w:t>
      </w:r>
      <w:r>
        <w:rPr>
          <w:rFonts w:hint="eastAsia" w:cs="Times New Roman"/>
          <w:sz w:val="24"/>
          <w:szCs w:val="24"/>
          <w:highlight w:val="none"/>
          <w:lang w:val="en-US" w:eastAsia="zh-CN"/>
        </w:rPr>
        <w:t>企业</w:t>
      </w:r>
      <w:r>
        <w:rPr>
          <w:rFonts w:hint="default" w:ascii="Times New Roman" w:hAnsi="Times New Roman" w:eastAsia="宋体" w:cs="Times New Roman"/>
          <w:sz w:val="24"/>
          <w:szCs w:val="24"/>
          <w:highlight w:val="none"/>
          <w:lang w:val="en-US" w:eastAsia="zh-CN"/>
        </w:rPr>
        <w:t>年</w:t>
      </w:r>
      <w:r>
        <w:rPr>
          <w:rFonts w:hint="eastAsia" w:cs="Times New Roman"/>
          <w:sz w:val="24"/>
          <w:szCs w:val="24"/>
          <w:highlight w:val="none"/>
          <w:lang w:val="en-US" w:eastAsia="zh-CN"/>
        </w:rPr>
        <w:t>运行时间1</w:t>
      </w:r>
      <w:r>
        <w:rPr>
          <w:rFonts w:hint="default" w:ascii="Times New Roman" w:hAnsi="Times New Roman" w:cs="Times New Roman"/>
          <w:sz w:val="24"/>
          <w:szCs w:val="24"/>
          <w:highlight w:val="none"/>
          <w:lang w:val="en-US" w:eastAsia="zh-CN"/>
        </w:rPr>
        <w:t>50</w:t>
      </w:r>
      <w:r>
        <w:rPr>
          <w:rFonts w:hint="default" w:ascii="Times New Roman" w:hAnsi="Times New Roman" w:eastAsia="宋体" w:cs="Times New Roman"/>
          <w:sz w:val="24"/>
          <w:szCs w:val="24"/>
          <w:highlight w:val="none"/>
          <w:lang w:val="en-US" w:eastAsia="zh-CN"/>
        </w:rPr>
        <w:t>天，危险废物处置线岗位人员与水泥生产线同为四班三运转，年运行</w:t>
      </w:r>
      <w:r>
        <w:rPr>
          <w:rFonts w:hint="eastAsia" w:cs="Times New Roman"/>
          <w:sz w:val="24"/>
          <w:szCs w:val="24"/>
          <w:highlight w:val="none"/>
          <w:lang w:val="en-US" w:eastAsia="zh-CN"/>
        </w:rPr>
        <w:t>36</w:t>
      </w:r>
      <w:r>
        <w:rPr>
          <w:rFonts w:hint="default" w:ascii="Times New Roman" w:hAnsi="Times New Roman" w:cs="Times New Roman"/>
          <w:sz w:val="24"/>
          <w:szCs w:val="24"/>
          <w:highlight w:val="none"/>
          <w:lang w:val="en-US" w:eastAsia="zh-CN"/>
        </w:rPr>
        <w:t>00</w:t>
      </w:r>
      <w:r>
        <w:rPr>
          <w:rFonts w:hint="default" w:ascii="Times New Roman" w:hAnsi="Times New Roman" w:eastAsia="宋体" w:cs="Times New Roman"/>
          <w:sz w:val="24"/>
          <w:szCs w:val="24"/>
          <w:highlight w:val="none"/>
          <w:lang w:val="en-US" w:eastAsia="zh-CN"/>
        </w:rPr>
        <w:t>小时</w:t>
      </w:r>
      <w:r>
        <w:rPr>
          <w:rFonts w:hint="default"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本项目</w:t>
      </w:r>
      <w:r>
        <w:rPr>
          <w:rFonts w:hint="default" w:ascii="Times New Roman" w:hAnsi="Times New Roman" w:cs="Times New Roman"/>
          <w:sz w:val="24"/>
          <w:szCs w:val="24"/>
          <w:highlight w:val="none"/>
          <w:lang w:val="en-US" w:eastAsia="zh-CN"/>
        </w:rPr>
        <w:t>不新增劳动定员</w:t>
      </w:r>
      <w:r>
        <w:rPr>
          <w:rFonts w:hint="default" w:ascii="Times New Roman" w:hAnsi="Times New Roman" w:eastAsia="宋体" w:cs="Times New Roman"/>
          <w:sz w:val="24"/>
          <w:szCs w:val="24"/>
          <w:highlight w:val="none"/>
          <w:lang w:val="en-US" w:eastAsia="zh-CN"/>
        </w:rPr>
        <w:t>。</w:t>
      </w:r>
    </w:p>
    <w:p w14:paraId="6B0C9286">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rPr>
        <w:t>3.</w:t>
      </w:r>
      <w:r>
        <w:rPr>
          <w:rFonts w:hint="default" w:ascii="Times New Roman" w:hAnsi="Times New Roman" w:cs="Times New Roman"/>
          <w:b/>
          <w:bCs w:val="0"/>
          <w:kern w:val="2"/>
          <w:sz w:val="24"/>
          <w:szCs w:val="24"/>
          <w:highlight w:val="none"/>
          <w:lang w:val="en-US" w:eastAsia="zh-CN"/>
        </w:rPr>
        <w:t>2</w:t>
      </w:r>
      <w:r>
        <w:rPr>
          <w:rFonts w:hint="default" w:ascii="Times New Roman" w:hAnsi="Times New Roman" w:eastAsia="宋体" w:cs="Times New Roman"/>
          <w:b/>
          <w:bCs w:val="0"/>
          <w:kern w:val="2"/>
          <w:sz w:val="24"/>
          <w:szCs w:val="24"/>
          <w:highlight w:val="none"/>
        </w:rPr>
        <w:t>.</w:t>
      </w:r>
      <w:r>
        <w:rPr>
          <w:rFonts w:hint="default" w:ascii="Times New Roman" w:hAnsi="Times New Roman" w:eastAsia="宋体" w:cs="Times New Roman"/>
          <w:b/>
          <w:bCs w:val="0"/>
          <w:kern w:val="2"/>
          <w:sz w:val="24"/>
          <w:szCs w:val="24"/>
          <w:highlight w:val="none"/>
          <w:lang w:val="en-US" w:eastAsia="zh-CN"/>
        </w:rPr>
        <w:t>2</w:t>
      </w:r>
      <w:r>
        <w:rPr>
          <w:rFonts w:hint="default" w:ascii="Times New Roman" w:hAnsi="Times New Roman" w:eastAsia="宋体" w:cs="Times New Roman"/>
          <w:b/>
          <w:bCs w:val="0"/>
          <w:kern w:val="2"/>
          <w:sz w:val="24"/>
          <w:szCs w:val="24"/>
          <w:highlight w:val="none"/>
        </w:rPr>
        <w:t>建设规模</w:t>
      </w:r>
    </w:p>
    <w:p w14:paraId="22A2027A">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color w:val="FF0000"/>
          <w:sz w:val="24"/>
          <w:szCs w:val="24"/>
          <w:highlight w:val="none"/>
          <w:lang w:eastAsia="zh-CN"/>
        </w:rPr>
      </w:pPr>
      <w:r>
        <w:rPr>
          <w:rFonts w:hint="default" w:ascii="Times New Roman" w:hAnsi="Times New Roman" w:cs="Times New Roman"/>
          <w:sz w:val="24"/>
          <w:szCs w:val="24"/>
          <w:highlight w:val="none"/>
          <w:lang w:val="en-US" w:eastAsia="zh-CN"/>
        </w:rPr>
        <w:t>本项目依托新疆兴悦化工有限公司现有3200t/d新型干法水泥生产线协同处置新疆兴发化工有限公司产生的HW11精（蒸）馏残渣（900-013-11），设计处理能力为</w:t>
      </w:r>
      <w:r>
        <w:rPr>
          <w:rFonts w:hint="eastAsia" w:cs="Times New Roman"/>
          <w:sz w:val="24"/>
          <w:szCs w:val="24"/>
          <w:highlight w:val="none"/>
          <w:lang w:val="en-US" w:eastAsia="zh-CN"/>
        </w:rPr>
        <w:t>250</w:t>
      </w:r>
      <w:r>
        <w:rPr>
          <w:rFonts w:hint="default" w:ascii="Times New Roman" w:hAnsi="Times New Roman" w:cs="Times New Roman"/>
          <w:sz w:val="24"/>
          <w:szCs w:val="24"/>
          <w:highlight w:val="none"/>
          <w:lang w:val="en-US" w:eastAsia="zh-CN"/>
        </w:rPr>
        <w:t>t/a，其中液态危险废物50</w:t>
      </w:r>
      <w:r>
        <w:rPr>
          <w:rFonts w:hint="eastAsia" w:cs="Times New Roman"/>
          <w:sz w:val="24"/>
          <w:szCs w:val="24"/>
          <w:highlight w:val="none"/>
          <w:lang w:val="en-US" w:eastAsia="zh-CN"/>
        </w:rPr>
        <w:t>t/a</w:t>
      </w:r>
      <w:r>
        <w:rPr>
          <w:rFonts w:hint="default" w:ascii="Times New Roman" w:hAnsi="Times New Roman" w:cs="Times New Roman"/>
          <w:sz w:val="24"/>
          <w:szCs w:val="24"/>
          <w:highlight w:val="none"/>
          <w:lang w:val="en-US" w:eastAsia="zh-CN"/>
        </w:rPr>
        <w:t>，固态危险废物</w:t>
      </w:r>
      <w:r>
        <w:rPr>
          <w:rFonts w:hint="eastAsia" w:cs="Times New Roman"/>
          <w:sz w:val="24"/>
          <w:szCs w:val="24"/>
          <w:highlight w:val="none"/>
          <w:lang w:val="en-US" w:eastAsia="zh-CN"/>
        </w:rPr>
        <w:t>2</w:t>
      </w:r>
      <w:r>
        <w:rPr>
          <w:rFonts w:hint="default" w:ascii="Times New Roman" w:hAnsi="Times New Roman" w:cs="Times New Roman"/>
          <w:sz w:val="24"/>
          <w:szCs w:val="24"/>
          <w:highlight w:val="none"/>
          <w:lang w:val="en-US" w:eastAsia="zh-CN"/>
        </w:rPr>
        <w:t>00</w:t>
      </w:r>
      <w:r>
        <w:rPr>
          <w:rFonts w:hint="eastAsia" w:cs="Times New Roman"/>
          <w:sz w:val="24"/>
          <w:szCs w:val="24"/>
          <w:highlight w:val="none"/>
          <w:lang w:val="en-US" w:eastAsia="zh-CN"/>
        </w:rPr>
        <w:t>t/a；</w:t>
      </w:r>
      <w:r>
        <w:rPr>
          <w:rFonts w:hint="default" w:ascii="Times New Roman" w:hAnsi="Times New Roman" w:eastAsia="宋体" w:cs="Times New Roman"/>
          <w:sz w:val="24"/>
          <w:szCs w:val="24"/>
          <w:highlight w:val="none"/>
          <w:lang w:val="en-US" w:eastAsia="zh-CN"/>
        </w:rPr>
        <w:t>主要建设内容</w:t>
      </w:r>
      <w:r>
        <w:rPr>
          <w:rFonts w:hint="eastAsia" w:cs="Times New Roman"/>
          <w:sz w:val="24"/>
          <w:szCs w:val="24"/>
          <w:highlight w:val="none"/>
          <w:lang w:val="en-US" w:eastAsia="zh-CN"/>
        </w:rPr>
        <w:t>包括</w:t>
      </w:r>
      <w:r>
        <w:rPr>
          <w:rFonts w:hint="default" w:ascii="Times New Roman" w:hAnsi="Times New Roman" w:eastAsia="宋体" w:cs="Times New Roman"/>
          <w:sz w:val="24"/>
          <w:szCs w:val="24"/>
          <w:highlight w:val="none"/>
          <w:lang w:val="en-US" w:eastAsia="zh-CN"/>
        </w:rPr>
        <w:t>分析</w:t>
      </w:r>
      <w:r>
        <w:rPr>
          <w:rFonts w:hint="default" w:ascii="Times New Roman" w:hAnsi="Times New Roman" w:cs="Times New Roman"/>
          <w:sz w:val="24"/>
          <w:szCs w:val="24"/>
          <w:highlight w:val="none"/>
          <w:lang w:val="en-US" w:eastAsia="zh-CN"/>
        </w:rPr>
        <w:t>化验</w:t>
      </w:r>
      <w:r>
        <w:rPr>
          <w:rFonts w:hint="default" w:ascii="Times New Roman" w:hAnsi="Times New Roman" w:eastAsia="宋体" w:cs="Times New Roman"/>
          <w:sz w:val="24"/>
          <w:szCs w:val="24"/>
          <w:highlight w:val="none"/>
          <w:lang w:val="en-US" w:eastAsia="zh-CN"/>
        </w:rPr>
        <w:t>系统、</w:t>
      </w:r>
      <w:r>
        <w:rPr>
          <w:rFonts w:hint="eastAsia" w:cs="Times New Roman"/>
          <w:sz w:val="24"/>
          <w:szCs w:val="24"/>
          <w:highlight w:val="none"/>
          <w:lang w:val="en-US" w:eastAsia="zh-CN"/>
        </w:rPr>
        <w:t>输送系统、投料</w:t>
      </w:r>
      <w:r>
        <w:rPr>
          <w:rFonts w:hint="default" w:ascii="Times New Roman" w:hAnsi="Times New Roman" w:eastAsia="宋体" w:cs="Times New Roman"/>
          <w:sz w:val="24"/>
          <w:szCs w:val="24"/>
          <w:highlight w:val="none"/>
          <w:lang w:val="en-US" w:eastAsia="zh-CN"/>
        </w:rPr>
        <w:t>系统</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其他辅助工程及环保工程等。</w:t>
      </w:r>
    </w:p>
    <w:p w14:paraId="0BE7567E">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rPr>
        <w:t>3.</w:t>
      </w:r>
      <w:r>
        <w:rPr>
          <w:rFonts w:hint="default" w:ascii="Times New Roman" w:hAnsi="Times New Roman" w:cs="Times New Roman"/>
          <w:b/>
          <w:bCs w:val="0"/>
          <w:kern w:val="2"/>
          <w:sz w:val="24"/>
          <w:szCs w:val="24"/>
          <w:highlight w:val="none"/>
          <w:lang w:val="en-US" w:eastAsia="zh-CN"/>
        </w:rPr>
        <w:t>2</w:t>
      </w:r>
      <w:r>
        <w:rPr>
          <w:rFonts w:hint="default" w:ascii="Times New Roman" w:hAnsi="Times New Roman" w:eastAsia="宋体" w:cs="Times New Roman"/>
          <w:b/>
          <w:bCs w:val="0"/>
          <w:kern w:val="2"/>
          <w:sz w:val="24"/>
          <w:szCs w:val="24"/>
          <w:highlight w:val="none"/>
        </w:rPr>
        <w:t>.</w:t>
      </w:r>
      <w:r>
        <w:rPr>
          <w:rFonts w:hint="default" w:ascii="Times New Roman" w:hAnsi="Times New Roman" w:eastAsia="宋体" w:cs="Times New Roman"/>
          <w:b/>
          <w:bCs w:val="0"/>
          <w:kern w:val="2"/>
          <w:sz w:val="24"/>
          <w:szCs w:val="24"/>
          <w:highlight w:val="none"/>
          <w:lang w:val="en-US" w:eastAsia="zh-CN"/>
        </w:rPr>
        <w:t>3建设内容</w:t>
      </w:r>
    </w:p>
    <w:p w14:paraId="78D6DCA5">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由主体工程、辅助工程、公用工程、环保工程等部分组成，大部分为新建内容，部分是在现有基础上进行改造，焚烧处置系统依托新疆兴悦化工有限公司已建的1条3200t/d新型干法水泥窑。项目组成及与依托工程依托情况见表3.</w:t>
      </w: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rPr>
        <w:t>。</w:t>
      </w:r>
    </w:p>
    <w:p w14:paraId="7AB8D25F">
      <w:pPr>
        <w:keepNext w:val="0"/>
        <w:keepLines w:val="0"/>
        <w:pageBreakBefore w:val="0"/>
        <w:widowControl/>
        <w:kinsoku/>
        <w:wordWrap/>
        <w:overflowPunct/>
        <w:topLinePunct w:val="0"/>
        <w:autoSpaceDE/>
        <w:autoSpaceDN/>
        <w:bidi w:val="0"/>
        <w:adjustRightInd/>
        <w:snapToGrid w:val="0"/>
        <w:ind w:firstLine="420"/>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rPr>
        <w:t>表3.</w:t>
      </w:r>
      <w:r>
        <w:rPr>
          <w:rFonts w:hint="default" w:ascii="Times New Roman" w:hAnsi="Times New Roman"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t xml:space="preserve"> 项目组成及</w:t>
      </w:r>
      <w:r>
        <w:rPr>
          <w:rFonts w:hint="default" w:ascii="Times New Roman" w:hAnsi="Times New Roman" w:cs="Times New Roman"/>
          <w:b/>
          <w:bCs/>
          <w:sz w:val="24"/>
          <w:szCs w:val="24"/>
          <w:highlight w:val="none"/>
          <w:lang w:val="en-US" w:eastAsia="zh-CN"/>
        </w:rPr>
        <w:t>建设</w:t>
      </w:r>
      <w:r>
        <w:rPr>
          <w:rFonts w:hint="default" w:ascii="Times New Roman" w:hAnsi="Times New Roman" w:eastAsia="宋体" w:cs="Times New Roman"/>
          <w:b/>
          <w:bCs/>
          <w:sz w:val="24"/>
          <w:szCs w:val="24"/>
          <w:highlight w:val="none"/>
        </w:rPr>
        <w:t>内容</w:t>
      </w:r>
      <w:r>
        <w:rPr>
          <w:rFonts w:hint="default" w:ascii="Times New Roman" w:hAnsi="Times New Roman" w:cs="Times New Roman"/>
          <w:b/>
          <w:bCs/>
          <w:sz w:val="24"/>
          <w:szCs w:val="24"/>
          <w:highlight w:val="none"/>
          <w:lang w:val="en-US" w:eastAsia="zh-CN"/>
        </w:rPr>
        <w:t>一览表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46"/>
        <w:gridCol w:w="456"/>
        <w:gridCol w:w="103"/>
        <w:gridCol w:w="727"/>
        <w:gridCol w:w="6009"/>
        <w:gridCol w:w="554"/>
      </w:tblGrid>
      <w:tr w14:paraId="6B71DD4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260" w:hRule="atLeast"/>
          <w:tblHeader/>
          <w:jc w:val="center"/>
        </w:trPr>
        <w:tc>
          <w:tcPr>
            <w:tcW w:w="1044" w:type="pct"/>
            <w:gridSpan w:val="4"/>
            <w:tcBorders>
              <w:tl2br w:val="nil"/>
              <w:tr2bl w:val="nil"/>
            </w:tcBorders>
            <w:vAlign w:val="center"/>
          </w:tcPr>
          <w:p w14:paraId="6F1253F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工程名称</w:t>
            </w:r>
          </w:p>
        </w:tc>
        <w:tc>
          <w:tcPr>
            <w:tcW w:w="3621" w:type="pct"/>
            <w:tcBorders>
              <w:tl2br w:val="nil"/>
              <w:tr2bl w:val="nil"/>
            </w:tcBorders>
            <w:vAlign w:val="center"/>
          </w:tcPr>
          <w:p w14:paraId="5CC52254">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主要建设内容</w:t>
            </w:r>
          </w:p>
        </w:tc>
        <w:tc>
          <w:tcPr>
            <w:tcW w:w="334" w:type="pct"/>
            <w:tcBorders>
              <w:tl2br w:val="nil"/>
              <w:tr2bl w:val="nil"/>
            </w:tcBorders>
            <w:vAlign w:val="center"/>
          </w:tcPr>
          <w:p w14:paraId="7AB42163">
            <w:pPr>
              <w:pStyle w:val="52"/>
              <w:spacing w:before="0" w:after="0" w:line="240" w:lineRule="auto"/>
              <w:ind w:left="0" w:firstLine="0"/>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val="en-US" w:eastAsia="zh-CN"/>
                <w14:textFill>
                  <w14:solidFill>
                    <w14:schemeClr w14:val="tx1"/>
                  </w14:solidFill>
                </w14:textFill>
              </w:rPr>
              <w:t>备注</w:t>
            </w:r>
          </w:p>
        </w:tc>
      </w:tr>
      <w:tr w14:paraId="16C4B8C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99" w:hRule="atLeast"/>
          <w:jc w:val="center"/>
        </w:trPr>
        <w:tc>
          <w:tcPr>
            <w:tcW w:w="269" w:type="pct"/>
            <w:vMerge w:val="restart"/>
            <w:tcBorders>
              <w:tl2br w:val="nil"/>
              <w:tr2bl w:val="nil"/>
            </w:tcBorders>
            <w:vAlign w:val="center"/>
          </w:tcPr>
          <w:p w14:paraId="4656AFB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主体工程</w:t>
            </w:r>
          </w:p>
        </w:tc>
        <w:tc>
          <w:tcPr>
            <w:tcW w:w="774" w:type="pct"/>
            <w:gridSpan w:val="3"/>
            <w:tcBorders>
              <w:tl2br w:val="nil"/>
              <w:tr2bl w:val="nil"/>
            </w:tcBorders>
            <w:vAlign w:val="center"/>
          </w:tcPr>
          <w:p w14:paraId="069EF27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焚烧系统</w:t>
            </w:r>
          </w:p>
        </w:tc>
        <w:tc>
          <w:tcPr>
            <w:tcW w:w="3621" w:type="pct"/>
            <w:tcBorders>
              <w:tl2br w:val="nil"/>
              <w:tr2bl w:val="nil"/>
            </w:tcBorders>
            <w:vAlign w:val="center"/>
          </w:tcPr>
          <w:p w14:paraId="1AC89EE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w:t>
            </w:r>
            <w:r>
              <w:rPr>
                <w:rFonts w:hint="default" w:ascii="Times New Roman" w:hAnsi="Times New Roman" w:cs="Times New Roman"/>
                <w:color w:val="000000" w:themeColor="text1"/>
                <w:sz w:val="21"/>
                <w:szCs w:val="21"/>
                <w:lang w:val="zh-CN"/>
                <w14:textFill>
                  <w14:solidFill>
                    <w14:schemeClr w14:val="tx1"/>
                  </w14:solidFill>
                </w14:textFill>
              </w:rPr>
              <w:t>新疆兴悦化工有限公司</w:t>
            </w:r>
            <w:r>
              <w:rPr>
                <w:rFonts w:hint="default" w:ascii="Times New Roman" w:hAnsi="Times New Roman" w:cs="Times New Roman"/>
                <w:color w:val="000000" w:themeColor="text1"/>
                <w:sz w:val="21"/>
                <w:szCs w:val="21"/>
                <w14:textFill>
                  <w14:solidFill>
                    <w14:schemeClr w14:val="tx1"/>
                  </w14:solidFill>
                </w14:textFill>
              </w:rPr>
              <w:t>现有3200t/d熟料新型干法水泥窑</w:t>
            </w:r>
          </w:p>
        </w:tc>
        <w:tc>
          <w:tcPr>
            <w:tcW w:w="334" w:type="pct"/>
            <w:tcBorders>
              <w:tl2br w:val="nil"/>
              <w:tr2bl w:val="nil"/>
            </w:tcBorders>
            <w:vAlign w:val="center"/>
          </w:tcPr>
          <w:p w14:paraId="1E39497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依托现有</w:t>
            </w:r>
          </w:p>
        </w:tc>
      </w:tr>
      <w:tr w14:paraId="748B47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99" w:hRule="atLeast"/>
          <w:jc w:val="center"/>
        </w:trPr>
        <w:tc>
          <w:tcPr>
            <w:tcW w:w="269" w:type="pct"/>
            <w:vMerge w:val="continue"/>
            <w:tcBorders>
              <w:tl2br w:val="nil"/>
              <w:tr2bl w:val="nil"/>
            </w:tcBorders>
            <w:vAlign w:val="center"/>
          </w:tcPr>
          <w:p w14:paraId="13F1232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337" w:type="pct"/>
            <w:gridSpan w:val="2"/>
            <w:vMerge w:val="restart"/>
            <w:tcBorders>
              <w:tl2br w:val="nil"/>
              <w:tr2bl w:val="nil"/>
            </w:tcBorders>
            <w:vAlign w:val="center"/>
          </w:tcPr>
          <w:p w14:paraId="2475270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投料系统</w:t>
            </w:r>
          </w:p>
        </w:tc>
        <w:tc>
          <w:tcPr>
            <w:tcW w:w="437" w:type="pct"/>
            <w:tcBorders>
              <w:tl2br w:val="nil"/>
              <w:tr2bl w:val="nil"/>
            </w:tcBorders>
            <w:vAlign w:val="center"/>
          </w:tcPr>
          <w:p w14:paraId="3D67F9E3">
            <w:pPr>
              <w:pStyle w:val="52"/>
              <w:spacing w:before="0" w:after="0" w:line="240" w:lineRule="auto"/>
              <w:ind w:left="0" w:firstLine="0"/>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固体残渣</w:t>
            </w:r>
          </w:p>
        </w:tc>
        <w:tc>
          <w:tcPr>
            <w:tcW w:w="3621" w:type="pct"/>
            <w:tcBorders>
              <w:tl2br w:val="nil"/>
              <w:tr2bl w:val="nil"/>
            </w:tcBorders>
            <w:vAlign w:val="center"/>
          </w:tcPr>
          <w:p w14:paraId="58EA3CF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物料运输进厂后经重型板喂机</w:t>
            </w:r>
            <w:r>
              <w:rPr>
                <w:rFonts w:hint="eastAsia" w:cs="Times New Roman"/>
                <w:color w:val="000000" w:themeColor="text1"/>
                <w:sz w:val="21"/>
                <w:szCs w:val="21"/>
                <w:lang w:val="en-US" w:eastAsia="zh-CN"/>
                <w14:textFill>
                  <w14:solidFill>
                    <w14:schemeClr w14:val="tx1"/>
                  </w14:solidFill>
                </w14:textFill>
              </w:rPr>
              <w:t>投料进入</w:t>
            </w:r>
            <w:r>
              <w:rPr>
                <w:rFonts w:hint="default" w:ascii="Times New Roman" w:hAnsi="Times New Roman" w:cs="Times New Roman"/>
                <w:color w:val="000000" w:themeColor="text1"/>
                <w:sz w:val="21"/>
                <w:szCs w:val="21"/>
                <w14:textFill>
                  <w14:solidFill>
                    <w14:schemeClr w14:val="tx1"/>
                  </w14:solidFill>
                </w14:textFill>
              </w:rPr>
              <w:t>打散机</w:t>
            </w:r>
            <w:r>
              <w:rPr>
                <w:rFonts w:hint="eastAsia" w:cs="Times New Roman"/>
                <w:color w:val="000000" w:themeColor="text1"/>
                <w:sz w:val="21"/>
                <w:szCs w:val="21"/>
                <w:lang w:val="en-US" w:eastAsia="zh-CN"/>
                <w14:textFill>
                  <w14:solidFill>
                    <w14:schemeClr w14:val="tx1"/>
                  </w14:solidFill>
                </w14:textFill>
              </w:rPr>
              <w:t>破碎后，通过</w:t>
            </w:r>
            <w:r>
              <w:rPr>
                <w:rFonts w:hint="default" w:ascii="Times New Roman" w:hAnsi="Times New Roman" w:cs="Times New Roman"/>
                <w:color w:val="000000" w:themeColor="text1"/>
                <w:sz w:val="21"/>
                <w:szCs w:val="21"/>
                <w14:textFill>
                  <w14:solidFill>
                    <w14:schemeClr w14:val="tx1"/>
                  </w14:solidFill>
                </w14:textFill>
              </w:rPr>
              <w:t>大倾角皮带机送入</w:t>
            </w:r>
            <w:r>
              <w:rPr>
                <w:rFonts w:hint="eastAsia" w:cs="Times New Roman"/>
                <w:color w:val="000000" w:themeColor="text1"/>
                <w:sz w:val="21"/>
                <w:szCs w:val="21"/>
                <w:lang w:val="en-US" w:eastAsia="zh-CN"/>
                <w14:textFill>
                  <w14:solidFill>
                    <w14:schemeClr w14:val="tx1"/>
                  </w14:solidFill>
                </w14:textFill>
              </w:rPr>
              <w:t>水泥窑</w:t>
            </w:r>
            <w:r>
              <w:rPr>
                <w:rFonts w:hint="default" w:ascii="Times New Roman" w:hAnsi="Times New Roman" w:cs="Times New Roman"/>
                <w:color w:val="000000" w:themeColor="text1"/>
                <w:sz w:val="21"/>
                <w:szCs w:val="21"/>
                <w14:textFill>
                  <w14:solidFill>
                    <w14:schemeClr w14:val="tx1"/>
                  </w14:solidFill>
                </w14:textFill>
              </w:rPr>
              <w:t>高温焚烧处置</w:t>
            </w:r>
          </w:p>
        </w:tc>
        <w:tc>
          <w:tcPr>
            <w:tcW w:w="334" w:type="pct"/>
            <w:tcBorders>
              <w:tl2br w:val="nil"/>
              <w:tr2bl w:val="nil"/>
            </w:tcBorders>
            <w:vAlign w:val="center"/>
          </w:tcPr>
          <w:p w14:paraId="2D320F8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新建</w:t>
            </w:r>
          </w:p>
        </w:tc>
      </w:tr>
      <w:tr w14:paraId="5D443AA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499" w:hRule="atLeast"/>
          <w:jc w:val="center"/>
        </w:trPr>
        <w:tc>
          <w:tcPr>
            <w:tcW w:w="269" w:type="pct"/>
            <w:vMerge w:val="continue"/>
            <w:tcBorders>
              <w:tl2br w:val="nil"/>
              <w:tr2bl w:val="nil"/>
            </w:tcBorders>
            <w:vAlign w:val="center"/>
          </w:tcPr>
          <w:p w14:paraId="53DCFA8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337" w:type="pct"/>
            <w:gridSpan w:val="2"/>
            <w:vMerge w:val="continue"/>
            <w:tcBorders>
              <w:tl2br w:val="nil"/>
              <w:tr2bl w:val="nil"/>
            </w:tcBorders>
            <w:vAlign w:val="center"/>
          </w:tcPr>
          <w:p w14:paraId="5F84412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37" w:type="pct"/>
            <w:tcBorders>
              <w:tl2br w:val="nil"/>
              <w:tr2bl w:val="nil"/>
            </w:tcBorders>
            <w:vAlign w:val="center"/>
          </w:tcPr>
          <w:p w14:paraId="6FC501E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液体残渣</w:t>
            </w:r>
          </w:p>
        </w:tc>
        <w:tc>
          <w:tcPr>
            <w:tcW w:w="3621" w:type="pct"/>
            <w:tcBorders>
              <w:tl2br w:val="nil"/>
              <w:tr2bl w:val="nil"/>
            </w:tcBorders>
            <w:vAlign w:val="center"/>
          </w:tcPr>
          <w:p w14:paraId="73E81C9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液体残渣由新疆兴发化工有限公司废液暂存罐内经泵送管道送至</w:t>
            </w:r>
            <w:r>
              <w:rPr>
                <w:rFonts w:hint="eastAsia" w:cs="Times New Roman"/>
                <w:color w:val="000000" w:themeColor="text1"/>
                <w:sz w:val="21"/>
                <w:szCs w:val="21"/>
                <w:lang w:val="en-US" w:eastAsia="zh-CN"/>
                <w14:textFill>
                  <w14:solidFill>
                    <w14:schemeClr w14:val="tx1"/>
                  </w14:solidFill>
                </w14:textFill>
              </w:rPr>
              <w:t>水泥窑内</w:t>
            </w:r>
            <w:r>
              <w:rPr>
                <w:rFonts w:hint="default" w:ascii="Times New Roman" w:hAnsi="Times New Roman" w:cs="Times New Roman"/>
                <w:color w:val="000000" w:themeColor="text1"/>
                <w:sz w:val="21"/>
                <w:szCs w:val="21"/>
                <w:lang w:val="en-US" w:eastAsia="zh-CN"/>
                <w14:textFill>
                  <w14:solidFill>
                    <w14:schemeClr w14:val="tx1"/>
                  </w14:solidFill>
                </w14:textFill>
              </w:rPr>
              <w:t>雾化燃烧</w:t>
            </w:r>
          </w:p>
        </w:tc>
        <w:tc>
          <w:tcPr>
            <w:tcW w:w="334" w:type="pct"/>
            <w:tcBorders>
              <w:tl2br w:val="nil"/>
              <w:tr2bl w:val="nil"/>
            </w:tcBorders>
            <w:vAlign w:val="center"/>
          </w:tcPr>
          <w:p w14:paraId="2A9CD28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新建</w:t>
            </w:r>
          </w:p>
        </w:tc>
      </w:tr>
      <w:tr w14:paraId="5D8561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269" w:type="pct"/>
            <w:tcBorders>
              <w:tl2br w:val="nil"/>
              <w:tr2bl w:val="nil"/>
            </w:tcBorders>
            <w:vAlign w:val="center"/>
          </w:tcPr>
          <w:p w14:paraId="523BEC8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辅助工程</w:t>
            </w:r>
          </w:p>
        </w:tc>
        <w:tc>
          <w:tcPr>
            <w:tcW w:w="774" w:type="pct"/>
            <w:gridSpan w:val="3"/>
            <w:tcBorders>
              <w:tl2br w:val="nil"/>
              <w:tr2bl w:val="nil"/>
            </w:tcBorders>
            <w:vAlign w:val="center"/>
          </w:tcPr>
          <w:p w14:paraId="5FEE88AE">
            <w:pPr>
              <w:pStyle w:val="52"/>
              <w:spacing w:before="0" w:after="0" w:line="240" w:lineRule="auto"/>
              <w:ind w:left="0" w:firstLine="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检验分析系统</w:t>
            </w:r>
          </w:p>
        </w:tc>
        <w:tc>
          <w:tcPr>
            <w:tcW w:w="3621" w:type="pct"/>
            <w:tcBorders>
              <w:tl2br w:val="nil"/>
              <w:tr2bl w:val="nil"/>
            </w:tcBorders>
            <w:vAlign w:val="center"/>
          </w:tcPr>
          <w:p w14:paraId="5CFE6289">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依托</w:t>
            </w:r>
            <w:r>
              <w:rPr>
                <w:rFonts w:hint="eastAsia" w:cs="Times New Roman"/>
                <w:color w:val="000000" w:themeColor="text1"/>
                <w:sz w:val="21"/>
                <w:szCs w:val="21"/>
                <w:highlight w:val="none"/>
                <w:lang w:val="en-US" w:eastAsia="zh-CN"/>
                <w14:textFill>
                  <w14:solidFill>
                    <w14:schemeClr w14:val="tx1"/>
                  </w14:solidFill>
                </w14:textFill>
              </w:rPr>
              <w:t>企业</w:t>
            </w:r>
            <w:r>
              <w:rPr>
                <w:rFonts w:hint="default" w:ascii="Times New Roman" w:hAnsi="Times New Roman" w:cs="Times New Roman"/>
                <w:color w:val="000000" w:themeColor="text1"/>
                <w:sz w:val="21"/>
                <w:szCs w:val="21"/>
                <w:highlight w:val="none"/>
                <w14:textFill>
                  <w14:solidFill>
                    <w14:schemeClr w14:val="tx1"/>
                  </w14:solidFill>
                </w14:textFill>
              </w:rPr>
              <w:t>厂区</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现有</w:t>
            </w:r>
            <w:r>
              <w:rPr>
                <w:rFonts w:hint="default" w:ascii="Times New Roman" w:hAnsi="Times New Roman" w:cs="Times New Roman"/>
                <w:color w:val="000000" w:themeColor="text1"/>
                <w:sz w:val="21"/>
                <w:szCs w:val="21"/>
                <w:highlight w:val="none"/>
                <w14:textFill>
                  <w14:solidFill>
                    <w14:schemeClr w14:val="tx1"/>
                  </w14:solidFill>
                </w14:textFill>
              </w:rPr>
              <w:t>化验室</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进行检验分析</w:t>
            </w:r>
          </w:p>
        </w:tc>
        <w:tc>
          <w:tcPr>
            <w:tcW w:w="334" w:type="pct"/>
            <w:tcBorders>
              <w:tl2br w:val="nil"/>
              <w:tr2bl w:val="nil"/>
            </w:tcBorders>
            <w:vAlign w:val="center"/>
          </w:tcPr>
          <w:p w14:paraId="26170E1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依托现有</w:t>
            </w:r>
          </w:p>
        </w:tc>
      </w:tr>
      <w:tr w14:paraId="20E74F4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130" w:hRule="atLeast"/>
          <w:jc w:val="center"/>
        </w:trPr>
        <w:tc>
          <w:tcPr>
            <w:tcW w:w="269" w:type="pct"/>
            <w:vMerge w:val="restart"/>
            <w:tcBorders>
              <w:tl2br w:val="nil"/>
              <w:tr2bl w:val="nil"/>
            </w:tcBorders>
            <w:vAlign w:val="center"/>
          </w:tcPr>
          <w:p w14:paraId="5719A18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公用工程</w:t>
            </w:r>
          </w:p>
        </w:tc>
        <w:tc>
          <w:tcPr>
            <w:tcW w:w="774" w:type="pct"/>
            <w:gridSpan w:val="3"/>
            <w:tcBorders>
              <w:tl2br w:val="nil"/>
              <w:tr2bl w:val="nil"/>
            </w:tcBorders>
            <w:vAlign w:val="center"/>
          </w:tcPr>
          <w:p w14:paraId="0D565AA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供水、排水</w:t>
            </w:r>
          </w:p>
        </w:tc>
        <w:tc>
          <w:tcPr>
            <w:tcW w:w="3621" w:type="pct"/>
            <w:tcBorders>
              <w:tl2br w:val="nil"/>
              <w:tr2bl w:val="nil"/>
            </w:tcBorders>
            <w:vAlign w:val="center"/>
          </w:tcPr>
          <w:p w14:paraId="44E0DC16">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用水由现有厂区提供，水质、水压及水量均满足项目需要</w:t>
            </w:r>
            <w:r>
              <w:rPr>
                <w:rFonts w:hint="default" w:ascii="Times New Roman" w:hAnsi="Times New Roman"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项目无</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新增</w:t>
            </w:r>
            <w:r>
              <w:rPr>
                <w:rFonts w:hint="default" w:ascii="Times New Roman" w:hAnsi="Times New Roman" w:cs="Times New Roman"/>
                <w:color w:val="000000" w:themeColor="text1"/>
                <w:sz w:val="21"/>
                <w:szCs w:val="21"/>
                <w:lang w:val="en-US" w:eastAsia="zh-CN"/>
                <w14:textFill>
                  <w14:solidFill>
                    <w14:schemeClr w14:val="tx1"/>
                  </w14:solidFill>
                </w14:textFill>
              </w:rPr>
              <w:t>生活污水</w:t>
            </w:r>
            <w:r>
              <w:rPr>
                <w:rFonts w:hint="eastAsia" w:cs="Times New Roman"/>
                <w:color w:val="000000" w:themeColor="text1"/>
                <w:sz w:val="21"/>
                <w:szCs w:val="21"/>
                <w:lang w:val="en-US" w:eastAsia="zh-CN"/>
                <w14:textFill>
                  <w14:solidFill>
                    <w14:schemeClr w14:val="tx1"/>
                  </w14:solidFill>
                </w14:textFill>
              </w:rPr>
              <w:t>及</w:t>
            </w:r>
            <w:r>
              <w:rPr>
                <w:rFonts w:hint="default" w:ascii="Times New Roman" w:hAnsi="Times New Roman" w:cs="Times New Roman"/>
                <w:color w:val="000000" w:themeColor="text1"/>
                <w:sz w:val="21"/>
                <w:szCs w:val="21"/>
                <w:lang w:val="en-US" w:eastAsia="zh-CN"/>
                <w14:textFill>
                  <w14:solidFill>
                    <w14:schemeClr w14:val="tx1"/>
                  </w14:solidFill>
                </w14:textFill>
              </w:rPr>
              <w:t>生产废水</w:t>
            </w:r>
            <w:r>
              <w:rPr>
                <w:rFonts w:hint="eastAsia" w:cs="Times New Roman"/>
                <w:color w:val="000000" w:themeColor="text1"/>
                <w:sz w:val="21"/>
                <w:szCs w:val="21"/>
                <w:lang w:val="en-US" w:eastAsia="zh-CN"/>
                <w14:textFill>
                  <w14:solidFill>
                    <w14:schemeClr w14:val="tx1"/>
                  </w14:solidFill>
                </w14:textFill>
              </w:rPr>
              <w:t>排放</w:t>
            </w:r>
          </w:p>
        </w:tc>
        <w:tc>
          <w:tcPr>
            <w:tcW w:w="334" w:type="pct"/>
            <w:tcBorders>
              <w:tl2br w:val="nil"/>
              <w:tr2bl w:val="nil"/>
            </w:tcBorders>
            <w:vAlign w:val="center"/>
          </w:tcPr>
          <w:p w14:paraId="1169BF9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依托现有</w:t>
            </w:r>
          </w:p>
        </w:tc>
      </w:tr>
      <w:tr w14:paraId="7AA65F0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64" w:hRule="atLeast"/>
          <w:jc w:val="center"/>
        </w:trPr>
        <w:tc>
          <w:tcPr>
            <w:tcW w:w="269" w:type="pct"/>
            <w:vMerge w:val="continue"/>
            <w:tcBorders>
              <w:tl2br w:val="nil"/>
              <w:tr2bl w:val="nil"/>
            </w:tcBorders>
            <w:vAlign w:val="center"/>
          </w:tcPr>
          <w:p w14:paraId="64D868A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774" w:type="pct"/>
            <w:gridSpan w:val="3"/>
            <w:tcBorders>
              <w:tl2br w:val="nil"/>
              <w:tr2bl w:val="nil"/>
            </w:tcBorders>
            <w:vAlign w:val="center"/>
          </w:tcPr>
          <w:p w14:paraId="5D34F1A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办公区</w:t>
            </w:r>
          </w:p>
        </w:tc>
        <w:tc>
          <w:tcPr>
            <w:tcW w:w="3621" w:type="pct"/>
            <w:tcBorders>
              <w:tl2br w:val="nil"/>
              <w:tr2bl w:val="nil"/>
            </w:tcBorders>
            <w:vAlign w:val="center"/>
          </w:tcPr>
          <w:p w14:paraId="53268CC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依托水泥厂现有办公生活区</w:t>
            </w:r>
          </w:p>
        </w:tc>
        <w:tc>
          <w:tcPr>
            <w:tcW w:w="334" w:type="pct"/>
            <w:tcBorders>
              <w:tl2br w:val="nil"/>
              <w:tr2bl w:val="nil"/>
            </w:tcBorders>
            <w:vAlign w:val="center"/>
          </w:tcPr>
          <w:p w14:paraId="1EBE03D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依托现有</w:t>
            </w:r>
          </w:p>
        </w:tc>
      </w:tr>
      <w:tr w14:paraId="6594774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269" w:type="pct"/>
            <w:vMerge w:val="continue"/>
            <w:tcBorders>
              <w:tl2br w:val="nil"/>
              <w:tr2bl w:val="nil"/>
            </w:tcBorders>
            <w:vAlign w:val="center"/>
          </w:tcPr>
          <w:p w14:paraId="5B99003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774" w:type="pct"/>
            <w:gridSpan w:val="3"/>
            <w:tcBorders>
              <w:tl2br w:val="nil"/>
              <w:tr2bl w:val="nil"/>
            </w:tcBorders>
            <w:vAlign w:val="center"/>
          </w:tcPr>
          <w:p w14:paraId="17AA01F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供电</w:t>
            </w:r>
          </w:p>
        </w:tc>
        <w:tc>
          <w:tcPr>
            <w:tcW w:w="3621" w:type="pct"/>
            <w:tcBorders>
              <w:tl2br w:val="nil"/>
              <w:tr2bl w:val="nil"/>
            </w:tcBorders>
            <w:vAlign w:val="center"/>
          </w:tcPr>
          <w:p w14:paraId="70194AB9">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供电电源采用现有水泥厂</w:t>
            </w:r>
            <w:r>
              <w:rPr>
                <w:rFonts w:hint="default" w:ascii="Times New Roman" w:hAnsi="Times New Roman" w:cs="Times New Roman"/>
                <w:color w:val="000000" w:themeColor="text1"/>
                <w:sz w:val="21"/>
                <w:szCs w:val="21"/>
                <w:lang w:val="en-US" w:eastAsia="zh-CN"/>
                <w14:textFill>
                  <w14:solidFill>
                    <w14:schemeClr w14:val="tx1"/>
                  </w14:solidFill>
                </w14:textFill>
              </w:rPr>
              <w:t>供电设施</w:t>
            </w:r>
          </w:p>
        </w:tc>
        <w:tc>
          <w:tcPr>
            <w:tcW w:w="334" w:type="pct"/>
            <w:tcBorders>
              <w:tl2br w:val="nil"/>
              <w:tr2bl w:val="nil"/>
            </w:tcBorders>
            <w:vAlign w:val="center"/>
          </w:tcPr>
          <w:p w14:paraId="6626479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依托现有</w:t>
            </w:r>
          </w:p>
        </w:tc>
      </w:tr>
      <w:tr w14:paraId="7871CDB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269" w:type="pct"/>
            <w:vMerge w:val="continue"/>
            <w:tcBorders>
              <w:tl2br w:val="nil"/>
              <w:tr2bl w:val="nil"/>
            </w:tcBorders>
            <w:vAlign w:val="center"/>
          </w:tcPr>
          <w:p w14:paraId="5D318D1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774" w:type="pct"/>
            <w:gridSpan w:val="3"/>
            <w:tcBorders>
              <w:tl2br w:val="nil"/>
              <w:tr2bl w:val="nil"/>
            </w:tcBorders>
            <w:vAlign w:val="center"/>
          </w:tcPr>
          <w:p w14:paraId="50FEE00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供热</w:t>
            </w:r>
          </w:p>
        </w:tc>
        <w:tc>
          <w:tcPr>
            <w:tcW w:w="3621" w:type="pct"/>
            <w:tcBorders>
              <w:tl2br w:val="nil"/>
              <w:tr2bl w:val="nil"/>
            </w:tcBorders>
            <w:vAlign w:val="center"/>
          </w:tcPr>
          <w:p w14:paraId="5CE4841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依托现有</w:t>
            </w:r>
          </w:p>
        </w:tc>
        <w:tc>
          <w:tcPr>
            <w:tcW w:w="334" w:type="pct"/>
            <w:tcBorders>
              <w:tl2br w:val="nil"/>
              <w:tr2bl w:val="nil"/>
            </w:tcBorders>
            <w:vAlign w:val="center"/>
          </w:tcPr>
          <w:p w14:paraId="00B69B5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依托现有</w:t>
            </w:r>
          </w:p>
        </w:tc>
      </w:tr>
      <w:tr w14:paraId="6F17E5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269" w:type="pct"/>
            <w:vMerge w:val="restart"/>
            <w:tcBorders>
              <w:tl2br w:val="nil"/>
              <w:tr2bl w:val="nil"/>
            </w:tcBorders>
            <w:vAlign w:val="center"/>
          </w:tcPr>
          <w:p w14:paraId="40EEBEE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环保工程</w:t>
            </w:r>
          </w:p>
        </w:tc>
        <w:tc>
          <w:tcPr>
            <w:tcW w:w="275" w:type="pct"/>
            <w:vMerge w:val="restart"/>
            <w:tcBorders>
              <w:tl2br w:val="nil"/>
              <w:tr2bl w:val="nil"/>
            </w:tcBorders>
            <w:vAlign w:val="center"/>
          </w:tcPr>
          <w:p w14:paraId="221E70D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废气</w:t>
            </w:r>
          </w:p>
        </w:tc>
        <w:tc>
          <w:tcPr>
            <w:tcW w:w="499" w:type="pct"/>
            <w:gridSpan w:val="2"/>
            <w:tcBorders>
              <w:tl2br w:val="nil"/>
              <w:tr2bl w:val="nil"/>
            </w:tcBorders>
            <w:vAlign w:val="center"/>
          </w:tcPr>
          <w:p w14:paraId="04DCE365">
            <w:pPr>
              <w:pStyle w:val="52"/>
              <w:spacing w:before="0" w:after="0" w:line="240" w:lineRule="auto"/>
              <w:ind w:left="0" w:firstLine="0"/>
              <w:rPr>
                <w:rFonts w:hint="default"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highlight w:val="none"/>
                <w14:textFill>
                  <w14:solidFill>
                    <w14:schemeClr w14:val="tx1"/>
                  </w14:solidFill>
                </w14:textFill>
              </w:rPr>
              <w:t>窑尾废气</w:t>
            </w:r>
          </w:p>
        </w:tc>
        <w:tc>
          <w:tcPr>
            <w:tcW w:w="3621" w:type="pct"/>
            <w:tcBorders>
              <w:tl2br w:val="nil"/>
              <w:tr2bl w:val="nil"/>
            </w:tcBorders>
            <w:vAlign w:val="center"/>
          </w:tcPr>
          <w:p w14:paraId="290C5F00">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低氮燃烧+SNCR+增湿塔（急冷）+电除尘+布袋除尘+100m排气筒</w:t>
            </w:r>
            <w:r>
              <w:rPr>
                <w:rFonts w:hint="default" w:ascii="Times New Roman" w:hAnsi="Times New Roman" w:cs="Times New Roman"/>
                <w:color w:val="000000" w:themeColor="text1"/>
                <w:sz w:val="21"/>
                <w:szCs w:val="21"/>
                <w:highlight w:val="none"/>
                <w14:textFill>
                  <w14:solidFill>
                    <w14:schemeClr w14:val="tx1"/>
                  </w14:solidFill>
                </w14:textFill>
              </w:rPr>
              <w:t>+自动监测系统</w:t>
            </w:r>
          </w:p>
        </w:tc>
        <w:tc>
          <w:tcPr>
            <w:tcW w:w="334" w:type="pct"/>
            <w:tcBorders>
              <w:tl2br w:val="nil"/>
              <w:tr2bl w:val="nil"/>
            </w:tcBorders>
            <w:vAlign w:val="center"/>
          </w:tcPr>
          <w:p w14:paraId="1501549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依托现有</w:t>
            </w:r>
          </w:p>
        </w:tc>
      </w:tr>
      <w:tr w14:paraId="61D7BC7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269" w:type="pct"/>
            <w:vMerge w:val="continue"/>
            <w:tcBorders>
              <w:tl2br w:val="nil"/>
              <w:tr2bl w:val="nil"/>
            </w:tcBorders>
            <w:vAlign w:val="center"/>
          </w:tcPr>
          <w:p w14:paraId="365FA8C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275" w:type="pct"/>
            <w:vMerge w:val="continue"/>
            <w:tcBorders>
              <w:tl2br w:val="nil"/>
              <w:tr2bl w:val="nil"/>
            </w:tcBorders>
            <w:vAlign w:val="center"/>
          </w:tcPr>
          <w:p w14:paraId="4BB5641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99" w:type="pct"/>
            <w:gridSpan w:val="2"/>
            <w:tcBorders>
              <w:tl2br w:val="nil"/>
              <w:tr2bl w:val="nil"/>
            </w:tcBorders>
            <w:vAlign w:val="center"/>
          </w:tcPr>
          <w:p w14:paraId="352D125E">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预处理系统</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废气</w:t>
            </w:r>
          </w:p>
        </w:tc>
        <w:tc>
          <w:tcPr>
            <w:tcW w:w="3621" w:type="pct"/>
            <w:tcBorders>
              <w:tl2br w:val="nil"/>
              <w:tr2bl w:val="nil"/>
            </w:tcBorders>
            <w:shd w:val="clear" w:color="auto" w:fill="auto"/>
            <w:vAlign w:val="center"/>
          </w:tcPr>
          <w:p w14:paraId="322AA389">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bidi="ar-SA"/>
              </w:rPr>
            </w:pPr>
            <w:r>
              <w:rPr>
                <w:rFonts w:hint="default" w:ascii="Times New Roman" w:hAnsi="Times New Roman" w:cs="Times New Roman"/>
                <w:color w:val="auto"/>
                <w:sz w:val="21"/>
                <w:szCs w:val="21"/>
                <w:highlight w:val="none"/>
                <w:lang w:val="en-US" w:eastAsia="zh-CN"/>
              </w:rPr>
              <w:t>进料系统全密闭，打散机上方设置1套袋式除尘器+15m排气筒</w:t>
            </w:r>
            <w:r>
              <w:rPr>
                <w:rFonts w:hint="eastAsia" w:ascii="Times New Roman" w:hAnsi="Times New Roman" w:cs="Times New Roman"/>
                <w:color w:val="auto"/>
                <w:sz w:val="21"/>
                <w:szCs w:val="21"/>
                <w:highlight w:val="none"/>
                <w:lang w:val="en-US" w:eastAsia="zh-CN"/>
              </w:rPr>
              <w:t>（DA002）</w:t>
            </w:r>
          </w:p>
        </w:tc>
        <w:tc>
          <w:tcPr>
            <w:tcW w:w="334" w:type="pct"/>
            <w:tcBorders>
              <w:tl2br w:val="nil"/>
              <w:tr2bl w:val="nil"/>
            </w:tcBorders>
            <w:vAlign w:val="center"/>
          </w:tcPr>
          <w:p w14:paraId="600219E8">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新建</w:t>
            </w:r>
          </w:p>
        </w:tc>
      </w:tr>
      <w:tr w14:paraId="2493734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269" w:type="pct"/>
            <w:vMerge w:val="continue"/>
            <w:tcBorders>
              <w:tl2br w:val="nil"/>
              <w:tr2bl w:val="nil"/>
            </w:tcBorders>
            <w:vAlign w:val="center"/>
          </w:tcPr>
          <w:p w14:paraId="0D56090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275" w:type="pct"/>
            <w:vMerge w:val="continue"/>
            <w:tcBorders>
              <w:tl2br w:val="nil"/>
              <w:tr2bl w:val="nil"/>
            </w:tcBorders>
            <w:vAlign w:val="center"/>
          </w:tcPr>
          <w:p w14:paraId="142964B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99" w:type="pct"/>
            <w:gridSpan w:val="2"/>
            <w:tcBorders>
              <w:tl2br w:val="nil"/>
              <w:tr2bl w:val="nil"/>
            </w:tcBorders>
            <w:vAlign w:val="center"/>
          </w:tcPr>
          <w:p w14:paraId="427F4850">
            <w:pPr>
              <w:pStyle w:val="52"/>
              <w:spacing w:before="0" w:after="0" w:line="240" w:lineRule="auto"/>
              <w:ind w:left="0" w:firstLine="0"/>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输送系统废气</w:t>
            </w:r>
          </w:p>
        </w:tc>
        <w:tc>
          <w:tcPr>
            <w:tcW w:w="3621" w:type="pct"/>
            <w:tcBorders>
              <w:tl2br w:val="nil"/>
              <w:tr2bl w:val="nil"/>
            </w:tcBorders>
            <w:shd w:val="clear" w:color="auto" w:fill="auto"/>
            <w:vAlign w:val="center"/>
          </w:tcPr>
          <w:p w14:paraId="33930A0A">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bidi="ar-SA"/>
              </w:rPr>
            </w:pPr>
            <w:r>
              <w:rPr>
                <w:rFonts w:hint="eastAsia" w:cs="Times New Roman"/>
                <w:b w:val="0"/>
                <w:bCs w:val="0"/>
                <w:sz w:val="21"/>
                <w:highlight w:val="none"/>
                <w:lang w:val="en-US" w:eastAsia="zh-CN" w:bidi="ar-SA"/>
              </w:rPr>
              <w:t>液态废物通过架空管道输送至水泥窑内，输送过程全密闭；固态废物输送过程全密闭，皮带输送设备上方设置1套袋式除尘器+15m排气筒（DA003）</w:t>
            </w:r>
          </w:p>
        </w:tc>
        <w:tc>
          <w:tcPr>
            <w:tcW w:w="334" w:type="pct"/>
            <w:tcBorders>
              <w:tl2br w:val="nil"/>
              <w:tr2bl w:val="nil"/>
            </w:tcBorders>
            <w:vAlign w:val="center"/>
          </w:tcPr>
          <w:p w14:paraId="7699F5D2">
            <w:pPr>
              <w:pStyle w:val="52"/>
              <w:spacing w:before="0" w:after="0" w:line="240" w:lineRule="auto"/>
              <w:ind w:left="0" w:firstLine="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新建</w:t>
            </w:r>
          </w:p>
        </w:tc>
      </w:tr>
      <w:tr w14:paraId="3D5021D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90" w:hRule="atLeast"/>
          <w:jc w:val="center"/>
        </w:trPr>
        <w:tc>
          <w:tcPr>
            <w:tcW w:w="269" w:type="pct"/>
            <w:vMerge w:val="continue"/>
            <w:tcBorders>
              <w:tl2br w:val="nil"/>
              <w:tr2bl w:val="nil"/>
            </w:tcBorders>
            <w:vAlign w:val="center"/>
          </w:tcPr>
          <w:p w14:paraId="24F5543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774" w:type="pct"/>
            <w:gridSpan w:val="3"/>
            <w:tcBorders>
              <w:tl2br w:val="nil"/>
              <w:tr2bl w:val="nil"/>
            </w:tcBorders>
            <w:vAlign w:val="center"/>
          </w:tcPr>
          <w:p w14:paraId="3EC83C5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固废</w:t>
            </w:r>
          </w:p>
        </w:tc>
        <w:tc>
          <w:tcPr>
            <w:tcW w:w="3621" w:type="pct"/>
            <w:tcBorders>
              <w:tl2br w:val="nil"/>
              <w:tr2bl w:val="nil"/>
            </w:tcBorders>
            <w:vAlign w:val="center"/>
          </w:tcPr>
          <w:p w14:paraId="60E3F2DC">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废包装物</w:t>
            </w:r>
            <w:r>
              <w:rPr>
                <w:rFonts w:hint="default" w:ascii="Times New Roman" w:hAnsi="Times New Roman" w:cs="Times New Roman"/>
                <w:color w:val="000000" w:themeColor="text1"/>
                <w:sz w:val="21"/>
                <w:szCs w:val="21"/>
                <w:lang w:eastAsia="zh-CN"/>
                <w14:textFill>
                  <w14:solidFill>
                    <w14:schemeClr w14:val="tx1"/>
                  </w14:solidFill>
                </w14:textFill>
              </w:rPr>
              <w:t>经窑尾投料口投入</w:t>
            </w:r>
            <w:r>
              <w:rPr>
                <w:rFonts w:hint="eastAsia" w:cs="Times New Roman"/>
                <w:color w:val="000000" w:themeColor="text1"/>
                <w:sz w:val="21"/>
                <w:szCs w:val="21"/>
                <w:lang w:val="en-US" w:eastAsia="zh-CN"/>
                <w14:textFill>
                  <w14:solidFill>
                    <w14:schemeClr w14:val="tx1"/>
                  </w14:solidFill>
                </w14:textFill>
              </w:rPr>
              <w:t>水泥窑</w:t>
            </w:r>
            <w:r>
              <w:rPr>
                <w:rFonts w:hint="default" w:ascii="Times New Roman" w:hAnsi="Times New Roman" w:cs="Times New Roman"/>
                <w:color w:val="000000" w:themeColor="text1"/>
                <w:sz w:val="21"/>
                <w:szCs w:val="21"/>
                <w:lang w:eastAsia="zh-CN"/>
                <w14:textFill>
                  <w14:solidFill>
                    <w14:schemeClr w14:val="tx1"/>
                  </w14:solidFill>
                </w14:textFill>
              </w:rPr>
              <w:t>焚烧处置；除尘灰混入固态废物</w:t>
            </w:r>
            <w:r>
              <w:rPr>
                <w:rFonts w:hint="eastAsia" w:cs="Times New Roman"/>
                <w:color w:val="000000" w:themeColor="text1"/>
                <w:sz w:val="21"/>
                <w:szCs w:val="21"/>
                <w:lang w:val="en-US" w:eastAsia="zh-CN"/>
                <w14:textFill>
                  <w14:solidFill>
                    <w14:schemeClr w14:val="tx1"/>
                  </w14:solidFill>
                </w14:textFill>
              </w:rPr>
              <w:t>后</w:t>
            </w:r>
            <w:r>
              <w:rPr>
                <w:rFonts w:hint="default" w:ascii="Times New Roman" w:hAnsi="Times New Roman" w:cs="Times New Roman"/>
                <w:color w:val="000000" w:themeColor="text1"/>
                <w:sz w:val="21"/>
                <w:szCs w:val="21"/>
                <w:lang w:eastAsia="zh-CN"/>
                <w14:textFill>
                  <w14:solidFill>
                    <w14:schemeClr w14:val="tx1"/>
                  </w14:solidFill>
                </w14:textFill>
              </w:rPr>
              <w:t>一同送至分解炉高温焚烧处置</w:t>
            </w:r>
            <w:r>
              <w:rPr>
                <w:rFonts w:hint="eastAsia" w:cs="Times New Roman"/>
                <w:color w:val="000000" w:themeColor="text1"/>
                <w:sz w:val="21"/>
                <w:szCs w:val="21"/>
                <w:lang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化验</w:t>
            </w:r>
            <w:r>
              <w:rPr>
                <w:rFonts w:hint="default" w:ascii="Times New Roman" w:hAnsi="Times New Roman" w:cs="Times New Roman"/>
                <w:color w:val="000000" w:themeColor="text1"/>
                <w:sz w:val="21"/>
                <w:szCs w:val="21"/>
                <w14:textFill>
                  <w14:solidFill>
                    <w14:schemeClr w14:val="tx1"/>
                  </w14:solidFill>
                </w14:textFill>
              </w:rPr>
              <w:t>废物</w:t>
            </w:r>
            <w:r>
              <w:rPr>
                <w:rFonts w:hint="default" w:ascii="Times New Roman" w:hAnsi="Times New Roman" w:cs="Times New Roman"/>
                <w:color w:val="000000" w:themeColor="text1"/>
                <w:sz w:val="21"/>
                <w:szCs w:val="21"/>
                <w:lang w:val="en-US" w:eastAsia="zh-CN"/>
                <w14:textFill>
                  <w14:solidFill>
                    <w14:schemeClr w14:val="tx1"/>
                  </w14:solidFill>
                </w14:textFill>
              </w:rPr>
              <w:t>在</w:t>
            </w:r>
            <w:r>
              <w:rPr>
                <w:rFonts w:hint="eastAsia" w:cs="Times New Roman"/>
                <w:color w:val="000000" w:themeColor="text1"/>
                <w:sz w:val="21"/>
                <w:szCs w:val="21"/>
                <w:lang w:val="en-US" w:eastAsia="zh-CN"/>
                <w14:textFill>
                  <w14:solidFill>
                    <w14:schemeClr w14:val="tx1"/>
                  </w14:solidFill>
                </w14:textFill>
              </w:rPr>
              <w:t>危险废物贮存库</w:t>
            </w:r>
            <w:r>
              <w:rPr>
                <w:rFonts w:hint="default" w:ascii="Times New Roman" w:hAnsi="Times New Roman" w:cs="Times New Roman"/>
                <w:color w:val="000000" w:themeColor="text1"/>
                <w:sz w:val="21"/>
                <w:szCs w:val="21"/>
                <w:lang w:val="en-US" w:eastAsia="zh-CN"/>
                <w14:textFill>
                  <w14:solidFill>
                    <w14:schemeClr w14:val="tx1"/>
                  </w14:solidFill>
                </w14:textFill>
              </w:rPr>
              <w:t>暂存后委托有资质单位处置</w:t>
            </w:r>
          </w:p>
        </w:tc>
        <w:tc>
          <w:tcPr>
            <w:tcW w:w="334" w:type="pct"/>
            <w:tcBorders>
              <w:tl2br w:val="nil"/>
              <w:tr2bl w:val="nil"/>
            </w:tcBorders>
            <w:vAlign w:val="center"/>
          </w:tcPr>
          <w:p w14:paraId="46241A4A">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新建</w:t>
            </w:r>
          </w:p>
        </w:tc>
      </w:tr>
      <w:tr w14:paraId="7830285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269" w:type="pct"/>
            <w:vMerge w:val="continue"/>
            <w:tcBorders>
              <w:tl2br w:val="nil"/>
              <w:tr2bl w:val="nil"/>
            </w:tcBorders>
            <w:vAlign w:val="center"/>
          </w:tcPr>
          <w:p w14:paraId="1FB7045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774" w:type="pct"/>
            <w:gridSpan w:val="3"/>
            <w:tcBorders>
              <w:tl2br w:val="nil"/>
              <w:tr2bl w:val="nil"/>
            </w:tcBorders>
            <w:vAlign w:val="center"/>
          </w:tcPr>
          <w:p w14:paraId="4B2F234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噪声</w:t>
            </w:r>
          </w:p>
        </w:tc>
        <w:tc>
          <w:tcPr>
            <w:tcW w:w="3621" w:type="pct"/>
            <w:tcBorders>
              <w:tl2br w:val="nil"/>
              <w:tr2bl w:val="nil"/>
            </w:tcBorders>
            <w:vAlign w:val="center"/>
          </w:tcPr>
          <w:p w14:paraId="6A68225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采用低噪</w:t>
            </w:r>
            <w:r>
              <w:rPr>
                <w:rFonts w:hint="eastAsia" w:cs="Times New Roman"/>
                <w:color w:val="000000" w:themeColor="text1"/>
                <w:sz w:val="21"/>
                <w:szCs w:val="21"/>
                <w:lang w:val="en-US" w:eastAsia="zh-CN"/>
                <w14:textFill>
                  <w14:solidFill>
                    <w14:schemeClr w14:val="tx1"/>
                  </w14:solidFill>
                </w14:textFill>
              </w:rPr>
              <w:t>声</w:t>
            </w:r>
            <w:r>
              <w:rPr>
                <w:rFonts w:hint="default" w:ascii="Times New Roman" w:hAnsi="Times New Roman" w:cs="Times New Roman"/>
                <w:color w:val="000000" w:themeColor="text1"/>
                <w:sz w:val="21"/>
                <w:szCs w:val="21"/>
                <w14:textFill>
                  <w14:solidFill>
                    <w14:schemeClr w14:val="tx1"/>
                  </w14:solidFill>
                </w14:textFill>
              </w:rPr>
              <w:t>设备</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室内布置、消声、隔声等措施</w:t>
            </w:r>
          </w:p>
        </w:tc>
        <w:tc>
          <w:tcPr>
            <w:tcW w:w="334" w:type="pct"/>
            <w:tcBorders>
              <w:tl2br w:val="nil"/>
              <w:tr2bl w:val="nil"/>
            </w:tcBorders>
            <w:vAlign w:val="center"/>
          </w:tcPr>
          <w:p w14:paraId="37F975F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新建</w:t>
            </w:r>
          </w:p>
        </w:tc>
      </w:tr>
      <w:tr w14:paraId="62EFDD6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269" w:type="pct"/>
            <w:vMerge w:val="continue"/>
            <w:tcBorders>
              <w:tl2br w:val="nil"/>
              <w:tr2bl w:val="nil"/>
            </w:tcBorders>
            <w:vAlign w:val="center"/>
          </w:tcPr>
          <w:p w14:paraId="6A88DC6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774" w:type="pct"/>
            <w:gridSpan w:val="3"/>
            <w:tcBorders>
              <w:tl2br w:val="nil"/>
              <w:tr2bl w:val="nil"/>
            </w:tcBorders>
            <w:vAlign w:val="center"/>
          </w:tcPr>
          <w:p w14:paraId="1F7D832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地下水</w:t>
            </w:r>
            <w:r>
              <w:rPr>
                <w:rFonts w:hint="default" w:ascii="Times New Roman" w:hAnsi="Times New Roman" w:cs="Times New Roman"/>
                <w:color w:val="000000" w:themeColor="text1"/>
                <w:sz w:val="21"/>
                <w:szCs w:val="21"/>
                <w:lang w:val="en-US" w:eastAsia="zh-CN"/>
                <w14:textFill>
                  <w14:solidFill>
                    <w14:schemeClr w14:val="tx1"/>
                  </w14:solidFill>
                </w14:textFill>
              </w:rPr>
              <w:t>及土壤污染防治</w:t>
            </w:r>
            <w:r>
              <w:rPr>
                <w:rFonts w:hint="default" w:ascii="Times New Roman" w:hAnsi="Times New Roman" w:cs="Times New Roman"/>
                <w:color w:val="000000" w:themeColor="text1"/>
                <w:sz w:val="21"/>
                <w:szCs w:val="21"/>
                <w14:textFill>
                  <w14:solidFill>
                    <w14:schemeClr w14:val="tx1"/>
                  </w14:solidFill>
                </w14:textFill>
              </w:rPr>
              <w:t>措施</w:t>
            </w:r>
          </w:p>
        </w:tc>
        <w:tc>
          <w:tcPr>
            <w:tcW w:w="3621" w:type="pct"/>
            <w:tcBorders>
              <w:tl2br w:val="nil"/>
              <w:tr2bl w:val="nil"/>
            </w:tcBorders>
            <w:vAlign w:val="center"/>
          </w:tcPr>
          <w:p w14:paraId="2D1CB66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投料车间及事故池</w:t>
            </w:r>
            <w:r>
              <w:rPr>
                <w:rFonts w:hint="eastAsia" w:cs="Times New Roman"/>
                <w:color w:val="000000" w:themeColor="text1"/>
                <w:sz w:val="21"/>
                <w:szCs w:val="21"/>
                <w:highlight w:val="none"/>
                <w:lang w:val="en-US" w:eastAsia="zh-CN"/>
                <w14:textFill>
                  <w14:solidFill>
                    <w14:schemeClr w14:val="tx1"/>
                  </w14:solidFill>
                </w14:textFill>
              </w:rPr>
              <w:t>作</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为重点污染防治区，严格按照《环境影响评价技术导则 地下水环境》（HJ610-2016）的要求做好防渗措施，包括基础、墙裙、池底板、池壁等，其防渗性能不低于6.0m厚、渗透系数为1.0×10</w:t>
            </w:r>
            <w:r>
              <w:rPr>
                <w:rFonts w:hint="default" w:ascii="Times New Roman" w:hAnsi="Times New Roman" w:cs="Times New Roman"/>
                <w:color w:val="000000" w:themeColor="text1"/>
                <w:sz w:val="21"/>
                <w:szCs w:val="21"/>
                <w:highlight w:val="none"/>
                <w:vertAlign w:val="superscript"/>
                <w:lang w:val="en-US" w:eastAsia="zh-CN"/>
                <w14:textFill>
                  <w14:solidFill>
                    <w14:schemeClr w14:val="tx1"/>
                  </w14:solidFill>
                </w14:textFill>
              </w:rPr>
              <w:t>-7</w:t>
            </w: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cm/s的黏土层的防渗性能</w:t>
            </w:r>
          </w:p>
        </w:tc>
        <w:tc>
          <w:tcPr>
            <w:tcW w:w="334" w:type="pct"/>
            <w:tcBorders>
              <w:tl2br w:val="nil"/>
              <w:tr2bl w:val="nil"/>
            </w:tcBorders>
            <w:vAlign w:val="center"/>
          </w:tcPr>
          <w:p w14:paraId="418D407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新建</w:t>
            </w:r>
          </w:p>
        </w:tc>
      </w:tr>
      <w:tr w14:paraId="3420743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1044" w:type="pct"/>
            <w:gridSpan w:val="4"/>
            <w:tcBorders>
              <w:tl2br w:val="nil"/>
              <w:tr2bl w:val="nil"/>
            </w:tcBorders>
            <w:vAlign w:val="center"/>
          </w:tcPr>
          <w:p w14:paraId="757BF4CD">
            <w:pPr>
              <w:keepNext w:val="0"/>
              <w:keepLines w:val="0"/>
              <w:pageBreakBefore w:val="0"/>
              <w:widowControl/>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rPr>
              <w:t>环境风险</w:t>
            </w:r>
            <w:r>
              <w:rPr>
                <w:rFonts w:hint="default" w:ascii="Times New Roman" w:hAnsi="Times New Roman" w:cs="Times New Roman"/>
                <w:sz w:val="21"/>
                <w:szCs w:val="21"/>
                <w:highlight w:val="none"/>
                <w:lang w:val="en-US" w:eastAsia="zh-CN"/>
              </w:rPr>
              <w:t>防范</w:t>
            </w:r>
          </w:p>
        </w:tc>
        <w:tc>
          <w:tcPr>
            <w:tcW w:w="3621" w:type="pct"/>
            <w:tcBorders>
              <w:tl2br w:val="nil"/>
              <w:tr2bl w:val="nil"/>
            </w:tcBorders>
            <w:shd w:val="clear" w:color="auto" w:fill="auto"/>
            <w:vAlign w:val="center"/>
          </w:tcPr>
          <w:p w14:paraId="699C0A85">
            <w:pPr>
              <w:keepNext w:val="0"/>
              <w:keepLines w:val="0"/>
              <w:pageBreakBefore w:val="0"/>
              <w:widowControl/>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rPr>
              <w:t>安装火灾报警系统、可燃气体报警系统、毒气报警系统；厂区内设1座</w:t>
            </w: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00m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应急事故池、视频监控系统；配备相关应急装备和消防器材等；编制突发环境事件应急预案并备案</w:t>
            </w:r>
          </w:p>
        </w:tc>
        <w:tc>
          <w:tcPr>
            <w:tcW w:w="334" w:type="pct"/>
            <w:tcBorders>
              <w:tl2br w:val="nil"/>
              <w:tr2bl w:val="nil"/>
            </w:tcBorders>
            <w:vAlign w:val="center"/>
          </w:tcPr>
          <w:p w14:paraId="681101E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新建</w:t>
            </w:r>
          </w:p>
        </w:tc>
      </w:tr>
      <w:tr w14:paraId="7BFDFAA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jc w:val="center"/>
        </w:trPr>
        <w:tc>
          <w:tcPr>
            <w:tcW w:w="1044" w:type="pct"/>
            <w:gridSpan w:val="4"/>
            <w:tcBorders>
              <w:tl2br w:val="nil"/>
              <w:tr2bl w:val="nil"/>
            </w:tcBorders>
            <w:vAlign w:val="center"/>
          </w:tcPr>
          <w:p w14:paraId="733390C3">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lang w:val="en-US" w:eastAsia="zh-CN" w:bidi="ar-SA"/>
              </w:rPr>
            </w:pPr>
            <w:r>
              <w:rPr>
                <w:rFonts w:hint="eastAsia" w:cs="Times New Roman"/>
                <w:b w:val="0"/>
                <w:bCs w:val="0"/>
                <w:color w:val="auto"/>
                <w:sz w:val="21"/>
                <w:szCs w:val="21"/>
                <w:highlight w:val="none"/>
                <w:lang w:val="en-US" w:eastAsia="zh-CN"/>
              </w:rPr>
              <w:t>环境管理及环境监测</w:t>
            </w:r>
          </w:p>
        </w:tc>
        <w:tc>
          <w:tcPr>
            <w:tcW w:w="3621" w:type="pct"/>
            <w:tcBorders>
              <w:tl2br w:val="nil"/>
              <w:tr2bl w:val="nil"/>
            </w:tcBorders>
            <w:shd w:val="clear" w:color="auto" w:fill="auto"/>
            <w:vAlign w:val="center"/>
          </w:tcPr>
          <w:p w14:paraId="5A1A9003">
            <w:pPr>
              <w:autoSpaceDE/>
              <w:autoSpaceDN/>
              <w:spacing w:before="0" w:after="0" w:line="240" w:lineRule="auto"/>
              <w:ind w:left="0" w:firstLine="0"/>
              <w:jc w:val="center"/>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设置专人担负企业日常环境管理与监测工作，做好包括危险废物出入库台账在内的各项管理台账和环保档案，建立环境管理及监测机构，配备监测仪器、按监测计划开展监测，排污口规范化设置</w:t>
            </w:r>
          </w:p>
        </w:tc>
        <w:tc>
          <w:tcPr>
            <w:tcW w:w="334" w:type="pct"/>
            <w:tcBorders>
              <w:tl2br w:val="nil"/>
              <w:tr2bl w:val="nil"/>
            </w:tcBorders>
            <w:vAlign w:val="center"/>
          </w:tcPr>
          <w:p w14:paraId="6F91EE8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新建</w:t>
            </w:r>
          </w:p>
        </w:tc>
      </w:tr>
    </w:tbl>
    <w:p w14:paraId="2190E0D5">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rPr>
        <w:t>3.</w:t>
      </w:r>
      <w:r>
        <w:rPr>
          <w:rFonts w:hint="default" w:ascii="Times New Roman" w:hAnsi="Times New Roman" w:cs="Times New Roman"/>
          <w:b/>
          <w:bCs w:val="0"/>
          <w:kern w:val="2"/>
          <w:sz w:val="24"/>
          <w:szCs w:val="24"/>
          <w:highlight w:val="none"/>
          <w:lang w:val="en-US" w:eastAsia="zh-CN"/>
        </w:rPr>
        <w:t>2</w:t>
      </w:r>
      <w:r>
        <w:rPr>
          <w:rFonts w:hint="default" w:ascii="Times New Roman" w:hAnsi="Times New Roman" w:eastAsia="宋体" w:cs="Times New Roman"/>
          <w:b/>
          <w:bCs w:val="0"/>
          <w:kern w:val="2"/>
          <w:sz w:val="24"/>
          <w:szCs w:val="24"/>
          <w:highlight w:val="none"/>
        </w:rPr>
        <w:t>.4主要</w:t>
      </w:r>
      <w:r>
        <w:rPr>
          <w:rFonts w:hint="default" w:ascii="Times New Roman" w:hAnsi="Times New Roman" w:eastAsia="宋体" w:cs="Times New Roman"/>
          <w:b/>
          <w:bCs w:val="0"/>
          <w:kern w:val="2"/>
          <w:sz w:val="24"/>
          <w:szCs w:val="24"/>
          <w:highlight w:val="none"/>
          <w:lang w:val="en-US" w:eastAsia="zh-CN"/>
        </w:rPr>
        <w:t>技术</w:t>
      </w:r>
      <w:r>
        <w:rPr>
          <w:rFonts w:hint="default" w:ascii="Times New Roman" w:hAnsi="Times New Roman" w:eastAsia="宋体" w:cs="Times New Roman"/>
          <w:b/>
          <w:bCs w:val="0"/>
          <w:kern w:val="2"/>
          <w:sz w:val="24"/>
          <w:szCs w:val="24"/>
          <w:highlight w:val="none"/>
        </w:rPr>
        <w:t>经济指标</w:t>
      </w:r>
    </w:p>
    <w:p w14:paraId="53E84C8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本项目</w:t>
      </w:r>
      <w:r>
        <w:rPr>
          <w:rFonts w:hint="default" w:ascii="Times New Roman" w:hAnsi="Times New Roman" w:eastAsia="宋体" w:cs="Times New Roman"/>
          <w:sz w:val="24"/>
          <w:szCs w:val="24"/>
          <w:highlight w:val="none"/>
        </w:rPr>
        <w:t>主要技术经济指标见表3.</w:t>
      </w: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rPr>
        <w:t>。</w:t>
      </w:r>
    </w:p>
    <w:p w14:paraId="3D42ED2A">
      <w:pPr>
        <w:keepNext w:val="0"/>
        <w:keepLines w:val="0"/>
        <w:pageBreakBefore w:val="0"/>
        <w:widowControl/>
        <w:kinsoku/>
        <w:wordWrap/>
        <w:overflowPunct/>
        <w:topLinePunct w:val="0"/>
        <w:autoSpaceDE/>
        <w:autoSpaceDN/>
        <w:bidi w:val="0"/>
        <w:adjustRightInd/>
        <w:snapToGrid w:val="0"/>
        <w:spacing w:line="240" w:lineRule="auto"/>
        <w:jc w:val="center"/>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b/>
          <w:bCs/>
          <w:sz w:val="24"/>
          <w:szCs w:val="24"/>
          <w:highlight w:val="none"/>
        </w:rPr>
        <w:t>表3.</w:t>
      </w:r>
      <w:r>
        <w:rPr>
          <w:rFonts w:hint="default" w:ascii="Times New Roman" w:hAnsi="Times New Roman" w:cs="Times New Roman"/>
          <w:b/>
          <w:bCs/>
          <w:sz w:val="24"/>
          <w:szCs w:val="24"/>
          <w:highlight w:val="none"/>
          <w:lang w:val="en-US" w:eastAsia="zh-CN"/>
        </w:rPr>
        <w:t>2</w:t>
      </w:r>
      <w:r>
        <w:rPr>
          <w:rFonts w:hint="default" w:ascii="Times New Roman" w:hAnsi="Times New Roman" w:eastAsia="宋体" w:cs="Times New Roman"/>
          <w:b/>
          <w:bCs/>
          <w:sz w:val="24"/>
          <w:szCs w:val="24"/>
          <w:highlight w:val="none"/>
        </w:rPr>
        <w:t>-</w:t>
      </w:r>
      <w:r>
        <w:rPr>
          <w:rFonts w:hint="default"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rPr>
        <w:t xml:space="preserve"> 主要技术经济指标表</w:t>
      </w:r>
    </w:p>
    <w:tbl>
      <w:tblPr>
        <w:tblStyle w:val="39"/>
        <w:tblW w:w="5139"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46"/>
        <w:gridCol w:w="1668"/>
        <w:gridCol w:w="1378"/>
        <w:gridCol w:w="1127"/>
        <w:gridCol w:w="1422"/>
        <w:gridCol w:w="2190"/>
      </w:tblGrid>
      <w:tr w14:paraId="5B00AE6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13" w:hRule="atLeast"/>
          <w:tblHeader/>
          <w:jc w:val="center"/>
        </w:trPr>
        <w:tc>
          <w:tcPr>
            <w:tcW w:w="437" w:type="pct"/>
            <w:tcBorders>
              <w:tl2br w:val="nil"/>
              <w:tr2bl w:val="nil"/>
            </w:tcBorders>
            <w:noWrap w:val="0"/>
            <w:vAlign w:val="center"/>
          </w:tcPr>
          <w:p w14:paraId="6205759A">
            <w:pPr>
              <w:autoSpaceDE/>
              <w:autoSpaceDN/>
              <w:adjustRightInd w:val="0"/>
              <w:snapToGrid w:val="0"/>
              <w:spacing w:before="0" w:after="0" w:line="240" w:lineRule="auto"/>
              <w:ind w:left="0" w:firstLine="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序号</w:t>
            </w:r>
          </w:p>
        </w:tc>
        <w:tc>
          <w:tcPr>
            <w:tcW w:w="1784" w:type="pct"/>
            <w:gridSpan w:val="2"/>
            <w:tcBorders>
              <w:tl2br w:val="nil"/>
              <w:tr2bl w:val="nil"/>
            </w:tcBorders>
            <w:noWrap w:val="0"/>
            <w:vAlign w:val="center"/>
          </w:tcPr>
          <w:p w14:paraId="7C7599F5">
            <w:pPr>
              <w:autoSpaceDE/>
              <w:autoSpaceDN/>
              <w:adjustRightInd w:val="0"/>
              <w:snapToGrid w:val="0"/>
              <w:spacing w:before="0" w:after="0" w:line="240" w:lineRule="auto"/>
              <w:ind w:left="0" w:firstLine="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指标名称</w:t>
            </w:r>
          </w:p>
        </w:tc>
        <w:tc>
          <w:tcPr>
            <w:tcW w:w="660" w:type="pct"/>
            <w:tcBorders>
              <w:tl2br w:val="nil"/>
              <w:tr2bl w:val="nil"/>
            </w:tcBorders>
            <w:noWrap w:val="0"/>
            <w:vAlign w:val="center"/>
          </w:tcPr>
          <w:p w14:paraId="61264FB2">
            <w:pPr>
              <w:autoSpaceDE/>
              <w:autoSpaceDN/>
              <w:adjustRightInd w:val="0"/>
              <w:snapToGrid w:val="0"/>
              <w:spacing w:before="0" w:after="0" w:line="240" w:lineRule="auto"/>
              <w:ind w:left="0" w:firstLine="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单位</w:t>
            </w:r>
          </w:p>
        </w:tc>
        <w:tc>
          <w:tcPr>
            <w:tcW w:w="833" w:type="pct"/>
            <w:tcBorders>
              <w:tl2br w:val="nil"/>
              <w:tr2bl w:val="nil"/>
            </w:tcBorders>
            <w:noWrap w:val="0"/>
            <w:vAlign w:val="center"/>
          </w:tcPr>
          <w:p w14:paraId="66BAB993">
            <w:pPr>
              <w:autoSpaceDE/>
              <w:autoSpaceDN/>
              <w:adjustRightInd w:val="0"/>
              <w:snapToGrid w:val="0"/>
              <w:spacing w:before="0" w:after="0" w:line="240" w:lineRule="auto"/>
              <w:ind w:left="0" w:firstLine="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数值</w:t>
            </w:r>
          </w:p>
        </w:tc>
        <w:tc>
          <w:tcPr>
            <w:tcW w:w="1283" w:type="pct"/>
            <w:tcBorders>
              <w:tl2br w:val="nil"/>
              <w:tr2bl w:val="nil"/>
            </w:tcBorders>
            <w:noWrap w:val="0"/>
            <w:vAlign w:val="center"/>
          </w:tcPr>
          <w:p w14:paraId="37395468">
            <w:pPr>
              <w:autoSpaceDE/>
              <w:autoSpaceDN/>
              <w:adjustRightInd w:val="0"/>
              <w:snapToGrid w:val="0"/>
              <w:spacing w:before="0" w:after="0" w:line="240" w:lineRule="auto"/>
              <w:ind w:left="0" w:firstLine="0"/>
              <w:jc w:val="center"/>
              <w:rPr>
                <w:rFonts w:hint="default" w:ascii="Times New Roman" w:hAnsi="Times New Roman" w:eastAsia="宋体" w:cs="Times New Roman"/>
                <w:b/>
                <w:bCs/>
                <w:color w:val="000000"/>
                <w:sz w:val="21"/>
                <w:szCs w:val="21"/>
                <w:highlight w:val="none"/>
              </w:rPr>
            </w:pPr>
            <w:r>
              <w:rPr>
                <w:rFonts w:hint="default" w:ascii="Times New Roman" w:hAnsi="Times New Roman" w:eastAsia="宋体" w:cs="Times New Roman"/>
                <w:b/>
                <w:bCs/>
                <w:color w:val="000000"/>
                <w:sz w:val="21"/>
                <w:szCs w:val="21"/>
                <w:highlight w:val="none"/>
              </w:rPr>
              <w:t>备注</w:t>
            </w:r>
          </w:p>
        </w:tc>
      </w:tr>
      <w:tr w14:paraId="60C4993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437" w:type="pct"/>
            <w:vMerge w:val="restart"/>
            <w:tcBorders>
              <w:tl2br w:val="nil"/>
              <w:tr2bl w:val="nil"/>
            </w:tcBorders>
            <w:noWrap w:val="0"/>
            <w:vAlign w:val="center"/>
          </w:tcPr>
          <w:p w14:paraId="21900D21">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eastAsia="宋体" w:cs="Times New Roman"/>
                <w:color w:val="000000"/>
                <w:sz w:val="21"/>
                <w:szCs w:val="21"/>
                <w:highlight w:val="none"/>
              </w:rPr>
              <w:t>1</w:t>
            </w:r>
          </w:p>
        </w:tc>
        <w:tc>
          <w:tcPr>
            <w:tcW w:w="977" w:type="pct"/>
            <w:vMerge w:val="restart"/>
            <w:tcBorders>
              <w:tl2br w:val="nil"/>
              <w:tr2bl w:val="nil"/>
            </w:tcBorders>
            <w:noWrap w:val="0"/>
            <w:vAlign w:val="center"/>
          </w:tcPr>
          <w:p w14:paraId="2FFCA867">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危险废物处置量</w:t>
            </w:r>
          </w:p>
        </w:tc>
        <w:tc>
          <w:tcPr>
            <w:tcW w:w="807" w:type="pct"/>
            <w:tcBorders>
              <w:tl2br w:val="nil"/>
              <w:tr2bl w:val="nil"/>
            </w:tcBorders>
            <w:noWrap w:val="0"/>
            <w:vAlign w:val="center"/>
          </w:tcPr>
          <w:p w14:paraId="72E19263">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cs="Times New Roman"/>
                <w:color w:val="000000" w:themeColor="text1"/>
                <w:sz w:val="21"/>
                <w:szCs w:val="18"/>
                <w14:textFill>
                  <w14:solidFill>
                    <w14:schemeClr w14:val="tx1"/>
                  </w14:solidFill>
                </w14:textFill>
              </w:rPr>
              <w:t>固态危险废物</w:t>
            </w:r>
          </w:p>
        </w:tc>
        <w:tc>
          <w:tcPr>
            <w:tcW w:w="660" w:type="pct"/>
            <w:tcBorders>
              <w:tl2br w:val="nil"/>
              <w:tr2bl w:val="nil"/>
            </w:tcBorders>
            <w:noWrap w:val="0"/>
            <w:vAlign w:val="center"/>
          </w:tcPr>
          <w:p w14:paraId="60F9E463">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color w:val="000000"/>
                <w:sz w:val="21"/>
                <w:szCs w:val="21"/>
                <w:highlight w:val="none"/>
              </w:rPr>
              <w:t>t/a</w:t>
            </w:r>
          </w:p>
        </w:tc>
        <w:tc>
          <w:tcPr>
            <w:tcW w:w="833" w:type="pct"/>
            <w:tcBorders>
              <w:tl2br w:val="nil"/>
              <w:tr2bl w:val="nil"/>
            </w:tcBorders>
            <w:shd w:val="clear" w:color="auto" w:fill="auto"/>
            <w:noWrap w:val="0"/>
            <w:vAlign w:val="center"/>
          </w:tcPr>
          <w:p w14:paraId="6150280D">
            <w:pPr>
              <w:autoSpaceDE/>
              <w:autoSpaceDN/>
              <w:adjustRightInd w:val="0"/>
              <w:snapToGrid w:val="0"/>
              <w:spacing w:before="0" w:after="0" w:line="240" w:lineRule="auto"/>
              <w:ind w:left="0" w:leftChars="0" w:firstLine="0" w:firstLineChars="0"/>
              <w:jc w:val="center"/>
              <w:rPr>
                <w:rFonts w:hint="default" w:ascii="Times New Roman" w:hAnsi="Times New Roman" w:eastAsia="宋体" w:cs="Times New Roman"/>
                <w:color w:val="000000"/>
                <w:sz w:val="21"/>
                <w:szCs w:val="21"/>
                <w:highlight w:val="none"/>
                <w:lang w:val="en-US" w:eastAsia="zh-CN" w:bidi="ar-SA"/>
              </w:rPr>
            </w:pPr>
            <w:r>
              <w:rPr>
                <w:rFonts w:hint="eastAsia" w:cs="Times New Roman"/>
                <w:color w:val="000000"/>
                <w:sz w:val="21"/>
                <w:szCs w:val="21"/>
                <w:highlight w:val="none"/>
                <w:lang w:val="en-US" w:eastAsia="zh-CN"/>
              </w:rPr>
              <w:t>200</w:t>
            </w:r>
          </w:p>
        </w:tc>
        <w:tc>
          <w:tcPr>
            <w:tcW w:w="1283" w:type="pct"/>
            <w:tcBorders>
              <w:tl2br w:val="nil"/>
              <w:tr2bl w:val="nil"/>
            </w:tcBorders>
            <w:noWrap w:val="0"/>
            <w:vAlign w:val="center"/>
          </w:tcPr>
          <w:p w14:paraId="76222CEC">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w:t>
            </w:r>
          </w:p>
        </w:tc>
      </w:tr>
      <w:tr w14:paraId="0B22B2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437" w:type="pct"/>
            <w:vMerge w:val="continue"/>
            <w:tcBorders>
              <w:tl2br w:val="nil"/>
              <w:tr2bl w:val="nil"/>
            </w:tcBorders>
            <w:noWrap w:val="0"/>
            <w:vAlign w:val="center"/>
          </w:tcPr>
          <w:p w14:paraId="61974E4D">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eastAsia="zh-CN"/>
              </w:rPr>
            </w:pPr>
          </w:p>
        </w:tc>
        <w:tc>
          <w:tcPr>
            <w:tcW w:w="977" w:type="pct"/>
            <w:vMerge w:val="continue"/>
            <w:tcBorders>
              <w:tl2br w:val="nil"/>
              <w:tr2bl w:val="nil"/>
            </w:tcBorders>
            <w:shd w:val="clear" w:color="auto" w:fill="auto"/>
            <w:noWrap w:val="0"/>
            <w:vAlign w:val="center"/>
          </w:tcPr>
          <w:p w14:paraId="63646B17">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p>
        </w:tc>
        <w:tc>
          <w:tcPr>
            <w:tcW w:w="807" w:type="pct"/>
            <w:tcBorders>
              <w:tl2br w:val="nil"/>
              <w:tr2bl w:val="nil"/>
            </w:tcBorders>
            <w:shd w:val="clear" w:color="auto" w:fill="auto"/>
            <w:noWrap w:val="0"/>
            <w:vAlign w:val="center"/>
          </w:tcPr>
          <w:p w14:paraId="624446F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液态危险废物</w:t>
            </w:r>
          </w:p>
        </w:tc>
        <w:tc>
          <w:tcPr>
            <w:tcW w:w="660" w:type="pct"/>
            <w:tcBorders>
              <w:tl2br w:val="nil"/>
              <w:tr2bl w:val="nil"/>
            </w:tcBorders>
            <w:shd w:val="clear" w:color="auto" w:fill="auto"/>
            <w:noWrap w:val="0"/>
            <w:vAlign w:val="center"/>
          </w:tcPr>
          <w:p w14:paraId="10BB0626">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t/a</w:t>
            </w:r>
          </w:p>
        </w:tc>
        <w:tc>
          <w:tcPr>
            <w:tcW w:w="833" w:type="pct"/>
            <w:tcBorders>
              <w:tl2br w:val="nil"/>
              <w:tr2bl w:val="nil"/>
            </w:tcBorders>
            <w:shd w:val="clear" w:color="auto" w:fill="auto"/>
            <w:noWrap w:val="0"/>
            <w:vAlign w:val="center"/>
          </w:tcPr>
          <w:p w14:paraId="17EED171">
            <w:pPr>
              <w:autoSpaceDE/>
              <w:autoSpaceDN/>
              <w:adjustRightInd w:val="0"/>
              <w:snapToGrid w:val="0"/>
              <w:spacing w:before="0" w:after="0" w:line="240" w:lineRule="auto"/>
              <w:ind w:left="0" w:leftChars="0" w:firstLine="0" w:firstLineChars="0"/>
              <w:jc w:val="center"/>
              <w:rPr>
                <w:rFonts w:hint="default" w:ascii="Times New Roman" w:hAnsi="Times New Roman" w:eastAsia="宋体" w:cs="Times New Roman"/>
                <w:color w:val="000000"/>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50</w:t>
            </w:r>
          </w:p>
        </w:tc>
        <w:tc>
          <w:tcPr>
            <w:tcW w:w="1283" w:type="pct"/>
            <w:tcBorders>
              <w:tl2br w:val="nil"/>
              <w:tr2bl w:val="nil"/>
            </w:tcBorders>
            <w:noWrap w:val="0"/>
            <w:vAlign w:val="center"/>
          </w:tcPr>
          <w:p w14:paraId="51CDA426">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w:t>
            </w:r>
          </w:p>
        </w:tc>
      </w:tr>
      <w:tr w14:paraId="6DC4537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437" w:type="pct"/>
            <w:tcBorders>
              <w:tl2br w:val="nil"/>
              <w:tr2bl w:val="nil"/>
            </w:tcBorders>
            <w:noWrap w:val="0"/>
            <w:vAlign w:val="center"/>
          </w:tcPr>
          <w:p w14:paraId="41D6FA68">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val="en-US" w:eastAsia="zh-CN"/>
              </w:rPr>
              <w:t>2</w:t>
            </w:r>
          </w:p>
        </w:tc>
        <w:tc>
          <w:tcPr>
            <w:tcW w:w="1784" w:type="pct"/>
            <w:gridSpan w:val="2"/>
            <w:tcBorders>
              <w:tl2br w:val="nil"/>
              <w:tr2bl w:val="nil"/>
            </w:tcBorders>
            <w:shd w:val="clear" w:color="auto" w:fill="auto"/>
            <w:noWrap w:val="0"/>
            <w:vAlign w:val="center"/>
          </w:tcPr>
          <w:p w14:paraId="7B220231">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占地面积</w:t>
            </w:r>
          </w:p>
        </w:tc>
        <w:tc>
          <w:tcPr>
            <w:tcW w:w="660" w:type="pct"/>
            <w:tcBorders>
              <w:tl2br w:val="nil"/>
              <w:tr2bl w:val="nil"/>
            </w:tcBorders>
            <w:shd w:val="clear" w:color="auto" w:fill="auto"/>
            <w:noWrap w:val="0"/>
            <w:vAlign w:val="center"/>
          </w:tcPr>
          <w:p w14:paraId="078F0AC4">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m</w:t>
            </w:r>
            <w:r>
              <w:rPr>
                <w:rFonts w:hint="default" w:ascii="Times New Roman" w:hAnsi="Times New Roman" w:cs="Times New Roman"/>
                <w:color w:val="000000" w:themeColor="text1"/>
                <w:sz w:val="21"/>
                <w:szCs w:val="18"/>
                <w:vertAlign w:val="superscript"/>
                <w14:textFill>
                  <w14:solidFill>
                    <w14:schemeClr w14:val="tx1"/>
                  </w14:solidFill>
                </w14:textFill>
              </w:rPr>
              <w:t>2</w:t>
            </w:r>
          </w:p>
        </w:tc>
        <w:tc>
          <w:tcPr>
            <w:tcW w:w="833" w:type="pct"/>
            <w:tcBorders>
              <w:tl2br w:val="nil"/>
              <w:tr2bl w:val="nil"/>
            </w:tcBorders>
            <w:shd w:val="clear" w:color="auto" w:fill="auto"/>
            <w:noWrap w:val="0"/>
            <w:vAlign w:val="center"/>
          </w:tcPr>
          <w:p w14:paraId="2F3695AA">
            <w:pPr>
              <w:pStyle w:val="52"/>
              <w:spacing w:before="0" w:after="0" w:line="240" w:lineRule="auto"/>
              <w:ind w:left="0" w:firstLine="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eastAsia" w:cs="Times New Roman"/>
                <w:color w:val="000000" w:themeColor="text1"/>
                <w:sz w:val="21"/>
                <w:szCs w:val="18"/>
                <w:highlight w:val="none"/>
                <w:lang w:val="en-US" w:eastAsia="zh-CN"/>
                <w14:textFill>
                  <w14:solidFill>
                    <w14:schemeClr w14:val="tx1"/>
                  </w14:solidFill>
                </w14:textFill>
              </w:rPr>
              <w:t>2000</w:t>
            </w:r>
          </w:p>
        </w:tc>
        <w:tc>
          <w:tcPr>
            <w:tcW w:w="1283" w:type="pct"/>
            <w:tcBorders>
              <w:tl2br w:val="nil"/>
              <w:tr2bl w:val="nil"/>
            </w:tcBorders>
            <w:noWrap w:val="0"/>
            <w:vAlign w:val="center"/>
          </w:tcPr>
          <w:p w14:paraId="566653D2">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color w:val="000000"/>
                <w:sz w:val="21"/>
                <w:szCs w:val="21"/>
                <w:highlight w:val="none"/>
                <w:lang w:val="en-US" w:eastAsia="zh-CN"/>
              </w:rPr>
              <w:t>在水泥厂既有占地范围内，</w:t>
            </w:r>
            <w:r>
              <w:rPr>
                <w:rFonts w:hint="default" w:ascii="Times New Roman" w:hAnsi="Times New Roman" w:cs="Times New Roman"/>
                <w:color w:val="000000"/>
                <w:sz w:val="21"/>
                <w:szCs w:val="21"/>
                <w:highlight w:val="none"/>
                <w:lang w:val="en-US" w:eastAsia="zh-CN"/>
              </w:rPr>
              <w:t>不新增占地</w:t>
            </w:r>
          </w:p>
        </w:tc>
      </w:tr>
      <w:tr w14:paraId="3B1D455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437" w:type="pct"/>
            <w:tcBorders>
              <w:tl2br w:val="nil"/>
              <w:tr2bl w:val="nil"/>
            </w:tcBorders>
            <w:noWrap w:val="0"/>
            <w:vAlign w:val="center"/>
          </w:tcPr>
          <w:p w14:paraId="3CEFF334">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val="en-US" w:eastAsia="zh-CN"/>
              </w:rPr>
              <w:t>3</w:t>
            </w:r>
          </w:p>
        </w:tc>
        <w:tc>
          <w:tcPr>
            <w:tcW w:w="1784" w:type="pct"/>
            <w:gridSpan w:val="2"/>
            <w:tcBorders>
              <w:tl2br w:val="nil"/>
              <w:tr2bl w:val="nil"/>
            </w:tcBorders>
            <w:shd w:val="clear" w:color="auto" w:fill="auto"/>
            <w:noWrap w:val="0"/>
            <w:vAlign w:val="center"/>
          </w:tcPr>
          <w:p w14:paraId="01DBD99F">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劳动定员</w:t>
            </w:r>
          </w:p>
        </w:tc>
        <w:tc>
          <w:tcPr>
            <w:tcW w:w="660" w:type="pct"/>
            <w:tcBorders>
              <w:tl2br w:val="nil"/>
              <w:tr2bl w:val="nil"/>
            </w:tcBorders>
            <w:shd w:val="clear" w:color="auto" w:fill="auto"/>
            <w:noWrap w:val="0"/>
            <w:vAlign w:val="center"/>
          </w:tcPr>
          <w:p w14:paraId="6B4B2229">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人</w:t>
            </w:r>
          </w:p>
        </w:tc>
        <w:tc>
          <w:tcPr>
            <w:tcW w:w="833" w:type="pct"/>
            <w:tcBorders>
              <w:tl2br w:val="nil"/>
              <w:tr2bl w:val="nil"/>
            </w:tcBorders>
            <w:shd w:val="clear" w:color="auto" w:fill="auto"/>
            <w:noWrap w:val="0"/>
            <w:vAlign w:val="center"/>
          </w:tcPr>
          <w:p w14:paraId="0D1EE7B0">
            <w:pPr>
              <w:pStyle w:val="52"/>
              <w:spacing w:before="0" w:after="0" w:line="240" w:lineRule="auto"/>
              <w:ind w:left="0" w:firstLine="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w:t>
            </w:r>
          </w:p>
        </w:tc>
        <w:tc>
          <w:tcPr>
            <w:tcW w:w="1283" w:type="pct"/>
            <w:tcBorders>
              <w:tl2br w:val="nil"/>
              <w:tr2bl w:val="nil"/>
            </w:tcBorders>
            <w:noWrap w:val="0"/>
            <w:vAlign w:val="center"/>
          </w:tcPr>
          <w:p w14:paraId="27ADE222">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不新增劳动定员</w:t>
            </w:r>
          </w:p>
        </w:tc>
      </w:tr>
      <w:tr w14:paraId="0D8B325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437" w:type="pct"/>
            <w:tcBorders>
              <w:tl2br w:val="nil"/>
              <w:tr2bl w:val="nil"/>
            </w:tcBorders>
            <w:noWrap w:val="0"/>
            <w:vAlign w:val="center"/>
          </w:tcPr>
          <w:p w14:paraId="1B1BC936">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val="en-US" w:eastAsia="zh-CN"/>
              </w:rPr>
              <w:t>4</w:t>
            </w:r>
          </w:p>
        </w:tc>
        <w:tc>
          <w:tcPr>
            <w:tcW w:w="1784" w:type="pct"/>
            <w:gridSpan w:val="2"/>
            <w:tcBorders>
              <w:tl2br w:val="nil"/>
              <w:tr2bl w:val="nil"/>
            </w:tcBorders>
            <w:shd w:val="clear" w:color="auto" w:fill="auto"/>
            <w:noWrap w:val="0"/>
            <w:vAlign w:val="center"/>
          </w:tcPr>
          <w:p w14:paraId="2900CE94">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年工作日</w:t>
            </w:r>
          </w:p>
        </w:tc>
        <w:tc>
          <w:tcPr>
            <w:tcW w:w="660" w:type="pct"/>
            <w:tcBorders>
              <w:tl2br w:val="nil"/>
              <w:tr2bl w:val="nil"/>
            </w:tcBorders>
            <w:shd w:val="clear" w:color="auto" w:fill="auto"/>
            <w:noWrap w:val="0"/>
            <w:vAlign w:val="center"/>
          </w:tcPr>
          <w:p w14:paraId="01A509AE">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天</w:t>
            </w:r>
          </w:p>
        </w:tc>
        <w:tc>
          <w:tcPr>
            <w:tcW w:w="833" w:type="pct"/>
            <w:tcBorders>
              <w:tl2br w:val="nil"/>
              <w:tr2bl w:val="nil"/>
            </w:tcBorders>
            <w:shd w:val="clear" w:color="auto" w:fill="auto"/>
            <w:noWrap w:val="0"/>
            <w:vAlign w:val="center"/>
          </w:tcPr>
          <w:p w14:paraId="31FC3892">
            <w:pPr>
              <w:pStyle w:val="52"/>
              <w:spacing w:before="0" w:after="0" w:line="240" w:lineRule="auto"/>
              <w:ind w:left="0" w:firstLine="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eastAsia" w:cs="Times New Roman"/>
                <w:color w:val="000000" w:themeColor="text1"/>
                <w:sz w:val="21"/>
                <w:szCs w:val="18"/>
                <w:highlight w:val="none"/>
                <w:lang w:val="en-US" w:eastAsia="zh-CN"/>
                <w14:textFill>
                  <w14:solidFill>
                    <w14:schemeClr w14:val="tx1"/>
                  </w14:solidFill>
                </w14:textFill>
              </w:rPr>
              <w:t>1</w:t>
            </w: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50</w:t>
            </w:r>
          </w:p>
        </w:tc>
        <w:tc>
          <w:tcPr>
            <w:tcW w:w="1283" w:type="pct"/>
            <w:tcBorders>
              <w:tl2br w:val="nil"/>
              <w:tr2bl w:val="nil"/>
            </w:tcBorders>
            <w:noWrap w:val="0"/>
            <w:vAlign w:val="center"/>
          </w:tcPr>
          <w:p w14:paraId="528CB308">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w:t>
            </w:r>
          </w:p>
        </w:tc>
      </w:tr>
      <w:tr w14:paraId="1841ACB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437" w:type="pct"/>
            <w:tcBorders>
              <w:tl2br w:val="nil"/>
              <w:tr2bl w:val="nil"/>
            </w:tcBorders>
            <w:noWrap w:val="0"/>
            <w:vAlign w:val="center"/>
          </w:tcPr>
          <w:p w14:paraId="43F5EB1E">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5</w:t>
            </w:r>
          </w:p>
        </w:tc>
        <w:tc>
          <w:tcPr>
            <w:tcW w:w="1784" w:type="pct"/>
            <w:gridSpan w:val="2"/>
            <w:tcBorders>
              <w:tl2br w:val="nil"/>
              <w:tr2bl w:val="nil"/>
            </w:tcBorders>
            <w:shd w:val="clear" w:color="auto" w:fill="auto"/>
            <w:noWrap w:val="0"/>
            <w:vAlign w:val="center"/>
          </w:tcPr>
          <w:p w14:paraId="75E3D898">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总投资</w:t>
            </w:r>
          </w:p>
        </w:tc>
        <w:tc>
          <w:tcPr>
            <w:tcW w:w="660" w:type="pct"/>
            <w:tcBorders>
              <w:tl2br w:val="nil"/>
              <w:tr2bl w:val="nil"/>
            </w:tcBorders>
            <w:shd w:val="clear" w:color="auto" w:fill="auto"/>
            <w:noWrap w:val="0"/>
            <w:vAlign w:val="center"/>
          </w:tcPr>
          <w:p w14:paraId="03CFA9A3">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万元</w:t>
            </w:r>
          </w:p>
        </w:tc>
        <w:tc>
          <w:tcPr>
            <w:tcW w:w="833" w:type="pct"/>
            <w:tcBorders>
              <w:tl2br w:val="nil"/>
              <w:tr2bl w:val="nil"/>
            </w:tcBorders>
            <w:shd w:val="clear" w:color="auto" w:fill="auto"/>
            <w:noWrap w:val="0"/>
            <w:vAlign w:val="center"/>
          </w:tcPr>
          <w:p w14:paraId="418B5E82">
            <w:pPr>
              <w:pStyle w:val="52"/>
              <w:spacing w:before="0" w:after="0" w:line="240" w:lineRule="auto"/>
              <w:ind w:left="0" w:firstLine="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eastAsia" w:cs="Times New Roman"/>
                <w:color w:val="000000" w:themeColor="text1"/>
                <w:sz w:val="21"/>
                <w:szCs w:val="18"/>
                <w:highlight w:val="none"/>
                <w:lang w:val="en-US" w:eastAsia="zh-CN"/>
                <w14:textFill>
                  <w14:solidFill>
                    <w14:schemeClr w14:val="tx1"/>
                  </w14:solidFill>
                </w14:textFill>
              </w:rPr>
              <w:t>500</w:t>
            </w:r>
          </w:p>
        </w:tc>
        <w:tc>
          <w:tcPr>
            <w:tcW w:w="1283" w:type="pct"/>
            <w:tcBorders>
              <w:tl2br w:val="nil"/>
              <w:tr2bl w:val="nil"/>
            </w:tcBorders>
            <w:noWrap w:val="0"/>
            <w:vAlign w:val="center"/>
          </w:tcPr>
          <w:p w14:paraId="2EA6ED21">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w:t>
            </w:r>
          </w:p>
        </w:tc>
      </w:tr>
      <w:tr w14:paraId="417CA0F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06" w:hRule="atLeast"/>
          <w:jc w:val="center"/>
        </w:trPr>
        <w:tc>
          <w:tcPr>
            <w:tcW w:w="437" w:type="pct"/>
            <w:tcBorders>
              <w:tl2br w:val="nil"/>
              <w:tr2bl w:val="nil"/>
            </w:tcBorders>
            <w:noWrap w:val="0"/>
            <w:vAlign w:val="center"/>
          </w:tcPr>
          <w:p w14:paraId="654A5740">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eastAsia="zh-CN"/>
              </w:rPr>
            </w:pPr>
            <w:r>
              <w:rPr>
                <w:rFonts w:hint="default" w:ascii="Times New Roman" w:hAnsi="Times New Roman" w:cs="Times New Roman"/>
                <w:color w:val="000000"/>
                <w:sz w:val="21"/>
                <w:szCs w:val="21"/>
                <w:highlight w:val="none"/>
                <w:lang w:val="en-US" w:eastAsia="zh-CN"/>
              </w:rPr>
              <w:t>6</w:t>
            </w:r>
          </w:p>
        </w:tc>
        <w:tc>
          <w:tcPr>
            <w:tcW w:w="1784" w:type="pct"/>
            <w:gridSpan w:val="2"/>
            <w:tcBorders>
              <w:tl2br w:val="nil"/>
              <w:tr2bl w:val="nil"/>
            </w:tcBorders>
            <w:shd w:val="clear" w:color="auto" w:fill="auto"/>
            <w:noWrap w:val="0"/>
            <w:vAlign w:val="center"/>
          </w:tcPr>
          <w:p w14:paraId="67C9EAFA">
            <w:pPr>
              <w:pStyle w:val="52"/>
              <w:spacing w:before="0" w:after="0" w:line="240" w:lineRule="auto"/>
              <w:ind w:left="0" w:firstLine="0"/>
              <w:rPr>
                <w:rFonts w:hint="default"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项目建设期</w:t>
            </w:r>
          </w:p>
        </w:tc>
        <w:tc>
          <w:tcPr>
            <w:tcW w:w="660" w:type="pct"/>
            <w:tcBorders>
              <w:tl2br w:val="nil"/>
              <w:tr2bl w:val="nil"/>
            </w:tcBorders>
            <w:shd w:val="clear" w:color="auto" w:fill="auto"/>
            <w:noWrap w:val="0"/>
            <w:vAlign w:val="center"/>
          </w:tcPr>
          <w:p w14:paraId="355C0323">
            <w:pPr>
              <w:pStyle w:val="52"/>
              <w:spacing w:before="0" w:after="0" w:line="240" w:lineRule="auto"/>
              <w:ind w:left="0" w:firstLine="0"/>
              <w:rPr>
                <w:rFonts w:hint="eastAsia" w:ascii="Times New Roman" w:hAnsi="Times New Roman" w:eastAsia="宋体" w:cs="Times New Roman"/>
                <w:color w:val="000000" w:themeColor="text1"/>
                <w:kern w:val="0"/>
                <w:sz w:val="21"/>
                <w:szCs w:val="18"/>
                <w:lang w:val="en-US" w:eastAsia="zh-CN" w:bidi="ar-SA"/>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月</w:t>
            </w:r>
          </w:p>
        </w:tc>
        <w:tc>
          <w:tcPr>
            <w:tcW w:w="833" w:type="pct"/>
            <w:tcBorders>
              <w:tl2br w:val="nil"/>
              <w:tr2bl w:val="nil"/>
            </w:tcBorders>
            <w:shd w:val="clear" w:color="auto" w:fill="auto"/>
            <w:noWrap w:val="0"/>
            <w:vAlign w:val="center"/>
          </w:tcPr>
          <w:p w14:paraId="6F1DB3D5">
            <w:pPr>
              <w:pStyle w:val="52"/>
              <w:spacing w:before="0" w:after="0" w:line="240" w:lineRule="auto"/>
              <w:ind w:left="0" w:firstLine="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eastAsia" w:cs="Times New Roman"/>
                <w:color w:val="000000" w:themeColor="text1"/>
                <w:sz w:val="21"/>
                <w:szCs w:val="18"/>
                <w:highlight w:val="none"/>
                <w:lang w:val="en-US" w:eastAsia="zh-CN"/>
                <w14:textFill>
                  <w14:solidFill>
                    <w14:schemeClr w14:val="tx1"/>
                  </w14:solidFill>
                </w14:textFill>
              </w:rPr>
              <w:t>8</w:t>
            </w:r>
          </w:p>
        </w:tc>
        <w:tc>
          <w:tcPr>
            <w:tcW w:w="1283" w:type="pct"/>
            <w:tcBorders>
              <w:tl2br w:val="nil"/>
              <w:tr2bl w:val="nil"/>
            </w:tcBorders>
            <w:noWrap w:val="0"/>
            <w:vAlign w:val="center"/>
          </w:tcPr>
          <w:p w14:paraId="5E5E6546">
            <w:pPr>
              <w:autoSpaceDE/>
              <w:autoSpaceDN/>
              <w:adjustRightInd w:val="0"/>
              <w:snapToGrid w:val="0"/>
              <w:spacing w:before="0" w:after="0" w:line="240" w:lineRule="auto"/>
              <w:ind w:left="0" w:firstLine="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w:t>
            </w:r>
          </w:p>
        </w:tc>
      </w:tr>
    </w:tbl>
    <w:p w14:paraId="32E3C775">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3.2.5危险废物输送路径</w:t>
      </w:r>
    </w:p>
    <w:p w14:paraId="0BB3A52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本项目计划处置由新疆兴发化工有限公司产生的HW11精（蒸）馏残渣（900-013-11），根据其存在特性可分为液态与固态，拟处置的液态危险废物通过</w:t>
      </w:r>
      <w:r>
        <w:rPr>
          <w:rFonts w:hint="eastAsia" w:cs="Times New Roman"/>
          <w:sz w:val="24"/>
          <w:szCs w:val="24"/>
          <w:highlight w:val="none"/>
          <w:lang w:val="en-US" w:eastAsia="zh-CN"/>
        </w:rPr>
        <w:t>架空密闭</w:t>
      </w:r>
      <w:r>
        <w:rPr>
          <w:rFonts w:hint="default" w:ascii="Times New Roman" w:hAnsi="Times New Roman" w:cs="Times New Roman"/>
          <w:sz w:val="24"/>
          <w:szCs w:val="24"/>
          <w:highlight w:val="none"/>
          <w:lang w:val="en-US" w:eastAsia="zh-CN"/>
        </w:rPr>
        <w:t>管道（1000m，材质为304不锈钢，管径为φ25mm）直接输送至水泥窑内，固态危险废物通过叉车运输至</w:t>
      </w:r>
      <w:r>
        <w:rPr>
          <w:rFonts w:hint="eastAsia" w:cs="Times New Roman"/>
          <w:sz w:val="24"/>
          <w:szCs w:val="24"/>
          <w:highlight w:val="none"/>
          <w:lang w:val="en-US" w:eastAsia="zh-CN"/>
        </w:rPr>
        <w:t>投料系统</w:t>
      </w:r>
      <w:r>
        <w:rPr>
          <w:rFonts w:hint="default" w:ascii="Times New Roman" w:hAnsi="Times New Roman" w:cs="Times New Roman"/>
          <w:sz w:val="24"/>
          <w:szCs w:val="24"/>
          <w:highlight w:val="none"/>
          <w:lang w:val="en-US" w:eastAsia="zh-CN"/>
        </w:rPr>
        <w:t>（仅涉及厂内运输）</w:t>
      </w:r>
      <w:r>
        <w:rPr>
          <w:rFonts w:hint="eastAsia" w:cs="Times New Roman"/>
          <w:sz w:val="24"/>
          <w:szCs w:val="24"/>
          <w:highlight w:val="none"/>
          <w:lang w:val="en-US" w:eastAsia="zh-CN"/>
        </w:rPr>
        <w:t>后进入水泥窑焚烧</w:t>
      </w:r>
      <w:r>
        <w:rPr>
          <w:rFonts w:hint="default" w:ascii="Times New Roman" w:hAnsi="Times New Roman" w:cs="Times New Roman"/>
          <w:sz w:val="24"/>
          <w:szCs w:val="24"/>
          <w:highlight w:val="none"/>
          <w:lang w:val="en-US" w:eastAsia="zh-CN"/>
        </w:rPr>
        <w:t>，所有危险废物在处置前均存放在新疆兴发化工有限公司既有危险废物贮存设施内，仅在需要处置且</w:t>
      </w:r>
      <w:r>
        <w:rPr>
          <w:rFonts w:hint="eastAsia" w:cs="Times New Roman"/>
          <w:sz w:val="24"/>
          <w:szCs w:val="24"/>
          <w:highlight w:val="none"/>
          <w:lang w:val="en-US" w:eastAsia="zh-CN"/>
        </w:rPr>
        <w:t>兴悦化工</w:t>
      </w:r>
      <w:r>
        <w:rPr>
          <w:rFonts w:hint="default" w:ascii="Times New Roman" w:hAnsi="Times New Roman" w:cs="Times New Roman"/>
          <w:sz w:val="24"/>
          <w:szCs w:val="24"/>
          <w:highlight w:val="none"/>
          <w:lang w:val="en-US" w:eastAsia="zh-CN"/>
        </w:rPr>
        <w:t>水泥窑具备处置条件时才可经由规划的输送路径运输进厂，具体输送路径见图3.2-2。</w:t>
      </w:r>
    </w:p>
    <w:p w14:paraId="445D1E4F">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imes New Roman" w:hAnsi="Times New Roman" w:eastAsia="宋体" w:cs="Times New Roman"/>
          <w:sz w:val="24"/>
          <w:szCs w:val="24"/>
          <w:highlight w:val="none"/>
          <w:lang w:val="en-US" w:eastAsia="zh-CN"/>
        </w:rPr>
      </w:pPr>
      <w:r>
        <w:rPr>
          <w:rFonts w:hint="default" w:ascii="Times New Roman" w:hAnsi="Times New Roman" w:cs="Times New Roman"/>
          <w:sz w:val="24"/>
        </w:rPr>
        <mc:AlternateContent>
          <mc:Choice Requires="wps">
            <w:drawing>
              <wp:anchor distT="0" distB="0" distL="114300" distR="114300" simplePos="0" relativeHeight="251712512" behindDoc="0" locked="0" layoutInCell="1" allowOverlap="1">
                <wp:simplePos x="0" y="0"/>
                <wp:positionH relativeFrom="column">
                  <wp:posOffset>3990975</wp:posOffset>
                </wp:positionH>
                <wp:positionV relativeFrom="paragraph">
                  <wp:posOffset>3081020</wp:posOffset>
                </wp:positionV>
                <wp:extent cx="133350" cy="0"/>
                <wp:effectExtent l="0" t="12700" r="3810" b="17780"/>
                <wp:wrapNone/>
                <wp:docPr id="126" name="直接连接符 126"/>
                <wp:cNvGraphicFramePr/>
                <a:graphic xmlns:a="http://schemas.openxmlformats.org/drawingml/2006/main">
                  <a:graphicData uri="http://schemas.microsoft.com/office/word/2010/wordprocessingShape">
                    <wps:wsp>
                      <wps:cNvCnPr/>
                      <wps:spPr>
                        <a:xfrm>
                          <a:off x="0" y="0"/>
                          <a:ext cx="133350" cy="0"/>
                        </a:xfrm>
                        <a:prstGeom prst="line">
                          <a:avLst/>
                        </a:prstGeom>
                        <a:ln>
                          <a:solidFill>
                            <a:srgbClr val="D4853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14.25pt;margin-top:242.6pt;height:0pt;width:10.5pt;z-index:251712512;mso-width-relative:page;mso-height-relative:page;" filled="f" stroked="t" coordsize="21600,21600" o:gfxdata="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fbTI/WAAAACwEAAA8AAAAA&#10;AAAAAQAgAAAAIgAAAGRycy9kb3ducmV2LnhtbFBLAQIUABQAAAAIAIdO4kDL3RrP3QEAAJ4DAAAO&#10;AAAAAAAAAAEAIAAAACUBAABkcnMvZTJvRG9jLnhtbFBLBQYAAAAABgAGAFkBAAB0BQAAAAA=&#10;">
                <v:fill on="f" focussize="0,0"/>
                <v:stroke weight="2pt" color="#D48531 [3204]" joinstyle="round"/>
                <v:imagedata o:title=""/>
                <o:lock v:ext="edit" aspectratio="f"/>
              </v:line>
            </w:pict>
          </mc:Fallback>
        </mc:AlternateContent>
      </w:r>
      <w:r>
        <w:rPr>
          <w:rFonts w:hint="default" w:ascii="Times New Roman" w:hAnsi="Times New Roman" w:cs="Times New Roman"/>
          <w:sz w:val="24"/>
        </w:rPr>
        <mc:AlternateContent>
          <mc:Choice Requires="wps">
            <w:drawing>
              <wp:anchor distT="0" distB="0" distL="114300" distR="114300" simplePos="0" relativeHeight="251711488" behindDoc="0" locked="0" layoutInCell="1" allowOverlap="1">
                <wp:simplePos x="0" y="0"/>
                <wp:positionH relativeFrom="column">
                  <wp:posOffset>3978275</wp:posOffset>
                </wp:positionH>
                <wp:positionV relativeFrom="paragraph">
                  <wp:posOffset>2859405</wp:posOffset>
                </wp:positionV>
                <wp:extent cx="133350" cy="0"/>
                <wp:effectExtent l="0" t="12700" r="3810" b="17780"/>
                <wp:wrapNone/>
                <wp:docPr id="125" name="直接连接符 125"/>
                <wp:cNvGraphicFramePr/>
                <a:graphic xmlns:a="http://schemas.openxmlformats.org/drawingml/2006/main">
                  <a:graphicData uri="http://schemas.microsoft.com/office/word/2010/wordprocessingShape">
                    <wps:wsp>
                      <wps:cNvCnPr/>
                      <wps:spPr>
                        <a:xfrm>
                          <a:off x="0" y="0"/>
                          <a:ext cx="133350" cy="0"/>
                        </a:xfrm>
                        <a:prstGeom prst="line">
                          <a:avLst/>
                        </a:prstGeom>
                        <a:ln>
                          <a:solidFill>
                            <a:srgbClr val="FFFF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13.25pt;margin-top:225.15pt;height:0pt;width:10.5pt;z-index:251711488;mso-width-relative:page;mso-height-relative:page;" filled="f" stroked="t" coordsize="21600,21600" o:gfxdata="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5gTic2AAAAAsBAAAPAAAAAAAA&#10;AAEAIAAAACIAAABkcnMvZG93bnJldi54bWxQSwECFAAUAAAACACHTuJAV50Q3NkBAACeAwAADgAA&#10;AAAAAAABACAAAAAnAQAAZHJzL2Uyb0RvYy54bWxQSwUGAAAAAAYABgBZAQAAcgUAAAAA&#10;">
                <v:fill on="f" focussize="0,0"/>
                <v:stroke weight="2pt" color="#FFFF00 [3204]" joinstyle="round"/>
                <v:imagedata o:title=""/>
                <o:lock v:ext="edit" aspectratio="f"/>
              </v:line>
            </w:pict>
          </mc:Fallback>
        </mc:AlternateContent>
      </w:r>
      <w:r>
        <w:rPr>
          <w:rFonts w:hint="default" w:ascii="Times New Roman" w:hAnsi="Times New Roman" w:cs="Times New Roman"/>
          <w:sz w:val="24"/>
        </w:rPr>
        <mc:AlternateContent>
          <mc:Choice Requires="wps">
            <w:drawing>
              <wp:anchor distT="0" distB="0" distL="114300" distR="114300" simplePos="0" relativeHeight="251710464" behindDoc="0" locked="0" layoutInCell="1" allowOverlap="1">
                <wp:simplePos x="0" y="0"/>
                <wp:positionH relativeFrom="column">
                  <wp:posOffset>3976370</wp:posOffset>
                </wp:positionH>
                <wp:positionV relativeFrom="paragraph">
                  <wp:posOffset>2625725</wp:posOffset>
                </wp:positionV>
                <wp:extent cx="133350" cy="0"/>
                <wp:effectExtent l="0" t="12700" r="3810" b="17780"/>
                <wp:wrapNone/>
                <wp:docPr id="124" name="直接连接符 124"/>
                <wp:cNvGraphicFramePr/>
                <a:graphic xmlns:a="http://schemas.openxmlformats.org/drawingml/2006/main">
                  <a:graphicData uri="http://schemas.microsoft.com/office/word/2010/wordprocessingShape">
                    <wps:wsp>
                      <wps:cNvCnPr/>
                      <wps:spPr>
                        <a:xfrm>
                          <a:off x="0" y="0"/>
                          <a:ext cx="133350" cy="0"/>
                        </a:xfrm>
                        <a:prstGeom prst="line">
                          <a:avLst/>
                        </a:prstGeom>
                        <a:ln>
                          <a:solidFill>
                            <a:srgbClr val="1011E5"/>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13.1pt;margin-top:206.75pt;height:0pt;width:10.5pt;z-index:251710464;mso-width-relative:page;mso-height-relative:page;" filled="f" stroked="t" coordsize="21600,21600" o:gfxdata="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1D5KaNYAAAALAQAADwAAAAAA&#10;AAABACAAAAAiAAAAZHJzL2Rvd25yZXYueG1sUEsBAhQAFAAAAAgAh07iQL2XBG3cAQAAngMAAA4A&#10;AAAAAAAAAQAgAAAAJQEAAGRycy9lMm9Eb2MueG1sUEsFBgAAAAAGAAYAWQEAAHMFAAAAAA==&#10;">
                <v:fill on="f" focussize="0,0"/>
                <v:stroke weight="2pt" color="#1011E5 [3204]" joinstyle="round"/>
                <v:imagedata o:title=""/>
                <o:lock v:ext="edit" aspectratio="f"/>
              </v:line>
            </w:pict>
          </mc:Fallback>
        </mc:AlternateContent>
      </w:r>
      <w:r>
        <w:rPr>
          <w:rFonts w:hint="default" w:ascii="Times New Roman" w:hAnsi="Times New Roman" w:cs="Times New Roman"/>
          <w:sz w:val="24"/>
        </w:rPr>
        <mc:AlternateContent>
          <mc:Choice Requires="wps">
            <w:drawing>
              <wp:anchor distT="0" distB="0" distL="114300" distR="114300" simplePos="0" relativeHeight="251709440" behindDoc="0" locked="0" layoutInCell="1" allowOverlap="1">
                <wp:simplePos x="0" y="0"/>
                <wp:positionH relativeFrom="column">
                  <wp:posOffset>3966845</wp:posOffset>
                </wp:positionH>
                <wp:positionV relativeFrom="paragraph">
                  <wp:posOffset>2399030</wp:posOffset>
                </wp:positionV>
                <wp:extent cx="133350" cy="0"/>
                <wp:effectExtent l="0" t="12700" r="3810" b="17780"/>
                <wp:wrapNone/>
                <wp:docPr id="123" name="直接连接符 123"/>
                <wp:cNvGraphicFramePr/>
                <a:graphic xmlns:a="http://schemas.openxmlformats.org/drawingml/2006/main">
                  <a:graphicData uri="http://schemas.microsoft.com/office/word/2010/wordprocessingShape">
                    <wps:wsp>
                      <wps:cNvCnPr/>
                      <wps:spPr>
                        <a:xfrm>
                          <a:off x="5391785" y="3700145"/>
                          <a:ext cx="133350" cy="0"/>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12.35pt;margin-top:188.9pt;height:0pt;width:10.5pt;z-index:251709440;mso-width-relative:page;mso-height-relative:page;" filled="f" stroked="t" coordsize="21600,21600" o:gfxdata="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9BYKv&#10;1wAAAAsBAAAPAAAAAAAAAAEAIAAAACIAAABkcnMvZG93bnJldi54bWxQSwECFAAUAAAACACHTuJA&#10;OumuGOkBAACqAwAADgAAAAAAAAABACAAAAAmAQAAZHJzL2Uyb0RvYy54bWxQSwUGAAAAAAYABgBZ&#10;AQAAgQUAAAAA&#10;">
                <v:fill on="f" focussize="0,0"/>
                <v:stroke weight="2pt" color="#000000 [3213]" joinstyle="round"/>
                <v:imagedata o:title=""/>
                <o:lock v:ext="edit" aspectratio="f"/>
              </v:line>
            </w:pict>
          </mc:Fallback>
        </mc:AlternateContent>
      </w:r>
      <w:r>
        <w:rPr>
          <w:rFonts w:hint="default" w:ascii="Times New Roman" w:hAnsi="Times New Roman" w:cs="Times New Roman"/>
          <w:sz w:val="24"/>
        </w:rPr>
        <mc:AlternateContent>
          <mc:Choice Requires="wps">
            <w:drawing>
              <wp:anchor distT="0" distB="0" distL="114300" distR="114300" simplePos="0" relativeHeight="251713536" behindDoc="0" locked="0" layoutInCell="1" allowOverlap="1">
                <wp:simplePos x="0" y="0"/>
                <wp:positionH relativeFrom="column">
                  <wp:posOffset>3966845</wp:posOffset>
                </wp:positionH>
                <wp:positionV relativeFrom="paragraph">
                  <wp:posOffset>2182495</wp:posOffset>
                </wp:positionV>
                <wp:extent cx="133350" cy="0"/>
                <wp:effectExtent l="0" t="12700" r="3810" b="17780"/>
                <wp:wrapNone/>
                <wp:docPr id="45" name="直接连接符 45"/>
                <wp:cNvGraphicFramePr/>
                <a:graphic xmlns:a="http://schemas.openxmlformats.org/drawingml/2006/main">
                  <a:graphicData uri="http://schemas.microsoft.com/office/word/2010/wordprocessingShape">
                    <wps:wsp>
                      <wps:cNvCnPr/>
                      <wps:spPr>
                        <a:xfrm>
                          <a:off x="0" y="0"/>
                          <a:ext cx="133350"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12.35pt;margin-top:171.85pt;height:0pt;width:10.5pt;z-index:251713536;mso-width-relative:page;mso-height-relative:page;" filled="f" stroked="t" coordsize="21600,21600" o:gfxdata="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2p3sONcAAAALAQAADwAAAAAA&#10;AAABACAAAAAiAAAAZHJzL2Rvd25yZXYueG1sUEsBAhQAFAAAAAgAh07iQJQL6VvbAQAAnAMAAA4A&#10;AAAAAAAAAQAgAAAAJgEAAGRycy9lMm9Eb2MueG1sUEsFBgAAAAAGAAYAWQEAAHMFAAAAAA==&#10;">
                <v:fill on="f" focussize="0,0"/>
                <v:stroke weight="2pt" color="#FF0000 [3204]" joinstyle="round"/>
                <v:imagedata o:title=""/>
                <o:lock v:ext="edit" aspectratio="f"/>
              </v:line>
            </w:pict>
          </mc:Fallback>
        </mc:AlternateContent>
      </w:r>
      <w:r>
        <w:rPr>
          <w:rFonts w:hint="default" w:ascii="Times New Roman" w:hAnsi="Times New Roman" w:cs="Times New Roman"/>
          <w:sz w:val="24"/>
        </w:rPr>
        <mc:AlternateContent>
          <mc:Choice Requires="wps">
            <w:drawing>
              <wp:anchor distT="0" distB="0" distL="114300" distR="114300" simplePos="0" relativeHeight="251708416" behindDoc="0" locked="0" layoutInCell="1" allowOverlap="1">
                <wp:simplePos x="0" y="0"/>
                <wp:positionH relativeFrom="column">
                  <wp:posOffset>3885565</wp:posOffset>
                </wp:positionH>
                <wp:positionV relativeFrom="paragraph">
                  <wp:posOffset>1814195</wp:posOffset>
                </wp:positionV>
                <wp:extent cx="1348105" cy="1426845"/>
                <wp:effectExtent l="4445" t="4445" r="19050" b="16510"/>
                <wp:wrapNone/>
                <wp:docPr id="122" name="文本框 122"/>
                <wp:cNvGraphicFramePr/>
                <a:graphic xmlns:a="http://schemas.openxmlformats.org/drawingml/2006/main">
                  <a:graphicData uri="http://schemas.microsoft.com/office/word/2010/wordprocessingShape">
                    <wps:wsp>
                      <wps:cNvSpPr txBox="1"/>
                      <wps:spPr>
                        <a:xfrm>
                          <a:off x="5420995" y="3607435"/>
                          <a:ext cx="1348105" cy="142684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019F0F7">
                            <w:pPr>
                              <w:spacing w:line="360" w:lineRule="auto"/>
                              <w:ind w:left="0" w:leftChars="0" w:right="0" w:rightChars="0" w:firstLine="0" w:firstLineChars="0"/>
                              <w:jc w:val="center"/>
                              <w:rPr>
                                <w:rFonts w:hint="eastAsia"/>
                                <w:b/>
                                <w:bCs/>
                                <w:sz w:val="21"/>
                                <w:szCs w:val="16"/>
                                <w:lang w:val="en-US" w:eastAsia="zh-CN"/>
                              </w:rPr>
                            </w:pPr>
                            <w:r>
                              <w:rPr>
                                <w:rFonts w:hint="eastAsia"/>
                                <w:b/>
                                <w:bCs/>
                                <w:sz w:val="21"/>
                                <w:szCs w:val="16"/>
                                <w:lang w:val="en-US" w:eastAsia="zh-CN"/>
                              </w:rPr>
                              <w:t>图  例</w:t>
                            </w:r>
                          </w:p>
                          <w:p w14:paraId="306EAD10">
                            <w:pPr>
                              <w:spacing w:line="360" w:lineRule="auto"/>
                              <w:ind w:firstLine="360" w:firstLineChars="200"/>
                              <w:rPr>
                                <w:rFonts w:hint="default" w:ascii="Times New Roman" w:hAnsi="Times New Roman" w:eastAsia="宋体" w:cs="Times New Roman"/>
                                <w:sz w:val="18"/>
                                <w:szCs w:val="13"/>
                                <w:lang w:val="en-US" w:eastAsia="zh-CN"/>
                              </w:rPr>
                            </w:pPr>
                            <w:r>
                              <w:rPr>
                                <w:rFonts w:hint="eastAsia" w:ascii="Times New Roman" w:hAnsi="Times New Roman" w:eastAsia="宋体" w:cs="Times New Roman"/>
                                <w:sz w:val="18"/>
                                <w:szCs w:val="13"/>
                                <w:lang w:val="en-US" w:eastAsia="zh-CN"/>
                              </w:rPr>
                              <w:t>本项目厂房范围</w:t>
                            </w:r>
                          </w:p>
                          <w:p w14:paraId="0223D19F">
                            <w:pPr>
                              <w:spacing w:line="360" w:lineRule="auto"/>
                              <w:ind w:firstLine="360" w:firstLineChars="200"/>
                              <w:rPr>
                                <w:rFonts w:hint="eastAsia"/>
                                <w:sz w:val="18"/>
                                <w:szCs w:val="13"/>
                                <w:lang w:val="en-US" w:eastAsia="zh-CN"/>
                              </w:rPr>
                            </w:pPr>
                            <w:r>
                              <w:rPr>
                                <w:rFonts w:hint="eastAsia"/>
                                <w:sz w:val="18"/>
                                <w:szCs w:val="13"/>
                                <w:lang w:val="en-US" w:eastAsia="zh-CN"/>
                              </w:rPr>
                              <w:t>兴悦厂区范围</w:t>
                            </w:r>
                          </w:p>
                          <w:p w14:paraId="7881F99E">
                            <w:pPr>
                              <w:spacing w:line="360" w:lineRule="auto"/>
                              <w:ind w:firstLine="360" w:firstLineChars="200"/>
                              <w:rPr>
                                <w:rFonts w:hint="eastAsia"/>
                                <w:sz w:val="18"/>
                                <w:szCs w:val="13"/>
                                <w:lang w:val="en-US" w:eastAsia="zh-CN"/>
                              </w:rPr>
                            </w:pPr>
                            <w:r>
                              <w:rPr>
                                <w:rFonts w:hint="eastAsia"/>
                                <w:sz w:val="18"/>
                                <w:szCs w:val="13"/>
                                <w:lang w:val="en-US" w:eastAsia="zh-CN"/>
                              </w:rPr>
                              <w:t>兴发厂区范围</w:t>
                            </w:r>
                          </w:p>
                          <w:p w14:paraId="47357A0C">
                            <w:pPr>
                              <w:spacing w:line="360" w:lineRule="auto"/>
                              <w:ind w:firstLine="360" w:firstLineChars="200"/>
                              <w:rPr>
                                <w:rFonts w:hint="eastAsia"/>
                                <w:sz w:val="18"/>
                                <w:szCs w:val="13"/>
                                <w:lang w:val="en-US" w:eastAsia="zh-CN"/>
                              </w:rPr>
                            </w:pPr>
                            <w:r>
                              <w:rPr>
                                <w:rFonts w:hint="eastAsia"/>
                                <w:sz w:val="18"/>
                                <w:szCs w:val="13"/>
                                <w:lang w:val="en-US" w:eastAsia="zh-CN"/>
                              </w:rPr>
                              <w:t>固态废物输送线路</w:t>
                            </w:r>
                          </w:p>
                          <w:p w14:paraId="2FBD0BEE">
                            <w:pPr>
                              <w:spacing w:line="360" w:lineRule="auto"/>
                              <w:ind w:firstLine="360" w:firstLineChars="200"/>
                              <w:rPr>
                                <w:rFonts w:hint="default"/>
                                <w:sz w:val="18"/>
                                <w:szCs w:val="13"/>
                                <w:lang w:val="en-US" w:eastAsia="zh-CN"/>
                              </w:rPr>
                            </w:pPr>
                            <w:r>
                              <w:rPr>
                                <w:rFonts w:hint="eastAsia"/>
                                <w:sz w:val="18"/>
                                <w:szCs w:val="13"/>
                                <w:lang w:val="en-US" w:eastAsia="zh-CN"/>
                              </w:rPr>
                              <w:t>液态废物输送线路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5.95pt;margin-top:142.85pt;height:112.35pt;width:106.15pt;z-index:251708416;mso-width-relative:page;mso-height-relative:page;" fillcolor="#FFFFFF [3201]" filled="t" stroked="t" coordsize="21600,21600" o:gfxdata="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WiAye2AAAAAsBAAAPAAAAAAAAAAEAIAAAACIAAABkcnMvZG93bnJldi54bWxQ&#10;SwECFAAUAAAACACHTuJAcFpcJmkCAADIBAAADgAAAAAAAAABACAAAAAnAQAAZHJzL2Uyb0RvYy54&#10;bWxQSwUGAAAAAAYABgBZAQAAAgYAAAAA&#10;">
                <v:fill on="t" focussize="0,0"/>
                <v:stroke weight="0.5pt" color="#000000 [3204]" joinstyle="round"/>
                <v:imagedata o:title=""/>
                <o:lock v:ext="edit" aspectratio="f"/>
                <v:textbox>
                  <w:txbxContent>
                    <w:p w14:paraId="5019F0F7">
                      <w:pPr>
                        <w:spacing w:line="360" w:lineRule="auto"/>
                        <w:ind w:left="0" w:leftChars="0" w:right="0" w:rightChars="0" w:firstLine="0" w:firstLineChars="0"/>
                        <w:jc w:val="center"/>
                        <w:rPr>
                          <w:rFonts w:hint="eastAsia"/>
                          <w:b/>
                          <w:bCs/>
                          <w:sz w:val="21"/>
                          <w:szCs w:val="16"/>
                          <w:lang w:val="en-US" w:eastAsia="zh-CN"/>
                        </w:rPr>
                      </w:pPr>
                      <w:r>
                        <w:rPr>
                          <w:rFonts w:hint="eastAsia"/>
                          <w:b/>
                          <w:bCs/>
                          <w:sz w:val="21"/>
                          <w:szCs w:val="16"/>
                          <w:lang w:val="en-US" w:eastAsia="zh-CN"/>
                        </w:rPr>
                        <w:t>图  例</w:t>
                      </w:r>
                    </w:p>
                    <w:p w14:paraId="306EAD10">
                      <w:pPr>
                        <w:spacing w:line="360" w:lineRule="auto"/>
                        <w:ind w:firstLine="360" w:firstLineChars="200"/>
                        <w:rPr>
                          <w:rFonts w:hint="default" w:ascii="Times New Roman" w:hAnsi="Times New Roman" w:eastAsia="宋体" w:cs="Times New Roman"/>
                          <w:sz w:val="18"/>
                          <w:szCs w:val="13"/>
                          <w:lang w:val="en-US" w:eastAsia="zh-CN"/>
                        </w:rPr>
                      </w:pPr>
                      <w:r>
                        <w:rPr>
                          <w:rFonts w:hint="eastAsia" w:ascii="Times New Roman" w:hAnsi="Times New Roman" w:eastAsia="宋体" w:cs="Times New Roman"/>
                          <w:sz w:val="18"/>
                          <w:szCs w:val="13"/>
                          <w:lang w:val="en-US" w:eastAsia="zh-CN"/>
                        </w:rPr>
                        <w:t>本项目厂房范围</w:t>
                      </w:r>
                    </w:p>
                    <w:p w14:paraId="0223D19F">
                      <w:pPr>
                        <w:spacing w:line="360" w:lineRule="auto"/>
                        <w:ind w:firstLine="360" w:firstLineChars="200"/>
                        <w:rPr>
                          <w:rFonts w:hint="eastAsia"/>
                          <w:sz w:val="18"/>
                          <w:szCs w:val="13"/>
                          <w:lang w:val="en-US" w:eastAsia="zh-CN"/>
                        </w:rPr>
                      </w:pPr>
                      <w:r>
                        <w:rPr>
                          <w:rFonts w:hint="eastAsia"/>
                          <w:sz w:val="18"/>
                          <w:szCs w:val="13"/>
                          <w:lang w:val="en-US" w:eastAsia="zh-CN"/>
                        </w:rPr>
                        <w:t>兴悦厂区范围</w:t>
                      </w:r>
                    </w:p>
                    <w:p w14:paraId="7881F99E">
                      <w:pPr>
                        <w:spacing w:line="360" w:lineRule="auto"/>
                        <w:ind w:firstLine="360" w:firstLineChars="200"/>
                        <w:rPr>
                          <w:rFonts w:hint="eastAsia"/>
                          <w:sz w:val="18"/>
                          <w:szCs w:val="13"/>
                          <w:lang w:val="en-US" w:eastAsia="zh-CN"/>
                        </w:rPr>
                      </w:pPr>
                      <w:r>
                        <w:rPr>
                          <w:rFonts w:hint="eastAsia"/>
                          <w:sz w:val="18"/>
                          <w:szCs w:val="13"/>
                          <w:lang w:val="en-US" w:eastAsia="zh-CN"/>
                        </w:rPr>
                        <w:t>兴发厂区范围</w:t>
                      </w:r>
                    </w:p>
                    <w:p w14:paraId="47357A0C">
                      <w:pPr>
                        <w:spacing w:line="360" w:lineRule="auto"/>
                        <w:ind w:firstLine="360" w:firstLineChars="200"/>
                        <w:rPr>
                          <w:rFonts w:hint="eastAsia"/>
                          <w:sz w:val="18"/>
                          <w:szCs w:val="13"/>
                          <w:lang w:val="en-US" w:eastAsia="zh-CN"/>
                        </w:rPr>
                      </w:pPr>
                      <w:r>
                        <w:rPr>
                          <w:rFonts w:hint="eastAsia"/>
                          <w:sz w:val="18"/>
                          <w:szCs w:val="13"/>
                          <w:lang w:val="en-US" w:eastAsia="zh-CN"/>
                        </w:rPr>
                        <w:t>固态废物输送线路</w:t>
                      </w:r>
                    </w:p>
                    <w:p w14:paraId="2FBD0BEE">
                      <w:pPr>
                        <w:spacing w:line="360" w:lineRule="auto"/>
                        <w:ind w:firstLine="360" w:firstLineChars="200"/>
                        <w:rPr>
                          <w:rFonts w:hint="default"/>
                          <w:sz w:val="18"/>
                          <w:szCs w:val="13"/>
                          <w:lang w:val="en-US" w:eastAsia="zh-CN"/>
                        </w:rPr>
                      </w:pPr>
                      <w:r>
                        <w:rPr>
                          <w:rFonts w:hint="eastAsia"/>
                          <w:sz w:val="18"/>
                          <w:szCs w:val="13"/>
                          <w:lang w:val="en-US" w:eastAsia="zh-CN"/>
                        </w:rPr>
                        <w:t>液态废物输送线路</w:t>
                      </w:r>
                    </w:p>
                  </w:txbxContent>
                </v:textbox>
              </v:shape>
            </w:pict>
          </mc:Fallback>
        </mc:AlternateContent>
      </w:r>
      <w:r>
        <w:rPr>
          <w:rFonts w:hint="default" w:ascii="Times New Roman" w:hAnsi="Times New Roman" w:eastAsia="宋体" w:cs="Times New Roman"/>
          <w:sz w:val="24"/>
          <w:szCs w:val="18"/>
          <w:highlight w:val="none"/>
          <w:lang w:val="en-US" w:eastAsia="zh-CN"/>
        </w:rPr>
        <w:drawing>
          <wp:anchor distT="0" distB="0" distL="114300" distR="114300" simplePos="0" relativeHeight="251707392" behindDoc="0" locked="0" layoutInCell="1" allowOverlap="1">
            <wp:simplePos x="0" y="0"/>
            <wp:positionH relativeFrom="column">
              <wp:posOffset>4754245</wp:posOffset>
            </wp:positionH>
            <wp:positionV relativeFrom="paragraph">
              <wp:posOffset>19050</wp:posOffset>
            </wp:positionV>
            <wp:extent cx="480695" cy="539750"/>
            <wp:effectExtent l="0" t="0" r="6985" b="8890"/>
            <wp:wrapNone/>
            <wp:docPr id="121" name="图片 12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图片1"/>
                    <pic:cNvPicPr>
                      <a:picLocks noChangeAspect="1"/>
                    </pic:cNvPicPr>
                  </pic:nvPicPr>
                  <pic:blipFill>
                    <a:blip r:embed="rId13"/>
                    <a:stretch>
                      <a:fillRect/>
                    </a:stretch>
                  </pic:blipFill>
                  <pic:spPr>
                    <a:xfrm>
                      <a:off x="0" y="0"/>
                      <a:ext cx="480695" cy="539750"/>
                    </a:xfrm>
                    <a:prstGeom prst="rect">
                      <a:avLst/>
                    </a:prstGeom>
                  </pic:spPr>
                </pic:pic>
              </a:graphicData>
            </a:graphic>
          </wp:anchor>
        </w:drawing>
      </w:r>
      <w:r>
        <w:rPr>
          <w:rFonts w:hint="eastAsia" w:ascii="Times New Roman" w:hAnsi="Times New Roman" w:eastAsia="宋体" w:cs="Times New Roman"/>
          <w:sz w:val="24"/>
          <w:szCs w:val="24"/>
          <w:highlight w:val="none"/>
          <w:lang w:val="en-US" w:eastAsia="zh-CN"/>
        </w:rPr>
        <w:drawing>
          <wp:inline distT="0" distB="0" distL="114300" distR="114300">
            <wp:extent cx="5219700" cy="3251200"/>
            <wp:effectExtent l="9525" t="9525" r="13335" b="15875"/>
            <wp:docPr id="56" name="图片 56" descr="输送线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输送线路"/>
                    <pic:cNvPicPr>
                      <a:picLocks noChangeAspect="1"/>
                    </pic:cNvPicPr>
                  </pic:nvPicPr>
                  <pic:blipFill>
                    <a:blip r:embed="rId22"/>
                    <a:srcRect r="22070"/>
                    <a:stretch>
                      <a:fillRect/>
                    </a:stretch>
                  </pic:blipFill>
                  <pic:spPr>
                    <a:xfrm>
                      <a:off x="0" y="0"/>
                      <a:ext cx="5219700" cy="3251200"/>
                    </a:xfrm>
                    <a:prstGeom prst="rect">
                      <a:avLst/>
                    </a:prstGeom>
                    <a:ln>
                      <a:solidFill>
                        <a:schemeClr val="tx1"/>
                      </a:solidFill>
                    </a:ln>
                  </pic:spPr>
                </pic:pic>
              </a:graphicData>
            </a:graphic>
          </wp:inline>
        </w:drawing>
      </w:r>
    </w:p>
    <w:p w14:paraId="24D50BD9">
      <w:pPr>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 xml:space="preserve">图3.2-2 </w:t>
      </w:r>
      <w:r>
        <w:rPr>
          <w:rFonts w:hint="eastAsia" w:cs="Times New Roman"/>
          <w:b/>
          <w:bCs/>
          <w:sz w:val="24"/>
          <w:szCs w:val="24"/>
          <w:highlight w:val="none"/>
          <w:lang w:val="en-US" w:eastAsia="zh-CN"/>
        </w:rPr>
        <w:t>项目拟处置</w:t>
      </w:r>
      <w:r>
        <w:rPr>
          <w:rFonts w:hint="default" w:ascii="Times New Roman" w:hAnsi="Times New Roman" w:cs="Times New Roman"/>
          <w:b/>
          <w:bCs/>
          <w:sz w:val="24"/>
          <w:szCs w:val="24"/>
          <w:highlight w:val="none"/>
          <w:lang w:val="en-US" w:eastAsia="zh-CN"/>
        </w:rPr>
        <w:t>危险废物输送线路图</w:t>
      </w:r>
    </w:p>
    <w:p w14:paraId="47A421C0">
      <w:pPr>
        <w:pStyle w:val="3"/>
        <w:keepNext/>
        <w:keepLines/>
        <w:pageBreakBefore w:val="0"/>
        <w:widowControl/>
        <w:kinsoku/>
        <w:wordWrap/>
        <w:overflowPunct/>
        <w:topLinePunct w:val="0"/>
        <w:autoSpaceDE/>
        <w:autoSpaceDN/>
        <w:bidi w:val="0"/>
        <w:adjustRightInd/>
        <w:snapToGrid/>
        <w:spacing w:beforeLines="0" w:afterLines="0" w:line="360" w:lineRule="auto"/>
        <w:textAlignment w:val="auto"/>
        <w:rPr>
          <w:rFonts w:hint="default" w:ascii="Times New Roman" w:hAnsi="Times New Roman" w:eastAsia="宋体" w:cs="Times New Roman"/>
          <w:sz w:val="24"/>
          <w:szCs w:val="18"/>
          <w:highlight w:val="none"/>
          <w:lang w:val="en-US" w:eastAsia="zh-CN"/>
        </w:rPr>
      </w:pPr>
      <w:bookmarkStart w:id="93" w:name="_Toc9868250"/>
      <w:bookmarkStart w:id="94" w:name="_Toc13828"/>
      <w:bookmarkStart w:id="95" w:name="_Toc62"/>
      <w:bookmarkStart w:id="96" w:name="_Toc29550"/>
      <w:bookmarkStart w:id="97" w:name="_Toc9868249"/>
      <w:r>
        <w:rPr>
          <w:rFonts w:hint="default" w:ascii="Times New Roman" w:hAnsi="Times New Roman" w:eastAsia="宋体" w:cs="Times New Roman"/>
          <w:sz w:val="24"/>
          <w:szCs w:val="18"/>
          <w:highlight w:val="none"/>
        </w:rPr>
        <w:t>3.</w:t>
      </w:r>
      <w:bookmarkEnd w:id="93"/>
      <w:r>
        <w:rPr>
          <w:rFonts w:hint="default" w:ascii="Times New Roman" w:hAnsi="Times New Roman" w:cs="Times New Roman"/>
          <w:sz w:val="24"/>
          <w:szCs w:val="18"/>
          <w:highlight w:val="none"/>
          <w:lang w:val="en-US" w:eastAsia="zh-CN"/>
        </w:rPr>
        <w:t>3</w:t>
      </w:r>
      <w:r>
        <w:rPr>
          <w:rFonts w:hint="default" w:ascii="Times New Roman" w:hAnsi="Times New Roman" w:eastAsia="宋体" w:cs="Times New Roman"/>
          <w:sz w:val="24"/>
          <w:szCs w:val="18"/>
          <w:highlight w:val="none"/>
        </w:rPr>
        <w:t>原辅材料消耗</w:t>
      </w:r>
      <w:r>
        <w:rPr>
          <w:rFonts w:hint="default" w:ascii="Times New Roman" w:hAnsi="Times New Roman" w:eastAsia="宋体" w:cs="Times New Roman"/>
          <w:sz w:val="24"/>
          <w:szCs w:val="18"/>
          <w:highlight w:val="none"/>
          <w:lang w:val="en-US" w:eastAsia="zh-CN"/>
        </w:rPr>
        <w:t>情况</w:t>
      </w:r>
      <w:bookmarkEnd w:id="94"/>
      <w:bookmarkEnd w:id="95"/>
      <w:bookmarkEnd w:id="96"/>
    </w:p>
    <w:p w14:paraId="304091A6">
      <w:pPr>
        <w:pStyle w:val="6"/>
        <w:rPr>
          <w:rFonts w:hint="default" w:ascii="Times New Roman" w:hAnsi="Times New Roman" w:eastAsia="宋体" w:cs="Times New Roman"/>
          <w:lang w:val="en-US" w:eastAsia="zh-CN"/>
        </w:rPr>
      </w:pPr>
      <w:r>
        <w:rPr>
          <w:rFonts w:hint="default" w:ascii="Times New Roman" w:hAnsi="Times New Roman" w:cs="Times New Roman"/>
          <w:lang w:val="en-US" w:eastAsia="zh-CN"/>
        </w:rPr>
        <w:t>（1）消耗情况</w:t>
      </w:r>
    </w:p>
    <w:p w14:paraId="2E753FBE">
      <w:pPr>
        <w:pStyle w:val="6"/>
        <w:rPr>
          <w:rFonts w:hint="default" w:ascii="Times New Roman" w:hAnsi="Times New Roman" w:cs="Times New Roman"/>
        </w:rPr>
      </w:pPr>
      <w:r>
        <w:rPr>
          <w:rFonts w:hint="default" w:ascii="Times New Roman" w:hAnsi="Times New Roman" w:cs="Times New Roman"/>
        </w:rPr>
        <w:t>本项目物料及能源消耗情况见</w:t>
      </w:r>
      <w:r>
        <w:rPr>
          <w:rFonts w:hint="default" w:ascii="Times New Roman" w:hAnsi="Times New Roman" w:cs="Times New Roman"/>
        </w:rPr>
        <w:fldChar w:fldCharType="begin"/>
      </w:r>
      <w:r>
        <w:rPr>
          <w:rFonts w:hint="default" w:ascii="Times New Roman" w:hAnsi="Times New Roman" w:cs="Times New Roman"/>
        </w:rPr>
        <w:instrText xml:space="preserve"> REF _Ref126924765 \h  \* MERGEFORMAT </w:instrText>
      </w:r>
      <w:r>
        <w:rPr>
          <w:rFonts w:hint="default" w:ascii="Times New Roman" w:hAnsi="Times New Roman" w:cs="Times New Roman"/>
        </w:rPr>
        <w:fldChar w:fldCharType="separate"/>
      </w:r>
      <w:r>
        <w:rPr>
          <w:rFonts w:hint="default" w:ascii="Times New Roman" w:hAnsi="Times New Roman" w:cs="Times New Roman"/>
        </w:rPr>
        <w:t>表3.</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1</w:t>
      </w:r>
      <w:r>
        <w:rPr>
          <w:rFonts w:hint="default" w:ascii="Times New Roman" w:hAnsi="Times New Roman" w:cs="Times New Roman"/>
        </w:rPr>
        <w:t>和</w:t>
      </w:r>
      <w:r>
        <w:rPr>
          <w:rFonts w:hint="default" w:ascii="Times New Roman" w:hAnsi="Times New Roman" w:cs="Times New Roman"/>
        </w:rPr>
        <w:fldChar w:fldCharType="begin"/>
      </w:r>
      <w:r>
        <w:rPr>
          <w:rFonts w:hint="default" w:ascii="Times New Roman" w:hAnsi="Times New Roman" w:cs="Times New Roman"/>
        </w:rPr>
        <w:instrText xml:space="preserve"> REF _Ref127186668 \h  \* MERGEFORMAT </w:instrText>
      </w:r>
      <w:r>
        <w:rPr>
          <w:rFonts w:hint="default" w:ascii="Times New Roman" w:hAnsi="Times New Roman" w:cs="Times New Roman"/>
        </w:rPr>
        <w:fldChar w:fldCharType="separate"/>
      </w:r>
      <w:r>
        <w:rPr>
          <w:rFonts w:hint="default" w:ascii="Times New Roman" w:hAnsi="Times New Roman" w:cs="Times New Roman"/>
        </w:rPr>
        <w:t>表3.</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-2</w:t>
      </w:r>
      <w:r>
        <w:rPr>
          <w:rFonts w:hint="default" w:ascii="Times New Roman" w:hAnsi="Times New Roman" w:cs="Times New Roman"/>
        </w:rPr>
        <w:t>。</w:t>
      </w:r>
    </w:p>
    <w:p w14:paraId="06F8CFC0">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98" w:name="_Ref126924765"/>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w:t>
      </w:r>
      <w:r>
        <w:rPr>
          <w:rFonts w:hint="default" w:ascii="Times New Roman" w:hAnsi="Times New Roman" w:cs="Times New Roman"/>
          <w:b/>
          <w:bCs/>
          <w:lang w:val="en-US" w:eastAsia="zh-CN"/>
        </w:rPr>
        <w:t>3</w:t>
      </w:r>
      <w:r>
        <w:rPr>
          <w:rFonts w:hint="default" w:ascii="Times New Roman" w:hAnsi="Times New Roman" w:cs="Times New Roman"/>
          <w:b/>
          <w:bCs/>
        </w:rPr>
        <w:fldChar w:fldCharType="end"/>
      </w:r>
      <w:bookmarkEnd w:id="98"/>
      <w:r>
        <w:rPr>
          <w:rFonts w:hint="default" w:ascii="Times New Roman" w:hAnsi="Times New Roman" w:cs="Times New Roman"/>
          <w:b/>
          <w:bCs/>
          <w:lang w:val="en-US" w:eastAsia="zh-CN"/>
        </w:rPr>
        <w:t>-1</w:t>
      </w:r>
      <w:r>
        <w:rPr>
          <w:rFonts w:hint="default" w:ascii="Times New Roman" w:hAnsi="Times New Roman" w:cs="Times New Roman"/>
          <w:b/>
          <w:bCs/>
        </w:rPr>
        <w:t xml:space="preserve"> 本项目实施前后水泥窑内物料变化情况一览表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0"/>
        <w:gridCol w:w="1099"/>
        <w:gridCol w:w="1572"/>
        <w:gridCol w:w="1535"/>
        <w:gridCol w:w="871"/>
        <w:gridCol w:w="2799"/>
      </w:tblGrid>
      <w:tr w14:paraId="0C1BBC8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1" w:type="pct"/>
            <w:tcBorders>
              <w:tl2br w:val="nil"/>
              <w:tr2bl w:val="nil"/>
            </w:tcBorders>
            <w:vAlign w:val="center"/>
          </w:tcPr>
          <w:p w14:paraId="537713F1">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650" w:type="pct"/>
            <w:tcBorders>
              <w:tl2br w:val="nil"/>
              <w:tr2bl w:val="nil"/>
            </w:tcBorders>
            <w:vAlign w:val="center"/>
          </w:tcPr>
          <w:p w14:paraId="3B173923">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物料名称</w:t>
            </w:r>
          </w:p>
        </w:tc>
        <w:tc>
          <w:tcPr>
            <w:tcW w:w="928" w:type="pct"/>
            <w:tcBorders>
              <w:tl2br w:val="nil"/>
              <w:tr2bl w:val="nil"/>
            </w:tcBorders>
            <w:vAlign w:val="center"/>
          </w:tcPr>
          <w:p w14:paraId="12D8A81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协同处置前用量（t/a）</w:t>
            </w:r>
          </w:p>
        </w:tc>
        <w:tc>
          <w:tcPr>
            <w:tcW w:w="906" w:type="pct"/>
            <w:tcBorders>
              <w:tl2br w:val="nil"/>
              <w:tr2bl w:val="nil"/>
            </w:tcBorders>
            <w:vAlign w:val="center"/>
          </w:tcPr>
          <w:p w14:paraId="081B702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协同处置后用量（t/a）</w:t>
            </w:r>
          </w:p>
        </w:tc>
        <w:tc>
          <w:tcPr>
            <w:tcW w:w="485" w:type="pct"/>
            <w:tcBorders>
              <w:tl2br w:val="nil"/>
              <w:tr2bl w:val="nil"/>
            </w:tcBorders>
            <w:vAlign w:val="center"/>
          </w:tcPr>
          <w:p w14:paraId="6FFE1DB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变化量（t/a）</w:t>
            </w:r>
          </w:p>
        </w:tc>
        <w:tc>
          <w:tcPr>
            <w:tcW w:w="1647" w:type="pct"/>
            <w:tcBorders>
              <w:tl2br w:val="nil"/>
              <w:tr2bl w:val="nil"/>
            </w:tcBorders>
            <w:vAlign w:val="center"/>
          </w:tcPr>
          <w:p w14:paraId="0C6759A7">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备注</w:t>
            </w:r>
          </w:p>
        </w:tc>
      </w:tr>
      <w:tr w14:paraId="0FB9BB5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1" w:type="pct"/>
            <w:tcBorders>
              <w:tl2br w:val="nil"/>
              <w:tr2bl w:val="nil"/>
            </w:tcBorders>
            <w:vAlign w:val="center"/>
          </w:tcPr>
          <w:p w14:paraId="4A2F9B9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650" w:type="pct"/>
            <w:tcBorders>
              <w:tl2br w:val="nil"/>
              <w:tr2bl w:val="nil"/>
            </w:tcBorders>
            <w:shd w:val="clear" w:color="auto" w:fill="auto"/>
            <w:vAlign w:val="center"/>
          </w:tcPr>
          <w:p w14:paraId="247F1EE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石灰石</w:t>
            </w:r>
          </w:p>
        </w:tc>
        <w:tc>
          <w:tcPr>
            <w:tcW w:w="928" w:type="pct"/>
            <w:tcBorders>
              <w:tl2br w:val="nil"/>
              <w:tr2bl w:val="nil"/>
            </w:tcBorders>
            <w:shd w:val="clear" w:color="auto" w:fill="auto"/>
            <w:vAlign w:val="center"/>
          </w:tcPr>
          <w:p w14:paraId="5305854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471733.51</w:t>
            </w:r>
          </w:p>
        </w:tc>
        <w:tc>
          <w:tcPr>
            <w:tcW w:w="906" w:type="pct"/>
            <w:tcBorders>
              <w:tl2br w:val="nil"/>
              <w:tr2bl w:val="nil"/>
            </w:tcBorders>
            <w:shd w:val="clear" w:color="auto" w:fill="auto"/>
            <w:vAlign w:val="center"/>
          </w:tcPr>
          <w:p w14:paraId="265932C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471733.51</w:t>
            </w:r>
          </w:p>
        </w:tc>
        <w:tc>
          <w:tcPr>
            <w:tcW w:w="485" w:type="pct"/>
            <w:tcBorders>
              <w:tl2br w:val="nil"/>
              <w:tr2bl w:val="nil"/>
            </w:tcBorders>
            <w:vAlign w:val="center"/>
          </w:tcPr>
          <w:p w14:paraId="6D312B3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1647" w:type="pct"/>
            <w:tcBorders>
              <w:tl2br w:val="nil"/>
              <w:tr2bl w:val="nil"/>
            </w:tcBorders>
            <w:vAlign w:val="center"/>
          </w:tcPr>
          <w:p w14:paraId="5617350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外购</w:t>
            </w:r>
          </w:p>
        </w:tc>
      </w:tr>
      <w:tr w14:paraId="3BB87CF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1" w:type="pct"/>
            <w:tcBorders>
              <w:tl2br w:val="nil"/>
              <w:tr2bl w:val="nil"/>
            </w:tcBorders>
            <w:vAlign w:val="center"/>
          </w:tcPr>
          <w:p w14:paraId="545A8DC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650" w:type="pct"/>
            <w:tcBorders>
              <w:tl2br w:val="nil"/>
              <w:tr2bl w:val="nil"/>
            </w:tcBorders>
            <w:shd w:val="clear" w:color="auto" w:fill="auto"/>
            <w:vAlign w:val="center"/>
          </w:tcPr>
          <w:p w14:paraId="152B595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铜渣</w:t>
            </w:r>
          </w:p>
        </w:tc>
        <w:tc>
          <w:tcPr>
            <w:tcW w:w="928" w:type="pct"/>
            <w:tcBorders>
              <w:tl2br w:val="nil"/>
              <w:tr2bl w:val="nil"/>
            </w:tcBorders>
            <w:shd w:val="clear" w:color="auto" w:fill="auto"/>
            <w:vAlign w:val="center"/>
          </w:tcPr>
          <w:p w14:paraId="49980EB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19320.72</w:t>
            </w:r>
          </w:p>
        </w:tc>
        <w:tc>
          <w:tcPr>
            <w:tcW w:w="906" w:type="pct"/>
            <w:tcBorders>
              <w:tl2br w:val="nil"/>
              <w:tr2bl w:val="nil"/>
            </w:tcBorders>
            <w:shd w:val="clear" w:color="auto" w:fill="auto"/>
            <w:vAlign w:val="center"/>
          </w:tcPr>
          <w:p w14:paraId="4019433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19320.72</w:t>
            </w:r>
          </w:p>
        </w:tc>
        <w:tc>
          <w:tcPr>
            <w:tcW w:w="485" w:type="pct"/>
            <w:tcBorders>
              <w:tl2br w:val="nil"/>
              <w:tr2bl w:val="nil"/>
            </w:tcBorders>
            <w:vAlign w:val="center"/>
          </w:tcPr>
          <w:p w14:paraId="34EF27A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1647" w:type="pct"/>
            <w:tcBorders>
              <w:tl2br w:val="nil"/>
              <w:tr2bl w:val="nil"/>
            </w:tcBorders>
            <w:vAlign w:val="center"/>
          </w:tcPr>
          <w:p w14:paraId="0091994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外购</w:t>
            </w:r>
          </w:p>
        </w:tc>
      </w:tr>
      <w:tr w14:paraId="64995BC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1" w:type="pct"/>
            <w:tcBorders>
              <w:tl2br w:val="nil"/>
              <w:tr2bl w:val="nil"/>
            </w:tcBorders>
            <w:vAlign w:val="center"/>
          </w:tcPr>
          <w:p w14:paraId="69B28EE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650" w:type="pct"/>
            <w:tcBorders>
              <w:tl2br w:val="nil"/>
              <w:tr2bl w:val="nil"/>
            </w:tcBorders>
            <w:shd w:val="clear" w:color="auto" w:fill="auto"/>
            <w:vAlign w:val="center"/>
          </w:tcPr>
          <w:p w14:paraId="165D490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煤矸石</w:t>
            </w:r>
          </w:p>
        </w:tc>
        <w:tc>
          <w:tcPr>
            <w:tcW w:w="928" w:type="pct"/>
            <w:tcBorders>
              <w:tl2br w:val="nil"/>
              <w:tr2bl w:val="nil"/>
            </w:tcBorders>
            <w:shd w:val="clear" w:color="auto" w:fill="auto"/>
            <w:vAlign w:val="center"/>
          </w:tcPr>
          <w:p w14:paraId="47D7029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42779.00</w:t>
            </w:r>
          </w:p>
        </w:tc>
        <w:tc>
          <w:tcPr>
            <w:tcW w:w="906" w:type="pct"/>
            <w:tcBorders>
              <w:tl2br w:val="nil"/>
              <w:tr2bl w:val="nil"/>
            </w:tcBorders>
            <w:shd w:val="clear" w:color="auto" w:fill="auto"/>
            <w:vAlign w:val="center"/>
          </w:tcPr>
          <w:p w14:paraId="7265A2F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42779.00</w:t>
            </w:r>
          </w:p>
        </w:tc>
        <w:tc>
          <w:tcPr>
            <w:tcW w:w="485" w:type="pct"/>
            <w:tcBorders>
              <w:tl2br w:val="nil"/>
              <w:tr2bl w:val="nil"/>
            </w:tcBorders>
            <w:vAlign w:val="center"/>
          </w:tcPr>
          <w:p w14:paraId="51C815B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1647" w:type="pct"/>
            <w:tcBorders>
              <w:tl2br w:val="nil"/>
              <w:tr2bl w:val="nil"/>
            </w:tcBorders>
            <w:vAlign w:val="center"/>
          </w:tcPr>
          <w:p w14:paraId="1362008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外购</w:t>
            </w:r>
          </w:p>
        </w:tc>
      </w:tr>
      <w:tr w14:paraId="6C58504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1" w:type="pct"/>
            <w:tcBorders>
              <w:tl2br w:val="nil"/>
              <w:tr2bl w:val="nil"/>
            </w:tcBorders>
            <w:vAlign w:val="center"/>
          </w:tcPr>
          <w:p w14:paraId="4B221C1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650" w:type="pct"/>
            <w:tcBorders>
              <w:tl2br w:val="nil"/>
              <w:tr2bl w:val="nil"/>
            </w:tcBorders>
            <w:shd w:val="clear" w:color="auto" w:fill="auto"/>
            <w:vAlign w:val="center"/>
          </w:tcPr>
          <w:p w14:paraId="61F64FF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cs="Times New Roman" w:eastAsiaTheme="minorEastAsia"/>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黄砂岩</w:t>
            </w:r>
          </w:p>
        </w:tc>
        <w:tc>
          <w:tcPr>
            <w:tcW w:w="928" w:type="pct"/>
            <w:tcBorders>
              <w:tl2br w:val="nil"/>
              <w:tr2bl w:val="nil"/>
            </w:tcBorders>
            <w:shd w:val="clear" w:color="auto" w:fill="auto"/>
            <w:vAlign w:val="center"/>
          </w:tcPr>
          <w:p w14:paraId="31E4448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30642.00</w:t>
            </w:r>
          </w:p>
        </w:tc>
        <w:tc>
          <w:tcPr>
            <w:tcW w:w="906" w:type="pct"/>
            <w:tcBorders>
              <w:tl2br w:val="nil"/>
              <w:tr2bl w:val="nil"/>
            </w:tcBorders>
            <w:shd w:val="clear" w:color="auto" w:fill="auto"/>
            <w:vAlign w:val="center"/>
          </w:tcPr>
          <w:p w14:paraId="08E1767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30642.00</w:t>
            </w:r>
          </w:p>
        </w:tc>
        <w:tc>
          <w:tcPr>
            <w:tcW w:w="485" w:type="pct"/>
            <w:tcBorders>
              <w:tl2br w:val="nil"/>
              <w:tr2bl w:val="nil"/>
            </w:tcBorders>
            <w:vAlign w:val="center"/>
          </w:tcPr>
          <w:p w14:paraId="67972D8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1647" w:type="pct"/>
            <w:tcBorders>
              <w:tl2br w:val="nil"/>
              <w:tr2bl w:val="nil"/>
            </w:tcBorders>
            <w:vAlign w:val="center"/>
          </w:tcPr>
          <w:p w14:paraId="44E69B4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外购</w:t>
            </w:r>
          </w:p>
        </w:tc>
      </w:tr>
      <w:tr w14:paraId="7C8C711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1" w:type="pct"/>
            <w:tcBorders>
              <w:tl2br w:val="nil"/>
              <w:tr2bl w:val="nil"/>
            </w:tcBorders>
            <w:vAlign w:val="center"/>
          </w:tcPr>
          <w:p w14:paraId="006B2A8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c>
          <w:tcPr>
            <w:tcW w:w="650" w:type="pct"/>
            <w:tcBorders>
              <w:tl2br w:val="nil"/>
              <w:tr2bl w:val="nil"/>
            </w:tcBorders>
            <w:shd w:val="clear" w:color="auto" w:fill="auto"/>
            <w:vAlign w:val="center"/>
          </w:tcPr>
          <w:p w14:paraId="27C764D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页岩</w:t>
            </w:r>
          </w:p>
        </w:tc>
        <w:tc>
          <w:tcPr>
            <w:tcW w:w="928" w:type="pct"/>
            <w:tcBorders>
              <w:tl2br w:val="nil"/>
              <w:tr2bl w:val="nil"/>
            </w:tcBorders>
            <w:shd w:val="clear" w:color="auto" w:fill="auto"/>
            <w:vAlign w:val="center"/>
          </w:tcPr>
          <w:p w14:paraId="1CAC693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37968.00</w:t>
            </w:r>
          </w:p>
        </w:tc>
        <w:tc>
          <w:tcPr>
            <w:tcW w:w="906" w:type="pct"/>
            <w:tcBorders>
              <w:tl2br w:val="nil"/>
              <w:tr2bl w:val="nil"/>
            </w:tcBorders>
            <w:shd w:val="clear" w:color="auto" w:fill="auto"/>
            <w:vAlign w:val="center"/>
          </w:tcPr>
          <w:p w14:paraId="5E7E1F6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37968.00</w:t>
            </w:r>
          </w:p>
        </w:tc>
        <w:tc>
          <w:tcPr>
            <w:tcW w:w="485" w:type="pct"/>
            <w:tcBorders>
              <w:tl2br w:val="nil"/>
              <w:tr2bl w:val="nil"/>
            </w:tcBorders>
            <w:vAlign w:val="center"/>
          </w:tcPr>
          <w:p w14:paraId="146BD7E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1647" w:type="pct"/>
            <w:tcBorders>
              <w:tl2br w:val="nil"/>
              <w:tr2bl w:val="nil"/>
            </w:tcBorders>
            <w:vAlign w:val="center"/>
          </w:tcPr>
          <w:p w14:paraId="63B544B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外购</w:t>
            </w:r>
          </w:p>
        </w:tc>
      </w:tr>
      <w:tr w14:paraId="54C0A31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1" w:type="pct"/>
            <w:tcBorders>
              <w:tl2br w:val="nil"/>
              <w:tr2bl w:val="nil"/>
            </w:tcBorders>
            <w:vAlign w:val="center"/>
          </w:tcPr>
          <w:p w14:paraId="367184D7">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6</w:t>
            </w:r>
          </w:p>
        </w:tc>
        <w:tc>
          <w:tcPr>
            <w:tcW w:w="650" w:type="pct"/>
            <w:tcBorders>
              <w:tl2br w:val="nil"/>
              <w:tr2bl w:val="nil"/>
            </w:tcBorders>
            <w:shd w:val="clear" w:color="auto" w:fill="auto"/>
            <w:vAlign w:val="center"/>
          </w:tcPr>
          <w:p w14:paraId="1FEE617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锌渣</w:t>
            </w:r>
          </w:p>
        </w:tc>
        <w:tc>
          <w:tcPr>
            <w:tcW w:w="928" w:type="pct"/>
            <w:tcBorders>
              <w:tl2br w:val="nil"/>
              <w:tr2bl w:val="nil"/>
            </w:tcBorders>
            <w:shd w:val="clear" w:color="auto" w:fill="auto"/>
            <w:vAlign w:val="center"/>
          </w:tcPr>
          <w:p w14:paraId="13F8E65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2758.00</w:t>
            </w:r>
          </w:p>
        </w:tc>
        <w:tc>
          <w:tcPr>
            <w:tcW w:w="906" w:type="pct"/>
            <w:tcBorders>
              <w:tl2br w:val="nil"/>
              <w:tr2bl w:val="nil"/>
            </w:tcBorders>
            <w:shd w:val="clear" w:color="auto" w:fill="auto"/>
            <w:vAlign w:val="center"/>
          </w:tcPr>
          <w:p w14:paraId="3B554B5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等线"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2758.00</w:t>
            </w:r>
          </w:p>
        </w:tc>
        <w:tc>
          <w:tcPr>
            <w:tcW w:w="485" w:type="pct"/>
            <w:tcBorders>
              <w:tl2br w:val="nil"/>
              <w:tr2bl w:val="nil"/>
            </w:tcBorders>
            <w:vAlign w:val="center"/>
          </w:tcPr>
          <w:p w14:paraId="70E5052D">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0</w:t>
            </w:r>
          </w:p>
        </w:tc>
        <w:tc>
          <w:tcPr>
            <w:tcW w:w="1647" w:type="pct"/>
            <w:tcBorders>
              <w:tl2br w:val="nil"/>
              <w:tr2bl w:val="nil"/>
            </w:tcBorders>
            <w:shd w:val="clear" w:color="auto" w:fill="auto"/>
            <w:vAlign w:val="center"/>
          </w:tcPr>
          <w:p w14:paraId="75103C4A">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外购</w:t>
            </w:r>
          </w:p>
        </w:tc>
      </w:tr>
      <w:tr w14:paraId="5EB94DD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1" w:type="pct"/>
            <w:tcBorders>
              <w:tl2br w:val="nil"/>
              <w:tr2bl w:val="nil"/>
            </w:tcBorders>
            <w:vAlign w:val="center"/>
          </w:tcPr>
          <w:p w14:paraId="58FB115B">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7</w:t>
            </w:r>
          </w:p>
        </w:tc>
        <w:tc>
          <w:tcPr>
            <w:tcW w:w="650" w:type="pct"/>
            <w:tcBorders>
              <w:tl2br w:val="nil"/>
              <w:tr2bl w:val="nil"/>
            </w:tcBorders>
            <w:shd w:val="clear" w:color="auto" w:fill="auto"/>
            <w:vAlign w:val="center"/>
          </w:tcPr>
          <w:p w14:paraId="00522EA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烟煤</w:t>
            </w:r>
          </w:p>
        </w:tc>
        <w:tc>
          <w:tcPr>
            <w:tcW w:w="928" w:type="pct"/>
            <w:tcBorders>
              <w:tl2br w:val="nil"/>
              <w:tr2bl w:val="nil"/>
            </w:tcBorders>
            <w:shd w:val="clear" w:color="auto" w:fill="auto"/>
            <w:vAlign w:val="center"/>
          </w:tcPr>
          <w:p w14:paraId="41A19D2B">
            <w:pPr>
              <w:keepNext w:val="0"/>
              <w:keepLines w:val="0"/>
              <w:widowControl/>
              <w:suppressLineNumbers w:val="0"/>
              <w:autoSpaceDE/>
              <w:autoSpaceDN/>
              <w:spacing w:before="0" w:after="0" w:line="240" w:lineRule="auto"/>
              <w:ind w:left="0" w:leftChars="0" w:firstLine="0" w:firstLineChars="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44578.96</w:t>
            </w:r>
          </w:p>
        </w:tc>
        <w:tc>
          <w:tcPr>
            <w:tcW w:w="906" w:type="pct"/>
            <w:tcBorders>
              <w:tl2br w:val="nil"/>
              <w:tr2bl w:val="nil"/>
            </w:tcBorders>
            <w:shd w:val="clear" w:color="auto" w:fill="auto"/>
            <w:vAlign w:val="center"/>
          </w:tcPr>
          <w:p w14:paraId="178A5E51">
            <w:pPr>
              <w:keepNext w:val="0"/>
              <w:keepLines w:val="0"/>
              <w:widowControl/>
              <w:suppressLineNumbers w:val="0"/>
              <w:autoSpaceDE/>
              <w:autoSpaceDN/>
              <w:spacing w:before="0" w:after="0" w:line="240" w:lineRule="auto"/>
              <w:ind w:left="0" w:leftChars="0" w:firstLine="0" w:firstLineChars="0"/>
              <w:jc w:val="center"/>
              <w:textAlignment w:val="center"/>
              <w:rPr>
                <w:rFonts w:hint="default" w:ascii="Times New Roman" w:hAnsi="Times New Roman" w:eastAsia="宋体" w:cs="Times New Roman"/>
                <w:i w:val="0"/>
                <w:iCs w:val="0"/>
                <w:color w:val="auto"/>
                <w:kern w:val="2"/>
                <w:sz w:val="21"/>
                <w:szCs w:val="21"/>
                <w:highlight w:val="none"/>
                <w:u w:val="none"/>
                <w:lang w:val="en-US" w:eastAsia="zh-CN" w:bidi="ar-SA"/>
              </w:rPr>
            </w:pPr>
            <w:r>
              <w:rPr>
                <w:rFonts w:hint="eastAsia" w:cs="Times New Roman"/>
                <w:i w:val="0"/>
                <w:iCs w:val="0"/>
                <w:color w:val="auto"/>
                <w:kern w:val="0"/>
                <w:sz w:val="21"/>
                <w:szCs w:val="21"/>
                <w:highlight w:val="none"/>
                <w:u w:val="none"/>
                <w:lang w:val="en-US" w:eastAsia="zh-CN" w:bidi="ar"/>
              </w:rPr>
              <w:t>44453.05</w:t>
            </w:r>
          </w:p>
        </w:tc>
        <w:tc>
          <w:tcPr>
            <w:tcW w:w="485" w:type="pct"/>
            <w:tcBorders>
              <w:tl2br w:val="nil"/>
              <w:tr2bl w:val="nil"/>
            </w:tcBorders>
            <w:shd w:val="clear" w:color="auto" w:fill="auto"/>
            <w:vAlign w:val="center"/>
          </w:tcPr>
          <w:p w14:paraId="48329213">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-125.91</w:t>
            </w:r>
          </w:p>
        </w:tc>
        <w:tc>
          <w:tcPr>
            <w:tcW w:w="1647" w:type="pct"/>
            <w:tcBorders>
              <w:tl2br w:val="nil"/>
              <w:tr2bl w:val="nil"/>
            </w:tcBorders>
            <w:shd w:val="clear" w:color="auto" w:fill="auto"/>
            <w:vAlign w:val="center"/>
          </w:tcPr>
          <w:p w14:paraId="14DF8438">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rPr>
              <w:t>外购</w:t>
            </w:r>
          </w:p>
        </w:tc>
      </w:tr>
      <w:tr w14:paraId="39B493A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1" w:type="pct"/>
            <w:tcBorders>
              <w:tl2br w:val="nil"/>
              <w:tr2bl w:val="nil"/>
            </w:tcBorders>
            <w:vAlign w:val="center"/>
          </w:tcPr>
          <w:p w14:paraId="4023EF51">
            <w:pPr>
              <w:pStyle w:val="52"/>
              <w:spacing w:before="0" w:after="0" w:line="240" w:lineRule="auto"/>
              <w:ind w:left="0" w:firstLine="0"/>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w:t>
            </w:r>
          </w:p>
        </w:tc>
        <w:tc>
          <w:tcPr>
            <w:tcW w:w="650" w:type="pct"/>
            <w:tcBorders>
              <w:tl2br w:val="nil"/>
              <w:tr2bl w:val="nil"/>
            </w:tcBorders>
            <w:vAlign w:val="center"/>
          </w:tcPr>
          <w:p w14:paraId="367159BC">
            <w:pPr>
              <w:pStyle w:val="52"/>
              <w:spacing w:before="0" w:after="0" w:line="240" w:lineRule="auto"/>
              <w:ind w:left="0" w:firstLine="0"/>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危险废物</w:t>
            </w:r>
          </w:p>
        </w:tc>
        <w:tc>
          <w:tcPr>
            <w:tcW w:w="928" w:type="pct"/>
            <w:tcBorders>
              <w:tl2br w:val="nil"/>
              <w:tr2bl w:val="nil"/>
            </w:tcBorders>
            <w:vAlign w:val="center"/>
          </w:tcPr>
          <w:p w14:paraId="2A293C7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c>
          <w:tcPr>
            <w:tcW w:w="906" w:type="pct"/>
            <w:tcBorders>
              <w:tl2br w:val="nil"/>
              <w:tr2bl w:val="nil"/>
            </w:tcBorders>
            <w:vAlign w:val="center"/>
          </w:tcPr>
          <w:p w14:paraId="2BE1F158">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250</w:t>
            </w:r>
          </w:p>
        </w:tc>
        <w:tc>
          <w:tcPr>
            <w:tcW w:w="485" w:type="pct"/>
            <w:tcBorders>
              <w:tl2br w:val="nil"/>
              <w:tr2bl w:val="nil"/>
            </w:tcBorders>
            <w:vAlign w:val="center"/>
          </w:tcPr>
          <w:p w14:paraId="4BCD7063">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25</w:t>
            </w:r>
            <w:r>
              <w:rPr>
                <w:rFonts w:hint="default" w:ascii="Times New Roman" w:hAnsi="Times New Roman" w:cs="Times New Roman"/>
                <w:color w:val="000000" w:themeColor="text1"/>
                <w:sz w:val="21"/>
                <w:szCs w:val="21"/>
                <w:lang w:val="en-US" w:eastAsia="zh-CN"/>
                <w14:textFill>
                  <w14:solidFill>
                    <w14:schemeClr w14:val="tx1"/>
                  </w14:solidFill>
                </w14:textFill>
              </w:rPr>
              <w:t>0</w:t>
            </w:r>
          </w:p>
        </w:tc>
        <w:tc>
          <w:tcPr>
            <w:tcW w:w="1647" w:type="pct"/>
            <w:tcBorders>
              <w:tl2br w:val="nil"/>
              <w:tr2bl w:val="nil"/>
            </w:tcBorders>
            <w:vAlign w:val="center"/>
          </w:tcPr>
          <w:p w14:paraId="40C39B08">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由新疆兴发化工有限公司提供</w:t>
            </w:r>
          </w:p>
        </w:tc>
      </w:tr>
    </w:tbl>
    <w:p w14:paraId="32AAD110">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99" w:name="_Ref127186668"/>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w:t>
      </w:r>
      <w:r>
        <w:rPr>
          <w:rFonts w:hint="default" w:ascii="Times New Roman" w:hAnsi="Times New Roman" w:cs="Times New Roman"/>
          <w:b/>
          <w:bCs/>
          <w:lang w:val="en-US" w:eastAsia="zh-CN"/>
        </w:rPr>
        <w:t>3</w:t>
      </w:r>
      <w:r>
        <w:rPr>
          <w:rFonts w:hint="default" w:ascii="Times New Roman" w:hAnsi="Times New Roman" w:cs="Times New Roman"/>
          <w:b/>
          <w:bCs/>
        </w:rPr>
        <w:fldChar w:fldCharType="end"/>
      </w:r>
      <w:bookmarkEnd w:id="99"/>
      <w:r>
        <w:rPr>
          <w:rFonts w:hint="default" w:ascii="Times New Roman" w:hAnsi="Times New Roman" w:cs="Times New Roman"/>
          <w:b/>
          <w:bCs/>
          <w:lang w:val="en-US" w:eastAsia="zh-CN"/>
        </w:rPr>
        <w:t>-2</w:t>
      </w:r>
      <w:r>
        <w:rPr>
          <w:rFonts w:hint="default" w:ascii="Times New Roman" w:hAnsi="Times New Roman" w:cs="Times New Roman"/>
          <w:b/>
          <w:bCs/>
        </w:rPr>
        <w:t xml:space="preserve"> 本项目实施新增能源消耗一览表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1582"/>
        <w:gridCol w:w="2480"/>
        <w:gridCol w:w="3154"/>
      </w:tblGrid>
      <w:tr w14:paraId="1A04C44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63" w:type="pct"/>
            <w:tcBorders>
              <w:tl2br w:val="nil"/>
              <w:tr2bl w:val="nil"/>
            </w:tcBorders>
            <w:vAlign w:val="center"/>
          </w:tcPr>
          <w:p w14:paraId="38BB11F9">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929" w:type="pct"/>
            <w:tcBorders>
              <w:tl2br w:val="nil"/>
              <w:tr2bl w:val="nil"/>
            </w:tcBorders>
            <w:vAlign w:val="center"/>
          </w:tcPr>
          <w:p w14:paraId="7A041396">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类别</w:t>
            </w:r>
          </w:p>
        </w:tc>
        <w:tc>
          <w:tcPr>
            <w:tcW w:w="1456" w:type="pct"/>
            <w:tcBorders>
              <w:tl2br w:val="nil"/>
              <w:tr2bl w:val="nil"/>
            </w:tcBorders>
            <w:vAlign w:val="center"/>
          </w:tcPr>
          <w:p w14:paraId="50AA4DA5">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单位</w:t>
            </w:r>
          </w:p>
        </w:tc>
        <w:tc>
          <w:tcPr>
            <w:tcW w:w="1852" w:type="pct"/>
            <w:tcBorders>
              <w:tl2br w:val="nil"/>
              <w:tr2bl w:val="nil"/>
            </w:tcBorders>
            <w:vAlign w:val="center"/>
          </w:tcPr>
          <w:p w14:paraId="17768798">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新增</w:t>
            </w:r>
            <w:r>
              <w:rPr>
                <w:rFonts w:hint="default" w:ascii="Times New Roman" w:hAnsi="Times New Roman" w:cs="Times New Roman"/>
                <w:b/>
                <w:bCs/>
                <w:color w:val="000000" w:themeColor="text1"/>
                <w:sz w:val="21"/>
                <w:szCs w:val="21"/>
                <w14:textFill>
                  <w14:solidFill>
                    <w14:schemeClr w14:val="tx1"/>
                  </w14:solidFill>
                </w14:textFill>
              </w:rPr>
              <w:t>消耗量</w:t>
            </w:r>
          </w:p>
        </w:tc>
      </w:tr>
      <w:tr w14:paraId="0AFCEFE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63" w:type="pct"/>
            <w:tcBorders>
              <w:tl2br w:val="nil"/>
              <w:tr2bl w:val="nil"/>
            </w:tcBorders>
            <w:vAlign w:val="center"/>
          </w:tcPr>
          <w:p w14:paraId="3B92791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929" w:type="pct"/>
            <w:tcBorders>
              <w:tl2br w:val="nil"/>
              <w:tr2bl w:val="nil"/>
            </w:tcBorders>
            <w:vAlign w:val="center"/>
          </w:tcPr>
          <w:p w14:paraId="58C0B7E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新鲜水</w:t>
            </w:r>
          </w:p>
        </w:tc>
        <w:tc>
          <w:tcPr>
            <w:tcW w:w="1456" w:type="pct"/>
            <w:tcBorders>
              <w:tl2br w:val="nil"/>
              <w:tr2bl w:val="nil"/>
            </w:tcBorders>
            <w:vAlign w:val="center"/>
          </w:tcPr>
          <w:p w14:paraId="1CAB3FE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t/a</w:t>
            </w:r>
          </w:p>
        </w:tc>
        <w:tc>
          <w:tcPr>
            <w:tcW w:w="1852" w:type="pct"/>
            <w:tcBorders>
              <w:tl2br w:val="nil"/>
              <w:tr2bl w:val="nil"/>
            </w:tcBorders>
            <w:vAlign w:val="center"/>
          </w:tcPr>
          <w:p w14:paraId="50FFDEBB">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p>
        </w:tc>
      </w:tr>
      <w:tr w14:paraId="0561632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63" w:type="pct"/>
            <w:tcBorders>
              <w:tl2br w:val="nil"/>
              <w:tr2bl w:val="nil"/>
            </w:tcBorders>
            <w:vAlign w:val="center"/>
          </w:tcPr>
          <w:p w14:paraId="3C35982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929" w:type="pct"/>
            <w:tcBorders>
              <w:tl2br w:val="nil"/>
              <w:tr2bl w:val="nil"/>
            </w:tcBorders>
            <w:vAlign w:val="center"/>
          </w:tcPr>
          <w:p w14:paraId="5368879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电</w:t>
            </w:r>
          </w:p>
        </w:tc>
        <w:tc>
          <w:tcPr>
            <w:tcW w:w="1456" w:type="pct"/>
            <w:tcBorders>
              <w:tl2br w:val="nil"/>
              <w:tr2bl w:val="nil"/>
            </w:tcBorders>
            <w:vAlign w:val="center"/>
          </w:tcPr>
          <w:p w14:paraId="22A9792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万kW·h/a</w:t>
            </w:r>
          </w:p>
        </w:tc>
        <w:tc>
          <w:tcPr>
            <w:tcW w:w="1852" w:type="pct"/>
            <w:tcBorders>
              <w:tl2br w:val="nil"/>
              <w:tr2bl w:val="nil"/>
            </w:tcBorders>
            <w:vAlign w:val="center"/>
          </w:tcPr>
          <w:p w14:paraId="068FA78B">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55.44</w:t>
            </w:r>
          </w:p>
        </w:tc>
      </w:tr>
    </w:tbl>
    <w:p w14:paraId="4E9D9F1D">
      <w:pPr>
        <w:adjustRightInd w:val="0"/>
        <w:snapToGrid w:val="0"/>
        <w:spacing w:line="360" w:lineRule="auto"/>
        <w:ind w:firstLine="480" w:firstLineChars="200"/>
        <w:rPr>
          <w:rFonts w:hint="default" w:ascii="Times New Roman" w:hAnsi="Times New Roman" w:cs="Times New Roman"/>
          <w:bCs/>
          <w:color w:val="auto"/>
          <w:sz w:val="24"/>
          <w:highlight w:val="none"/>
          <w:lang w:val="en-US" w:eastAsia="zh-CN"/>
        </w:rPr>
      </w:pPr>
      <w:r>
        <w:rPr>
          <w:rFonts w:hint="default" w:ascii="Times New Roman" w:hAnsi="Times New Roman" w:cs="Times New Roman"/>
          <w:bCs/>
          <w:color w:val="auto"/>
          <w:sz w:val="24"/>
          <w:highlight w:val="none"/>
          <w:lang w:eastAsia="zh-CN"/>
        </w:rPr>
        <w:t>根据新疆兴悦化工有限公司</w:t>
      </w:r>
      <w:r>
        <w:rPr>
          <w:rFonts w:hint="default" w:ascii="Times New Roman" w:hAnsi="Times New Roman" w:cs="Times New Roman"/>
          <w:bCs/>
          <w:color w:val="auto"/>
          <w:sz w:val="24"/>
          <w:highlight w:val="none"/>
          <w:lang w:val="en-US" w:eastAsia="zh-CN"/>
        </w:rPr>
        <w:t>提供的所需处理固体废物的成分、特性及热值等情况，本项目处理的两种固体废物的热值见下表：</w:t>
      </w:r>
    </w:p>
    <w:p w14:paraId="38988815">
      <w:pPr>
        <w:overflowPunct w:val="0"/>
        <w:spacing w:line="240" w:lineRule="auto"/>
        <w:ind w:left="0" w:leftChars="0" w:right="0" w:rightChars="0" w:firstLine="0" w:firstLineChars="0"/>
        <w:jc w:val="center"/>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表3.3-3 本项目固体废物热值表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2430"/>
        <w:gridCol w:w="3247"/>
        <w:gridCol w:w="2674"/>
      </w:tblGrid>
      <w:tr w14:paraId="709442E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455" w:type="pct"/>
            <w:tcBorders>
              <w:tl2br w:val="nil"/>
              <w:tr2bl w:val="nil"/>
            </w:tcBorders>
            <w:noWrap w:val="0"/>
            <w:vAlign w:val="center"/>
          </w:tcPr>
          <w:p w14:paraId="10798EFB">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种类</w:t>
            </w:r>
          </w:p>
        </w:tc>
        <w:tc>
          <w:tcPr>
            <w:tcW w:w="1944" w:type="pct"/>
            <w:tcBorders>
              <w:tl2br w:val="nil"/>
              <w:tr2bl w:val="nil"/>
            </w:tcBorders>
            <w:noWrap w:val="0"/>
            <w:vAlign w:val="center"/>
          </w:tcPr>
          <w:p w14:paraId="6A9B4AE5">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固态废物（</w:t>
            </w:r>
            <w:r>
              <w:rPr>
                <w:rFonts w:hint="eastAsia" w:cs="Times New Roman"/>
                <w:b/>
                <w:bCs/>
                <w:color w:val="auto"/>
                <w:sz w:val="21"/>
                <w:szCs w:val="21"/>
                <w:highlight w:val="none"/>
                <w:vertAlign w:val="baseline"/>
                <w:lang w:val="en-US" w:eastAsia="zh-CN"/>
              </w:rPr>
              <w:t>甲磺酸钠</w:t>
            </w:r>
            <w:r>
              <w:rPr>
                <w:rFonts w:hint="default" w:ascii="Times New Roman" w:hAnsi="Times New Roman" w:cs="Times New Roman"/>
                <w:b/>
                <w:bCs/>
                <w:color w:val="auto"/>
                <w:sz w:val="21"/>
                <w:szCs w:val="21"/>
                <w:highlight w:val="none"/>
                <w:vertAlign w:val="baseline"/>
                <w:lang w:val="en-US" w:eastAsia="zh-CN"/>
              </w:rPr>
              <w:t>）</w:t>
            </w:r>
          </w:p>
        </w:tc>
        <w:tc>
          <w:tcPr>
            <w:tcW w:w="1600" w:type="pct"/>
            <w:tcBorders>
              <w:tl2br w:val="nil"/>
              <w:tr2bl w:val="nil"/>
            </w:tcBorders>
            <w:noWrap w:val="0"/>
            <w:vAlign w:val="center"/>
          </w:tcPr>
          <w:p w14:paraId="5F31AECF">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液态废物（二甲基硫醚）</w:t>
            </w:r>
          </w:p>
        </w:tc>
      </w:tr>
      <w:tr w14:paraId="7DBEEE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455" w:type="pct"/>
            <w:tcBorders>
              <w:tl2br w:val="nil"/>
              <w:tr2bl w:val="nil"/>
            </w:tcBorders>
            <w:noWrap w:val="0"/>
            <w:vAlign w:val="center"/>
          </w:tcPr>
          <w:p w14:paraId="23641A5A">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b/>
                <w:bCs/>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数量</w:t>
            </w:r>
          </w:p>
        </w:tc>
        <w:tc>
          <w:tcPr>
            <w:tcW w:w="1944" w:type="pct"/>
            <w:tcBorders>
              <w:tl2br w:val="nil"/>
              <w:tr2bl w:val="nil"/>
            </w:tcBorders>
            <w:noWrap w:val="0"/>
            <w:vAlign w:val="center"/>
          </w:tcPr>
          <w:p w14:paraId="543A102D">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200</w:t>
            </w:r>
            <w:r>
              <w:rPr>
                <w:rFonts w:hint="default" w:ascii="Times New Roman" w:hAnsi="Times New Roman" w:cs="Times New Roman"/>
                <w:b w:val="0"/>
                <w:bCs w:val="0"/>
                <w:color w:val="auto"/>
                <w:sz w:val="21"/>
                <w:szCs w:val="21"/>
                <w:highlight w:val="none"/>
                <w:vertAlign w:val="baseline"/>
                <w:lang w:val="en-US" w:eastAsia="zh-CN"/>
              </w:rPr>
              <w:t>t</w:t>
            </w:r>
          </w:p>
        </w:tc>
        <w:tc>
          <w:tcPr>
            <w:tcW w:w="1600" w:type="pct"/>
            <w:tcBorders>
              <w:tl2br w:val="nil"/>
              <w:tr2bl w:val="nil"/>
            </w:tcBorders>
            <w:noWrap w:val="0"/>
            <w:vAlign w:val="center"/>
          </w:tcPr>
          <w:p w14:paraId="34BB89C4">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b w:val="0"/>
                <w:bCs w:val="0"/>
                <w:color w:val="auto"/>
                <w:sz w:val="21"/>
                <w:szCs w:val="21"/>
                <w:highlight w:val="none"/>
                <w:vertAlign w:val="baseline"/>
                <w:lang w:val="en-US" w:eastAsia="zh-CN"/>
              </w:rPr>
            </w:pPr>
            <w:r>
              <w:rPr>
                <w:rFonts w:hint="default" w:ascii="Times New Roman" w:hAnsi="Times New Roman" w:cs="Times New Roman"/>
                <w:b w:val="0"/>
                <w:bCs w:val="0"/>
                <w:color w:val="auto"/>
                <w:sz w:val="21"/>
                <w:szCs w:val="21"/>
                <w:highlight w:val="none"/>
                <w:vertAlign w:val="baseline"/>
                <w:lang w:val="en-US" w:eastAsia="zh-CN"/>
              </w:rPr>
              <w:t>50t</w:t>
            </w:r>
          </w:p>
        </w:tc>
      </w:tr>
      <w:tr w14:paraId="6F74D1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1455" w:type="pct"/>
            <w:tcBorders>
              <w:tl2br w:val="nil"/>
              <w:tr2bl w:val="nil"/>
            </w:tcBorders>
            <w:noWrap w:val="0"/>
            <w:vAlign w:val="center"/>
          </w:tcPr>
          <w:p w14:paraId="38B82012">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热值</w:t>
            </w:r>
          </w:p>
        </w:tc>
        <w:tc>
          <w:tcPr>
            <w:tcW w:w="1944" w:type="pct"/>
            <w:tcBorders>
              <w:tl2br w:val="nil"/>
              <w:tr2bl w:val="nil"/>
            </w:tcBorders>
            <w:noWrap w:val="0"/>
            <w:vAlign w:val="center"/>
          </w:tcPr>
          <w:p w14:paraId="58D2850E">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5.5MJ/kg</w:t>
            </w:r>
          </w:p>
        </w:tc>
        <w:tc>
          <w:tcPr>
            <w:tcW w:w="1600" w:type="pct"/>
            <w:tcBorders>
              <w:tl2br w:val="nil"/>
              <w:tr2bl w:val="nil"/>
            </w:tcBorders>
            <w:noWrap w:val="0"/>
            <w:vAlign w:val="center"/>
          </w:tcPr>
          <w:p w14:paraId="7E6760F4">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30.71MJ/kg</w:t>
            </w:r>
          </w:p>
        </w:tc>
      </w:tr>
      <w:tr w14:paraId="3893BCA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1455" w:type="pct"/>
            <w:tcBorders>
              <w:tl2br w:val="nil"/>
              <w:tr2bl w:val="nil"/>
            </w:tcBorders>
            <w:noWrap w:val="0"/>
            <w:vAlign w:val="center"/>
          </w:tcPr>
          <w:p w14:paraId="06843DD9">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替代烟煤</w:t>
            </w:r>
          </w:p>
        </w:tc>
        <w:tc>
          <w:tcPr>
            <w:tcW w:w="1944" w:type="pct"/>
            <w:tcBorders>
              <w:tl2br w:val="nil"/>
              <w:tr2bl w:val="nil"/>
            </w:tcBorders>
            <w:noWrap w:val="0"/>
            <w:vAlign w:val="center"/>
          </w:tcPr>
          <w:p w14:paraId="28E3F979">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52.62</w:t>
            </w:r>
          </w:p>
        </w:tc>
        <w:tc>
          <w:tcPr>
            <w:tcW w:w="1600" w:type="pct"/>
            <w:tcBorders>
              <w:tl2br w:val="nil"/>
              <w:tr2bl w:val="nil"/>
            </w:tcBorders>
            <w:noWrap w:val="0"/>
            <w:vAlign w:val="center"/>
          </w:tcPr>
          <w:p w14:paraId="1B1EEECB">
            <w:pPr>
              <w:overflowPunct w:val="0"/>
              <w:autoSpaceDE/>
              <w:autoSpaceDN/>
              <w:spacing w:before="0" w:after="0" w:line="240" w:lineRule="auto"/>
              <w:ind w:left="0" w:leftChars="0" w:right="0" w:rightChars="0" w:firstLine="0" w:firstLineChars="0"/>
              <w:jc w:val="center"/>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73</w:t>
            </w:r>
            <w:r>
              <w:rPr>
                <w:rFonts w:hint="eastAsia" w:cs="Times New Roman"/>
                <w:color w:val="auto"/>
                <w:sz w:val="21"/>
                <w:szCs w:val="21"/>
                <w:highlight w:val="none"/>
                <w:vertAlign w:val="baseline"/>
                <w:lang w:val="en-US" w:eastAsia="zh-CN"/>
              </w:rPr>
              <w:t>.</w:t>
            </w:r>
            <w:r>
              <w:rPr>
                <w:rFonts w:hint="default" w:ascii="Times New Roman" w:hAnsi="Times New Roman" w:cs="Times New Roman"/>
                <w:color w:val="auto"/>
                <w:sz w:val="21"/>
                <w:szCs w:val="21"/>
                <w:highlight w:val="none"/>
                <w:vertAlign w:val="baseline"/>
                <w:lang w:val="en-US" w:eastAsia="zh-CN"/>
              </w:rPr>
              <w:t>29</w:t>
            </w:r>
          </w:p>
        </w:tc>
      </w:tr>
      <w:tr w14:paraId="4644975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5000" w:type="pct"/>
            <w:gridSpan w:val="3"/>
            <w:tcBorders>
              <w:tl2br w:val="nil"/>
              <w:tr2bl w:val="nil"/>
            </w:tcBorders>
            <w:noWrap w:val="0"/>
            <w:vAlign w:val="center"/>
          </w:tcPr>
          <w:p w14:paraId="7A43B659">
            <w:pPr>
              <w:overflowPunct w:val="0"/>
              <w:autoSpaceDE/>
              <w:autoSpaceDN/>
              <w:spacing w:before="0" w:after="0" w:line="240" w:lineRule="auto"/>
              <w:ind w:left="0" w:leftChars="0" w:right="0" w:rightChars="0" w:firstLine="0" w:firstLineChars="0"/>
              <w:jc w:val="both"/>
              <w:rPr>
                <w:rFonts w:hint="default" w:ascii="Times New Roman" w:hAnsi="Times New Roman" w:cs="Times New Roman"/>
                <w:color w:val="auto"/>
                <w:sz w:val="18"/>
                <w:szCs w:val="18"/>
                <w:highlight w:val="none"/>
                <w:vertAlign w:val="baseline"/>
                <w:lang w:val="en-US" w:eastAsia="zh-CN"/>
              </w:rPr>
            </w:pPr>
            <w:r>
              <w:rPr>
                <w:rFonts w:hint="default" w:ascii="Times New Roman" w:hAnsi="Times New Roman" w:cs="Times New Roman"/>
                <w:color w:val="auto"/>
                <w:sz w:val="18"/>
                <w:szCs w:val="18"/>
                <w:highlight w:val="none"/>
                <w:vertAlign w:val="baseline"/>
                <w:lang w:val="en-US" w:eastAsia="zh-CN"/>
              </w:rPr>
              <w:t>注：燃料煤热值为20.908MJ/kg</w:t>
            </w:r>
          </w:p>
        </w:tc>
      </w:tr>
    </w:tbl>
    <w:p w14:paraId="2F6E1004">
      <w:pPr>
        <w:pStyle w:val="6"/>
        <w:rPr>
          <w:rFonts w:hint="default" w:ascii="Times New Roman" w:hAnsi="Times New Roman" w:cs="Times New Roman"/>
          <w:color w:val="auto"/>
          <w:lang w:eastAsia="zh-CN"/>
        </w:rPr>
      </w:pPr>
      <w:r>
        <w:rPr>
          <w:rFonts w:hint="default" w:ascii="Times New Roman" w:hAnsi="Times New Roman" w:cs="Times New Roman"/>
          <w:bCs/>
          <w:color w:val="auto"/>
          <w:sz w:val="24"/>
          <w:highlight w:val="none"/>
          <w:lang w:val="en-US" w:eastAsia="zh-CN"/>
        </w:rPr>
        <w:t>根据上述计算，本项目处理的固体废物相当于125.91t烟煤。</w:t>
      </w:r>
    </w:p>
    <w:p w14:paraId="27D6DABE">
      <w:pPr>
        <w:pStyle w:val="6"/>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2</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物料平衡</w:t>
      </w:r>
    </w:p>
    <w:p w14:paraId="4770C621">
      <w:pPr>
        <w:pStyle w:val="6"/>
        <w:rPr>
          <w:rFonts w:hint="default" w:ascii="Times New Roman" w:hAnsi="Times New Roman" w:cs="Times New Roman"/>
          <w:highlight w:val="none"/>
        </w:rPr>
      </w:pPr>
      <w:r>
        <w:rPr>
          <w:rFonts w:hint="default" w:ascii="Times New Roman" w:hAnsi="Times New Roman" w:cs="Times New Roman"/>
          <w:highlight w:val="none"/>
        </w:rPr>
        <w:t>核算水泥窑协同处置危险废物后其他原燃料基本不发生变化，由于危险废物在水泥窑中的烧失量很高，因此，在协同处置危废前后熟料的产能不变。项目总物料平衡见</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REF _Ref127350466 \h  \* MERGEFORMAT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表3.</w:t>
      </w:r>
      <w:r>
        <w:rPr>
          <w:rFonts w:hint="default" w:ascii="Times New Roman" w:hAnsi="Times New Roman" w:cs="Times New Roman"/>
          <w:highlight w:val="none"/>
          <w:lang w:val="en-US" w:eastAsia="zh-CN"/>
        </w:rPr>
        <w:t>3-4</w:t>
      </w:r>
      <w:r>
        <w:rPr>
          <w:rFonts w:hint="default" w:ascii="Times New Roman" w:hAnsi="Times New Roman" w:cs="Times New Roman"/>
          <w:highlight w:val="none"/>
        </w:rPr>
        <w:fldChar w:fldCharType="end"/>
      </w:r>
      <w:r>
        <w:rPr>
          <w:rFonts w:hint="default" w:ascii="Times New Roman" w:hAnsi="Times New Roman" w:cs="Times New Roman"/>
          <w:highlight w:val="none"/>
        </w:rPr>
        <w:t>和</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REF _Ref127350498 \h  \* MERGEFORMAT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图3</w:t>
      </w:r>
      <w:r>
        <w:rPr>
          <w:rFonts w:hint="default" w:ascii="Times New Roman" w:hAnsi="Times New Roman" w:cs="Times New Roman"/>
          <w:highlight w:val="none"/>
          <w:lang w:val="en-US" w:eastAsia="zh-CN"/>
        </w:rPr>
        <w:t>.3-</w:t>
      </w:r>
      <w:r>
        <w:rPr>
          <w:rFonts w:hint="default" w:ascii="Times New Roman" w:hAnsi="Times New Roman" w:cs="Times New Roman"/>
          <w:highlight w:val="none"/>
        </w:rPr>
        <w:fldChar w:fldCharType="end"/>
      </w:r>
      <w:r>
        <w:rPr>
          <w:rFonts w:hint="eastAsia" w:cs="Times New Roman"/>
          <w:highlight w:val="none"/>
          <w:lang w:val="en-US" w:eastAsia="zh-CN"/>
        </w:rPr>
        <w:t>1</w:t>
      </w:r>
      <w:r>
        <w:rPr>
          <w:rFonts w:hint="default" w:ascii="Times New Roman" w:hAnsi="Times New Roman" w:cs="Times New Roman"/>
          <w:highlight w:val="none"/>
        </w:rPr>
        <w:t>。</w:t>
      </w:r>
    </w:p>
    <w:p w14:paraId="641980ED">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3.</w:t>
      </w:r>
      <w:r>
        <w:rPr>
          <w:rFonts w:hint="default" w:ascii="Times New Roman" w:hAnsi="Times New Roman" w:cs="Times New Roman"/>
          <w:b/>
          <w:bCs/>
          <w:lang w:val="en-US" w:eastAsia="zh-CN"/>
        </w:rPr>
        <w:t>3</w:t>
      </w:r>
      <w:r>
        <w:rPr>
          <w:rFonts w:hint="default" w:ascii="Times New Roman" w:hAnsi="Times New Roman" w:cs="Times New Roman"/>
          <w:b/>
          <w:bCs/>
        </w:rPr>
        <w:fldChar w:fldCharType="end"/>
      </w:r>
      <w:r>
        <w:rPr>
          <w:rFonts w:hint="default" w:ascii="Times New Roman" w:hAnsi="Times New Roman" w:cs="Times New Roman"/>
          <w:b/>
          <w:bCs/>
          <w:lang w:val="en-US" w:eastAsia="zh-CN"/>
        </w:rPr>
        <w:t>-4</w:t>
      </w:r>
      <w:r>
        <w:rPr>
          <w:rFonts w:hint="default" w:ascii="Times New Roman" w:hAnsi="Times New Roman" w:cs="Times New Roman"/>
          <w:b/>
          <w:bCs/>
        </w:rPr>
        <w:t xml:space="preserve"> 项目总物料平衡表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620"/>
        <w:gridCol w:w="608"/>
        <w:gridCol w:w="398"/>
        <w:gridCol w:w="713"/>
        <w:gridCol w:w="713"/>
        <w:gridCol w:w="608"/>
        <w:gridCol w:w="713"/>
        <w:gridCol w:w="818"/>
        <w:gridCol w:w="608"/>
        <w:gridCol w:w="713"/>
        <w:gridCol w:w="818"/>
      </w:tblGrid>
      <w:tr w14:paraId="1E1017B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blHeader/>
        </w:trPr>
        <w:tc>
          <w:tcPr>
            <w:tcW w:w="1201" w:type="pct"/>
            <w:vMerge w:val="restart"/>
            <w:tcBorders>
              <w:tl2br w:val="nil"/>
              <w:tr2bl w:val="nil"/>
            </w:tcBorders>
            <w:tcMar>
              <w:top w:w="15" w:type="dxa"/>
              <w:left w:w="15" w:type="dxa"/>
              <w:right w:w="15" w:type="dxa"/>
            </w:tcMar>
            <w:vAlign w:val="center"/>
          </w:tcPr>
          <w:p w14:paraId="58A769CA">
            <w:pPr>
              <w:pStyle w:val="52"/>
              <w:spacing w:before="0" w:after="0" w:line="240" w:lineRule="auto"/>
              <w:ind w:left="0" w:firstLine="0"/>
              <w:rPr>
                <w:b/>
                <w:bCs/>
                <w:color w:val="auto"/>
                <w:sz w:val="21"/>
                <w:szCs w:val="18"/>
                <w:highlight w:val="none"/>
              </w:rPr>
            </w:pPr>
            <w:r>
              <w:rPr>
                <w:b/>
                <w:bCs/>
                <w:color w:val="auto"/>
                <w:sz w:val="21"/>
                <w:szCs w:val="18"/>
                <w:highlight w:val="none"/>
              </w:rPr>
              <w:t>物料名称</w:t>
            </w:r>
          </w:p>
        </w:tc>
        <w:tc>
          <w:tcPr>
            <w:tcW w:w="336" w:type="pct"/>
            <w:vMerge w:val="restart"/>
            <w:tcBorders>
              <w:tl2br w:val="nil"/>
              <w:tr2bl w:val="nil"/>
            </w:tcBorders>
            <w:tcMar>
              <w:top w:w="15" w:type="dxa"/>
              <w:left w:w="15" w:type="dxa"/>
              <w:right w:w="15" w:type="dxa"/>
            </w:tcMar>
            <w:vAlign w:val="center"/>
          </w:tcPr>
          <w:p w14:paraId="62EAA678">
            <w:pPr>
              <w:pStyle w:val="52"/>
              <w:spacing w:before="0" w:after="0" w:line="240" w:lineRule="auto"/>
              <w:ind w:left="0" w:firstLine="0"/>
              <w:rPr>
                <w:b/>
                <w:bCs/>
                <w:color w:val="auto"/>
                <w:sz w:val="21"/>
                <w:szCs w:val="18"/>
                <w:highlight w:val="none"/>
              </w:rPr>
            </w:pPr>
            <w:r>
              <w:rPr>
                <w:b/>
                <w:bCs/>
                <w:color w:val="auto"/>
                <w:sz w:val="21"/>
                <w:szCs w:val="18"/>
                <w:highlight w:val="none"/>
              </w:rPr>
              <w:t>配比</w:t>
            </w:r>
          </w:p>
        </w:tc>
        <w:tc>
          <w:tcPr>
            <w:tcW w:w="235" w:type="pct"/>
            <w:vMerge w:val="restart"/>
            <w:tcBorders>
              <w:tl2br w:val="nil"/>
              <w:tr2bl w:val="nil"/>
            </w:tcBorders>
            <w:tcMar>
              <w:top w:w="15" w:type="dxa"/>
              <w:left w:w="15" w:type="dxa"/>
              <w:right w:w="15" w:type="dxa"/>
            </w:tcMar>
            <w:vAlign w:val="center"/>
          </w:tcPr>
          <w:p w14:paraId="7740BC41">
            <w:pPr>
              <w:pStyle w:val="52"/>
              <w:spacing w:before="0" w:after="0" w:line="240" w:lineRule="auto"/>
              <w:ind w:left="0" w:firstLine="0"/>
              <w:rPr>
                <w:b/>
                <w:bCs/>
                <w:color w:val="auto"/>
                <w:sz w:val="21"/>
                <w:szCs w:val="18"/>
                <w:highlight w:val="none"/>
              </w:rPr>
            </w:pPr>
            <w:r>
              <w:rPr>
                <w:b/>
                <w:bCs/>
                <w:color w:val="auto"/>
                <w:sz w:val="21"/>
                <w:szCs w:val="18"/>
                <w:highlight w:val="none"/>
              </w:rPr>
              <w:t>水分</w:t>
            </w:r>
          </w:p>
        </w:tc>
        <w:tc>
          <w:tcPr>
            <w:tcW w:w="852" w:type="pct"/>
            <w:gridSpan w:val="2"/>
            <w:tcBorders>
              <w:tl2br w:val="nil"/>
              <w:tr2bl w:val="nil"/>
            </w:tcBorders>
            <w:tcMar>
              <w:top w:w="15" w:type="dxa"/>
              <w:left w:w="15" w:type="dxa"/>
              <w:right w:w="15" w:type="dxa"/>
            </w:tcMar>
            <w:vAlign w:val="center"/>
          </w:tcPr>
          <w:p w14:paraId="219017C4">
            <w:pPr>
              <w:pStyle w:val="52"/>
              <w:spacing w:before="0" w:after="0" w:line="240" w:lineRule="auto"/>
              <w:ind w:left="0" w:firstLine="0"/>
              <w:rPr>
                <w:b/>
                <w:bCs/>
                <w:color w:val="auto"/>
                <w:sz w:val="21"/>
                <w:szCs w:val="18"/>
                <w:highlight w:val="none"/>
              </w:rPr>
            </w:pPr>
            <w:r>
              <w:rPr>
                <w:b/>
                <w:bCs/>
                <w:color w:val="auto"/>
                <w:sz w:val="21"/>
                <w:szCs w:val="18"/>
                <w:highlight w:val="none"/>
              </w:rPr>
              <w:t>消耗定额</w:t>
            </w:r>
          </w:p>
        </w:tc>
        <w:tc>
          <w:tcPr>
            <w:tcW w:w="2373" w:type="pct"/>
            <w:gridSpan w:val="6"/>
            <w:tcBorders>
              <w:tl2br w:val="nil"/>
              <w:tr2bl w:val="nil"/>
            </w:tcBorders>
            <w:tcMar>
              <w:top w:w="15" w:type="dxa"/>
              <w:left w:w="15" w:type="dxa"/>
              <w:right w:w="15" w:type="dxa"/>
            </w:tcMar>
            <w:vAlign w:val="center"/>
          </w:tcPr>
          <w:p w14:paraId="7448DA76">
            <w:pPr>
              <w:pStyle w:val="52"/>
              <w:spacing w:before="0" w:after="0" w:line="240" w:lineRule="auto"/>
              <w:ind w:left="0" w:firstLine="0"/>
              <w:rPr>
                <w:b/>
                <w:bCs/>
                <w:color w:val="auto"/>
                <w:sz w:val="21"/>
                <w:szCs w:val="18"/>
                <w:highlight w:val="none"/>
              </w:rPr>
            </w:pPr>
            <w:r>
              <w:rPr>
                <w:b/>
                <w:bCs/>
                <w:color w:val="auto"/>
                <w:sz w:val="21"/>
                <w:szCs w:val="18"/>
                <w:highlight w:val="none"/>
              </w:rPr>
              <w:t>物料平衡（带1%生产损失）</w:t>
            </w:r>
          </w:p>
        </w:tc>
      </w:tr>
      <w:tr w14:paraId="685AB30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blHeader/>
        </w:trPr>
        <w:tc>
          <w:tcPr>
            <w:tcW w:w="1201" w:type="pct"/>
            <w:vMerge w:val="continue"/>
            <w:tcBorders>
              <w:tl2br w:val="nil"/>
              <w:tr2bl w:val="nil"/>
            </w:tcBorders>
            <w:tcMar>
              <w:top w:w="15" w:type="dxa"/>
              <w:left w:w="15" w:type="dxa"/>
              <w:right w:w="15" w:type="dxa"/>
            </w:tcMar>
            <w:vAlign w:val="center"/>
          </w:tcPr>
          <w:p w14:paraId="7A8FBB90">
            <w:pPr>
              <w:pStyle w:val="52"/>
              <w:spacing w:before="0" w:after="0" w:line="240" w:lineRule="auto"/>
              <w:ind w:left="0" w:firstLine="0"/>
              <w:rPr>
                <w:b/>
                <w:bCs/>
                <w:color w:val="auto"/>
                <w:sz w:val="21"/>
                <w:szCs w:val="18"/>
                <w:highlight w:val="none"/>
              </w:rPr>
            </w:pPr>
          </w:p>
        </w:tc>
        <w:tc>
          <w:tcPr>
            <w:tcW w:w="336" w:type="pct"/>
            <w:vMerge w:val="continue"/>
            <w:tcBorders>
              <w:tl2br w:val="nil"/>
              <w:tr2bl w:val="nil"/>
            </w:tcBorders>
            <w:tcMar>
              <w:top w:w="15" w:type="dxa"/>
              <w:left w:w="15" w:type="dxa"/>
              <w:right w:w="15" w:type="dxa"/>
            </w:tcMar>
            <w:vAlign w:val="center"/>
          </w:tcPr>
          <w:p w14:paraId="0F8267D8">
            <w:pPr>
              <w:pStyle w:val="52"/>
              <w:spacing w:before="0" w:after="0" w:line="240" w:lineRule="auto"/>
              <w:ind w:left="0" w:firstLine="0"/>
              <w:rPr>
                <w:b/>
                <w:bCs/>
                <w:color w:val="auto"/>
                <w:sz w:val="21"/>
                <w:szCs w:val="18"/>
                <w:highlight w:val="none"/>
              </w:rPr>
            </w:pPr>
          </w:p>
        </w:tc>
        <w:tc>
          <w:tcPr>
            <w:tcW w:w="235" w:type="pct"/>
            <w:vMerge w:val="continue"/>
            <w:tcBorders>
              <w:tl2br w:val="nil"/>
              <w:tr2bl w:val="nil"/>
            </w:tcBorders>
            <w:tcMar>
              <w:top w:w="15" w:type="dxa"/>
              <w:left w:w="15" w:type="dxa"/>
              <w:right w:w="15" w:type="dxa"/>
            </w:tcMar>
            <w:vAlign w:val="center"/>
          </w:tcPr>
          <w:p w14:paraId="5C3BC9F1">
            <w:pPr>
              <w:pStyle w:val="52"/>
              <w:spacing w:before="0" w:after="0" w:line="240" w:lineRule="auto"/>
              <w:ind w:left="0" w:firstLine="0"/>
              <w:rPr>
                <w:b/>
                <w:bCs/>
                <w:color w:val="auto"/>
                <w:sz w:val="21"/>
                <w:szCs w:val="18"/>
                <w:highlight w:val="none"/>
              </w:rPr>
            </w:pPr>
          </w:p>
        </w:tc>
        <w:tc>
          <w:tcPr>
            <w:tcW w:w="852" w:type="pct"/>
            <w:gridSpan w:val="2"/>
            <w:tcBorders>
              <w:tl2br w:val="nil"/>
              <w:tr2bl w:val="nil"/>
            </w:tcBorders>
            <w:tcMar>
              <w:top w:w="15" w:type="dxa"/>
              <w:left w:w="15" w:type="dxa"/>
              <w:right w:w="15" w:type="dxa"/>
            </w:tcMar>
            <w:vAlign w:val="center"/>
          </w:tcPr>
          <w:p w14:paraId="3137BABC">
            <w:pPr>
              <w:pStyle w:val="52"/>
              <w:spacing w:before="0" w:after="0" w:line="240" w:lineRule="auto"/>
              <w:ind w:left="0" w:firstLine="0"/>
              <w:rPr>
                <w:b/>
                <w:bCs/>
                <w:color w:val="auto"/>
                <w:sz w:val="21"/>
                <w:szCs w:val="18"/>
                <w:highlight w:val="none"/>
              </w:rPr>
            </w:pPr>
            <w:r>
              <w:rPr>
                <w:b/>
                <w:bCs/>
                <w:color w:val="auto"/>
                <w:sz w:val="21"/>
                <w:szCs w:val="18"/>
                <w:highlight w:val="none"/>
              </w:rPr>
              <w:t>（kg/t熟料)</w:t>
            </w:r>
          </w:p>
        </w:tc>
        <w:tc>
          <w:tcPr>
            <w:tcW w:w="1157" w:type="pct"/>
            <w:gridSpan w:val="3"/>
            <w:tcBorders>
              <w:tl2br w:val="nil"/>
              <w:tr2bl w:val="nil"/>
            </w:tcBorders>
            <w:tcMar>
              <w:top w:w="15" w:type="dxa"/>
              <w:left w:w="15" w:type="dxa"/>
              <w:right w:w="15" w:type="dxa"/>
            </w:tcMar>
            <w:vAlign w:val="center"/>
          </w:tcPr>
          <w:p w14:paraId="19988CC1">
            <w:pPr>
              <w:pStyle w:val="52"/>
              <w:spacing w:before="0" w:after="0" w:line="240" w:lineRule="auto"/>
              <w:ind w:left="0" w:firstLine="0"/>
              <w:rPr>
                <w:b/>
                <w:bCs/>
                <w:color w:val="auto"/>
                <w:sz w:val="21"/>
                <w:szCs w:val="18"/>
                <w:highlight w:val="none"/>
              </w:rPr>
            </w:pPr>
            <w:r>
              <w:rPr>
                <w:b/>
                <w:bCs/>
                <w:color w:val="auto"/>
                <w:sz w:val="21"/>
                <w:szCs w:val="18"/>
                <w:highlight w:val="none"/>
              </w:rPr>
              <w:t>干基（t）</w:t>
            </w:r>
          </w:p>
        </w:tc>
        <w:tc>
          <w:tcPr>
            <w:tcW w:w="1215" w:type="pct"/>
            <w:gridSpan w:val="3"/>
            <w:tcBorders>
              <w:tl2br w:val="nil"/>
              <w:tr2bl w:val="nil"/>
            </w:tcBorders>
            <w:tcMar>
              <w:top w:w="15" w:type="dxa"/>
              <w:left w:w="15" w:type="dxa"/>
              <w:right w:w="15" w:type="dxa"/>
            </w:tcMar>
            <w:vAlign w:val="center"/>
          </w:tcPr>
          <w:p w14:paraId="7BDF405C">
            <w:pPr>
              <w:pStyle w:val="52"/>
              <w:spacing w:before="0" w:after="0" w:line="240" w:lineRule="auto"/>
              <w:ind w:left="0" w:firstLine="0"/>
              <w:rPr>
                <w:b/>
                <w:bCs/>
                <w:color w:val="auto"/>
                <w:sz w:val="21"/>
                <w:szCs w:val="18"/>
                <w:highlight w:val="none"/>
              </w:rPr>
            </w:pPr>
            <w:r>
              <w:rPr>
                <w:b/>
                <w:bCs/>
                <w:color w:val="auto"/>
                <w:sz w:val="21"/>
                <w:szCs w:val="18"/>
                <w:highlight w:val="none"/>
              </w:rPr>
              <w:t>湿基（t）</w:t>
            </w:r>
          </w:p>
        </w:tc>
      </w:tr>
      <w:tr w14:paraId="11124AC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blHeader/>
        </w:trPr>
        <w:tc>
          <w:tcPr>
            <w:tcW w:w="1201" w:type="pct"/>
            <w:vMerge w:val="continue"/>
            <w:tcBorders>
              <w:tl2br w:val="nil"/>
              <w:tr2bl w:val="nil"/>
            </w:tcBorders>
            <w:tcMar>
              <w:top w:w="15" w:type="dxa"/>
              <w:left w:w="15" w:type="dxa"/>
              <w:right w:w="15" w:type="dxa"/>
            </w:tcMar>
            <w:vAlign w:val="center"/>
          </w:tcPr>
          <w:p w14:paraId="67DED75D">
            <w:pPr>
              <w:pStyle w:val="52"/>
              <w:spacing w:before="0" w:after="0" w:line="240" w:lineRule="auto"/>
              <w:ind w:left="0" w:firstLine="0"/>
              <w:rPr>
                <w:b/>
                <w:bCs/>
                <w:color w:val="auto"/>
                <w:sz w:val="21"/>
                <w:szCs w:val="18"/>
                <w:highlight w:val="none"/>
              </w:rPr>
            </w:pPr>
          </w:p>
        </w:tc>
        <w:tc>
          <w:tcPr>
            <w:tcW w:w="336" w:type="pct"/>
            <w:tcBorders>
              <w:tl2br w:val="nil"/>
              <w:tr2bl w:val="nil"/>
            </w:tcBorders>
            <w:tcMar>
              <w:top w:w="15" w:type="dxa"/>
              <w:left w:w="15" w:type="dxa"/>
              <w:right w:w="15" w:type="dxa"/>
            </w:tcMar>
            <w:vAlign w:val="center"/>
          </w:tcPr>
          <w:p w14:paraId="10720F8A">
            <w:pPr>
              <w:pStyle w:val="52"/>
              <w:spacing w:before="0" w:after="0" w:line="240" w:lineRule="auto"/>
              <w:ind w:left="0" w:firstLine="0"/>
              <w:rPr>
                <w:b/>
                <w:bCs/>
                <w:color w:val="auto"/>
                <w:sz w:val="21"/>
                <w:szCs w:val="18"/>
                <w:highlight w:val="none"/>
              </w:rPr>
            </w:pPr>
            <w:r>
              <w:rPr>
                <w:b/>
                <w:bCs/>
                <w:color w:val="auto"/>
                <w:sz w:val="21"/>
                <w:szCs w:val="18"/>
                <w:highlight w:val="none"/>
              </w:rPr>
              <w:t>%</w:t>
            </w:r>
          </w:p>
        </w:tc>
        <w:tc>
          <w:tcPr>
            <w:tcW w:w="235" w:type="pct"/>
            <w:tcBorders>
              <w:tl2br w:val="nil"/>
              <w:tr2bl w:val="nil"/>
            </w:tcBorders>
            <w:tcMar>
              <w:top w:w="15" w:type="dxa"/>
              <w:left w:w="15" w:type="dxa"/>
              <w:right w:w="15" w:type="dxa"/>
            </w:tcMar>
            <w:vAlign w:val="center"/>
          </w:tcPr>
          <w:p w14:paraId="3ECB77E4">
            <w:pPr>
              <w:pStyle w:val="52"/>
              <w:spacing w:before="0" w:after="0" w:line="240" w:lineRule="auto"/>
              <w:ind w:left="0" w:firstLine="0"/>
              <w:rPr>
                <w:b/>
                <w:bCs/>
                <w:color w:val="auto"/>
                <w:sz w:val="21"/>
                <w:szCs w:val="18"/>
                <w:highlight w:val="none"/>
              </w:rPr>
            </w:pPr>
            <w:r>
              <w:rPr>
                <w:b/>
                <w:bCs/>
                <w:color w:val="auto"/>
                <w:sz w:val="21"/>
                <w:szCs w:val="18"/>
                <w:highlight w:val="none"/>
              </w:rPr>
              <w:t>%</w:t>
            </w:r>
          </w:p>
        </w:tc>
        <w:tc>
          <w:tcPr>
            <w:tcW w:w="425" w:type="pct"/>
            <w:tcBorders>
              <w:tl2br w:val="nil"/>
              <w:tr2bl w:val="nil"/>
            </w:tcBorders>
            <w:tcMar>
              <w:top w:w="15" w:type="dxa"/>
              <w:left w:w="15" w:type="dxa"/>
              <w:right w:w="15" w:type="dxa"/>
            </w:tcMar>
            <w:vAlign w:val="center"/>
          </w:tcPr>
          <w:p w14:paraId="13C49A1B">
            <w:pPr>
              <w:pStyle w:val="52"/>
              <w:spacing w:before="0" w:after="0" w:line="240" w:lineRule="auto"/>
              <w:ind w:left="0" w:firstLine="0"/>
              <w:rPr>
                <w:b/>
                <w:bCs/>
                <w:color w:val="auto"/>
                <w:sz w:val="21"/>
                <w:szCs w:val="18"/>
                <w:highlight w:val="none"/>
              </w:rPr>
            </w:pPr>
            <w:r>
              <w:rPr>
                <w:b/>
                <w:bCs/>
                <w:color w:val="auto"/>
                <w:sz w:val="21"/>
                <w:szCs w:val="18"/>
                <w:highlight w:val="none"/>
              </w:rPr>
              <w:t>干基</w:t>
            </w:r>
          </w:p>
        </w:tc>
        <w:tc>
          <w:tcPr>
            <w:tcW w:w="426" w:type="pct"/>
            <w:tcBorders>
              <w:tl2br w:val="nil"/>
              <w:tr2bl w:val="nil"/>
            </w:tcBorders>
            <w:tcMar>
              <w:top w:w="15" w:type="dxa"/>
              <w:left w:w="15" w:type="dxa"/>
              <w:right w:w="15" w:type="dxa"/>
            </w:tcMar>
            <w:vAlign w:val="center"/>
          </w:tcPr>
          <w:p w14:paraId="591DBCAC">
            <w:pPr>
              <w:pStyle w:val="52"/>
              <w:spacing w:before="0" w:after="0" w:line="240" w:lineRule="auto"/>
              <w:ind w:left="0" w:firstLine="0"/>
              <w:rPr>
                <w:b/>
                <w:bCs/>
                <w:color w:val="auto"/>
                <w:sz w:val="21"/>
                <w:szCs w:val="18"/>
                <w:highlight w:val="none"/>
              </w:rPr>
            </w:pPr>
            <w:r>
              <w:rPr>
                <w:b/>
                <w:bCs/>
                <w:color w:val="auto"/>
                <w:sz w:val="21"/>
                <w:szCs w:val="18"/>
                <w:highlight w:val="none"/>
              </w:rPr>
              <w:t>湿基</w:t>
            </w:r>
          </w:p>
        </w:tc>
        <w:tc>
          <w:tcPr>
            <w:tcW w:w="316" w:type="pct"/>
            <w:tcBorders>
              <w:tl2br w:val="nil"/>
              <w:tr2bl w:val="nil"/>
            </w:tcBorders>
            <w:tcMar>
              <w:top w:w="15" w:type="dxa"/>
              <w:left w:w="15" w:type="dxa"/>
              <w:right w:w="15" w:type="dxa"/>
            </w:tcMar>
            <w:vAlign w:val="center"/>
          </w:tcPr>
          <w:p w14:paraId="3A7E5E26">
            <w:pPr>
              <w:pStyle w:val="52"/>
              <w:spacing w:before="0" w:after="0" w:line="240" w:lineRule="auto"/>
              <w:ind w:left="0" w:firstLine="0"/>
              <w:rPr>
                <w:b/>
                <w:bCs/>
                <w:color w:val="auto"/>
                <w:sz w:val="21"/>
                <w:szCs w:val="18"/>
                <w:highlight w:val="none"/>
              </w:rPr>
            </w:pPr>
            <w:r>
              <w:rPr>
                <w:b/>
                <w:bCs/>
                <w:color w:val="auto"/>
                <w:sz w:val="21"/>
                <w:szCs w:val="18"/>
                <w:highlight w:val="none"/>
              </w:rPr>
              <w:t>每小时</w:t>
            </w:r>
          </w:p>
        </w:tc>
        <w:tc>
          <w:tcPr>
            <w:tcW w:w="391" w:type="pct"/>
            <w:tcBorders>
              <w:tl2br w:val="nil"/>
              <w:tr2bl w:val="nil"/>
            </w:tcBorders>
            <w:tcMar>
              <w:top w:w="15" w:type="dxa"/>
              <w:left w:w="15" w:type="dxa"/>
              <w:right w:w="15" w:type="dxa"/>
            </w:tcMar>
            <w:vAlign w:val="center"/>
          </w:tcPr>
          <w:p w14:paraId="72E1FF25">
            <w:pPr>
              <w:pStyle w:val="52"/>
              <w:spacing w:before="0" w:after="0" w:line="240" w:lineRule="auto"/>
              <w:ind w:left="0" w:firstLine="0"/>
              <w:rPr>
                <w:b/>
                <w:bCs/>
                <w:color w:val="auto"/>
                <w:sz w:val="21"/>
                <w:szCs w:val="18"/>
                <w:highlight w:val="none"/>
              </w:rPr>
            </w:pPr>
            <w:r>
              <w:rPr>
                <w:b/>
                <w:bCs/>
                <w:color w:val="auto"/>
                <w:sz w:val="21"/>
                <w:szCs w:val="18"/>
                <w:highlight w:val="none"/>
              </w:rPr>
              <w:t>每天</w:t>
            </w:r>
          </w:p>
        </w:tc>
        <w:tc>
          <w:tcPr>
            <w:tcW w:w="449" w:type="pct"/>
            <w:tcBorders>
              <w:tl2br w:val="nil"/>
              <w:tr2bl w:val="nil"/>
            </w:tcBorders>
            <w:tcMar>
              <w:top w:w="15" w:type="dxa"/>
              <w:left w:w="15" w:type="dxa"/>
              <w:right w:w="15" w:type="dxa"/>
            </w:tcMar>
            <w:vAlign w:val="center"/>
          </w:tcPr>
          <w:p w14:paraId="02E2EBE5">
            <w:pPr>
              <w:pStyle w:val="52"/>
              <w:spacing w:before="0" w:after="0" w:line="240" w:lineRule="auto"/>
              <w:ind w:left="0" w:firstLine="0"/>
              <w:rPr>
                <w:b/>
                <w:bCs/>
                <w:color w:val="auto"/>
                <w:sz w:val="21"/>
                <w:szCs w:val="18"/>
                <w:highlight w:val="none"/>
              </w:rPr>
            </w:pPr>
            <w:r>
              <w:rPr>
                <w:b/>
                <w:bCs/>
                <w:color w:val="auto"/>
                <w:sz w:val="21"/>
                <w:szCs w:val="18"/>
                <w:highlight w:val="none"/>
              </w:rPr>
              <w:t>每年</w:t>
            </w:r>
          </w:p>
        </w:tc>
        <w:tc>
          <w:tcPr>
            <w:tcW w:w="316" w:type="pct"/>
            <w:tcBorders>
              <w:tl2br w:val="nil"/>
              <w:tr2bl w:val="nil"/>
            </w:tcBorders>
            <w:tcMar>
              <w:top w:w="15" w:type="dxa"/>
              <w:left w:w="15" w:type="dxa"/>
              <w:right w:w="15" w:type="dxa"/>
            </w:tcMar>
            <w:vAlign w:val="center"/>
          </w:tcPr>
          <w:p w14:paraId="2EA3787A">
            <w:pPr>
              <w:pStyle w:val="52"/>
              <w:spacing w:before="0" w:after="0" w:line="240" w:lineRule="auto"/>
              <w:ind w:left="0" w:firstLine="0"/>
              <w:rPr>
                <w:b/>
                <w:bCs/>
                <w:color w:val="auto"/>
                <w:sz w:val="21"/>
                <w:szCs w:val="18"/>
                <w:highlight w:val="none"/>
              </w:rPr>
            </w:pPr>
            <w:r>
              <w:rPr>
                <w:b/>
                <w:bCs/>
                <w:color w:val="auto"/>
                <w:sz w:val="21"/>
                <w:szCs w:val="18"/>
                <w:highlight w:val="none"/>
              </w:rPr>
              <w:t>每小时</w:t>
            </w:r>
          </w:p>
        </w:tc>
        <w:tc>
          <w:tcPr>
            <w:tcW w:w="391" w:type="pct"/>
            <w:tcBorders>
              <w:tl2br w:val="nil"/>
              <w:tr2bl w:val="nil"/>
            </w:tcBorders>
            <w:tcMar>
              <w:top w:w="15" w:type="dxa"/>
              <w:left w:w="15" w:type="dxa"/>
              <w:right w:w="15" w:type="dxa"/>
            </w:tcMar>
            <w:vAlign w:val="center"/>
          </w:tcPr>
          <w:p w14:paraId="4EFF8C4A">
            <w:pPr>
              <w:pStyle w:val="52"/>
              <w:spacing w:before="0" w:after="0" w:line="240" w:lineRule="auto"/>
              <w:ind w:left="0" w:firstLine="0"/>
              <w:rPr>
                <w:b/>
                <w:bCs/>
                <w:color w:val="auto"/>
                <w:sz w:val="21"/>
                <w:szCs w:val="18"/>
                <w:highlight w:val="none"/>
              </w:rPr>
            </w:pPr>
            <w:r>
              <w:rPr>
                <w:b/>
                <w:bCs/>
                <w:color w:val="auto"/>
                <w:sz w:val="21"/>
                <w:szCs w:val="18"/>
                <w:highlight w:val="none"/>
              </w:rPr>
              <w:t>每天</w:t>
            </w:r>
          </w:p>
        </w:tc>
        <w:tc>
          <w:tcPr>
            <w:tcW w:w="507" w:type="pct"/>
            <w:tcBorders>
              <w:tl2br w:val="nil"/>
              <w:tr2bl w:val="nil"/>
            </w:tcBorders>
            <w:tcMar>
              <w:top w:w="15" w:type="dxa"/>
              <w:left w:w="15" w:type="dxa"/>
              <w:right w:w="15" w:type="dxa"/>
            </w:tcMar>
            <w:vAlign w:val="center"/>
          </w:tcPr>
          <w:p w14:paraId="40DC3E51">
            <w:pPr>
              <w:pStyle w:val="52"/>
              <w:spacing w:before="0" w:after="0" w:line="240" w:lineRule="auto"/>
              <w:ind w:left="0" w:firstLine="0"/>
              <w:rPr>
                <w:b/>
                <w:bCs/>
                <w:color w:val="auto"/>
                <w:sz w:val="21"/>
                <w:szCs w:val="18"/>
                <w:highlight w:val="none"/>
              </w:rPr>
            </w:pPr>
            <w:r>
              <w:rPr>
                <w:b/>
                <w:bCs/>
                <w:color w:val="auto"/>
                <w:sz w:val="21"/>
                <w:szCs w:val="18"/>
                <w:highlight w:val="none"/>
              </w:rPr>
              <w:t>每年</w:t>
            </w:r>
          </w:p>
        </w:tc>
      </w:tr>
      <w:tr w14:paraId="4B831F1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19FCC6F5">
            <w:pPr>
              <w:keepNext w:val="0"/>
              <w:keepLines w:val="0"/>
              <w:widowControl/>
              <w:suppressLineNumbers w:val="0"/>
              <w:autoSpaceDE/>
              <w:autoSpaceDN/>
              <w:spacing w:before="0" w:after="0" w:line="240" w:lineRule="auto"/>
              <w:ind w:left="0" w:firstLine="0"/>
              <w:jc w:val="center"/>
              <w:textAlignment w:val="center"/>
              <w:rPr>
                <w:b w:val="0"/>
                <w:bCs w:val="0"/>
                <w:color w:val="auto"/>
                <w:sz w:val="21"/>
                <w:szCs w:val="18"/>
                <w:highlight w:val="none"/>
              </w:rPr>
            </w:pPr>
            <w:r>
              <w:rPr>
                <w:rFonts w:hint="eastAsia" w:ascii="宋体" w:hAnsi="宋体" w:eastAsia="宋体" w:cs="宋体"/>
                <w:i w:val="0"/>
                <w:iCs w:val="0"/>
                <w:color w:val="auto"/>
                <w:kern w:val="0"/>
                <w:sz w:val="22"/>
                <w:szCs w:val="22"/>
                <w:highlight w:val="none"/>
                <w:u w:val="none"/>
                <w:lang w:val="en-US" w:eastAsia="zh-CN" w:bidi="ar"/>
              </w:rPr>
              <w:t>石灰石</w:t>
            </w:r>
          </w:p>
        </w:tc>
        <w:tc>
          <w:tcPr>
            <w:tcW w:w="336" w:type="pct"/>
            <w:tcBorders>
              <w:tl2br w:val="nil"/>
              <w:tr2bl w:val="nil"/>
            </w:tcBorders>
            <w:tcMar>
              <w:top w:w="15" w:type="dxa"/>
              <w:left w:w="15" w:type="dxa"/>
              <w:right w:w="15" w:type="dxa"/>
            </w:tcMar>
            <w:vAlign w:val="center"/>
          </w:tcPr>
          <w:p w14:paraId="11449AF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74.49</w:t>
            </w:r>
          </w:p>
        </w:tc>
        <w:tc>
          <w:tcPr>
            <w:tcW w:w="235" w:type="pct"/>
            <w:tcBorders>
              <w:tl2br w:val="nil"/>
              <w:tr2bl w:val="nil"/>
            </w:tcBorders>
            <w:tcMar>
              <w:top w:w="15" w:type="dxa"/>
              <w:left w:w="15" w:type="dxa"/>
              <w:right w:w="15" w:type="dxa"/>
            </w:tcMar>
            <w:vAlign w:val="center"/>
          </w:tcPr>
          <w:p w14:paraId="7B2C5B91">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w:t>
            </w:r>
          </w:p>
        </w:tc>
        <w:tc>
          <w:tcPr>
            <w:tcW w:w="425" w:type="pct"/>
            <w:tcBorders>
              <w:tl2br w:val="nil"/>
              <w:tr2bl w:val="nil"/>
            </w:tcBorders>
            <w:tcMar>
              <w:top w:w="15" w:type="dxa"/>
              <w:left w:w="15" w:type="dxa"/>
              <w:right w:w="15" w:type="dxa"/>
            </w:tcMar>
            <w:vAlign w:val="center"/>
          </w:tcPr>
          <w:p w14:paraId="3463B7A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849.12</w:t>
            </w:r>
          </w:p>
        </w:tc>
        <w:tc>
          <w:tcPr>
            <w:tcW w:w="426" w:type="pct"/>
            <w:tcBorders>
              <w:tl2br w:val="nil"/>
              <w:tr2bl w:val="nil"/>
            </w:tcBorders>
            <w:tcMar>
              <w:top w:w="15" w:type="dxa"/>
              <w:left w:w="15" w:type="dxa"/>
              <w:right w:w="15" w:type="dxa"/>
            </w:tcMar>
            <w:vAlign w:val="center"/>
          </w:tcPr>
          <w:p w14:paraId="361A0A87">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857.70</w:t>
            </w:r>
          </w:p>
        </w:tc>
        <w:tc>
          <w:tcPr>
            <w:tcW w:w="316" w:type="pct"/>
            <w:tcBorders>
              <w:tl2br w:val="nil"/>
              <w:tr2bl w:val="nil"/>
            </w:tcBorders>
            <w:tcMar>
              <w:top w:w="15" w:type="dxa"/>
              <w:left w:w="15" w:type="dxa"/>
              <w:right w:w="15" w:type="dxa"/>
            </w:tcMar>
            <w:vAlign w:val="center"/>
          </w:tcPr>
          <w:p w14:paraId="64D7EB05">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77.06</w:t>
            </w:r>
          </w:p>
        </w:tc>
        <w:tc>
          <w:tcPr>
            <w:tcW w:w="391" w:type="pct"/>
            <w:tcBorders>
              <w:tl2br w:val="nil"/>
              <w:tr2bl w:val="nil"/>
            </w:tcBorders>
            <w:tcMar>
              <w:top w:w="15" w:type="dxa"/>
              <w:left w:w="15" w:type="dxa"/>
              <w:right w:w="15" w:type="dxa"/>
            </w:tcMar>
            <w:vAlign w:val="center"/>
          </w:tcPr>
          <w:p w14:paraId="4C25DA6B">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1849.38</w:t>
            </w:r>
          </w:p>
        </w:tc>
        <w:tc>
          <w:tcPr>
            <w:tcW w:w="449" w:type="pct"/>
            <w:tcBorders>
              <w:tl2br w:val="nil"/>
              <w:tr2bl w:val="nil"/>
            </w:tcBorders>
            <w:tcMar>
              <w:top w:w="15" w:type="dxa"/>
              <w:left w:w="15" w:type="dxa"/>
              <w:right w:w="15" w:type="dxa"/>
            </w:tcMar>
            <w:vAlign w:val="center"/>
          </w:tcPr>
          <w:p w14:paraId="58239FB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462346</w:t>
            </w:r>
          </w:p>
        </w:tc>
        <w:tc>
          <w:tcPr>
            <w:tcW w:w="316" w:type="pct"/>
            <w:tcBorders>
              <w:tl2br w:val="nil"/>
              <w:tr2bl w:val="nil"/>
            </w:tcBorders>
            <w:tcMar>
              <w:top w:w="15" w:type="dxa"/>
              <w:left w:w="15" w:type="dxa"/>
              <w:right w:w="15" w:type="dxa"/>
            </w:tcMar>
            <w:vAlign w:val="center"/>
          </w:tcPr>
          <w:p w14:paraId="6FBB59A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77.84</w:t>
            </w:r>
          </w:p>
        </w:tc>
        <w:tc>
          <w:tcPr>
            <w:tcW w:w="391" w:type="pct"/>
            <w:tcBorders>
              <w:tl2br w:val="nil"/>
              <w:tr2bl w:val="nil"/>
            </w:tcBorders>
            <w:tcMar>
              <w:top w:w="15" w:type="dxa"/>
              <w:left w:w="15" w:type="dxa"/>
              <w:right w:w="15" w:type="dxa"/>
            </w:tcMar>
            <w:vAlign w:val="center"/>
          </w:tcPr>
          <w:p w14:paraId="2138E00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1868.06</w:t>
            </w:r>
          </w:p>
        </w:tc>
        <w:tc>
          <w:tcPr>
            <w:tcW w:w="507" w:type="pct"/>
            <w:tcBorders>
              <w:tl2br w:val="nil"/>
              <w:tr2bl w:val="nil"/>
            </w:tcBorders>
            <w:tcMar>
              <w:top w:w="15" w:type="dxa"/>
              <w:left w:w="15" w:type="dxa"/>
              <w:right w:w="15" w:type="dxa"/>
            </w:tcMar>
            <w:vAlign w:val="center"/>
          </w:tcPr>
          <w:p w14:paraId="2BA55F5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467016</w:t>
            </w:r>
          </w:p>
        </w:tc>
      </w:tr>
      <w:tr w14:paraId="0257157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6BAA112D">
            <w:pPr>
              <w:keepNext w:val="0"/>
              <w:keepLines w:val="0"/>
              <w:widowControl/>
              <w:suppressLineNumbers w:val="0"/>
              <w:autoSpaceDE/>
              <w:autoSpaceDN/>
              <w:spacing w:before="0" w:after="0" w:line="240" w:lineRule="auto"/>
              <w:ind w:left="0" w:firstLine="0"/>
              <w:jc w:val="center"/>
              <w:textAlignment w:val="center"/>
              <w:rPr>
                <w:b w:val="0"/>
                <w:bCs w:val="0"/>
                <w:color w:val="auto"/>
                <w:sz w:val="21"/>
                <w:szCs w:val="18"/>
                <w:highlight w:val="none"/>
              </w:rPr>
            </w:pPr>
            <w:r>
              <w:rPr>
                <w:rFonts w:hint="eastAsia" w:ascii="宋体" w:hAnsi="宋体" w:eastAsia="宋体" w:cs="宋体"/>
                <w:i w:val="0"/>
                <w:iCs w:val="0"/>
                <w:color w:val="auto"/>
                <w:kern w:val="0"/>
                <w:sz w:val="22"/>
                <w:szCs w:val="22"/>
                <w:highlight w:val="none"/>
                <w:u w:val="none"/>
                <w:lang w:val="en-US" w:eastAsia="zh-CN" w:bidi="ar"/>
              </w:rPr>
              <w:t>铜渣</w:t>
            </w:r>
          </w:p>
        </w:tc>
        <w:tc>
          <w:tcPr>
            <w:tcW w:w="336" w:type="pct"/>
            <w:tcBorders>
              <w:tl2br w:val="nil"/>
              <w:tr2bl w:val="nil"/>
            </w:tcBorders>
            <w:tcMar>
              <w:top w:w="15" w:type="dxa"/>
              <w:left w:w="15" w:type="dxa"/>
              <w:right w:w="15" w:type="dxa"/>
            </w:tcMar>
            <w:vAlign w:val="center"/>
          </w:tcPr>
          <w:p w14:paraId="45E7CC1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2.13</w:t>
            </w:r>
          </w:p>
        </w:tc>
        <w:tc>
          <w:tcPr>
            <w:tcW w:w="235" w:type="pct"/>
            <w:tcBorders>
              <w:tl2br w:val="nil"/>
              <w:tr2bl w:val="nil"/>
            </w:tcBorders>
            <w:tcMar>
              <w:top w:w="15" w:type="dxa"/>
              <w:left w:w="15" w:type="dxa"/>
              <w:right w:w="15" w:type="dxa"/>
            </w:tcMar>
            <w:vAlign w:val="center"/>
          </w:tcPr>
          <w:p w14:paraId="1AAEE27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3.2</w:t>
            </w:r>
          </w:p>
        </w:tc>
        <w:tc>
          <w:tcPr>
            <w:tcW w:w="425" w:type="pct"/>
            <w:tcBorders>
              <w:tl2br w:val="nil"/>
              <w:tr2bl w:val="nil"/>
            </w:tcBorders>
            <w:tcMar>
              <w:top w:w="15" w:type="dxa"/>
              <w:left w:w="15" w:type="dxa"/>
              <w:right w:w="15" w:type="dxa"/>
            </w:tcMar>
            <w:vAlign w:val="center"/>
          </w:tcPr>
          <w:p w14:paraId="71DE299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34.00</w:t>
            </w:r>
          </w:p>
        </w:tc>
        <w:tc>
          <w:tcPr>
            <w:tcW w:w="426" w:type="pct"/>
            <w:tcBorders>
              <w:tl2br w:val="nil"/>
              <w:tr2bl w:val="nil"/>
            </w:tcBorders>
            <w:tcMar>
              <w:top w:w="15" w:type="dxa"/>
              <w:left w:w="15" w:type="dxa"/>
              <w:right w:w="15" w:type="dxa"/>
            </w:tcMar>
            <w:vAlign w:val="center"/>
          </w:tcPr>
          <w:p w14:paraId="5CEC3A2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35.13</w:t>
            </w:r>
          </w:p>
        </w:tc>
        <w:tc>
          <w:tcPr>
            <w:tcW w:w="316" w:type="pct"/>
            <w:tcBorders>
              <w:tl2br w:val="nil"/>
              <w:tr2bl w:val="nil"/>
            </w:tcBorders>
            <w:tcMar>
              <w:top w:w="15" w:type="dxa"/>
              <w:left w:w="15" w:type="dxa"/>
              <w:right w:w="15" w:type="dxa"/>
            </w:tcMar>
            <w:vAlign w:val="center"/>
          </w:tcPr>
          <w:p w14:paraId="1FE18A9F">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3.09</w:t>
            </w:r>
          </w:p>
        </w:tc>
        <w:tc>
          <w:tcPr>
            <w:tcW w:w="391" w:type="pct"/>
            <w:tcBorders>
              <w:tl2br w:val="nil"/>
              <w:tr2bl w:val="nil"/>
            </w:tcBorders>
            <w:tcMar>
              <w:top w:w="15" w:type="dxa"/>
              <w:left w:w="15" w:type="dxa"/>
              <w:right w:w="15" w:type="dxa"/>
            </w:tcMar>
            <w:vAlign w:val="center"/>
          </w:tcPr>
          <w:p w14:paraId="6C49EAC7">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74.06</w:t>
            </w:r>
          </w:p>
        </w:tc>
        <w:tc>
          <w:tcPr>
            <w:tcW w:w="449" w:type="pct"/>
            <w:tcBorders>
              <w:tl2br w:val="nil"/>
              <w:tr2bl w:val="nil"/>
            </w:tcBorders>
            <w:tcMar>
              <w:top w:w="15" w:type="dxa"/>
              <w:left w:w="15" w:type="dxa"/>
              <w:right w:w="15" w:type="dxa"/>
            </w:tcMar>
            <w:vAlign w:val="center"/>
          </w:tcPr>
          <w:p w14:paraId="19D5616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18515</w:t>
            </w:r>
          </w:p>
        </w:tc>
        <w:tc>
          <w:tcPr>
            <w:tcW w:w="316" w:type="pct"/>
            <w:tcBorders>
              <w:tl2br w:val="nil"/>
              <w:tr2bl w:val="nil"/>
            </w:tcBorders>
            <w:tcMar>
              <w:top w:w="15" w:type="dxa"/>
              <w:left w:w="15" w:type="dxa"/>
              <w:right w:w="15" w:type="dxa"/>
            </w:tcMar>
            <w:vAlign w:val="center"/>
          </w:tcPr>
          <w:p w14:paraId="18E8675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3.19</w:t>
            </w:r>
          </w:p>
        </w:tc>
        <w:tc>
          <w:tcPr>
            <w:tcW w:w="391" w:type="pct"/>
            <w:tcBorders>
              <w:tl2br w:val="nil"/>
              <w:tr2bl w:val="nil"/>
            </w:tcBorders>
            <w:tcMar>
              <w:top w:w="15" w:type="dxa"/>
              <w:left w:w="15" w:type="dxa"/>
              <w:right w:w="15" w:type="dxa"/>
            </w:tcMar>
            <w:vAlign w:val="center"/>
          </w:tcPr>
          <w:p w14:paraId="66C4C53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76.51</w:t>
            </w:r>
          </w:p>
        </w:tc>
        <w:tc>
          <w:tcPr>
            <w:tcW w:w="507" w:type="pct"/>
            <w:tcBorders>
              <w:tl2br w:val="nil"/>
              <w:tr2bl w:val="nil"/>
            </w:tcBorders>
            <w:tcMar>
              <w:top w:w="15" w:type="dxa"/>
              <w:left w:w="15" w:type="dxa"/>
              <w:right w:w="15" w:type="dxa"/>
            </w:tcMar>
            <w:vAlign w:val="center"/>
          </w:tcPr>
          <w:p w14:paraId="526A3D37">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19128</w:t>
            </w:r>
          </w:p>
        </w:tc>
      </w:tr>
      <w:tr w14:paraId="7E495AB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0EF00FD1">
            <w:pPr>
              <w:keepNext w:val="0"/>
              <w:keepLines w:val="0"/>
              <w:widowControl/>
              <w:suppressLineNumbers w:val="0"/>
              <w:autoSpaceDE/>
              <w:autoSpaceDN/>
              <w:spacing w:before="0" w:after="0" w:line="240" w:lineRule="auto"/>
              <w:ind w:left="0" w:firstLine="0"/>
              <w:jc w:val="center"/>
              <w:textAlignment w:val="center"/>
              <w:rPr>
                <w:b w:val="0"/>
                <w:bCs w:val="0"/>
                <w:color w:val="auto"/>
                <w:sz w:val="21"/>
                <w:szCs w:val="18"/>
                <w:highlight w:val="none"/>
              </w:rPr>
            </w:pPr>
            <w:r>
              <w:rPr>
                <w:rFonts w:hint="eastAsia" w:ascii="宋体" w:hAnsi="宋体" w:eastAsia="宋体" w:cs="宋体"/>
                <w:i w:val="0"/>
                <w:iCs w:val="0"/>
                <w:color w:val="auto"/>
                <w:kern w:val="0"/>
                <w:sz w:val="22"/>
                <w:szCs w:val="22"/>
                <w:highlight w:val="none"/>
                <w:u w:val="none"/>
                <w:lang w:val="en-US" w:eastAsia="zh-CN" w:bidi="ar"/>
              </w:rPr>
              <w:t>煤矸石</w:t>
            </w:r>
          </w:p>
        </w:tc>
        <w:tc>
          <w:tcPr>
            <w:tcW w:w="336" w:type="pct"/>
            <w:tcBorders>
              <w:tl2br w:val="nil"/>
              <w:tr2bl w:val="nil"/>
            </w:tcBorders>
            <w:tcMar>
              <w:top w:w="15" w:type="dxa"/>
              <w:left w:w="15" w:type="dxa"/>
              <w:right w:w="15" w:type="dxa"/>
            </w:tcMar>
            <w:vAlign w:val="center"/>
          </w:tcPr>
          <w:p w14:paraId="5ED33E3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14.88</w:t>
            </w:r>
          </w:p>
        </w:tc>
        <w:tc>
          <w:tcPr>
            <w:tcW w:w="235" w:type="pct"/>
            <w:tcBorders>
              <w:tl2br w:val="nil"/>
              <w:tr2bl w:val="nil"/>
            </w:tcBorders>
            <w:tcMar>
              <w:top w:w="15" w:type="dxa"/>
              <w:left w:w="15" w:type="dxa"/>
              <w:right w:w="15" w:type="dxa"/>
            </w:tcMar>
            <w:vAlign w:val="center"/>
          </w:tcPr>
          <w:p w14:paraId="048B1D3D">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5</w:t>
            </w:r>
          </w:p>
        </w:tc>
        <w:tc>
          <w:tcPr>
            <w:tcW w:w="425" w:type="pct"/>
            <w:tcBorders>
              <w:tl2br w:val="nil"/>
              <w:tr2bl w:val="nil"/>
            </w:tcBorders>
            <w:tcMar>
              <w:top w:w="15" w:type="dxa"/>
              <w:left w:w="15" w:type="dxa"/>
              <w:right w:w="15" w:type="dxa"/>
            </w:tcMar>
            <w:vAlign w:val="center"/>
          </w:tcPr>
          <w:p w14:paraId="65A4D2C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73.89</w:t>
            </w:r>
          </w:p>
        </w:tc>
        <w:tc>
          <w:tcPr>
            <w:tcW w:w="426" w:type="pct"/>
            <w:tcBorders>
              <w:tl2br w:val="nil"/>
              <w:tr2bl w:val="nil"/>
            </w:tcBorders>
            <w:tcMar>
              <w:top w:w="15" w:type="dxa"/>
              <w:left w:w="15" w:type="dxa"/>
              <w:right w:w="15" w:type="dxa"/>
            </w:tcMar>
            <w:vAlign w:val="center"/>
          </w:tcPr>
          <w:p w14:paraId="0640763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77.78</w:t>
            </w:r>
          </w:p>
        </w:tc>
        <w:tc>
          <w:tcPr>
            <w:tcW w:w="316" w:type="pct"/>
            <w:tcBorders>
              <w:tl2br w:val="nil"/>
              <w:tr2bl w:val="nil"/>
            </w:tcBorders>
            <w:tcMar>
              <w:top w:w="15" w:type="dxa"/>
              <w:left w:w="15" w:type="dxa"/>
              <w:right w:w="15" w:type="dxa"/>
            </w:tcMar>
            <w:vAlign w:val="center"/>
          </w:tcPr>
          <w:p w14:paraId="50567FD7">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6.71</w:t>
            </w:r>
          </w:p>
        </w:tc>
        <w:tc>
          <w:tcPr>
            <w:tcW w:w="391" w:type="pct"/>
            <w:tcBorders>
              <w:tl2br w:val="nil"/>
              <w:tr2bl w:val="nil"/>
            </w:tcBorders>
            <w:tcMar>
              <w:top w:w="15" w:type="dxa"/>
              <w:left w:w="15" w:type="dxa"/>
              <w:right w:w="15" w:type="dxa"/>
            </w:tcMar>
            <w:vAlign w:val="center"/>
          </w:tcPr>
          <w:p w14:paraId="0A1E3ADB">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160.94</w:t>
            </w:r>
          </w:p>
        </w:tc>
        <w:tc>
          <w:tcPr>
            <w:tcW w:w="449" w:type="pct"/>
            <w:tcBorders>
              <w:tl2br w:val="nil"/>
              <w:tr2bl w:val="nil"/>
            </w:tcBorders>
            <w:tcMar>
              <w:top w:w="15" w:type="dxa"/>
              <w:left w:w="15" w:type="dxa"/>
              <w:right w:w="15" w:type="dxa"/>
            </w:tcMar>
            <w:vAlign w:val="center"/>
          </w:tcPr>
          <w:p w14:paraId="3C45D18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40234</w:t>
            </w:r>
          </w:p>
        </w:tc>
        <w:tc>
          <w:tcPr>
            <w:tcW w:w="316" w:type="pct"/>
            <w:tcBorders>
              <w:tl2br w:val="nil"/>
              <w:tr2bl w:val="nil"/>
            </w:tcBorders>
            <w:tcMar>
              <w:top w:w="15" w:type="dxa"/>
              <w:left w:w="15" w:type="dxa"/>
              <w:right w:w="15" w:type="dxa"/>
            </w:tcMar>
            <w:vAlign w:val="center"/>
          </w:tcPr>
          <w:p w14:paraId="02919FD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7.06</w:t>
            </w:r>
          </w:p>
        </w:tc>
        <w:tc>
          <w:tcPr>
            <w:tcW w:w="391" w:type="pct"/>
            <w:tcBorders>
              <w:tl2br w:val="nil"/>
              <w:tr2bl w:val="nil"/>
            </w:tcBorders>
            <w:tcMar>
              <w:top w:w="15" w:type="dxa"/>
              <w:left w:w="15" w:type="dxa"/>
              <w:right w:w="15" w:type="dxa"/>
            </w:tcMar>
            <w:vAlign w:val="center"/>
          </w:tcPr>
          <w:p w14:paraId="4E2C4F0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169.40</w:t>
            </w:r>
          </w:p>
        </w:tc>
        <w:tc>
          <w:tcPr>
            <w:tcW w:w="507" w:type="pct"/>
            <w:tcBorders>
              <w:tl2br w:val="nil"/>
              <w:tr2bl w:val="nil"/>
            </w:tcBorders>
            <w:tcMar>
              <w:top w:w="15" w:type="dxa"/>
              <w:left w:w="15" w:type="dxa"/>
              <w:right w:w="15" w:type="dxa"/>
            </w:tcMar>
            <w:vAlign w:val="center"/>
          </w:tcPr>
          <w:p w14:paraId="04FD78C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42351</w:t>
            </w:r>
          </w:p>
        </w:tc>
      </w:tr>
      <w:tr w14:paraId="76FA877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0AC91E46">
            <w:pPr>
              <w:keepNext w:val="0"/>
              <w:keepLines w:val="0"/>
              <w:widowControl/>
              <w:suppressLineNumbers w:val="0"/>
              <w:autoSpaceDE/>
              <w:autoSpaceDN/>
              <w:spacing w:before="0" w:after="0" w:line="240" w:lineRule="auto"/>
              <w:ind w:left="0" w:firstLine="0"/>
              <w:jc w:val="center"/>
              <w:textAlignment w:val="center"/>
              <w:rPr>
                <w:b w:val="0"/>
                <w:bCs w:val="0"/>
                <w:color w:val="auto"/>
                <w:sz w:val="21"/>
                <w:szCs w:val="18"/>
                <w:highlight w:val="none"/>
              </w:rPr>
            </w:pPr>
            <w:r>
              <w:rPr>
                <w:rFonts w:hint="eastAsia" w:ascii="宋体" w:hAnsi="宋体" w:eastAsia="宋体" w:cs="宋体"/>
                <w:i w:val="0"/>
                <w:iCs w:val="0"/>
                <w:color w:val="auto"/>
                <w:kern w:val="0"/>
                <w:sz w:val="22"/>
                <w:szCs w:val="22"/>
                <w:highlight w:val="none"/>
                <w:u w:val="none"/>
                <w:lang w:val="en-US" w:eastAsia="zh-CN" w:bidi="ar"/>
              </w:rPr>
              <w:t>黄砂岩</w:t>
            </w:r>
          </w:p>
        </w:tc>
        <w:tc>
          <w:tcPr>
            <w:tcW w:w="336" w:type="pct"/>
            <w:tcBorders>
              <w:tl2br w:val="nil"/>
              <w:tr2bl w:val="nil"/>
            </w:tcBorders>
            <w:tcMar>
              <w:top w:w="15" w:type="dxa"/>
              <w:left w:w="15" w:type="dxa"/>
              <w:right w:w="15" w:type="dxa"/>
            </w:tcMar>
            <w:vAlign w:val="center"/>
          </w:tcPr>
          <w:p w14:paraId="0E3B28FD">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3.83</w:t>
            </w:r>
          </w:p>
        </w:tc>
        <w:tc>
          <w:tcPr>
            <w:tcW w:w="235" w:type="pct"/>
            <w:tcBorders>
              <w:tl2br w:val="nil"/>
              <w:tr2bl w:val="nil"/>
            </w:tcBorders>
            <w:tcMar>
              <w:top w:w="15" w:type="dxa"/>
              <w:left w:w="15" w:type="dxa"/>
              <w:right w:w="15" w:type="dxa"/>
            </w:tcMar>
            <w:vAlign w:val="center"/>
          </w:tcPr>
          <w:p w14:paraId="10C7AB1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2.5</w:t>
            </w:r>
          </w:p>
        </w:tc>
        <w:tc>
          <w:tcPr>
            <w:tcW w:w="425" w:type="pct"/>
            <w:tcBorders>
              <w:tl2br w:val="nil"/>
              <w:tr2bl w:val="nil"/>
            </w:tcBorders>
            <w:tcMar>
              <w:top w:w="15" w:type="dxa"/>
              <w:left w:w="15" w:type="dxa"/>
              <w:right w:w="15" w:type="dxa"/>
            </w:tcMar>
            <w:vAlign w:val="center"/>
          </w:tcPr>
          <w:p w14:paraId="64DB699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53.76</w:t>
            </w:r>
          </w:p>
        </w:tc>
        <w:tc>
          <w:tcPr>
            <w:tcW w:w="426" w:type="pct"/>
            <w:tcBorders>
              <w:tl2br w:val="nil"/>
              <w:tr2bl w:val="nil"/>
            </w:tcBorders>
            <w:tcMar>
              <w:top w:w="15" w:type="dxa"/>
              <w:left w:w="15" w:type="dxa"/>
              <w:right w:w="15" w:type="dxa"/>
            </w:tcMar>
            <w:vAlign w:val="center"/>
          </w:tcPr>
          <w:p w14:paraId="29014FE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55.71</w:t>
            </w:r>
          </w:p>
        </w:tc>
        <w:tc>
          <w:tcPr>
            <w:tcW w:w="316" w:type="pct"/>
            <w:tcBorders>
              <w:tl2br w:val="nil"/>
              <w:tr2bl w:val="nil"/>
            </w:tcBorders>
            <w:tcMar>
              <w:top w:w="15" w:type="dxa"/>
              <w:left w:w="15" w:type="dxa"/>
              <w:right w:w="15" w:type="dxa"/>
            </w:tcMar>
            <w:vAlign w:val="center"/>
          </w:tcPr>
          <w:p w14:paraId="74BA08EE">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4.88</w:t>
            </w:r>
          </w:p>
        </w:tc>
        <w:tc>
          <w:tcPr>
            <w:tcW w:w="391" w:type="pct"/>
            <w:tcBorders>
              <w:tl2br w:val="nil"/>
              <w:tr2bl w:val="nil"/>
            </w:tcBorders>
            <w:tcMar>
              <w:top w:w="15" w:type="dxa"/>
              <w:left w:w="15" w:type="dxa"/>
              <w:right w:w="15" w:type="dxa"/>
            </w:tcMar>
            <w:vAlign w:val="center"/>
          </w:tcPr>
          <w:p w14:paraId="4C0CE8AF">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117.10</w:t>
            </w:r>
          </w:p>
        </w:tc>
        <w:tc>
          <w:tcPr>
            <w:tcW w:w="449" w:type="pct"/>
            <w:tcBorders>
              <w:tl2br w:val="nil"/>
              <w:tr2bl w:val="nil"/>
            </w:tcBorders>
            <w:tcMar>
              <w:top w:w="15" w:type="dxa"/>
              <w:left w:w="15" w:type="dxa"/>
              <w:right w:w="15" w:type="dxa"/>
            </w:tcMar>
            <w:vAlign w:val="center"/>
          </w:tcPr>
          <w:p w14:paraId="292AEF1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29274</w:t>
            </w:r>
          </w:p>
        </w:tc>
        <w:tc>
          <w:tcPr>
            <w:tcW w:w="316" w:type="pct"/>
            <w:tcBorders>
              <w:tl2br w:val="nil"/>
              <w:tr2bl w:val="nil"/>
            </w:tcBorders>
            <w:tcMar>
              <w:top w:w="15" w:type="dxa"/>
              <w:left w:w="15" w:type="dxa"/>
              <w:right w:w="15" w:type="dxa"/>
            </w:tcMar>
            <w:vAlign w:val="center"/>
          </w:tcPr>
          <w:p w14:paraId="1EC5A2D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5.06</w:t>
            </w:r>
          </w:p>
        </w:tc>
        <w:tc>
          <w:tcPr>
            <w:tcW w:w="391" w:type="pct"/>
            <w:tcBorders>
              <w:tl2br w:val="nil"/>
              <w:tr2bl w:val="nil"/>
            </w:tcBorders>
            <w:tcMar>
              <w:top w:w="15" w:type="dxa"/>
              <w:left w:w="15" w:type="dxa"/>
              <w:right w:w="15" w:type="dxa"/>
            </w:tcMar>
            <w:vAlign w:val="center"/>
          </w:tcPr>
          <w:p w14:paraId="6A4AEFF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121.34</w:t>
            </w:r>
          </w:p>
        </w:tc>
        <w:tc>
          <w:tcPr>
            <w:tcW w:w="507" w:type="pct"/>
            <w:tcBorders>
              <w:tl2br w:val="nil"/>
              <w:tr2bl w:val="nil"/>
            </w:tcBorders>
            <w:tcMar>
              <w:top w:w="15" w:type="dxa"/>
              <w:left w:w="15" w:type="dxa"/>
              <w:right w:w="15" w:type="dxa"/>
            </w:tcMar>
            <w:vAlign w:val="center"/>
          </w:tcPr>
          <w:p w14:paraId="3E5D2E8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30336</w:t>
            </w:r>
          </w:p>
        </w:tc>
      </w:tr>
      <w:tr w14:paraId="789B3D5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3B2039E9">
            <w:pPr>
              <w:keepNext w:val="0"/>
              <w:keepLines w:val="0"/>
              <w:widowControl/>
              <w:suppressLineNumbers w:val="0"/>
              <w:autoSpaceDE/>
              <w:autoSpaceDN/>
              <w:spacing w:before="0" w:after="0" w:line="240" w:lineRule="auto"/>
              <w:ind w:left="0" w:firstLine="0"/>
              <w:jc w:val="center"/>
              <w:textAlignment w:val="center"/>
              <w:rPr>
                <w:b w:val="0"/>
                <w:bCs w:val="0"/>
                <w:color w:val="auto"/>
                <w:sz w:val="21"/>
                <w:szCs w:val="18"/>
                <w:highlight w:val="none"/>
              </w:rPr>
            </w:pPr>
            <w:r>
              <w:rPr>
                <w:rFonts w:hint="eastAsia" w:ascii="宋体" w:hAnsi="宋体" w:eastAsia="宋体" w:cs="宋体"/>
                <w:i w:val="0"/>
                <w:iCs w:val="0"/>
                <w:color w:val="auto"/>
                <w:kern w:val="0"/>
                <w:sz w:val="22"/>
                <w:szCs w:val="22"/>
                <w:highlight w:val="none"/>
                <w:u w:val="none"/>
                <w:lang w:val="en-US" w:eastAsia="zh-CN" w:bidi="ar"/>
              </w:rPr>
              <w:t>页岩</w:t>
            </w:r>
          </w:p>
        </w:tc>
        <w:tc>
          <w:tcPr>
            <w:tcW w:w="336" w:type="pct"/>
            <w:tcBorders>
              <w:tl2br w:val="nil"/>
              <w:tr2bl w:val="nil"/>
            </w:tcBorders>
            <w:tcMar>
              <w:top w:w="15" w:type="dxa"/>
              <w:left w:w="15" w:type="dxa"/>
              <w:right w:w="15" w:type="dxa"/>
            </w:tcMar>
            <w:vAlign w:val="center"/>
          </w:tcPr>
          <w:p w14:paraId="3B9F02A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2.99</w:t>
            </w:r>
          </w:p>
        </w:tc>
        <w:tc>
          <w:tcPr>
            <w:tcW w:w="235" w:type="pct"/>
            <w:tcBorders>
              <w:tl2br w:val="nil"/>
              <w:tr2bl w:val="nil"/>
            </w:tcBorders>
            <w:tcMar>
              <w:top w:w="15" w:type="dxa"/>
              <w:left w:w="15" w:type="dxa"/>
              <w:right w:w="15" w:type="dxa"/>
            </w:tcMar>
            <w:vAlign w:val="center"/>
          </w:tcPr>
          <w:p w14:paraId="6F6DF9F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1.8</w:t>
            </w:r>
          </w:p>
        </w:tc>
        <w:tc>
          <w:tcPr>
            <w:tcW w:w="425" w:type="pct"/>
            <w:tcBorders>
              <w:tl2br w:val="nil"/>
              <w:tr2bl w:val="nil"/>
            </w:tcBorders>
            <w:tcMar>
              <w:top w:w="15" w:type="dxa"/>
              <w:left w:w="15" w:type="dxa"/>
              <w:right w:w="15" w:type="dxa"/>
            </w:tcMar>
            <w:vAlign w:val="center"/>
          </w:tcPr>
          <w:p w14:paraId="1D57709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67.79</w:t>
            </w:r>
          </w:p>
        </w:tc>
        <w:tc>
          <w:tcPr>
            <w:tcW w:w="426" w:type="pct"/>
            <w:tcBorders>
              <w:tl2br w:val="nil"/>
              <w:tr2bl w:val="nil"/>
            </w:tcBorders>
            <w:tcMar>
              <w:top w:w="15" w:type="dxa"/>
              <w:left w:w="15" w:type="dxa"/>
              <w:right w:w="15" w:type="dxa"/>
            </w:tcMar>
            <w:vAlign w:val="center"/>
          </w:tcPr>
          <w:p w14:paraId="3871D4D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69.03</w:t>
            </w:r>
          </w:p>
        </w:tc>
        <w:tc>
          <w:tcPr>
            <w:tcW w:w="316" w:type="pct"/>
            <w:tcBorders>
              <w:tl2br w:val="nil"/>
              <w:tr2bl w:val="nil"/>
            </w:tcBorders>
            <w:tcMar>
              <w:top w:w="15" w:type="dxa"/>
              <w:left w:w="15" w:type="dxa"/>
              <w:right w:w="15" w:type="dxa"/>
            </w:tcMar>
            <w:vAlign w:val="center"/>
          </w:tcPr>
          <w:p w14:paraId="483D43FD">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6.15</w:t>
            </w:r>
          </w:p>
        </w:tc>
        <w:tc>
          <w:tcPr>
            <w:tcW w:w="391" w:type="pct"/>
            <w:tcBorders>
              <w:tl2br w:val="nil"/>
              <w:tr2bl w:val="nil"/>
            </w:tcBorders>
            <w:tcMar>
              <w:top w:w="15" w:type="dxa"/>
              <w:left w:w="15" w:type="dxa"/>
              <w:right w:w="15" w:type="dxa"/>
            </w:tcMar>
            <w:vAlign w:val="center"/>
          </w:tcPr>
          <w:p w14:paraId="403E5B7E">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147.65</w:t>
            </w:r>
          </w:p>
        </w:tc>
        <w:tc>
          <w:tcPr>
            <w:tcW w:w="449" w:type="pct"/>
            <w:tcBorders>
              <w:tl2br w:val="nil"/>
              <w:tr2bl w:val="nil"/>
            </w:tcBorders>
            <w:tcMar>
              <w:top w:w="15" w:type="dxa"/>
              <w:left w:w="15" w:type="dxa"/>
              <w:right w:w="15" w:type="dxa"/>
            </w:tcMar>
            <w:vAlign w:val="center"/>
          </w:tcPr>
          <w:p w14:paraId="43D4C624">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36912</w:t>
            </w:r>
          </w:p>
        </w:tc>
        <w:tc>
          <w:tcPr>
            <w:tcW w:w="316" w:type="pct"/>
            <w:tcBorders>
              <w:tl2br w:val="nil"/>
              <w:tr2bl w:val="nil"/>
            </w:tcBorders>
            <w:tcMar>
              <w:top w:w="15" w:type="dxa"/>
              <w:left w:w="15" w:type="dxa"/>
              <w:right w:w="15" w:type="dxa"/>
            </w:tcMar>
            <w:vAlign w:val="center"/>
          </w:tcPr>
          <w:p w14:paraId="7B7E545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6.26</w:t>
            </w:r>
          </w:p>
        </w:tc>
        <w:tc>
          <w:tcPr>
            <w:tcW w:w="391" w:type="pct"/>
            <w:tcBorders>
              <w:tl2br w:val="nil"/>
              <w:tr2bl w:val="nil"/>
            </w:tcBorders>
            <w:tcMar>
              <w:top w:w="15" w:type="dxa"/>
              <w:left w:w="15" w:type="dxa"/>
              <w:right w:w="15" w:type="dxa"/>
            </w:tcMar>
            <w:vAlign w:val="center"/>
          </w:tcPr>
          <w:p w14:paraId="5129EC9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150.35</w:t>
            </w:r>
          </w:p>
        </w:tc>
        <w:tc>
          <w:tcPr>
            <w:tcW w:w="507" w:type="pct"/>
            <w:tcBorders>
              <w:tl2br w:val="nil"/>
              <w:tr2bl w:val="nil"/>
            </w:tcBorders>
            <w:tcMar>
              <w:top w:w="15" w:type="dxa"/>
              <w:left w:w="15" w:type="dxa"/>
              <w:right w:w="15" w:type="dxa"/>
            </w:tcMar>
            <w:vAlign w:val="center"/>
          </w:tcPr>
          <w:p w14:paraId="2310534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37588</w:t>
            </w:r>
          </w:p>
        </w:tc>
      </w:tr>
      <w:tr w14:paraId="54A81AA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4B34E242">
            <w:pPr>
              <w:keepNext w:val="0"/>
              <w:keepLines w:val="0"/>
              <w:widowControl/>
              <w:suppressLineNumbers w:val="0"/>
              <w:autoSpaceDE/>
              <w:autoSpaceDN/>
              <w:spacing w:before="0" w:after="0" w:line="240" w:lineRule="auto"/>
              <w:ind w:left="0" w:firstLine="0"/>
              <w:jc w:val="center"/>
              <w:textAlignment w:val="center"/>
              <w:rPr>
                <w:b w:val="0"/>
                <w:bCs w:val="0"/>
                <w:color w:val="auto"/>
                <w:sz w:val="21"/>
                <w:szCs w:val="18"/>
                <w:highlight w:val="none"/>
              </w:rPr>
            </w:pPr>
            <w:r>
              <w:rPr>
                <w:rFonts w:hint="eastAsia" w:ascii="宋体" w:hAnsi="宋体" w:eastAsia="宋体" w:cs="宋体"/>
                <w:i w:val="0"/>
                <w:iCs w:val="0"/>
                <w:color w:val="auto"/>
                <w:kern w:val="0"/>
                <w:sz w:val="22"/>
                <w:szCs w:val="22"/>
                <w:highlight w:val="none"/>
                <w:u w:val="none"/>
                <w:lang w:val="en-US" w:eastAsia="zh-CN" w:bidi="ar"/>
              </w:rPr>
              <w:t>锌渣</w:t>
            </w:r>
          </w:p>
        </w:tc>
        <w:tc>
          <w:tcPr>
            <w:tcW w:w="336" w:type="pct"/>
            <w:tcBorders>
              <w:tl2br w:val="nil"/>
              <w:tr2bl w:val="nil"/>
            </w:tcBorders>
            <w:tcMar>
              <w:top w:w="15" w:type="dxa"/>
              <w:left w:w="15" w:type="dxa"/>
              <w:right w:w="15" w:type="dxa"/>
            </w:tcMar>
            <w:vAlign w:val="center"/>
          </w:tcPr>
          <w:p w14:paraId="70CC1F0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1.68</w:t>
            </w:r>
          </w:p>
        </w:tc>
        <w:tc>
          <w:tcPr>
            <w:tcW w:w="235" w:type="pct"/>
            <w:tcBorders>
              <w:tl2br w:val="nil"/>
              <w:tr2bl w:val="nil"/>
            </w:tcBorders>
            <w:tcMar>
              <w:top w:w="15" w:type="dxa"/>
              <w:left w:w="15" w:type="dxa"/>
              <w:right w:w="15" w:type="dxa"/>
            </w:tcMar>
            <w:vAlign w:val="center"/>
          </w:tcPr>
          <w:p w14:paraId="5038F2C6">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w:t>
            </w:r>
          </w:p>
        </w:tc>
        <w:tc>
          <w:tcPr>
            <w:tcW w:w="425" w:type="pct"/>
            <w:tcBorders>
              <w:tl2br w:val="nil"/>
              <w:tr2bl w:val="nil"/>
            </w:tcBorders>
            <w:tcMar>
              <w:top w:w="15" w:type="dxa"/>
              <w:left w:w="15" w:type="dxa"/>
              <w:right w:w="15" w:type="dxa"/>
            </w:tcMar>
            <w:vAlign w:val="center"/>
          </w:tcPr>
          <w:p w14:paraId="11B5AFF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4.91</w:t>
            </w:r>
          </w:p>
        </w:tc>
        <w:tc>
          <w:tcPr>
            <w:tcW w:w="426" w:type="pct"/>
            <w:tcBorders>
              <w:tl2br w:val="nil"/>
              <w:tr2bl w:val="nil"/>
            </w:tcBorders>
            <w:tcMar>
              <w:top w:w="15" w:type="dxa"/>
              <w:left w:w="15" w:type="dxa"/>
              <w:right w:w="15" w:type="dxa"/>
            </w:tcMar>
            <w:vAlign w:val="center"/>
          </w:tcPr>
          <w:p w14:paraId="0EECC68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auto"/>
                <w:kern w:val="0"/>
                <w:sz w:val="21"/>
                <w:szCs w:val="21"/>
                <w:highlight w:val="none"/>
                <w:u w:val="none"/>
                <w:lang w:val="en-US" w:eastAsia="zh-CN" w:bidi="ar"/>
              </w:rPr>
              <w:t>5.01</w:t>
            </w:r>
          </w:p>
        </w:tc>
        <w:tc>
          <w:tcPr>
            <w:tcW w:w="316" w:type="pct"/>
            <w:tcBorders>
              <w:tl2br w:val="nil"/>
              <w:tr2bl w:val="nil"/>
            </w:tcBorders>
            <w:tcMar>
              <w:top w:w="15" w:type="dxa"/>
              <w:left w:w="15" w:type="dxa"/>
              <w:right w:w="15" w:type="dxa"/>
            </w:tcMar>
            <w:vAlign w:val="center"/>
          </w:tcPr>
          <w:p w14:paraId="46FD40E7">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0.45</w:t>
            </w:r>
          </w:p>
        </w:tc>
        <w:tc>
          <w:tcPr>
            <w:tcW w:w="391" w:type="pct"/>
            <w:tcBorders>
              <w:tl2br w:val="nil"/>
              <w:tr2bl w:val="nil"/>
            </w:tcBorders>
            <w:tcMar>
              <w:top w:w="15" w:type="dxa"/>
              <w:left w:w="15" w:type="dxa"/>
              <w:right w:w="15" w:type="dxa"/>
            </w:tcMar>
            <w:vAlign w:val="center"/>
          </w:tcPr>
          <w:p w14:paraId="0C4D195D">
            <w:pPr>
              <w:keepNext w:val="0"/>
              <w:keepLines w:val="0"/>
              <w:widowControl/>
              <w:suppressLineNumbers w:val="0"/>
              <w:autoSpaceDE/>
              <w:autoSpaceDN/>
              <w:spacing w:before="0" w:after="0" w:line="240" w:lineRule="auto"/>
              <w:ind w:left="0" w:firstLine="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10.70</w:t>
            </w:r>
          </w:p>
        </w:tc>
        <w:tc>
          <w:tcPr>
            <w:tcW w:w="449" w:type="pct"/>
            <w:tcBorders>
              <w:tl2br w:val="nil"/>
              <w:tr2bl w:val="nil"/>
            </w:tcBorders>
            <w:tcMar>
              <w:top w:w="15" w:type="dxa"/>
              <w:left w:w="15" w:type="dxa"/>
              <w:right w:w="15" w:type="dxa"/>
            </w:tcMar>
            <w:vAlign w:val="center"/>
          </w:tcPr>
          <w:p w14:paraId="7508CB3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2676</w:t>
            </w:r>
          </w:p>
        </w:tc>
        <w:tc>
          <w:tcPr>
            <w:tcW w:w="316" w:type="pct"/>
            <w:tcBorders>
              <w:tl2br w:val="nil"/>
              <w:tr2bl w:val="nil"/>
            </w:tcBorders>
            <w:tcMar>
              <w:top w:w="15" w:type="dxa"/>
              <w:left w:w="15" w:type="dxa"/>
              <w:right w:w="15" w:type="dxa"/>
            </w:tcMar>
            <w:vAlign w:val="center"/>
          </w:tcPr>
          <w:p w14:paraId="345A2FD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0.46</w:t>
            </w:r>
          </w:p>
        </w:tc>
        <w:tc>
          <w:tcPr>
            <w:tcW w:w="391" w:type="pct"/>
            <w:tcBorders>
              <w:tl2br w:val="nil"/>
              <w:tr2bl w:val="nil"/>
            </w:tcBorders>
            <w:tcMar>
              <w:top w:w="15" w:type="dxa"/>
              <w:left w:w="15" w:type="dxa"/>
              <w:right w:w="15" w:type="dxa"/>
            </w:tcMar>
            <w:vAlign w:val="center"/>
          </w:tcPr>
          <w:p w14:paraId="04AD223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10.92</w:t>
            </w:r>
          </w:p>
        </w:tc>
        <w:tc>
          <w:tcPr>
            <w:tcW w:w="507" w:type="pct"/>
            <w:tcBorders>
              <w:tl2br w:val="nil"/>
              <w:tr2bl w:val="nil"/>
            </w:tcBorders>
            <w:tcMar>
              <w:top w:w="15" w:type="dxa"/>
              <w:left w:w="15" w:type="dxa"/>
              <w:right w:w="15" w:type="dxa"/>
            </w:tcMar>
            <w:vAlign w:val="center"/>
          </w:tcPr>
          <w:p w14:paraId="0C0C0B0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2730</w:t>
            </w:r>
          </w:p>
        </w:tc>
      </w:tr>
      <w:tr w14:paraId="5E6D271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356DD4FB">
            <w:pPr>
              <w:pStyle w:val="52"/>
              <w:spacing w:before="0" w:after="0" w:line="240" w:lineRule="auto"/>
              <w:ind w:left="0" w:firstLine="0"/>
              <w:rPr>
                <w:b w:val="0"/>
                <w:bCs w:val="0"/>
                <w:color w:val="auto"/>
                <w:sz w:val="21"/>
                <w:szCs w:val="18"/>
                <w:highlight w:val="none"/>
              </w:rPr>
            </w:pPr>
            <w:r>
              <w:rPr>
                <w:b w:val="0"/>
                <w:bCs w:val="0"/>
                <w:color w:val="auto"/>
                <w:sz w:val="21"/>
                <w:szCs w:val="18"/>
                <w:highlight w:val="none"/>
              </w:rPr>
              <w:t>入窑生料合计</w:t>
            </w:r>
          </w:p>
        </w:tc>
        <w:tc>
          <w:tcPr>
            <w:tcW w:w="336" w:type="pct"/>
            <w:tcBorders>
              <w:tl2br w:val="nil"/>
              <w:tr2bl w:val="nil"/>
            </w:tcBorders>
            <w:tcMar>
              <w:top w:w="15" w:type="dxa"/>
              <w:left w:w="15" w:type="dxa"/>
              <w:right w:w="15" w:type="dxa"/>
            </w:tcMar>
            <w:vAlign w:val="center"/>
          </w:tcPr>
          <w:p w14:paraId="7516D4CD">
            <w:pPr>
              <w:autoSpaceDE/>
              <w:autoSpaceDN/>
              <w:spacing w:before="0" w:after="0" w:line="240" w:lineRule="auto"/>
              <w:ind w:left="0" w:firstLine="0"/>
              <w:jc w:val="center"/>
              <w:rPr>
                <w:rFonts w:ascii="Times New Roman" w:hAnsi="Times New Roman" w:eastAsia="等线"/>
                <w:b w:val="0"/>
                <w:bCs w:val="0"/>
                <w:color w:val="auto"/>
                <w:sz w:val="21"/>
                <w:szCs w:val="16"/>
                <w:highlight w:val="none"/>
              </w:rPr>
            </w:pPr>
            <w:r>
              <w:rPr>
                <w:rFonts w:ascii="Times New Roman" w:hAnsi="Times New Roman" w:eastAsia="等线"/>
                <w:b w:val="0"/>
                <w:bCs w:val="0"/>
                <w:color w:val="auto"/>
                <w:sz w:val="21"/>
                <w:szCs w:val="16"/>
                <w:highlight w:val="none"/>
              </w:rPr>
              <w:t>100.00</w:t>
            </w:r>
          </w:p>
        </w:tc>
        <w:tc>
          <w:tcPr>
            <w:tcW w:w="235" w:type="pct"/>
            <w:tcBorders>
              <w:tl2br w:val="nil"/>
              <w:tr2bl w:val="nil"/>
            </w:tcBorders>
            <w:tcMar>
              <w:top w:w="15" w:type="dxa"/>
              <w:left w:w="15" w:type="dxa"/>
              <w:right w:w="15" w:type="dxa"/>
            </w:tcMar>
            <w:vAlign w:val="center"/>
          </w:tcPr>
          <w:p w14:paraId="3F54E4CA">
            <w:pPr>
              <w:autoSpaceDE/>
              <w:autoSpaceDN/>
              <w:spacing w:before="0" w:after="0" w:line="240" w:lineRule="auto"/>
              <w:ind w:left="0" w:firstLine="0"/>
              <w:jc w:val="center"/>
              <w:rPr>
                <w:rFonts w:hint="eastAsia" w:ascii="Times New Roman" w:hAnsi="Times New Roman" w:eastAsia="等线"/>
                <w:b w:val="0"/>
                <w:bCs w:val="0"/>
                <w:color w:val="auto"/>
                <w:sz w:val="21"/>
                <w:szCs w:val="16"/>
                <w:highlight w:val="none"/>
                <w:lang w:val="en-US" w:eastAsia="zh-CN"/>
              </w:rPr>
            </w:pPr>
            <w:r>
              <w:rPr>
                <w:rFonts w:hint="eastAsia" w:ascii="Times New Roman" w:hAnsi="Times New Roman" w:eastAsia="等线"/>
                <w:b w:val="0"/>
                <w:bCs w:val="0"/>
                <w:color w:val="auto"/>
                <w:sz w:val="21"/>
                <w:szCs w:val="16"/>
                <w:highlight w:val="none"/>
                <w:lang w:val="en-US" w:eastAsia="zh-CN"/>
              </w:rPr>
              <w:t>/</w:t>
            </w:r>
          </w:p>
        </w:tc>
        <w:tc>
          <w:tcPr>
            <w:tcW w:w="425" w:type="pct"/>
            <w:tcBorders>
              <w:tl2br w:val="nil"/>
              <w:tr2bl w:val="nil"/>
            </w:tcBorders>
            <w:tcMar>
              <w:top w:w="15" w:type="dxa"/>
              <w:left w:w="15" w:type="dxa"/>
              <w:right w:w="15" w:type="dxa"/>
            </w:tcMar>
            <w:vAlign w:val="center"/>
          </w:tcPr>
          <w:p w14:paraId="26693F93">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1083.47</w:t>
            </w:r>
          </w:p>
        </w:tc>
        <w:tc>
          <w:tcPr>
            <w:tcW w:w="426" w:type="pct"/>
            <w:tcBorders>
              <w:tl2br w:val="nil"/>
              <w:tr2bl w:val="nil"/>
            </w:tcBorders>
            <w:tcMar>
              <w:top w:w="15" w:type="dxa"/>
              <w:left w:w="15" w:type="dxa"/>
              <w:right w:w="15" w:type="dxa"/>
            </w:tcMar>
            <w:vAlign w:val="center"/>
          </w:tcPr>
          <w:p w14:paraId="4E8F39F1">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1100.36</w:t>
            </w:r>
          </w:p>
        </w:tc>
        <w:tc>
          <w:tcPr>
            <w:tcW w:w="316" w:type="pct"/>
            <w:tcBorders>
              <w:tl2br w:val="nil"/>
              <w:tr2bl w:val="nil"/>
            </w:tcBorders>
            <w:tcMar>
              <w:top w:w="15" w:type="dxa"/>
              <w:left w:w="15" w:type="dxa"/>
              <w:right w:w="15" w:type="dxa"/>
            </w:tcMar>
            <w:vAlign w:val="center"/>
          </w:tcPr>
          <w:p w14:paraId="4A5FC85B">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98.34</w:t>
            </w:r>
          </w:p>
        </w:tc>
        <w:tc>
          <w:tcPr>
            <w:tcW w:w="391" w:type="pct"/>
            <w:tcBorders>
              <w:tl2br w:val="nil"/>
              <w:tr2bl w:val="nil"/>
            </w:tcBorders>
            <w:tcMar>
              <w:top w:w="15" w:type="dxa"/>
              <w:left w:w="15" w:type="dxa"/>
              <w:right w:w="15" w:type="dxa"/>
            </w:tcMar>
            <w:vAlign w:val="center"/>
          </w:tcPr>
          <w:p w14:paraId="24DDA13A">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2359.83</w:t>
            </w:r>
          </w:p>
        </w:tc>
        <w:tc>
          <w:tcPr>
            <w:tcW w:w="449" w:type="pct"/>
            <w:tcBorders>
              <w:tl2br w:val="nil"/>
              <w:tr2bl w:val="nil"/>
            </w:tcBorders>
            <w:tcMar>
              <w:top w:w="15" w:type="dxa"/>
              <w:left w:w="15" w:type="dxa"/>
              <w:right w:w="15" w:type="dxa"/>
            </w:tcMar>
            <w:vAlign w:val="center"/>
          </w:tcPr>
          <w:p w14:paraId="7C59C5CB">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589957</w:t>
            </w:r>
          </w:p>
        </w:tc>
        <w:tc>
          <w:tcPr>
            <w:tcW w:w="316" w:type="pct"/>
            <w:tcBorders>
              <w:tl2br w:val="nil"/>
              <w:tr2bl w:val="nil"/>
            </w:tcBorders>
            <w:tcMar>
              <w:top w:w="15" w:type="dxa"/>
              <w:left w:w="15" w:type="dxa"/>
              <w:right w:w="15" w:type="dxa"/>
            </w:tcMar>
            <w:vAlign w:val="center"/>
          </w:tcPr>
          <w:p w14:paraId="05D49B51">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99.87</w:t>
            </w:r>
          </w:p>
        </w:tc>
        <w:tc>
          <w:tcPr>
            <w:tcW w:w="391" w:type="pct"/>
            <w:tcBorders>
              <w:tl2br w:val="nil"/>
              <w:tr2bl w:val="nil"/>
            </w:tcBorders>
            <w:tcMar>
              <w:top w:w="15" w:type="dxa"/>
              <w:left w:w="15" w:type="dxa"/>
              <w:right w:w="15" w:type="dxa"/>
            </w:tcMar>
            <w:vAlign w:val="center"/>
          </w:tcPr>
          <w:p w14:paraId="1F474ABF">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2396.58</w:t>
            </w:r>
          </w:p>
        </w:tc>
        <w:tc>
          <w:tcPr>
            <w:tcW w:w="507" w:type="pct"/>
            <w:tcBorders>
              <w:tl2br w:val="nil"/>
              <w:tr2bl w:val="nil"/>
            </w:tcBorders>
            <w:tcMar>
              <w:top w:w="15" w:type="dxa"/>
              <w:left w:w="15" w:type="dxa"/>
              <w:right w:w="15" w:type="dxa"/>
            </w:tcMar>
            <w:vAlign w:val="center"/>
          </w:tcPr>
          <w:p w14:paraId="3B2C1437">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599149</w:t>
            </w:r>
          </w:p>
        </w:tc>
      </w:tr>
      <w:tr w14:paraId="52A647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0876E8E9">
            <w:pPr>
              <w:pStyle w:val="52"/>
              <w:spacing w:before="0" w:after="0" w:line="240" w:lineRule="auto"/>
              <w:ind w:left="0" w:firstLine="0"/>
              <w:rPr>
                <w:b w:val="0"/>
                <w:bCs w:val="0"/>
                <w:color w:val="auto"/>
                <w:sz w:val="21"/>
                <w:szCs w:val="18"/>
                <w:highlight w:val="none"/>
              </w:rPr>
            </w:pPr>
            <w:r>
              <w:rPr>
                <w:b w:val="0"/>
                <w:bCs w:val="0"/>
                <w:color w:val="auto"/>
                <w:sz w:val="21"/>
                <w:szCs w:val="18"/>
                <w:highlight w:val="none"/>
              </w:rPr>
              <w:t>熟料</w:t>
            </w:r>
          </w:p>
        </w:tc>
        <w:tc>
          <w:tcPr>
            <w:tcW w:w="336" w:type="pct"/>
            <w:tcBorders>
              <w:tl2br w:val="nil"/>
              <w:tr2bl w:val="nil"/>
            </w:tcBorders>
            <w:tcMar>
              <w:top w:w="15" w:type="dxa"/>
              <w:left w:w="15" w:type="dxa"/>
              <w:right w:w="15" w:type="dxa"/>
            </w:tcMar>
            <w:vAlign w:val="center"/>
          </w:tcPr>
          <w:p w14:paraId="4FA8B6C6">
            <w:pPr>
              <w:autoSpaceDE/>
              <w:autoSpaceDN/>
              <w:spacing w:before="0" w:after="0" w:line="240" w:lineRule="auto"/>
              <w:ind w:left="0" w:firstLine="0"/>
              <w:jc w:val="center"/>
              <w:rPr>
                <w:rFonts w:hint="eastAsia" w:ascii="Times New Roman" w:hAnsi="Times New Roman" w:eastAsia="等线"/>
                <w:b w:val="0"/>
                <w:bCs w:val="0"/>
                <w:color w:val="auto"/>
                <w:sz w:val="21"/>
                <w:szCs w:val="16"/>
                <w:highlight w:val="none"/>
                <w:lang w:val="en-US" w:eastAsia="zh-CN"/>
              </w:rPr>
            </w:pPr>
            <w:r>
              <w:rPr>
                <w:rFonts w:hint="eastAsia" w:ascii="Times New Roman" w:hAnsi="Times New Roman" w:eastAsia="等线"/>
                <w:b w:val="0"/>
                <w:bCs w:val="0"/>
                <w:color w:val="auto"/>
                <w:sz w:val="21"/>
                <w:szCs w:val="16"/>
                <w:highlight w:val="none"/>
                <w:lang w:val="en-US" w:eastAsia="zh-CN"/>
              </w:rPr>
              <w:t>/</w:t>
            </w:r>
          </w:p>
        </w:tc>
        <w:tc>
          <w:tcPr>
            <w:tcW w:w="235" w:type="pct"/>
            <w:tcBorders>
              <w:tl2br w:val="nil"/>
              <w:tr2bl w:val="nil"/>
            </w:tcBorders>
            <w:tcMar>
              <w:top w:w="15" w:type="dxa"/>
              <w:left w:w="15" w:type="dxa"/>
              <w:right w:w="15" w:type="dxa"/>
            </w:tcMar>
            <w:vAlign w:val="center"/>
          </w:tcPr>
          <w:p w14:paraId="764D2BD5">
            <w:pPr>
              <w:autoSpaceDE/>
              <w:autoSpaceDN/>
              <w:spacing w:before="0" w:after="0" w:line="240" w:lineRule="auto"/>
              <w:ind w:left="0" w:firstLine="0"/>
              <w:jc w:val="center"/>
              <w:rPr>
                <w:rFonts w:hint="eastAsia" w:ascii="Times New Roman" w:hAnsi="Times New Roman" w:eastAsia="等线"/>
                <w:b w:val="0"/>
                <w:bCs w:val="0"/>
                <w:color w:val="auto"/>
                <w:sz w:val="21"/>
                <w:szCs w:val="16"/>
                <w:highlight w:val="none"/>
                <w:lang w:val="en-US" w:eastAsia="zh-CN"/>
              </w:rPr>
            </w:pPr>
            <w:r>
              <w:rPr>
                <w:rFonts w:hint="eastAsia" w:ascii="Times New Roman" w:hAnsi="Times New Roman" w:eastAsia="等线"/>
                <w:b w:val="0"/>
                <w:bCs w:val="0"/>
                <w:color w:val="auto"/>
                <w:sz w:val="21"/>
                <w:szCs w:val="16"/>
                <w:highlight w:val="none"/>
                <w:lang w:val="en-US" w:eastAsia="zh-CN"/>
              </w:rPr>
              <w:t>/</w:t>
            </w:r>
          </w:p>
        </w:tc>
        <w:tc>
          <w:tcPr>
            <w:tcW w:w="425" w:type="pct"/>
            <w:tcBorders>
              <w:tl2br w:val="nil"/>
              <w:tr2bl w:val="nil"/>
            </w:tcBorders>
            <w:tcMar>
              <w:top w:w="15" w:type="dxa"/>
              <w:left w:w="15" w:type="dxa"/>
              <w:right w:w="15" w:type="dxa"/>
            </w:tcMar>
            <w:vAlign w:val="center"/>
          </w:tcPr>
          <w:p w14:paraId="67CBCA1E">
            <w:pPr>
              <w:autoSpaceDE/>
              <w:autoSpaceDN/>
              <w:spacing w:before="0" w:after="0" w:line="240" w:lineRule="auto"/>
              <w:ind w:left="0" w:firstLine="0"/>
              <w:jc w:val="center"/>
              <w:rPr>
                <w:rFonts w:hint="eastAsia" w:ascii="Times New Roman" w:hAnsi="Times New Roman" w:eastAsia="等线"/>
                <w:b w:val="0"/>
                <w:bCs w:val="0"/>
                <w:color w:val="auto"/>
                <w:sz w:val="21"/>
                <w:szCs w:val="16"/>
                <w:highlight w:val="none"/>
                <w:lang w:val="en-US" w:eastAsia="zh-CN"/>
              </w:rPr>
            </w:pPr>
            <w:r>
              <w:rPr>
                <w:rFonts w:hint="eastAsia" w:ascii="Times New Roman" w:hAnsi="Times New Roman" w:eastAsia="等线"/>
                <w:b w:val="0"/>
                <w:bCs w:val="0"/>
                <w:color w:val="auto"/>
                <w:sz w:val="21"/>
                <w:szCs w:val="16"/>
                <w:highlight w:val="none"/>
                <w:lang w:val="en-US" w:eastAsia="zh-CN"/>
              </w:rPr>
              <w:t>/</w:t>
            </w:r>
          </w:p>
        </w:tc>
        <w:tc>
          <w:tcPr>
            <w:tcW w:w="426" w:type="pct"/>
            <w:tcBorders>
              <w:tl2br w:val="nil"/>
              <w:tr2bl w:val="nil"/>
            </w:tcBorders>
            <w:tcMar>
              <w:top w:w="15" w:type="dxa"/>
              <w:left w:w="15" w:type="dxa"/>
              <w:right w:w="15" w:type="dxa"/>
            </w:tcMar>
            <w:vAlign w:val="center"/>
          </w:tcPr>
          <w:p w14:paraId="664F5A5E">
            <w:pPr>
              <w:autoSpaceDE/>
              <w:autoSpaceDN/>
              <w:spacing w:before="0" w:after="0" w:line="240" w:lineRule="auto"/>
              <w:ind w:left="0" w:firstLine="0"/>
              <w:jc w:val="center"/>
              <w:rPr>
                <w:rFonts w:hint="eastAsia" w:ascii="Times New Roman" w:hAnsi="Times New Roman" w:eastAsia="等线"/>
                <w:b w:val="0"/>
                <w:bCs w:val="0"/>
                <w:color w:val="auto"/>
                <w:sz w:val="21"/>
                <w:szCs w:val="16"/>
                <w:highlight w:val="none"/>
                <w:lang w:val="en-US" w:eastAsia="zh-CN"/>
              </w:rPr>
            </w:pPr>
            <w:r>
              <w:rPr>
                <w:rFonts w:hint="eastAsia" w:ascii="Times New Roman" w:hAnsi="Times New Roman" w:eastAsia="等线"/>
                <w:b w:val="0"/>
                <w:bCs w:val="0"/>
                <w:color w:val="auto"/>
                <w:sz w:val="21"/>
                <w:szCs w:val="16"/>
                <w:highlight w:val="none"/>
                <w:lang w:val="en-US" w:eastAsia="zh-CN"/>
              </w:rPr>
              <w:t>/</w:t>
            </w:r>
          </w:p>
        </w:tc>
        <w:tc>
          <w:tcPr>
            <w:tcW w:w="316" w:type="pct"/>
            <w:tcBorders>
              <w:tl2br w:val="nil"/>
              <w:tr2bl w:val="nil"/>
            </w:tcBorders>
            <w:tcMar>
              <w:top w:w="15" w:type="dxa"/>
              <w:left w:w="15" w:type="dxa"/>
              <w:right w:w="15" w:type="dxa"/>
            </w:tcMar>
            <w:vAlign w:val="center"/>
          </w:tcPr>
          <w:p w14:paraId="1A3F369C">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91.67</w:t>
            </w:r>
          </w:p>
        </w:tc>
        <w:tc>
          <w:tcPr>
            <w:tcW w:w="391" w:type="pct"/>
            <w:tcBorders>
              <w:tl2br w:val="nil"/>
              <w:tr2bl w:val="nil"/>
            </w:tcBorders>
            <w:tcMar>
              <w:top w:w="15" w:type="dxa"/>
              <w:left w:w="15" w:type="dxa"/>
              <w:right w:w="15" w:type="dxa"/>
            </w:tcMar>
            <w:vAlign w:val="center"/>
          </w:tcPr>
          <w:p w14:paraId="740BF352">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2200</w:t>
            </w:r>
          </w:p>
        </w:tc>
        <w:tc>
          <w:tcPr>
            <w:tcW w:w="449" w:type="pct"/>
            <w:tcBorders>
              <w:tl2br w:val="nil"/>
              <w:tr2bl w:val="nil"/>
            </w:tcBorders>
            <w:tcMar>
              <w:top w:w="15" w:type="dxa"/>
              <w:left w:w="15" w:type="dxa"/>
              <w:right w:w="15" w:type="dxa"/>
            </w:tcMar>
            <w:vAlign w:val="center"/>
          </w:tcPr>
          <w:p w14:paraId="78262F97">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550000</w:t>
            </w:r>
          </w:p>
        </w:tc>
        <w:tc>
          <w:tcPr>
            <w:tcW w:w="316" w:type="pct"/>
            <w:tcBorders>
              <w:tl2br w:val="nil"/>
              <w:tr2bl w:val="nil"/>
            </w:tcBorders>
            <w:tcMar>
              <w:top w:w="15" w:type="dxa"/>
              <w:left w:w="15" w:type="dxa"/>
              <w:right w:w="15" w:type="dxa"/>
            </w:tcMar>
            <w:vAlign w:val="center"/>
          </w:tcPr>
          <w:p w14:paraId="34AE662A">
            <w:pPr>
              <w:autoSpaceDE/>
              <w:autoSpaceDN/>
              <w:spacing w:before="0" w:after="0" w:line="240" w:lineRule="auto"/>
              <w:ind w:left="0" w:firstLine="0"/>
              <w:jc w:val="center"/>
              <w:rPr>
                <w:rFonts w:hint="eastAsia" w:ascii="Times New Roman" w:hAnsi="Times New Roman" w:eastAsia="等线"/>
                <w:b w:val="0"/>
                <w:bCs w:val="0"/>
                <w:color w:val="auto"/>
                <w:sz w:val="21"/>
                <w:szCs w:val="16"/>
                <w:highlight w:val="none"/>
                <w:lang w:val="en-US" w:eastAsia="zh-CN"/>
              </w:rPr>
            </w:pPr>
            <w:r>
              <w:rPr>
                <w:rFonts w:hint="eastAsia" w:ascii="Times New Roman" w:hAnsi="Times New Roman" w:eastAsia="等线"/>
                <w:b w:val="0"/>
                <w:bCs w:val="0"/>
                <w:color w:val="auto"/>
                <w:sz w:val="21"/>
                <w:szCs w:val="16"/>
                <w:highlight w:val="none"/>
                <w:lang w:val="en-US" w:eastAsia="zh-CN"/>
              </w:rPr>
              <w:t>/</w:t>
            </w:r>
          </w:p>
        </w:tc>
        <w:tc>
          <w:tcPr>
            <w:tcW w:w="391" w:type="pct"/>
            <w:tcBorders>
              <w:tl2br w:val="nil"/>
              <w:tr2bl w:val="nil"/>
            </w:tcBorders>
            <w:tcMar>
              <w:top w:w="15" w:type="dxa"/>
              <w:left w:w="15" w:type="dxa"/>
              <w:right w:w="15" w:type="dxa"/>
            </w:tcMar>
            <w:vAlign w:val="center"/>
          </w:tcPr>
          <w:p w14:paraId="203D3F27">
            <w:pPr>
              <w:autoSpaceDE/>
              <w:autoSpaceDN/>
              <w:spacing w:before="0" w:after="0" w:line="240" w:lineRule="auto"/>
              <w:ind w:left="0" w:firstLine="0"/>
              <w:jc w:val="center"/>
              <w:rPr>
                <w:rFonts w:hint="eastAsia" w:ascii="Times New Roman" w:hAnsi="Times New Roman" w:eastAsia="等线"/>
                <w:b w:val="0"/>
                <w:bCs w:val="0"/>
                <w:color w:val="auto"/>
                <w:sz w:val="21"/>
                <w:szCs w:val="16"/>
                <w:highlight w:val="none"/>
                <w:lang w:val="en-US" w:eastAsia="zh-CN"/>
              </w:rPr>
            </w:pPr>
            <w:r>
              <w:rPr>
                <w:rFonts w:hint="eastAsia" w:ascii="Times New Roman" w:hAnsi="Times New Roman" w:eastAsia="等线"/>
                <w:b w:val="0"/>
                <w:bCs w:val="0"/>
                <w:color w:val="auto"/>
                <w:sz w:val="21"/>
                <w:szCs w:val="16"/>
                <w:highlight w:val="none"/>
                <w:lang w:val="en-US" w:eastAsia="zh-CN"/>
              </w:rPr>
              <w:t>/</w:t>
            </w:r>
          </w:p>
        </w:tc>
        <w:tc>
          <w:tcPr>
            <w:tcW w:w="507" w:type="pct"/>
            <w:tcBorders>
              <w:tl2br w:val="nil"/>
              <w:tr2bl w:val="nil"/>
            </w:tcBorders>
            <w:tcMar>
              <w:top w:w="15" w:type="dxa"/>
              <w:left w:w="15" w:type="dxa"/>
              <w:right w:w="15" w:type="dxa"/>
            </w:tcMar>
            <w:vAlign w:val="center"/>
          </w:tcPr>
          <w:p w14:paraId="08EE02AE">
            <w:pPr>
              <w:autoSpaceDE/>
              <w:autoSpaceDN/>
              <w:spacing w:before="0" w:after="0" w:line="240" w:lineRule="auto"/>
              <w:ind w:left="0" w:firstLine="0"/>
              <w:jc w:val="center"/>
              <w:rPr>
                <w:rFonts w:hint="eastAsia" w:ascii="Times New Roman" w:hAnsi="Times New Roman" w:eastAsia="等线"/>
                <w:b w:val="0"/>
                <w:bCs w:val="0"/>
                <w:color w:val="auto"/>
                <w:sz w:val="21"/>
                <w:szCs w:val="16"/>
                <w:highlight w:val="none"/>
                <w:lang w:val="en-US" w:eastAsia="zh-CN"/>
              </w:rPr>
            </w:pPr>
            <w:r>
              <w:rPr>
                <w:rFonts w:hint="eastAsia" w:ascii="Times New Roman" w:hAnsi="Times New Roman" w:eastAsia="等线"/>
                <w:b w:val="0"/>
                <w:bCs w:val="0"/>
                <w:color w:val="auto"/>
                <w:sz w:val="21"/>
                <w:szCs w:val="16"/>
                <w:highlight w:val="none"/>
                <w:lang w:val="en-US" w:eastAsia="zh-CN"/>
              </w:rPr>
              <w:t>/</w:t>
            </w:r>
          </w:p>
        </w:tc>
      </w:tr>
      <w:tr w14:paraId="302E4B3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603B6CA6">
            <w:pPr>
              <w:pStyle w:val="52"/>
              <w:spacing w:before="0" w:after="0" w:line="240" w:lineRule="auto"/>
              <w:ind w:left="0" w:firstLine="0"/>
              <w:rPr>
                <w:b w:val="0"/>
                <w:bCs w:val="0"/>
                <w:color w:val="auto"/>
                <w:sz w:val="21"/>
                <w:szCs w:val="18"/>
                <w:highlight w:val="none"/>
              </w:rPr>
            </w:pPr>
            <w:r>
              <w:rPr>
                <w:b w:val="0"/>
                <w:bCs w:val="0"/>
                <w:color w:val="auto"/>
                <w:sz w:val="21"/>
                <w:szCs w:val="18"/>
                <w:highlight w:val="none"/>
              </w:rPr>
              <w:t>入窑用标煤</w:t>
            </w:r>
          </w:p>
        </w:tc>
        <w:tc>
          <w:tcPr>
            <w:tcW w:w="336" w:type="pct"/>
            <w:tcBorders>
              <w:tl2br w:val="nil"/>
              <w:tr2bl w:val="nil"/>
            </w:tcBorders>
            <w:tcMar>
              <w:top w:w="15" w:type="dxa"/>
              <w:left w:w="15" w:type="dxa"/>
              <w:right w:w="15" w:type="dxa"/>
            </w:tcMar>
            <w:vAlign w:val="center"/>
          </w:tcPr>
          <w:p w14:paraId="0FABF816">
            <w:pPr>
              <w:autoSpaceDE/>
              <w:autoSpaceDN/>
              <w:spacing w:before="0" w:after="0" w:line="240" w:lineRule="auto"/>
              <w:ind w:left="0" w:firstLine="0"/>
              <w:jc w:val="center"/>
              <w:rPr>
                <w:rFonts w:hint="eastAsia" w:ascii="Times New Roman" w:hAnsi="Times New Roman" w:eastAsia="等线"/>
                <w:b w:val="0"/>
                <w:bCs w:val="0"/>
                <w:color w:val="auto"/>
                <w:sz w:val="21"/>
                <w:szCs w:val="16"/>
                <w:highlight w:val="none"/>
                <w:lang w:val="en-US" w:eastAsia="zh-CN"/>
              </w:rPr>
            </w:pPr>
            <w:r>
              <w:rPr>
                <w:rFonts w:hint="eastAsia" w:ascii="Times New Roman" w:hAnsi="Times New Roman" w:eastAsia="等线"/>
                <w:b w:val="0"/>
                <w:bCs w:val="0"/>
                <w:color w:val="auto"/>
                <w:sz w:val="21"/>
                <w:szCs w:val="16"/>
                <w:highlight w:val="none"/>
                <w:lang w:val="en-US" w:eastAsia="zh-CN"/>
              </w:rPr>
              <w:t>/</w:t>
            </w:r>
          </w:p>
        </w:tc>
        <w:tc>
          <w:tcPr>
            <w:tcW w:w="235" w:type="pct"/>
            <w:tcBorders>
              <w:tl2br w:val="nil"/>
              <w:tr2bl w:val="nil"/>
            </w:tcBorders>
            <w:tcMar>
              <w:top w:w="15" w:type="dxa"/>
              <w:left w:w="15" w:type="dxa"/>
              <w:right w:w="15" w:type="dxa"/>
            </w:tcMar>
            <w:vAlign w:val="center"/>
          </w:tcPr>
          <w:p w14:paraId="67E1A333">
            <w:pPr>
              <w:autoSpaceDE/>
              <w:autoSpaceDN/>
              <w:spacing w:before="0" w:after="0" w:line="240" w:lineRule="auto"/>
              <w:ind w:left="0" w:firstLine="0"/>
              <w:jc w:val="center"/>
              <w:rPr>
                <w:rFonts w:ascii="Times New Roman" w:hAnsi="Times New Roman" w:eastAsia="等线"/>
                <w:b w:val="0"/>
                <w:bCs w:val="0"/>
                <w:color w:val="auto"/>
                <w:sz w:val="21"/>
                <w:szCs w:val="16"/>
                <w:highlight w:val="none"/>
              </w:rPr>
            </w:pPr>
            <w:r>
              <w:rPr>
                <w:rFonts w:ascii="Times New Roman" w:hAnsi="Times New Roman" w:eastAsia="等线"/>
                <w:b w:val="0"/>
                <w:bCs w:val="0"/>
                <w:color w:val="auto"/>
                <w:sz w:val="21"/>
                <w:szCs w:val="16"/>
                <w:highlight w:val="none"/>
              </w:rPr>
              <w:t>10</w:t>
            </w:r>
          </w:p>
        </w:tc>
        <w:tc>
          <w:tcPr>
            <w:tcW w:w="425" w:type="pct"/>
            <w:tcBorders>
              <w:tl2br w:val="nil"/>
              <w:tr2bl w:val="nil"/>
            </w:tcBorders>
            <w:tcMar>
              <w:top w:w="15" w:type="dxa"/>
              <w:left w:w="15" w:type="dxa"/>
              <w:right w:w="15" w:type="dxa"/>
            </w:tcMar>
            <w:vAlign w:val="center"/>
          </w:tcPr>
          <w:p w14:paraId="0A50ABC6">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71.33</w:t>
            </w:r>
          </w:p>
        </w:tc>
        <w:tc>
          <w:tcPr>
            <w:tcW w:w="426" w:type="pct"/>
            <w:tcBorders>
              <w:tl2br w:val="nil"/>
              <w:tr2bl w:val="nil"/>
            </w:tcBorders>
            <w:tcMar>
              <w:top w:w="15" w:type="dxa"/>
              <w:left w:w="15" w:type="dxa"/>
              <w:right w:w="15" w:type="dxa"/>
            </w:tcMar>
            <w:vAlign w:val="center"/>
          </w:tcPr>
          <w:p w14:paraId="2BACCC4E">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79.24</w:t>
            </w:r>
          </w:p>
        </w:tc>
        <w:tc>
          <w:tcPr>
            <w:tcW w:w="316" w:type="pct"/>
            <w:tcBorders>
              <w:tl2br w:val="nil"/>
              <w:tr2bl w:val="nil"/>
            </w:tcBorders>
            <w:tcMar>
              <w:top w:w="15" w:type="dxa"/>
              <w:left w:w="15" w:type="dxa"/>
              <w:right w:w="15" w:type="dxa"/>
            </w:tcMar>
            <w:vAlign w:val="center"/>
          </w:tcPr>
          <w:p w14:paraId="01E727E7">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10.89</w:t>
            </w:r>
          </w:p>
        </w:tc>
        <w:tc>
          <w:tcPr>
            <w:tcW w:w="391" w:type="pct"/>
            <w:tcBorders>
              <w:tl2br w:val="nil"/>
              <w:tr2bl w:val="nil"/>
            </w:tcBorders>
            <w:tcMar>
              <w:top w:w="15" w:type="dxa"/>
              <w:left w:w="15" w:type="dxa"/>
              <w:right w:w="15" w:type="dxa"/>
            </w:tcMar>
            <w:vAlign w:val="center"/>
          </w:tcPr>
          <w:p w14:paraId="28D54305">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261.53</w:t>
            </w:r>
          </w:p>
        </w:tc>
        <w:tc>
          <w:tcPr>
            <w:tcW w:w="449" w:type="pct"/>
            <w:tcBorders>
              <w:tl2br w:val="nil"/>
              <w:tr2bl w:val="nil"/>
            </w:tcBorders>
            <w:tcMar>
              <w:top w:w="15" w:type="dxa"/>
              <w:left w:w="15" w:type="dxa"/>
              <w:right w:w="15" w:type="dxa"/>
            </w:tcMar>
            <w:vAlign w:val="center"/>
          </w:tcPr>
          <w:p w14:paraId="0FCA421F">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39230.06</w:t>
            </w:r>
          </w:p>
        </w:tc>
        <w:tc>
          <w:tcPr>
            <w:tcW w:w="316" w:type="pct"/>
            <w:tcBorders>
              <w:tl2br w:val="nil"/>
              <w:tr2bl w:val="nil"/>
            </w:tcBorders>
            <w:tcMar>
              <w:top w:w="15" w:type="dxa"/>
              <w:left w:w="15" w:type="dxa"/>
              <w:right w:w="15" w:type="dxa"/>
            </w:tcMar>
            <w:vAlign w:val="center"/>
          </w:tcPr>
          <w:p w14:paraId="4FFC88C6">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12.11</w:t>
            </w:r>
          </w:p>
        </w:tc>
        <w:tc>
          <w:tcPr>
            <w:tcW w:w="391" w:type="pct"/>
            <w:tcBorders>
              <w:tl2br w:val="nil"/>
              <w:tr2bl w:val="nil"/>
            </w:tcBorders>
            <w:tcMar>
              <w:top w:w="15" w:type="dxa"/>
              <w:left w:w="15" w:type="dxa"/>
              <w:right w:w="15" w:type="dxa"/>
            </w:tcMar>
            <w:vAlign w:val="center"/>
          </w:tcPr>
          <w:p w14:paraId="7BD3F6B8">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290.55</w:t>
            </w:r>
          </w:p>
        </w:tc>
        <w:tc>
          <w:tcPr>
            <w:tcW w:w="507" w:type="pct"/>
            <w:tcBorders>
              <w:tl2br w:val="nil"/>
              <w:tr2bl w:val="nil"/>
            </w:tcBorders>
            <w:tcMar>
              <w:top w:w="15" w:type="dxa"/>
              <w:left w:w="15" w:type="dxa"/>
              <w:right w:w="15" w:type="dxa"/>
            </w:tcMar>
            <w:vAlign w:val="center"/>
          </w:tcPr>
          <w:p w14:paraId="735CBB43">
            <w:pPr>
              <w:autoSpaceDE/>
              <w:autoSpaceDN/>
              <w:spacing w:before="0" w:after="0" w:line="240" w:lineRule="auto"/>
              <w:ind w:left="0" w:firstLine="0"/>
              <w:jc w:val="center"/>
              <w:rPr>
                <w:rFonts w:hint="default" w:ascii="Times New Roman" w:hAnsi="Times New Roman" w:eastAsia="等线"/>
                <w:b w:val="0"/>
                <w:bCs w:val="0"/>
                <w:color w:val="auto"/>
                <w:sz w:val="21"/>
                <w:szCs w:val="16"/>
                <w:highlight w:val="none"/>
                <w:lang w:val="en-US" w:eastAsia="zh-CN"/>
              </w:rPr>
            </w:pPr>
            <w:r>
              <w:rPr>
                <w:rFonts w:hint="eastAsia" w:eastAsia="等线"/>
                <w:b w:val="0"/>
                <w:bCs w:val="0"/>
                <w:color w:val="auto"/>
                <w:sz w:val="21"/>
                <w:szCs w:val="16"/>
                <w:highlight w:val="none"/>
                <w:lang w:val="en-US" w:eastAsia="zh-CN"/>
              </w:rPr>
              <w:t>43582.96</w:t>
            </w:r>
          </w:p>
        </w:tc>
      </w:tr>
      <w:tr w14:paraId="58E3E66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207C31B2">
            <w:pPr>
              <w:pStyle w:val="52"/>
              <w:spacing w:before="0" w:after="0" w:line="240" w:lineRule="auto"/>
              <w:ind w:left="0" w:firstLine="0"/>
              <w:rPr>
                <w:rFonts w:hint="eastAsia" w:eastAsia="宋体"/>
                <w:b w:val="0"/>
                <w:bCs w:val="0"/>
                <w:color w:val="auto"/>
                <w:sz w:val="21"/>
                <w:szCs w:val="18"/>
                <w:highlight w:val="none"/>
                <w:lang w:val="en-US" w:eastAsia="zh-CN"/>
              </w:rPr>
            </w:pPr>
            <w:r>
              <w:rPr>
                <w:b w:val="0"/>
                <w:bCs w:val="0"/>
                <w:color w:val="auto"/>
                <w:sz w:val="21"/>
                <w:szCs w:val="18"/>
                <w:highlight w:val="none"/>
              </w:rPr>
              <w:t>HW11精蒸馏残渣</w:t>
            </w:r>
            <w:r>
              <w:rPr>
                <w:rFonts w:hint="eastAsia"/>
                <w:b w:val="0"/>
                <w:bCs w:val="0"/>
                <w:color w:val="auto"/>
                <w:sz w:val="21"/>
                <w:szCs w:val="18"/>
                <w:highlight w:val="none"/>
                <w:lang w:val="en-US" w:eastAsia="zh-CN"/>
              </w:rPr>
              <w:t>固态</w:t>
            </w:r>
          </w:p>
        </w:tc>
        <w:tc>
          <w:tcPr>
            <w:tcW w:w="336" w:type="pct"/>
            <w:tcBorders>
              <w:tl2br w:val="nil"/>
              <w:tr2bl w:val="nil"/>
            </w:tcBorders>
            <w:tcMar>
              <w:top w:w="15" w:type="dxa"/>
              <w:left w:w="15" w:type="dxa"/>
              <w:right w:w="15" w:type="dxa"/>
            </w:tcMar>
            <w:vAlign w:val="center"/>
          </w:tcPr>
          <w:p w14:paraId="02D4F4C0">
            <w:pPr>
              <w:pStyle w:val="52"/>
              <w:spacing w:before="0" w:after="0" w:line="240" w:lineRule="auto"/>
              <w:ind w:left="0" w:firstLine="0"/>
              <w:rPr>
                <w:b w:val="0"/>
                <w:bCs w:val="0"/>
                <w:color w:val="auto"/>
                <w:sz w:val="21"/>
                <w:szCs w:val="18"/>
                <w:highlight w:val="none"/>
              </w:rPr>
            </w:pPr>
            <w:r>
              <w:rPr>
                <w:b w:val="0"/>
                <w:bCs w:val="0"/>
                <w:color w:val="auto"/>
                <w:sz w:val="21"/>
                <w:szCs w:val="18"/>
                <w:highlight w:val="none"/>
              </w:rPr>
              <w:t>0.090</w:t>
            </w:r>
          </w:p>
        </w:tc>
        <w:tc>
          <w:tcPr>
            <w:tcW w:w="235" w:type="pct"/>
            <w:tcBorders>
              <w:tl2br w:val="nil"/>
              <w:tr2bl w:val="nil"/>
            </w:tcBorders>
            <w:tcMar>
              <w:top w:w="15" w:type="dxa"/>
              <w:left w:w="15" w:type="dxa"/>
              <w:right w:w="15" w:type="dxa"/>
            </w:tcMar>
            <w:vAlign w:val="center"/>
          </w:tcPr>
          <w:p w14:paraId="2A122271">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15</w:t>
            </w:r>
          </w:p>
        </w:tc>
        <w:tc>
          <w:tcPr>
            <w:tcW w:w="425" w:type="pct"/>
            <w:tcBorders>
              <w:tl2br w:val="nil"/>
              <w:tr2bl w:val="nil"/>
            </w:tcBorders>
            <w:tcMar>
              <w:top w:w="15" w:type="dxa"/>
              <w:left w:w="15" w:type="dxa"/>
              <w:right w:w="15" w:type="dxa"/>
            </w:tcMar>
            <w:vAlign w:val="center"/>
          </w:tcPr>
          <w:p w14:paraId="4B5DA0A2">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0.306</w:t>
            </w:r>
          </w:p>
        </w:tc>
        <w:tc>
          <w:tcPr>
            <w:tcW w:w="426" w:type="pct"/>
            <w:tcBorders>
              <w:tl2br w:val="nil"/>
              <w:tr2bl w:val="nil"/>
            </w:tcBorders>
            <w:tcMar>
              <w:top w:w="15" w:type="dxa"/>
              <w:left w:w="15" w:type="dxa"/>
              <w:right w:w="15" w:type="dxa"/>
            </w:tcMar>
            <w:vAlign w:val="center"/>
          </w:tcPr>
          <w:p w14:paraId="017C214F">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0.36</w:t>
            </w:r>
          </w:p>
        </w:tc>
        <w:tc>
          <w:tcPr>
            <w:tcW w:w="316" w:type="pct"/>
            <w:tcBorders>
              <w:tl2br w:val="nil"/>
              <w:tr2bl w:val="nil"/>
            </w:tcBorders>
            <w:tcMar>
              <w:top w:w="15" w:type="dxa"/>
              <w:left w:w="15" w:type="dxa"/>
              <w:right w:w="15" w:type="dxa"/>
            </w:tcMar>
            <w:vAlign w:val="center"/>
          </w:tcPr>
          <w:p w14:paraId="2D57EFFB">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0.047</w:t>
            </w:r>
          </w:p>
        </w:tc>
        <w:tc>
          <w:tcPr>
            <w:tcW w:w="391" w:type="pct"/>
            <w:tcBorders>
              <w:tl2br w:val="nil"/>
              <w:tr2bl w:val="nil"/>
            </w:tcBorders>
            <w:tcMar>
              <w:top w:w="15" w:type="dxa"/>
              <w:left w:w="15" w:type="dxa"/>
              <w:right w:w="15" w:type="dxa"/>
            </w:tcMar>
            <w:vAlign w:val="center"/>
          </w:tcPr>
          <w:p w14:paraId="05E1315F">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1.133</w:t>
            </w:r>
          </w:p>
        </w:tc>
        <w:tc>
          <w:tcPr>
            <w:tcW w:w="449" w:type="pct"/>
            <w:tcBorders>
              <w:tl2br w:val="nil"/>
              <w:tr2bl w:val="nil"/>
            </w:tcBorders>
            <w:tcMar>
              <w:top w:w="15" w:type="dxa"/>
              <w:left w:w="15" w:type="dxa"/>
              <w:right w:w="15" w:type="dxa"/>
            </w:tcMar>
            <w:vAlign w:val="center"/>
          </w:tcPr>
          <w:p w14:paraId="44F2DC5E">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170</w:t>
            </w:r>
          </w:p>
        </w:tc>
        <w:tc>
          <w:tcPr>
            <w:tcW w:w="316" w:type="pct"/>
            <w:tcBorders>
              <w:tl2br w:val="nil"/>
              <w:tr2bl w:val="nil"/>
            </w:tcBorders>
            <w:tcMar>
              <w:top w:w="15" w:type="dxa"/>
              <w:left w:w="15" w:type="dxa"/>
              <w:right w:w="15" w:type="dxa"/>
            </w:tcMar>
            <w:vAlign w:val="center"/>
          </w:tcPr>
          <w:p w14:paraId="5EB23667">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0.056</w:t>
            </w:r>
          </w:p>
        </w:tc>
        <w:tc>
          <w:tcPr>
            <w:tcW w:w="391" w:type="pct"/>
            <w:tcBorders>
              <w:tl2br w:val="nil"/>
              <w:tr2bl w:val="nil"/>
            </w:tcBorders>
            <w:tcMar>
              <w:top w:w="15" w:type="dxa"/>
              <w:left w:w="15" w:type="dxa"/>
              <w:right w:w="15" w:type="dxa"/>
            </w:tcMar>
            <w:vAlign w:val="center"/>
          </w:tcPr>
          <w:p w14:paraId="6E78E407">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1.33</w:t>
            </w:r>
          </w:p>
        </w:tc>
        <w:tc>
          <w:tcPr>
            <w:tcW w:w="507" w:type="pct"/>
            <w:tcBorders>
              <w:tl2br w:val="nil"/>
              <w:tr2bl w:val="nil"/>
            </w:tcBorders>
            <w:tcMar>
              <w:top w:w="15" w:type="dxa"/>
              <w:left w:w="15" w:type="dxa"/>
              <w:right w:w="15" w:type="dxa"/>
            </w:tcMar>
            <w:vAlign w:val="center"/>
          </w:tcPr>
          <w:p w14:paraId="74594E59">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200</w:t>
            </w:r>
          </w:p>
        </w:tc>
      </w:tr>
      <w:tr w14:paraId="3C670BF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23809F01">
            <w:pPr>
              <w:pStyle w:val="52"/>
              <w:spacing w:before="0" w:after="0" w:line="240" w:lineRule="auto"/>
              <w:ind w:left="0" w:firstLine="0"/>
              <w:rPr>
                <w:rFonts w:hint="eastAsia" w:eastAsia="宋体"/>
                <w:b w:val="0"/>
                <w:bCs w:val="0"/>
                <w:color w:val="auto"/>
                <w:sz w:val="21"/>
                <w:szCs w:val="18"/>
                <w:highlight w:val="none"/>
                <w:lang w:val="en-US" w:eastAsia="zh-CN"/>
              </w:rPr>
            </w:pPr>
            <w:r>
              <w:rPr>
                <w:b w:val="0"/>
                <w:bCs w:val="0"/>
                <w:color w:val="auto"/>
                <w:sz w:val="21"/>
                <w:szCs w:val="18"/>
                <w:highlight w:val="none"/>
              </w:rPr>
              <w:t>HW11精蒸馏残渣</w:t>
            </w:r>
            <w:r>
              <w:rPr>
                <w:rFonts w:hint="eastAsia"/>
                <w:b w:val="0"/>
                <w:bCs w:val="0"/>
                <w:color w:val="auto"/>
                <w:sz w:val="21"/>
                <w:szCs w:val="18"/>
                <w:highlight w:val="none"/>
                <w:lang w:val="en-US" w:eastAsia="zh-CN"/>
              </w:rPr>
              <w:t>液态</w:t>
            </w:r>
          </w:p>
        </w:tc>
        <w:tc>
          <w:tcPr>
            <w:tcW w:w="336" w:type="pct"/>
            <w:tcBorders>
              <w:tl2br w:val="nil"/>
              <w:tr2bl w:val="nil"/>
            </w:tcBorders>
            <w:tcMar>
              <w:top w:w="15" w:type="dxa"/>
              <w:left w:w="15" w:type="dxa"/>
              <w:right w:w="15" w:type="dxa"/>
            </w:tcMar>
            <w:vAlign w:val="center"/>
          </w:tcPr>
          <w:p w14:paraId="0D35CC41">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0.095</w:t>
            </w:r>
          </w:p>
        </w:tc>
        <w:tc>
          <w:tcPr>
            <w:tcW w:w="235" w:type="pct"/>
            <w:tcBorders>
              <w:tl2br w:val="nil"/>
              <w:tr2bl w:val="nil"/>
            </w:tcBorders>
            <w:tcMar>
              <w:top w:w="15" w:type="dxa"/>
              <w:left w:w="15" w:type="dxa"/>
              <w:right w:w="15" w:type="dxa"/>
            </w:tcMar>
            <w:vAlign w:val="center"/>
          </w:tcPr>
          <w:p w14:paraId="4B72AF68">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86.5</w:t>
            </w:r>
          </w:p>
        </w:tc>
        <w:tc>
          <w:tcPr>
            <w:tcW w:w="425" w:type="pct"/>
            <w:tcBorders>
              <w:tl2br w:val="nil"/>
              <w:tr2bl w:val="nil"/>
            </w:tcBorders>
            <w:tcMar>
              <w:top w:w="15" w:type="dxa"/>
              <w:left w:w="15" w:type="dxa"/>
              <w:right w:w="15" w:type="dxa"/>
            </w:tcMar>
            <w:vAlign w:val="center"/>
          </w:tcPr>
          <w:p w14:paraId="07A3EE7B">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0.0122</w:t>
            </w:r>
          </w:p>
        </w:tc>
        <w:tc>
          <w:tcPr>
            <w:tcW w:w="426" w:type="pct"/>
            <w:tcBorders>
              <w:tl2br w:val="nil"/>
              <w:tr2bl w:val="nil"/>
            </w:tcBorders>
            <w:tcMar>
              <w:top w:w="15" w:type="dxa"/>
              <w:left w:w="15" w:type="dxa"/>
              <w:right w:w="15" w:type="dxa"/>
            </w:tcMar>
            <w:vAlign w:val="center"/>
          </w:tcPr>
          <w:p w14:paraId="75B04B4D">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0.09</w:t>
            </w:r>
          </w:p>
        </w:tc>
        <w:tc>
          <w:tcPr>
            <w:tcW w:w="316" w:type="pct"/>
            <w:tcBorders>
              <w:tl2br w:val="nil"/>
              <w:tr2bl w:val="nil"/>
            </w:tcBorders>
            <w:tcMar>
              <w:top w:w="15" w:type="dxa"/>
              <w:left w:w="15" w:type="dxa"/>
              <w:right w:w="15" w:type="dxa"/>
            </w:tcMar>
            <w:vAlign w:val="center"/>
          </w:tcPr>
          <w:p w14:paraId="427D4AFB">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0.0019</w:t>
            </w:r>
          </w:p>
        </w:tc>
        <w:tc>
          <w:tcPr>
            <w:tcW w:w="391" w:type="pct"/>
            <w:tcBorders>
              <w:tl2br w:val="nil"/>
              <w:tr2bl w:val="nil"/>
            </w:tcBorders>
            <w:tcMar>
              <w:top w:w="15" w:type="dxa"/>
              <w:left w:w="15" w:type="dxa"/>
              <w:right w:w="15" w:type="dxa"/>
            </w:tcMar>
            <w:vAlign w:val="center"/>
          </w:tcPr>
          <w:p w14:paraId="20BE5EA2">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0.045</w:t>
            </w:r>
          </w:p>
        </w:tc>
        <w:tc>
          <w:tcPr>
            <w:tcW w:w="449" w:type="pct"/>
            <w:tcBorders>
              <w:tl2br w:val="nil"/>
              <w:tr2bl w:val="nil"/>
            </w:tcBorders>
            <w:tcMar>
              <w:top w:w="15" w:type="dxa"/>
              <w:left w:w="15" w:type="dxa"/>
              <w:right w:w="15" w:type="dxa"/>
            </w:tcMar>
            <w:vAlign w:val="center"/>
          </w:tcPr>
          <w:p w14:paraId="1E03A2AE">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6.75</w:t>
            </w:r>
          </w:p>
        </w:tc>
        <w:tc>
          <w:tcPr>
            <w:tcW w:w="316" w:type="pct"/>
            <w:tcBorders>
              <w:tl2br w:val="nil"/>
              <w:tr2bl w:val="nil"/>
            </w:tcBorders>
            <w:tcMar>
              <w:top w:w="15" w:type="dxa"/>
              <w:left w:w="15" w:type="dxa"/>
              <w:right w:w="15" w:type="dxa"/>
            </w:tcMar>
            <w:vAlign w:val="center"/>
          </w:tcPr>
          <w:p w14:paraId="47D22810">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0.0139</w:t>
            </w:r>
          </w:p>
        </w:tc>
        <w:tc>
          <w:tcPr>
            <w:tcW w:w="391" w:type="pct"/>
            <w:tcBorders>
              <w:tl2br w:val="nil"/>
              <w:tr2bl w:val="nil"/>
            </w:tcBorders>
            <w:tcMar>
              <w:top w:w="15" w:type="dxa"/>
              <w:left w:w="15" w:type="dxa"/>
              <w:right w:w="15" w:type="dxa"/>
            </w:tcMar>
            <w:vAlign w:val="center"/>
          </w:tcPr>
          <w:p w14:paraId="018936C1">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0.33</w:t>
            </w:r>
          </w:p>
        </w:tc>
        <w:tc>
          <w:tcPr>
            <w:tcW w:w="507" w:type="pct"/>
            <w:tcBorders>
              <w:tl2br w:val="nil"/>
              <w:tr2bl w:val="nil"/>
            </w:tcBorders>
            <w:tcMar>
              <w:top w:w="15" w:type="dxa"/>
              <w:left w:w="15" w:type="dxa"/>
              <w:right w:w="15" w:type="dxa"/>
            </w:tcMar>
            <w:vAlign w:val="center"/>
          </w:tcPr>
          <w:p w14:paraId="57CBCD95">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50</w:t>
            </w:r>
          </w:p>
        </w:tc>
      </w:tr>
      <w:tr w14:paraId="43989C5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7" w:hRule="atLeast"/>
        </w:trPr>
        <w:tc>
          <w:tcPr>
            <w:tcW w:w="1201" w:type="pct"/>
            <w:tcBorders>
              <w:tl2br w:val="nil"/>
              <w:tr2bl w:val="nil"/>
            </w:tcBorders>
            <w:tcMar>
              <w:top w:w="15" w:type="dxa"/>
              <w:left w:w="15" w:type="dxa"/>
              <w:right w:w="15" w:type="dxa"/>
            </w:tcMar>
            <w:vAlign w:val="center"/>
          </w:tcPr>
          <w:p w14:paraId="15F303C4">
            <w:pPr>
              <w:pStyle w:val="52"/>
              <w:spacing w:before="0" w:after="0" w:line="240" w:lineRule="auto"/>
              <w:ind w:left="0" w:firstLine="0"/>
              <w:rPr>
                <w:b w:val="0"/>
                <w:bCs w:val="0"/>
                <w:color w:val="auto"/>
                <w:sz w:val="21"/>
                <w:szCs w:val="18"/>
                <w:highlight w:val="none"/>
              </w:rPr>
            </w:pPr>
            <w:r>
              <w:rPr>
                <w:b w:val="0"/>
                <w:bCs w:val="0"/>
                <w:color w:val="auto"/>
                <w:sz w:val="21"/>
                <w:szCs w:val="18"/>
                <w:highlight w:val="none"/>
              </w:rPr>
              <w:t>入窑危废合计</w:t>
            </w:r>
          </w:p>
        </w:tc>
        <w:tc>
          <w:tcPr>
            <w:tcW w:w="336" w:type="pct"/>
            <w:tcBorders>
              <w:tl2br w:val="nil"/>
              <w:tr2bl w:val="nil"/>
            </w:tcBorders>
            <w:tcMar>
              <w:top w:w="15" w:type="dxa"/>
              <w:left w:w="15" w:type="dxa"/>
              <w:right w:w="15" w:type="dxa"/>
            </w:tcMar>
            <w:vAlign w:val="center"/>
          </w:tcPr>
          <w:p w14:paraId="47C5A6A8">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0.185</w:t>
            </w:r>
          </w:p>
        </w:tc>
        <w:tc>
          <w:tcPr>
            <w:tcW w:w="235" w:type="pct"/>
            <w:tcBorders>
              <w:tl2br w:val="nil"/>
              <w:tr2bl w:val="nil"/>
            </w:tcBorders>
            <w:tcMar>
              <w:top w:w="15" w:type="dxa"/>
              <w:left w:w="15" w:type="dxa"/>
              <w:right w:w="15" w:type="dxa"/>
            </w:tcMar>
            <w:vAlign w:val="center"/>
          </w:tcPr>
          <w:p w14:paraId="0D4E6548">
            <w:pPr>
              <w:pStyle w:val="52"/>
              <w:spacing w:before="0" w:after="0" w:line="240" w:lineRule="auto"/>
              <w:ind w:left="0" w:firstLine="0"/>
              <w:rPr>
                <w:rFonts w:hint="eastAsia"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w:t>
            </w:r>
          </w:p>
        </w:tc>
        <w:tc>
          <w:tcPr>
            <w:tcW w:w="425" w:type="pct"/>
            <w:tcBorders>
              <w:tl2br w:val="nil"/>
              <w:tr2bl w:val="nil"/>
            </w:tcBorders>
            <w:tcMar>
              <w:top w:w="15" w:type="dxa"/>
              <w:left w:w="15" w:type="dxa"/>
              <w:right w:w="15" w:type="dxa"/>
            </w:tcMar>
            <w:vAlign w:val="center"/>
          </w:tcPr>
          <w:p w14:paraId="5E528907">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0.3182</w:t>
            </w:r>
          </w:p>
        </w:tc>
        <w:tc>
          <w:tcPr>
            <w:tcW w:w="426" w:type="pct"/>
            <w:tcBorders>
              <w:tl2br w:val="nil"/>
              <w:tr2bl w:val="nil"/>
            </w:tcBorders>
            <w:tcMar>
              <w:top w:w="15" w:type="dxa"/>
              <w:left w:w="15" w:type="dxa"/>
              <w:right w:w="15" w:type="dxa"/>
            </w:tcMar>
            <w:vAlign w:val="center"/>
          </w:tcPr>
          <w:p w14:paraId="52306A6F">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0.45</w:t>
            </w:r>
          </w:p>
        </w:tc>
        <w:tc>
          <w:tcPr>
            <w:tcW w:w="316" w:type="pct"/>
            <w:tcBorders>
              <w:tl2br w:val="nil"/>
              <w:tr2bl w:val="nil"/>
            </w:tcBorders>
            <w:tcMar>
              <w:top w:w="15" w:type="dxa"/>
              <w:left w:w="15" w:type="dxa"/>
              <w:right w:w="15" w:type="dxa"/>
            </w:tcMar>
            <w:vAlign w:val="center"/>
          </w:tcPr>
          <w:p w14:paraId="0E0E91E6">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0.0489</w:t>
            </w:r>
          </w:p>
        </w:tc>
        <w:tc>
          <w:tcPr>
            <w:tcW w:w="391" w:type="pct"/>
            <w:tcBorders>
              <w:tl2br w:val="nil"/>
              <w:tr2bl w:val="nil"/>
            </w:tcBorders>
            <w:tcMar>
              <w:top w:w="15" w:type="dxa"/>
              <w:left w:w="15" w:type="dxa"/>
              <w:right w:w="15" w:type="dxa"/>
            </w:tcMar>
            <w:vAlign w:val="center"/>
          </w:tcPr>
          <w:p w14:paraId="26AFF5D3">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1.178</w:t>
            </w:r>
          </w:p>
        </w:tc>
        <w:tc>
          <w:tcPr>
            <w:tcW w:w="449" w:type="pct"/>
            <w:tcBorders>
              <w:tl2br w:val="nil"/>
              <w:tr2bl w:val="nil"/>
            </w:tcBorders>
            <w:tcMar>
              <w:top w:w="15" w:type="dxa"/>
              <w:left w:w="15" w:type="dxa"/>
              <w:right w:w="15" w:type="dxa"/>
            </w:tcMar>
            <w:vAlign w:val="center"/>
          </w:tcPr>
          <w:p w14:paraId="6E27A844">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176.75</w:t>
            </w:r>
          </w:p>
        </w:tc>
        <w:tc>
          <w:tcPr>
            <w:tcW w:w="316" w:type="pct"/>
            <w:tcBorders>
              <w:tl2br w:val="nil"/>
              <w:tr2bl w:val="nil"/>
            </w:tcBorders>
            <w:tcMar>
              <w:top w:w="15" w:type="dxa"/>
              <w:left w:w="15" w:type="dxa"/>
              <w:right w:w="15" w:type="dxa"/>
            </w:tcMar>
            <w:vAlign w:val="center"/>
          </w:tcPr>
          <w:p w14:paraId="3BD8506C">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0.0699</w:t>
            </w:r>
          </w:p>
        </w:tc>
        <w:tc>
          <w:tcPr>
            <w:tcW w:w="391" w:type="pct"/>
            <w:tcBorders>
              <w:tl2br w:val="nil"/>
              <w:tr2bl w:val="nil"/>
            </w:tcBorders>
            <w:tcMar>
              <w:top w:w="15" w:type="dxa"/>
              <w:left w:w="15" w:type="dxa"/>
              <w:right w:w="15" w:type="dxa"/>
            </w:tcMar>
            <w:vAlign w:val="center"/>
          </w:tcPr>
          <w:p w14:paraId="04ED348A">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1.66</w:t>
            </w:r>
          </w:p>
        </w:tc>
        <w:tc>
          <w:tcPr>
            <w:tcW w:w="507" w:type="pct"/>
            <w:tcBorders>
              <w:tl2br w:val="nil"/>
              <w:tr2bl w:val="nil"/>
            </w:tcBorders>
            <w:tcMar>
              <w:top w:w="15" w:type="dxa"/>
              <w:left w:w="15" w:type="dxa"/>
              <w:right w:w="15" w:type="dxa"/>
            </w:tcMar>
            <w:vAlign w:val="center"/>
          </w:tcPr>
          <w:p w14:paraId="27698192">
            <w:pPr>
              <w:pStyle w:val="52"/>
              <w:spacing w:before="0" w:after="0" w:line="240" w:lineRule="auto"/>
              <w:ind w:left="0" w:firstLine="0"/>
              <w:rPr>
                <w:rFonts w:hint="default" w:eastAsia="宋体"/>
                <w:b w:val="0"/>
                <w:bCs w:val="0"/>
                <w:color w:val="auto"/>
                <w:sz w:val="21"/>
                <w:szCs w:val="18"/>
                <w:highlight w:val="none"/>
                <w:lang w:val="en-US" w:eastAsia="zh-CN"/>
              </w:rPr>
            </w:pPr>
            <w:r>
              <w:rPr>
                <w:rFonts w:hint="eastAsia"/>
                <w:b w:val="0"/>
                <w:bCs w:val="0"/>
                <w:color w:val="auto"/>
                <w:sz w:val="21"/>
                <w:szCs w:val="18"/>
                <w:highlight w:val="none"/>
                <w:lang w:val="en-US" w:eastAsia="zh-CN"/>
              </w:rPr>
              <w:t>250</w:t>
            </w:r>
          </w:p>
        </w:tc>
      </w:tr>
    </w:tbl>
    <w:p w14:paraId="71FD898E">
      <w:pPr>
        <w:pStyle w:val="205"/>
        <w:spacing w:line="240" w:lineRule="auto"/>
        <w:rPr>
          <w:rFonts w:hint="default" w:ascii="Times New Roman" w:hAnsi="Times New Roman" w:cs="Times New Roman"/>
        </w:rPr>
      </w:pPr>
      <w:r>
        <w:rPr>
          <w:rFonts w:hint="default" w:ascii="Times New Roman" w:hAnsi="Times New Roman" w:cs="Times New Roman"/>
        </w:rPr>
        <w:object>
          <v:shape id="_x0000_i1028" o:spt="75" type="#_x0000_t75" style="height:198.45pt;width:298.45pt;" o:ole="t" filled="f" o:preferrelative="t" stroked="f" coordsize="21600,21600">
            <v:path/>
            <v:fill on="f" focussize="0,0"/>
            <v:stroke on="f"/>
            <v:imagedata r:id="rId24" cropleft="3194f" cropright="3263f" cropbottom="38653f" o:title=""/>
            <o:lock v:ext="edit" aspectratio="t"/>
            <w10:wrap type="none"/>
            <w10:anchorlock/>
          </v:shape>
          <o:OLEObject Type="Embed" ProgID="Visio.Drawing.11" ShapeID="_x0000_i1028" DrawAspect="Content" ObjectID="_1468075728" r:id="rId23">
            <o:LockedField>false</o:LockedField>
          </o:OLEObject>
        </w:object>
      </w:r>
    </w:p>
    <w:p w14:paraId="3C2E4153">
      <w:pPr>
        <w:pStyle w:val="205"/>
        <w:rPr>
          <w:rFonts w:hint="default" w:ascii="Times New Roman" w:hAnsi="Times New Roman" w:eastAsia="宋体" w:cs="Times New Roman"/>
          <w:b/>
          <w:bCs/>
          <w:color w:val="000000" w:themeColor="text1"/>
          <w:sz w:val="24"/>
          <w:szCs w:val="20"/>
          <w:highlight w:val="none"/>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0"/>
          <w:highlight w:val="none"/>
          <w:lang w:val="en-US" w:eastAsia="zh-CN" w:bidi="ar-SA"/>
          <w14:textFill>
            <w14:solidFill>
              <w14:schemeClr w14:val="tx1"/>
            </w14:solidFill>
          </w14:textFill>
        </w:rPr>
        <w:t>图</w:t>
      </w:r>
      <w:r>
        <w:rPr>
          <w:rFonts w:hint="default" w:ascii="Times New Roman" w:hAnsi="Times New Roman" w:eastAsia="宋体" w:cs="Times New Roman"/>
          <w:b/>
          <w:bCs/>
          <w:color w:val="000000" w:themeColor="text1"/>
          <w:sz w:val="24"/>
          <w:szCs w:val="20"/>
          <w:highlight w:val="none"/>
          <w:lang w:val="en-US" w:eastAsia="zh-CN" w:bidi="ar-SA"/>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0"/>
          <w:highlight w:val="none"/>
          <w:lang w:val="en-US" w:eastAsia="zh-CN" w:bidi="ar-SA"/>
          <w14:textFill>
            <w14:solidFill>
              <w14:schemeClr w14:val="tx1"/>
            </w14:solidFill>
          </w14:textFill>
        </w:rPr>
        <w:instrText xml:space="preserve"> STYLEREF 2 \s </w:instrText>
      </w:r>
      <w:r>
        <w:rPr>
          <w:rFonts w:hint="default" w:ascii="Times New Roman" w:hAnsi="Times New Roman" w:eastAsia="宋体" w:cs="Times New Roman"/>
          <w:b/>
          <w:bCs/>
          <w:color w:val="000000" w:themeColor="text1"/>
          <w:sz w:val="24"/>
          <w:szCs w:val="20"/>
          <w:highlight w:val="none"/>
          <w:lang w:val="en-US" w:eastAsia="zh-CN" w:bidi="ar-SA"/>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0"/>
          <w:highlight w:val="none"/>
          <w:lang w:val="en-US" w:eastAsia="zh-CN" w:bidi="ar-SA"/>
          <w14:textFill>
            <w14:solidFill>
              <w14:schemeClr w14:val="tx1"/>
            </w14:solidFill>
          </w14:textFill>
        </w:rPr>
        <w:t>3.3</w:t>
      </w:r>
      <w:r>
        <w:rPr>
          <w:rFonts w:hint="default" w:ascii="Times New Roman" w:hAnsi="Times New Roman" w:eastAsia="宋体" w:cs="Times New Roman"/>
          <w:b/>
          <w:bCs/>
          <w:color w:val="000000" w:themeColor="text1"/>
          <w:sz w:val="24"/>
          <w:szCs w:val="20"/>
          <w:highlight w:val="none"/>
          <w:lang w:val="en-US" w:eastAsia="zh-CN" w:bidi="ar-SA"/>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0"/>
          <w:highlight w:val="none"/>
          <w:lang w:val="en-US" w:eastAsia="zh-CN" w:bidi="ar-SA"/>
          <w14:textFill>
            <w14:solidFill>
              <w14:schemeClr w14:val="tx1"/>
            </w14:solidFill>
          </w14:textFill>
        </w:rPr>
        <w:t>-1 本项目总物料平衡图（单位：t/a）</w:t>
      </w:r>
    </w:p>
    <w:p w14:paraId="29FDC8EC">
      <w:pPr>
        <w:pStyle w:val="6"/>
        <w:rPr>
          <w:rFonts w:hint="default" w:ascii="Times New Roman" w:hAnsi="Times New Roman" w:eastAsia="宋体" w:cs="Times New Roman"/>
          <w:highlight w:val="none"/>
          <w:lang w:val="zh-CN" w:eastAsia="zh-CN"/>
        </w:rPr>
      </w:pPr>
      <w:r>
        <w:rPr>
          <w:rFonts w:hint="default" w:ascii="Times New Roman" w:hAnsi="Times New Roman" w:eastAsia="宋体" w:cs="Times New Roman"/>
          <w:highlight w:val="none"/>
          <w:lang w:val="zh-CN" w:eastAsia="zh-CN"/>
        </w:rPr>
        <w:t>（</w:t>
      </w:r>
      <w:r>
        <w:rPr>
          <w:rFonts w:hint="default" w:ascii="Times New Roman" w:hAnsi="Times New Roman" w:eastAsia="宋体" w:cs="Times New Roman"/>
          <w:highlight w:val="none"/>
          <w:lang w:val="en-US" w:eastAsia="zh-CN"/>
        </w:rPr>
        <w:t>3</w:t>
      </w:r>
      <w:r>
        <w:rPr>
          <w:rFonts w:hint="default" w:ascii="Times New Roman" w:hAnsi="Times New Roman" w:eastAsia="宋体" w:cs="Times New Roman"/>
          <w:highlight w:val="none"/>
          <w:lang w:val="zh-CN" w:eastAsia="zh-CN"/>
        </w:rPr>
        <w:t>）重金属及元素平衡</w:t>
      </w:r>
    </w:p>
    <w:p w14:paraId="456D80C4">
      <w:pPr>
        <w:pStyle w:val="6"/>
        <w:rPr>
          <w:rFonts w:hint="default" w:ascii="Times New Roman" w:hAnsi="Times New Roman" w:eastAsia="宋体" w:cs="Times New Roman"/>
          <w:lang w:val="en-US" w:eastAsia="zh-CN"/>
        </w:rPr>
      </w:pPr>
      <w:r>
        <w:rPr>
          <w:rFonts w:hint="default" w:ascii="Times New Roman" w:hAnsi="Times New Roman" w:eastAsia="宋体" w:cs="Times New Roman"/>
          <w:lang w:val="zh-CN" w:eastAsia="zh-CN"/>
        </w:rPr>
        <w:t>项目拟处置危废</w:t>
      </w:r>
      <w:r>
        <w:rPr>
          <w:rFonts w:hint="default" w:ascii="Times New Roman" w:hAnsi="Times New Roman" w:eastAsia="宋体" w:cs="Times New Roman"/>
          <w:lang w:val="en-US" w:eastAsia="zh-CN"/>
        </w:rPr>
        <w:t>为新疆兴发化工有限公司年二甲基亚砜生产线生产过程年产生</w:t>
      </w:r>
      <w:r>
        <w:rPr>
          <w:rFonts w:hint="default" w:ascii="Times New Roman" w:hAnsi="Times New Roman" w:cs="Times New Roman"/>
          <w:lang w:val="en-US" w:eastAsia="zh-CN"/>
        </w:rPr>
        <w:t>固态</w:t>
      </w:r>
      <w:r>
        <w:rPr>
          <w:rFonts w:hint="default" w:ascii="Times New Roman" w:hAnsi="Times New Roman" w:eastAsia="宋体" w:cs="Times New Roman"/>
          <w:lang w:val="en-US" w:eastAsia="zh-CN"/>
        </w:rPr>
        <w:t>精馏残渣</w:t>
      </w:r>
      <w:r>
        <w:rPr>
          <w:rFonts w:hint="default" w:ascii="Times New Roman" w:hAnsi="Times New Roman" w:eastAsia="宋体" w:cs="Times New Roman"/>
          <w:highlight w:val="none"/>
          <w:lang w:val="en-US" w:eastAsia="zh-CN"/>
        </w:rPr>
        <w:t>（</w:t>
      </w:r>
      <w:r>
        <w:rPr>
          <w:rFonts w:hint="default" w:ascii="Times New Roman" w:hAnsi="Times New Roman" w:cs="Times New Roman"/>
          <w:highlight w:val="none"/>
          <w:lang w:val="en-US" w:eastAsia="zh-CN"/>
        </w:rPr>
        <w:t>以</w:t>
      </w:r>
      <w:r>
        <w:rPr>
          <w:rFonts w:hint="eastAsia" w:cs="Times New Roman"/>
          <w:highlight w:val="none"/>
          <w:lang w:val="en-US" w:eastAsia="zh-CN"/>
        </w:rPr>
        <w:t>甲磺酸钠</w:t>
      </w:r>
      <w:r>
        <w:rPr>
          <w:rFonts w:hint="default" w:ascii="Times New Roman" w:hAnsi="Times New Roman" w:cs="Times New Roman"/>
          <w:highlight w:val="none"/>
          <w:lang w:val="en-US" w:eastAsia="zh-CN"/>
        </w:rPr>
        <w:t>为主，CH</w:t>
      </w:r>
      <w:r>
        <w:rPr>
          <w:rFonts w:hint="default" w:ascii="Times New Roman" w:hAnsi="Times New Roman" w:cs="Times New Roman"/>
          <w:highlight w:val="none"/>
          <w:vertAlign w:val="subscript"/>
          <w:lang w:val="en-US" w:eastAsia="zh-CN"/>
        </w:rPr>
        <w:t>3</w:t>
      </w:r>
      <w:r>
        <w:rPr>
          <w:rFonts w:hint="default" w:ascii="Times New Roman" w:hAnsi="Times New Roman" w:cs="Times New Roman"/>
          <w:highlight w:val="none"/>
          <w:lang w:val="en-US" w:eastAsia="zh-CN"/>
        </w:rPr>
        <w:t>NaO</w:t>
      </w:r>
      <w:r>
        <w:rPr>
          <w:rFonts w:hint="default" w:ascii="Times New Roman" w:hAnsi="Times New Roman" w:cs="Times New Roman"/>
          <w:highlight w:val="none"/>
          <w:vertAlign w:val="subscript"/>
          <w:lang w:val="en-US" w:eastAsia="zh-CN"/>
        </w:rPr>
        <w:t>2</w:t>
      </w:r>
      <w:r>
        <w:rPr>
          <w:rFonts w:hint="default" w:ascii="Times New Roman" w:hAnsi="Times New Roman" w:cs="Times New Roman"/>
          <w:highlight w:val="none"/>
          <w:lang w:val="en-US" w:eastAsia="zh-CN"/>
        </w:rPr>
        <w:t>S</w:t>
      </w:r>
      <w:r>
        <w:rPr>
          <w:rFonts w:hint="default" w:ascii="Times New Roman" w:hAnsi="Times New Roman" w:eastAsia="宋体" w:cs="Times New Roman"/>
          <w:highlight w:val="none"/>
          <w:lang w:val="en-US" w:eastAsia="zh-CN"/>
        </w:rPr>
        <w:t>）</w:t>
      </w:r>
      <w:r>
        <w:rPr>
          <w:rFonts w:hint="default" w:ascii="Times New Roman" w:hAnsi="Times New Roman" w:eastAsia="宋体" w:cs="Times New Roman"/>
          <w:lang w:val="en-US" w:eastAsia="zh-CN"/>
        </w:rPr>
        <w:t>以及</w:t>
      </w:r>
      <w:r>
        <w:rPr>
          <w:rFonts w:hint="default" w:ascii="Times New Roman" w:hAnsi="Times New Roman" w:cs="Times New Roman"/>
          <w:lang w:val="en-US" w:eastAsia="zh-CN"/>
        </w:rPr>
        <w:t>液态精馏残液</w:t>
      </w:r>
      <w:r>
        <w:rPr>
          <w:rFonts w:hint="default" w:ascii="Times New Roman" w:hAnsi="Times New Roman" w:eastAsia="宋体" w:cs="Times New Roman"/>
          <w:lang w:val="en-US" w:eastAsia="zh-CN"/>
        </w:rPr>
        <w:t>（</w:t>
      </w:r>
      <w:r>
        <w:rPr>
          <w:rFonts w:hint="default" w:ascii="Times New Roman" w:hAnsi="Times New Roman" w:cs="Times New Roman"/>
          <w:lang w:val="en-US" w:eastAsia="zh-CN"/>
        </w:rPr>
        <w:t>以二甲基硫醚为主，</w:t>
      </w:r>
      <w:r>
        <w:rPr>
          <w:rFonts w:hint="default" w:ascii="Times New Roman" w:hAnsi="Times New Roman" w:eastAsia="宋体" w:cs="Times New Roman"/>
          <w:lang w:val="en-US" w:eastAsia="zh-CN"/>
        </w:rPr>
        <w:t>C</w:t>
      </w:r>
      <w:r>
        <w:rPr>
          <w:rFonts w:hint="default" w:ascii="Times New Roman" w:hAnsi="Times New Roman" w:cs="Times New Roman"/>
          <w:vertAlign w:val="subscript"/>
          <w:lang w:val="en-US" w:eastAsia="zh-CN"/>
        </w:rPr>
        <w:t>4</w:t>
      </w:r>
      <w:r>
        <w:rPr>
          <w:rFonts w:hint="default" w:ascii="Times New Roman" w:hAnsi="Times New Roman" w:eastAsia="宋体" w:cs="Times New Roman"/>
          <w:lang w:val="en-US" w:eastAsia="zh-CN"/>
        </w:rPr>
        <w:t>H</w:t>
      </w:r>
      <w:r>
        <w:rPr>
          <w:rFonts w:hint="default" w:ascii="Times New Roman" w:hAnsi="Times New Roman" w:cs="Times New Roman"/>
          <w:vertAlign w:val="subscript"/>
          <w:lang w:val="en-US" w:eastAsia="zh-CN"/>
        </w:rPr>
        <w:t>10</w:t>
      </w:r>
      <w:r>
        <w:rPr>
          <w:rFonts w:hint="default" w:ascii="Times New Roman" w:hAnsi="Times New Roman" w:eastAsia="宋体" w:cs="Times New Roman"/>
          <w:lang w:val="en-US" w:eastAsia="zh-CN"/>
        </w:rPr>
        <w:t>S），不含有重金属、氟、氯</w:t>
      </w:r>
      <w:r>
        <w:rPr>
          <w:rFonts w:hint="default" w:ascii="Times New Roman" w:hAnsi="Times New Roman" w:cs="Times New Roman"/>
          <w:lang w:val="en-US" w:eastAsia="zh-CN"/>
        </w:rPr>
        <w:t>等元素</w:t>
      </w:r>
      <w:r>
        <w:rPr>
          <w:rFonts w:hint="default" w:ascii="Times New Roman" w:hAnsi="Times New Roman" w:eastAsia="宋体" w:cs="Times New Roman"/>
          <w:lang w:val="en-US" w:eastAsia="zh-CN"/>
        </w:rPr>
        <w:t>。</w:t>
      </w:r>
      <w:r>
        <w:rPr>
          <w:rFonts w:hint="default" w:ascii="Times New Roman" w:hAnsi="Times New Roman" w:cs="Times New Roman"/>
        </w:rPr>
        <w:t>窑灰采用直接掺加入水泥熟料的处置方式，同时严格控制其掺加比例，确保水泥产品中的氯、碱、硫含量满足要求，水泥产品环境安全性满足相关标准的要求。本评价考虑最不利情况下重金属排放系数取《&lt;水泥窑协同处置固体废物污染控制标准&gt;编制说明》中的上限值。</w:t>
      </w:r>
    </w:p>
    <w:p w14:paraId="0A6DBB9B">
      <w:pPr>
        <w:pStyle w:val="6"/>
        <w:rPr>
          <w:rFonts w:hint="default" w:ascii="Times New Roman" w:hAnsi="Times New Roman" w:cs="Times New Roman"/>
          <w:highlight w:val="none"/>
        </w:rPr>
      </w:pPr>
      <w:r>
        <w:rPr>
          <w:rFonts w:hint="default" w:ascii="Times New Roman" w:hAnsi="Times New Roman" w:cs="Times New Roman"/>
          <w:highlight w:val="none"/>
        </w:rPr>
        <w:t>本项目实施后，3200t/d熟料生产线的元素硫元素平衡见</w:t>
      </w:r>
      <w:r>
        <w:rPr>
          <w:rFonts w:hint="default" w:ascii="Times New Roman" w:hAnsi="Times New Roman" w:cs="Times New Roman"/>
          <w:highlight w:val="none"/>
        </w:rPr>
        <w:fldChar w:fldCharType="begin"/>
      </w:r>
      <w:r>
        <w:rPr>
          <w:rFonts w:hint="default" w:ascii="Times New Roman" w:hAnsi="Times New Roman" w:cs="Times New Roman"/>
          <w:highlight w:val="none"/>
        </w:rPr>
        <w:instrText xml:space="preserve"> REF _Ref132726036 \h  \* MERGEFORMAT </w:instrText>
      </w:r>
      <w:r>
        <w:rPr>
          <w:rFonts w:hint="default" w:ascii="Times New Roman" w:hAnsi="Times New Roman" w:cs="Times New Roman"/>
          <w:highlight w:val="none"/>
        </w:rPr>
        <w:fldChar w:fldCharType="separate"/>
      </w:r>
      <w:r>
        <w:rPr>
          <w:rFonts w:hint="default" w:ascii="Times New Roman" w:hAnsi="Times New Roman" w:cs="Times New Roman"/>
          <w:highlight w:val="none"/>
        </w:rPr>
        <w:t>表3.</w:t>
      </w:r>
      <w:r>
        <w:rPr>
          <w:rFonts w:hint="default" w:ascii="Times New Roman" w:hAnsi="Times New Roman" w:cs="Times New Roman"/>
          <w:highlight w:val="none"/>
          <w:lang w:val="en-US" w:eastAsia="zh-CN"/>
        </w:rPr>
        <w:t>3-</w:t>
      </w:r>
      <w:r>
        <w:rPr>
          <w:rFonts w:hint="default" w:ascii="Times New Roman" w:hAnsi="Times New Roman" w:cs="Times New Roman"/>
          <w:highlight w:val="none"/>
        </w:rPr>
        <w:fldChar w:fldCharType="end"/>
      </w:r>
      <w:r>
        <w:rPr>
          <w:rFonts w:hint="eastAsia" w:cs="Times New Roman"/>
          <w:highlight w:val="none"/>
          <w:lang w:val="en-US" w:eastAsia="zh-CN"/>
        </w:rPr>
        <w:t>5</w:t>
      </w:r>
      <w:r>
        <w:rPr>
          <w:rFonts w:hint="default" w:ascii="Times New Roman" w:hAnsi="Times New Roman" w:cs="Times New Roman"/>
          <w:highlight w:val="none"/>
        </w:rPr>
        <w:t>。</w:t>
      </w:r>
    </w:p>
    <w:p w14:paraId="67C184C9">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pPr>
      <w:r>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t>表</w:t>
      </w:r>
      <w:r>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fldChar w:fldCharType="begin"/>
      </w:r>
      <w:r>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instrText xml:space="preserve"> STYLEREF 2 \s </w:instrText>
      </w:r>
      <w:r>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fldChar w:fldCharType="separate"/>
      </w:r>
      <w:r>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t>3.3</w:t>
      </w:r>
      <w:r>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fldChar w:fldCharType="end"/>
      </w:r>
      <w:r>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t>-</w:t>
      </w:r>
      <w:r>
        <w:rPr>
          <w:rFonts w:hint="eastAsia" w:cs="Times New Roman"/>
          <w:b/>
          <w:bCs/>
          <w:color w:val="000000" w:themeColor="text1"/>
          <w:sz w:val="24"/>
          <w:szCs w:val="20"/>
          <w:lang w:val="en-US" w:eastAsia="zh-CN" w:bidi="ar-SA"/>
          <w14:textFill>
            <w14:solidFill>
              <w14:schemeClr w14:val="tx1"/>
            </w14:solidFill>
          </w14:textFill>
        </w:rPr>
        <w:t>5</w:t>
      </w:r>
      <w:r>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t xml:space="preserve"> </w:t>
      </w:r>
      <w:r>
        <w:rPr>
          <w:rFonts w:hint="eastAsia" w:cs="Times New Roman"/>
          <w:b/>
          <w:bCs/>
          <w:color w:val="000000" w:themeColor="text1"/>
          <w:sz w:val="24"/>
          <w:szCs w:val="20"/>
          <w:lang w:val="en-US" w:eastAsia="zh-CN" w:bidi="ar-SA"/>
          <w14:textFill>
            <w14:solidFill>
              <w14:schemeClr w14:val="tx1"/>
            </w14:solidFill>
          </w14:textFill>
        </w:rPr>
        <w:t>项目实施后</w:t>
      </w:r>
      <w:r>
        <w:rPr>
          <w:rFonts w:hint="default" w:ascii="Times New Roman" w:hAnsi="Times New Roman" w:eastAsia="宋体" w:cs="Times New Roman"/>
          <w:b/>
          <w:bCs/>
          <w:color w:val="000000" w:themeColor="text1"/>
          <w:sz w:val="24"/>
          <w:szCs w:val="20"/>
          <w:lang w:val="en-US" w:eastAsia="zh-CN" w:bidi="ar-SA"/>
          <w14:textFill>
            <w14:solidFill>
              <w14:schemeClr w14:val="tx1"/>
            </w14:solidFill>
          </w14:textFill>
        </w:rPr>
        <w:t>3200t/d熟料生产线S平衡表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808"/>
        <w:gridCol w:w="1808"/>
        <w:gridCol w:w="2442"/>
        <w:gridCol w:w="2272"/>
      </w:tblGrid>
      <w:tr w14:paraId="25E7161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3645ED3E">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物料名称</w:t>
            </w:r>
          </w:p>
        </w:tc>
        <w:tc>
          <w:tcPr>
            <w:tcW w:w="1085" w:type="pct"/>
            <w:tcBorders>
              <w:tl2br w:val="nil"/>
              <w:tr2bl w:val="nil"/>
            </w:tcBorders>
            <w:shd w:val="clear" w:color="auto" w:fill="auto"/>
            <w:noWrap/>
            <w:tcMar>
              <w:top w:w="15" w:type="dxa"/>
              <w:left w:w="15" w:type="dxa"/>
              <w:bottom w:w="0" w:type="dxa"/>
              <w:right w:w="15" w:type="dxa"/>
            </w:tcMar>
            <w:vAlign w:val="center"/>
          </w:tcPr>
          <w:p w14:paraId="43D29A1D">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含硫</w:t>
            </w:r>
            <w:r>
              <w:rPr>
                <w:rFonts w:hint="default" w:ascii="Times New Roman" w:hAnsi="Times New Roman" w:cs="Times New Roman"/>
                <w:b/>
                <w:bCs/>
                <w:color w:val="000000" w:themeColor="text1"/>
                <w:sz w:val="21"/>
                <w:szCs w:val="21"/>
                <w:lang w:val="en-US" w:eastAsia="zh-CN"/>
                <w14:textFill>
                  <w14:solidFill>
                    <w14:schemeClr w14:val="tx1"/>
                  </w14:solidFill>
                </w14:textFill>
              </w:rPr>
              <w:t>量</w:t>
            </w:r>
            <w:r>
              <w:rPr>
                <w:rFonts w:hint="default" w:ascii="Times New Roman" w:hAnsi="Times New Roman" w:cs="Times New Roman"/>
                <w:b/>
                <w:bCs/>
                <w:color w:val="000000" w:themeColor="text1"/>
                <w:sz w:val="21"/>
                <w:szCs w:val="21"/>
                <w14:textFill>
                  <w14:solidFill>
                    <w14:schemeClr w14:val="tx1"/>
                  </w14:solidFill>
                </w14:textFill>
              </w:rPr>
              <w:t>（%）</w:t>
            </w:r>
          </w:p>
        </w:tc>
        <w:tc>
          <w:tcPr>
            <w:tcW w:w="1465" w:type="pct"/>
            <w:tcBorders>
              <w:tl2br w:val="nil"/>
              <w:tr2bl w:val="nil"/>
            </w:tcBorders>
            <w:shd w:val="clear" w:color="auto" w:fill="auto"/>
            <w:noWrap/>
            <w:tcMar>
              <w:top w:w="15" w:type="dxa"/>
              <w:left w:w="15" w:type="dxa"/>
              <w:bottom w:w="0" w:type="dxa"/>
              <w:right w:w="15" w:type="dxa"/>
            </w:tcMar>
            <w:vAlign w:val="center"/>
          </w:tcPr>
          <w:p w14:paraId="50C1230F">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物料量（kg/h）</w:t>
            </w:r>
          </w:p>
        </w:tc>
        <w:tc>
          <w:tcPr>
            <w:tcW w:w="1363" w:type="pct"/>
            <w:tcBorders>
              <w:tl2br w:val="nil"/>
              <w:tr2bl w:val="nil"/>
            </w:tcBorders>
            <w:shd w:val="clear" w:color="auto" w:fill="auto"/>
            <w:noWrap/>
            <w:tcMar>
              <w:top w:w="15" w:type="dxa"/>
              <w:left w:w="15" w:type="dxa"/>
              <w:bottom w:w="0" w:type="dxa"/>
              <w:right w:w="15" w:type="dxa"/>
            </w:tcMar>
            <w:vAlign w:val="center"/>
          </w:tcPr>
          <w:p w14:paraId="458541FD">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含硫量（kg/h）</w:t>
            </w:r>
          </w:p>
        </w:tc>
      </w:tr>
      <w:tr w14:paraId="73E22AC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7F2930D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石灰石</w:t>
            </w:r>
          </w:p>
        </w:tc>
        <w:tc>
          <w:tcPr>
            <w:tcW w:w="1085" w:type="pct"/>
            <w:tcBorders>
              <w:tl2br w:val="nil"/>
              <w:tr2bl w:val="nil"/>
            </w:tcBorders>
            <w:shd w:val="clear" w:color="auto" w:fill="auto"/>
            <w:noWrap/>
            <w:tcMar>
              <w:top w:w="15" w:type="dxa"/>
              <w:left w:w="15" w:type="dxa"/>
              <w:bottom w:w="0" w:type="dxa"/>
              <w:right w:w="15" w:type="dxa"/>
            </w:tcMar>
            <w:vAlign w:val="center"/>
          </w:tcPr>
          <w:p w14:paraId="14B75F4C">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0.01</w:t>
            </w:r>
          </w:p>
        </w:tc>
        <w:tc>
          <w:tcPr>
            <w:tcW w:w="1465" w:type="pct"/>
            <w:tcBorders>
              <w:tl2br w:val="nil"/>
              <w:tr2bl w:val="nil"/>
            </w:tcBorders>
            <w:shd w:val="clear" w:color="auto" w:fill="auto"/>
            <w:noWrap/>
            <w:tcMar>
              <w:top w:w="15" w:type="dxa"/>
              <w:left w:w="15" w:type="dxa"/>
              <w:bottom w:w="0" w:type="dxa"/>
              <w:right w:w="15" w:type="dxa"/>
            </w:tcMar>
            <w:vAlign w:val="center"/>
          </w:tcPr>
          <w:p w14:paraId="761FEA88">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78622</w:t>
            </w:r>
          </w:p>
        </w:tc>
        <w:tc>
          <w:tcPr>
            <w:tcW w:w="1363" w:type="pct"/>
            <w:tcBorders>
              <w:tl2br w:val="nil"/>
              <w:tr2bl w:val="nil"/>
            </w:tcBorders>
            <w:shd w:val="clear" w:color="auto" w:fill="auto"/>
            <w:noWrap/>
            <w:tcMar>
              <w:top w:w="15" w:type="dxa"/>
              <w:left w:w="15" w:type="dxa"/>
              <w:bottom w:w="0" w:type="dxa"/>
              <w:right w:w="15" w:type="dxa"/>
            </w:tcMar>
            <w:vAlign w:val="center"/>
          </w:tcPr>
          <w:p w14:paraId="65EC523C">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7.8622</w:t>
            </w:r>
          </w:p>
        </w:tc>
      </w:tr>
      <w:tr w14:paraId="5CF8D95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2F9ECB1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铜渣</w:t>
            </w:r>
          </w:p>
        </w:tc>
        <w:tc>
          <w:tcPr>
            <w:tcW w:w="1085" w:type="pct"/>
            <w:tcBorders>
              <w:tl2br w:val="nil"/>
              <w:tr2bl w:val="nil"/>
            </w:tcBorders>
            <w:shd w:val="clear" w:color="auto" w:fill="auto"/>
            <w:noWrap/>
            <w:tcMar>
              <w:top w:w="15" w:type="dxa"/>
              <w:left w:w="15" w:type="dxa"/>
              <w:bottom w:w="0" w:type="dxa"/>
              <w:right w:w="15" w:type="dxa"/>
            </w:tcMar>
            <w:vAlign w:val="center"/>
          </w:tcPr>
          <w:p w14:paraId="7AE2E4CA">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0</w:t>
            </w:r>
          </w:p>
        </w:tc>
        <w:tc>
          <w:tcPr>
            <w:tcW w:w="1465" w:type="pct"/>
            <w:tcBorders>
              <w:tl2br w:val="nil"/>
              <w:tr2bl w:val="nil"/>
            </w:tcBorders>
            <w:shd w:val="clear" w:color="auto" w:fill="auto"/>
            <w:noWrap/>
            <w:tcMar>
              <w:top w:w="15" w:type="dxa"/>
              <w:left w:w="15" w:type="dxa"/>
              <w:bottom w:w="0" w:type="dxa"/>
              <w:right w:w="15" w:type="dxa"/>
            </w:tcMar>
            <w:vAlign w:val="center"/>
          </w:tcPr>
          <w:p w14:paraId="37A258D8">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3220</w:t>
            </w:r>
          </w:p>
        </w:tc>
        <w:tc>
          <w:tcPr>
            <w:tcW w:w="1363" w:type="pct"/>
            <w:tcBorders>
              <w:tl2br w:val="nil"/>
              <w:tr2bl w:val="nil"/>
            </w:tcBorders>
            <w:shd w:val="clear" w:color="auto" w:fill="auto"/>
            <w:noWrap/>
            <w:tcMar>
              <w:top w:w="15" w:type="dxa"/>
              <w:left w:w="15" w:type="dxa"/>
              <w:bottom w:w="0" w:type="dxa"/>
              <w:right w:w="15" w:type="dxa"/>
            </w:tcMar>
            <w:vAlign w:val="center"/>
          </w:tcPr>
          <w:p w14:paraId="4AB31F3A">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0</w:t>
            </w:r>
          </w:p>
        </w:tc>
      </w:tr>
      <w:tr w14:paraId="42E3589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03DDD327">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煤矸石</w:t>
            </w:r>
          </w:p>
        </w:tc>
        <w:tc>
          <w:tcPr>
            <w:tcW w:w="1085" w:type="pct"/>
            <w:tcBorders>
              <w:tl2br w:val="nil"/>
              <w:tr2bl w:val="nil"/>
            </w:tcBorders>
            <w:shd w:val="clear" w:color="auto" w:fill="auto"/>
            <w:noWrap/>
            <w:tcMar>
              <w:top w:w="15" w:type="dxa"/>
              <w:left w:w="15" w:type="dxa"/>
              <w:bottom w:w="0" w:type="dxa"/>
              <w:right w:w="15" w:type="dxa"/>
            </w:tcMar>
            <w:vAlign w:val="center"/>
          </w:tcPr>
          <w:p w14:paraId="70767C5C">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0.08</w:t>
            </w:r>
          </w:p>
        </w:tc>
        <w:tc>
          <w:tcPr>
            <w:tcW w:w="1465" w:type="pct"/>
            <w:tcBorders>
              <w:tl2br w:val="nil"/>
              <w:tr2bl w:val="nil"/>
            </w:tcBorders>
            <w:shd w:val="clear" w:color="auto" w:fill="auto"/>
            <w:noWrap/>
            <w:tcMar>
              <w:top w:w="15" w:type="dxa"/>
              <w:left w:w="15" w:type="dxa"/>
              <w:bottom w:w="0" w:type="dxa"/>
              <w:right w:w="15" w:type="dxa"/>
            </w:tcMar>
            <w:vAlign w:val="center"/>
          </w:tcPr>
          <w:p w14:paraId="2F1CB20D">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7130</w:t>
            </w:r>
          </w:p>
        </w:tc>
        <w:tc>
          <w:tcPr>
            <w:tcW w:w="1363" w:type="pct"/>
            <w:tcBorders>
              <w:tl2br w:val="nil"/>
              <w:tr2bl w:val="nil"/>
            </w:tcBorders>
            <w:shd w:val="clear" w:color="auto" w:fill="auto"/>
            <w:noWrap/>
            <w:tcMar>
              <w:top w:w="15" w:type="dxa"/>
              <w:left w:w="15" w:type="dxa"/>
              <w:bottom w:w="0" w:type="dxa"/>
              <w:right w:w="15" w:type="dxa"/>
            </w:tcMar>
            <w:vAlign w:val="center"/>
          </w:tcPr>
          <w:p w14:paraId="4261FD9B">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5.704</w:t>
            </w:r>
          </w:p>
        </w:tc>
      </w:tr>
      <w:tr w14:paraId="22FEC01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1F2BFD6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黄砂岩</w:t>
            </w:r>
          </w:p>
        </w:tc>
        <w:tc>
          <w:tcPr>
            <w:tcW w:w="1085" w:type="pct"/>
            <w:tcBorders>
              <w:tl2br w:val="nil"/>
              <w:tr2bl w:val="nil"/>
            </w:tcBorders>
            <w:shd w:val="clear" w:color="auto" w:fill="auto"/>
            <w:noWrap/>
            <w:tcMar>
              <w:top w:w="15" w:type="dxa"/>
              <w:left w:w="15" w:type="dxa"/>
              <w:bottom w:w="0" w:type="dxa"/>
              <w:right w:w="15" w:type="dxa"/>
            </w:tcMar>
            <w:vAlign w:val="center"/>
          </w:tcPr>
          <w:p w14:paraId="4C9B03DE">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0.04</w:t>
            </w:r>
          </w:p>
        </w:tc>
        <w:tc>
          <w:tcPr>
            <w:tcW w:w="1465" w:type="pct"/>
            <w:tcBorders>
              <w:tl2br w:val="nil"/>
              <w:tr2bl w:val="nil"/>
            </w:tcBorders>
            <w:shd w:val="clear" w:color="auto" w:fill="auto"/>
            <w:noWrap/>
            <w:tcMar>
              <w:top w:w="15" w:type="dxa"/>
              <w:left w:w="15" w:type="dxa"/>
              <w:bottom w:w="0" w:type="dxa"/>
              <w:right w:w="15" w:type="dxa"/>
            </w:tcMar>
            <w:vAlign w:val="center"/>
          </w:tcPr>
          <w:p w14:paraId="24C70E22">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5107</w:t>
            </w:r>
          </w:p>
        </w:tc>
        <w:tc>
          <w:tcPr>
            <w:tcW w:w="1363" w:type="pct"/>
            <w:tcBorders>
              <w:tl2br w:val="nil"/>
              <w:tr2bl w:val="nil"/>
            </w:tcBorders>
            <w:shd w:val="clear" w:color="auto" w:fill="auto"/>
            <w:noWrap/>
            <w:tcMar>
              <w:top w:w="15" w:type="dxa"/>
              <w:left w:w="15" w:type="dxa"/>
              <w:bottom w:w="0" w:type="dxa"/>
              <w:right w:w="15" w:type="dxa"/>
            </w:tcMar>
            <w:vAlign w:val="center"/>
          </w:tcPr>
          <w:p w14:paraId="4794E8E1">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2.0428</w:t>
            </w:r>
          </w:p>
        </w:tc>
      </w:tr>
      <w:tr w14:paraId="15611A4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74271ED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页岩</w:t>
            </w:r>
          </w:p>
        </w:tc>
        <w:tc>
          <w:tcPr>
            <w:tcW w:w="1085" w:type="pct"/>
            <w:tcBorders>
              <w:tl2br w:val="nil"/>
              <w:tr2bl w:val="nil"/>
            </w:tcBorders>
            <w:shd w:val="clear" w:color="auto" w:fill="auto"/>
            <w:noWrap/>
            <w:tcMar>
              <w:top w:w="15" w:type="dxa"/>
              <w:left w:w="15" w:type="dxa"/>
              <w:bottom w:w="0" w:type="dxa"/>
              <w:right w:w="15" w:type="dxa"/>
            </w:tcMar>
            <w:vAlign w:val="center"/>
          </w:tcPr>
          <w:p w14:paraId="5CB6A991">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0.33</w:t>
            </w:r>
          </w:p>
        </w:tc>
        <w:tc>
          <w:tcPr>
            <w:tcW w:w="1465" w:type="pct"/>
            <w:tcBorders>
              <w:tl2br w:val="nil"/>
              <w:tr2bl w:val="nil"/>
            </w:tcBorders>
            <w:shd w:val="clear" w:color="auto" w:fill="auto"/>
            <w:noWrap/>
            <w:tcMar>
              <w:top w:w="15" w:type="dxa"/>
              <w:left w:w="15" w:type="dxa"/>
              <w:bottom w:w="0" w:type="dxa"/>
              <w:right w:w="15" w:type="dxa"/>
            </w:tcMar>
            <w:vAlign w:val="center"/>
          </w:tcPr>
          <w:p w14:paraId="03C843AF">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6328</w:t>
            </w:r>
          </w:p>
        </w:tc>
        <w:tc>
          <w:tcPr>
            <w:tcW w:w="1363" w:type="pct"/>
            <w:tcBorders>
              <w:tl2br w:val="nil"/>
              <w:tr2bl w:val="nil"/>
            </w:tcBorders>
            <w:shd w:val="clear" w:color="auto" w:fill="auto"/>
            <w:noWrap/>
            <w:tcMar>
              <w:top w:w="15" w:type="dxa"/>
              <w:left w:w="15" w:type="dxa"/>
              <w:bottom w:w="0" w:type="dxa"/>
              <w:right w:w="15" w:type="dxa"/>
            </w:tcMar>
            <w:vAlign w:val="center"/>
          </w:tcPr>
          <w:p w14:paraId="6B526AB7">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20.8824</w:t>
            </w:r>
          </w:p>
        </w:tc>
      </w:tr>
      <w:tr w14:paraId="2428F1C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3F6989F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锌渣</w:t>
            </w:r>
          </w:p>
        </w:tc>
        <w:tc>
          <w:tcPr>
            <w:tcW w:w="1085" w:type="pct"/>
            <w:tcBorders>
              <w:tl2br w:val="nil"/>
              <w:tr2bl w:val="nil"/>
            </w:tcBorders>
            <w:shd w:val="clear" w:color="auto" w:fill="auto"/>
            <w:noWrap/>
            <w:tcMar>
              <w:top w:w="15" w:type="dxa"/>
              <w:left w:w="15" w:type="dxa"/>
              <w:bottom w:w="0" w:type="dxa"/>
              <w:right w:w="15" w:type="dxa"/>
            </w:tcMar>
            <w:vAlign w:val="center"/>
          </w:tcPr>
          <w:p w14:paraId="7C227424">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4.37</w:t>
            </w:r>
          </w:p>
        </w:tc>
        <w:tc>
          <w:tcPr>
            <w:tcW w:w="1465" w:type="pct"/>
            <w:tcBorders>
              <w:tl2br w:val="nil"/>
              <w:tr2bl w:val="nil"/>
            </w:tcBorders>
            <w:shd w:val="clear" w:color="auto" w:fill="auto"/>
            <w:noWrap/>
            <w:tcMar>
              <w:top w:w="15" w:type="dxa"/>
              <w:left w:w="15" w:type="dxa"/>
              <w:bottom w:w="0" w:type="dxa"/>
              <w:right w:w="15" w:type="dxa"/>
            </w:tcMar>
            <w:vAlign w:val="center"/>
          </w:tcPr>
          <w:p w14:paraId="1BB07D3F">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460</w:t>
            </w:r>
          </w:p>
        </w:tc>
        <w:tc>
          <w:tcPr>
            <w:tcW w:w="1363" w:type="pct"/>
            <w:tcBorders>
              <w:tl2br w:val="nil"/>
              <w:tr2bl w:val="nil"/>
            </w:tcBorders>
            <w:shd w:val="clear" w:color="auto" w:fill="auto"/>
            <w:noWrap/>
            <w:tcMar>
              <w:top w:w="15" w:type="dxa"/>
              <w:left w:w="15" w:type="dxa"/>
              <w:bottom w:w="0" w:type="dxa"/>
              <w:right w:w="15" w:type="dxa"/>
            </w:tcMar>
            <w:vAlign w:val="center"/>
          </w:tcPr>
          <w:p w14:paraId="7B616F69">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20.102</w:t>
            </w:r>
          </w:p>
        </w:tc>
      </w:tr>
      <w:tr w14:paraId="0AC9CE8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44640147">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color w:val="000000" w:themeColor="text1"/>
                <w:sz w:val="21"/>
                <w:szCs w:val="21"/>
                <w:lang w:val="en-US" w:eastAsia="zh-CN" w:bidi="ar-SA"/>
                <w14:textFill>
                  <w14:solidFill>
                    <w14:schemeClr w14:val="tx1"/>
                  </w14:solidFill>
                </w14:textFill>
              </w:rPr>
            </w:pPr>
            <w:r>
              <w:rPr>
                <w:rFonts w:hint="default" w:ascii="Times New Roman" w:hAnsi="Times New Roman" w:eastAsia="宋体" w:cs="Times New Roman"/>
                <w:i w:val="0"/>
                <w:iCs w:val="0"/>
                <w:color w:val="000000"/>
                <w:kern w:val="0"/>
                <w:sz w:val="21"/>
                <w:szCs w:val="21"/>
                <w:u w:val="none"/>
                <w:lang w:val="en-US" w:eastAsia="zh-CN" w:bidi="ar"/>
              </w:rPr>
              <w:t>烟煤</w:t>
            </w:r>
          </w:p>
        </w:tc>
        <w:tc>
          <w:tcPr>
            <w:tcW w:w="1085" w:type="pct"/>
            <w:tcBorders>
              <w:tl2br w:val="nil"/>
              <w:tr2bl w:val="nil"/>
            </w:tcBorders>
            <w:shd w:val="clear" w:color="auto" w:fill="auto"/>
            <w:noWrap/>
            <w:tcMar>
              <w:top w:w="15" w:type="dxa"/>
              <w:left w:w="15" w:type="dxa"/>
              <w:bottom w:w="0" w:type="dxa"/>
              <w:right w:w="15" w:type="dxa"/>
            </w:tcMar>
            <w:vAlign w:val="center"/>
          </w:tcPr>
          <w:p w14:paraId="21E5F21D">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0.51</w:t>
            </w:r>
          </w:p>
        </w:tc>
        <w:tc>
          <w:tcPr>
            <w:tcW w:w="1465" w:type="pct"/>
            <w:tcBorders>
              <w:tl2br w:val="nil"/>
              <w:tr2bl w:val="nil"/>
            </w:tcBorders>
            <w:shd w:val="clear" w:color="auto" w:fill="auto"/>
            <w:noWrap/>
            <w:tcMar>
              <w:top w:w="15" w:type="dxa"/>
              <w:left w:w="15" w:type="dxa"/>
              <w:bottom w:w="0" w:type="dxa"/>
              <w:right w:w="15" w:type="dxa"/>
            </w:tcMar>
            <w:vAlign w:val="center"/>
          </w:tcPr>
          <w:p w14:paraId="6F3ADD08">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7430</w:t>
            </w:r>
          </w:p>
        </w:tc>
        <w:tc>
          <w:tcPr>
            <w:tcW w:w="1363" w:type="pct"/>
            <w:tcBorders>
              <w:tl2br w:val="nil"/>
              <w:tr2bl w:val="nil"/>
            </w:tcBorders>
            <w:shd w:val="clear" w:color="auto" w:fill="auto"/>
            <w:noWrap/>
            <w:tcMar>
              <w:top w:w="15" w:type="dxa"/>
              <w:left w:w="15" w:type="dxa"/>
              <w:bottom w:w="0" w:type="dxa"/>
              <w:right w:w="15" w:type="dxa"/>
            </w:tcMar>
            <w:vAlign w:val="center"/>
          </w:tcPr>
          <w:p w14:paraId="2828F6B1">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37.893</w:t>
            </w:r>
          </w:p>
        </w:tc>
      </w:tr>
      <w:tr w14:paraId="101AA4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79C0604E">
            <w:pPr>
              <w:pStyle w:val="52"/>
              <w:spacing w:before="0" w:after="0" w:line="240" w:lineRule="auto"/>
              <w:ind w:left="0" w:firstLine="0"/>
              <w:rPr>
                <w:rFonts w:hint="default" w:ascii="Times New Roman" w:hAnsi="Times New Roman" w:cs="Times New Roman"/>
                <w:color w:val="auto"/>
                <w:sz w:val="21"/>
                <w:szCs w:val="21"/>
                <w:highlight w:val="yellow"/>
              </w:rPr>
            </w:pPr>
            <w:r>
              <w:rPr>
                <w:rFonts w:hint="eastAsia" w:cs="Times New Roman"/>
                <w:color w:val="auto"/>
                <w:sz w:val="21"/>
                <w:szCs w:val="21"/>
                <w:highlight w:val="none"/>
                <w:lang w:val="en-US" w:eastAsia="zh-CN"/>
              </w:rPr>
              <w:t>液态</w:t>
            </w:r>
            <w:r>
              <w:rPr>
                <w:rFonts w:hint="default" w:ascii="Times New Roman" w:hAnsi="Times New Roman" w:cs="Times New Roman"/>
                <w:color w:val="auto"/>
                <w:sz w:val="21"/>
                <w:szCs w:val="21"/>
                <w:highlight w:val="none"/>
              </w:rPr>
              <w:t>危险废物</w:t>
            </w:r>
          </w:p>
        </w:tc>
        <w:tc>
          <w:tcPr>
            <w:tcW w:w="1085" w:type="pct"/>
            <w:tcBorders>
              <w:tl2br w:val="nil"/>
              <w:tr2bl w:val="nil"/>
            </w:tcBorders>
            <w:shd w:val="clear" w:color="auto" w:fill="auto"/>
            <w:noWrap/>
            <w:tcMar>
              <w:top w:w="15" w:type="dxa"/>
              <w:left w:w="15" w:type="dxa"/>
              <w:bottom w:w="0" w:type="dxa"/>
              <w:right w:w="15" w:type="dxa"/>
            </w:tcMar>
            <w:vAlign w:val="center"/>
          </w:tcPr>
          <w:p w14:paraId="7FE34793">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41.3</w:t>
            </w:r>
          </w:p>
        </w:tc>
        <w:tc>
          <w:tcPr>
            <w:tcW w:w="1465" w:type="pct"/>
            <w:tcBorders>
              <w:tl2br w:val="nil"/>
              <w:tr2bl w:val="nil"/>
            </w:tcBorders>
            <w:shd w:val="clear" w:color="auto" w:fill="auto"/>
            <w:tcMar>
              <w:top w:w="15" w:type="dxa"/>
              <w:left w:w="15" w:type="dxa"/>
              <w:bottom w:w="0" w:type="dxa"/>
              <w:right w:w="15" w:type="dxa"/>
            </w:tcMar>
            <w:vAlign w:val="center"/>
          </w:tcPr>
          <w:p w14:paraId="572CDF85">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13.89</w:t>
            </w:r>
          </w:p>
        </w:tc>
        <w:tc>
          <w:tcPr>
            <w:tcW w:w="1363" w:type="pct"/>
            <w:tcBorders>
              <w:tl2br w:val="nil"/>
              <w:tr2bl w:val="nil"/>
            </w:tcBorders>
            <w:shd w:val="clear" w:color="auto" w:fill="auto"/>
            <w:noWrap/>
            <w:tcMar>
              <w:top w:w="15" w:type="dxa"/>
              <w:left w:w="15" w:type="dxa"/>
              <w:bottom w:w="0" w:type="dxa"/>
              <w:right w:w="15" w:type="dxa"/>
            </w:tcMar>
            <w:vAlign w:val="center"/>
          </w:tcPr>
          <w:p w14:paraId="77A2F90A">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5.736</w:t>
            </w:r>
          </w:p>
        </w:tc>
      </w:tr>
      <w:tr w14:paraId="7725BCF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63421123">
            <w:pPr>
              <w:pStyle w:val="52"/>
              <w:spacing w:before="0" w:after="0" w:line="240" w:lineRule="auto"/>
              <w:ind w:left="0" w:firstLine="0"/>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固态危险废物</w:t>
            </w:r>
          </w:p>
        </w:tc>
        <w:tc>
          <w:tcPr>
            <w:tcW w:w="1085" w:type="pct"/>
            <w:tcBorders>
              <w:tl2br w:val="nil"/>
              <w:tr2bl w:val="nil"/>
            </w:tcBorders>
            <w:shd w:val="clear" w:color="auto" w:fill="auto"/>
            <w:noWrap/>
            <w:tcMar>
              <w:top w:w="15" w:type="dxa"/>
              <w:left w:w="15" w:type="dxa"/>
              <w:bottom w:w="0" w:type="dxa"/>
              <w:right w:w="15" w:type="dxa"/>
            </w:tcMar>
            <w:vAlign w:val="center"/>
          </w:tcPr>
          <w:p w14:paraId="160B8818">
            <w:pPr>
              <w:pStyle w:val="52"/>
              <w:spacing w:before="0" w:after="0" w:line="240" w:lineRule="auto"/>
              <w:ind w:left="0" w:leftChars="0" w:firstLine="0" w:firstLineChars="0"/>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19.4</w:t>
            </w:r>
          </w:p>
        </w:tc>
        <w:tc>
          <w:tcPr>
            <w:tcW w:w="1465" w:type="pct"/>
            <w:tcBorders>
              <w:tl2br w:val="nil"/>
              <w:tr2bl w:val="nil"/>
            </w:tcBorders>
            <w:shd w:val="clear" w:color="auto" w:fill="auto"/>
            <w:tcMar>
              <w:top w:w="15" w:type="dxa"/>
              <w:left w:w="15" w:type="dxa"/>
              <w:bottom w:w="0" w:type="dxa"/>
              <w:right w:w="15" w:type="dxa"/>
            </w:tcMar>
            <w:vAlign w:val="center"/>
          </w:tcPr>
          <w:p w14:paraId="78043876">
            <w:pPr>
              <w:pStyle w:val="52"/>
              <w:spacing w:before="0" w:after="0" w:line="240" w:lineRule="auto"/>
              <w:ind w:left="0" w:leftChars="0" w:firstLine="0" w:firstLine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55.56</w:t>
            </w:r>
          </w:p>
        </w:tc>
        <w:tc>
          <w:tcPr>
            <w:tcW w:w="1363" w:type="pct"/>
            <w:tcBorders>
              <w:tl2br w:val="nil"/>
              <w:tr2bl w:val="nil"/>
            </w:tcBorders>
            <w:shd w:val="clear" w:color="auto" w:fill="auto"/>
            <w:noWrap/>
            <w:tcMar>
              <w:top w:w="15" w:type="dxa"/>
              <w:left w:w="15" w:type="dxa"/>
              <w:bottom w:w="0" w:type="dxa"/>
              <w:right w:w="15" w:type="dxa"/>
            </w:tcMar>
            <w:vAlign w:val="center"/>
          </w:tcPr>
          <w:p w14:paraId="0A7E7D21">
            <w:pPr>
              <w:pStyle w:val="52"/>
              <w:spacing w:before="0" w:after="0" w:line="240" w:lineRule="auto"/>
              <w:ind w:left="0" w:leftChars="0" w:firstLine="0" w:firstLineChars="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10.7786</w:t>
            </w:r>
          </w:p>
        </w:tc>
      </w:tr>
      <w:tr w14:paraId="025B7CC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4B621F3B">
            <w:pPr>
              <w:pStyle w:val="52"/>
              <w:spacing w:before="0" w:after="0" w:line="240" w:lineRule="auto"/>
              <w:ind w:left="0" w:firstLine="0"/>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输入总计</w:t>
            </w:r>
          </w:p>
        </w:tc>
        <w:tc>
          <w:tcPr>
            <w:tcW w:w="1085" w:type="pct"/>
            <w:tcBorders>
              <w:tl2br w:val="nil"/>
              <w:tr2bl w:val="nil"/>
            </w:tcBorders>
            <w:shd w:val="clear" w:color="auto" w:fill="auto"/>
            <w:noWrap/>
            <w:tcMar>
              <w:top w:w="15" w:type="dxa"/>
              <w:left w:w="15" w:type="dxa"/>
              <w:bottom w:w="0" w:type="dxa"/>
              <w:right w:w="15" w:type="dxa"/>
            </w:tcMar>
            <w:vAlign w:val="center"/>
          </w:tcPr>
          <w:p w14:paraId="3B7B8786">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eastAsia" w:eastAsia="等线" w:cs="Times New Roman"/>
                <w:color w:val="auto"/>
                <w:sz w:val="21"/>
                <w:szCs w:val="21"/>
                <w:highlight w:val="none"/>
                <w:lang w:val="en-US" w:eastAsia="zh-CN"/>
              </w:rPr>
              <w:t>0.0264</w:t>
            </w:r>
          </w:p>
        </w:tc>
        <w:tc>
          <w:tcPr>
            <w:tcW w:w="1465" w:type="pct"/>
            <w:tcBorders>
              <w:tl2br w:val="nil"/>
              <w:tr2bl w:val="nil"/>
            </w:tcBorders>
            <w:shd w:val="clear" w:color="auto" w:fill="auto"/>
            <w:noWrap/>
            <w:tcMar>
              <w:top w:w="15" w:type="dxa"/>
              <w:left w:w="15" w:type="dxa"/>
              <w:bottom w:w="0" w:type="dxa"/>
              <w:right w:w="15" w:type="dxa"/>
            </w:tcMar>
            <w:vAlign w:val="center"/>
          </w:tcPr>
          <w:p w14:paraId="17AB0CA1">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1083</w:t>
            </w:r>
            <w:r>
              <w:rPr>
                <w:rFonts w:hint="eastAsia" w:cs="Times New Roman"/>
                <w:color w:val="auto"/>
                <w:sz w:val="21"/>
                <w:szCs w:val="21"/>
                <w:highlight w:val="none"/>
                <w:lang w:val="en-US" w:eastAsia="zh-CN"/>
              </w:rPr>
              <w:t>66.44</w:t>
            </w:r>
          </w:p>
        </w:tc>
        <w:tc>
          <w:tcPr>
            <w:tcW w:w="1363" w:type="pct"/>
            <w:tcBorders>
              <w:tl2br w:val="nil"/>
              <w:tr2bl w:val="nil"/>
            </w:tcBorders>
            <w:shd w:val="clear" w:color="auto" w:fill="auto"/>
            <w:noWrap/>
            <w:tcMar>
              <w:top w:w="15" w:type="dxa"/>
              <w:left w:w="15" w:type="dxa"/>
              <w:bottom w:w="0" w:type="dxa"/>
              <w:right w:w="15" w:type="dxa"/>
            </w:tcMar>
            <w:vAlign w:val="center"/>
          </w:tcPr>
          <w:p w14:paraId="3A30BFC0">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111.001</w:t>
            </w:r>
          </w:p>
        </w:tc>
      </w:tr>
      <w:tr w14:paraId="12CE2D7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499FB1B4">
            <w:pPr>
              <w:pStyle w:val="52"/>
              <w:spacing w:before="0" w:after="0" w:line="240" w:lineRule="auto"/>
              <w:ind w:left="0" w:firstLine="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熟料</w:t>
            </w:r>
          </w:p>
        </w:tc>
        <w:tc>
          <w:tcPr>
            <w:tcW w:w="1085" w:type="pct"/>
            <w:tcBorders>
              <w:tl2br w:val="nil"/>
              <w:tr2bl w:val="nil"/>
            </w:tcBorders>
            <w:shd w:val="clear" w:color="auto" w:fill="auto"/>
            <w:noWrap/>
            <w:tcMar>
              <w:top w:w="15" w:type="dxa"/>
              <w:left w:w="15" w:type="dxa"/>
              <w:bottom w:w="0" w:type="dxa"/>
              <w:right w:w="15" w:type="dxa"/>
            </w:tcMar>
            <w:vAlign w:val="center"/>
          </w:tcPr>
          <w:p w14:paraId="2E188B5B">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lang w:val="en-US" w:eastAsia="zh-CN"/>
              </w:rPr>
              <w:t>0.0</w:t>
            </w:r>
            <w:r>
              <w:rPr>
                <w:rFonts w:hint="eastAsia" w:eastAsia="等线" w:cs="Times New Roman"/>
                <w:color w:val="auto"/>
                <w:sz w:val="21"/>
                <w:szCs w:val="21"/>
                <w:highlight w:val="none"/>
                <w:lang w:val="en-US" w:eastAsia="zh-CN"/>
              </w:rPr>
              <w:t>887</w:t>
            </w:r>
          </w:p>
        </w:tc>
        <w:tc>
          <w:tcPr>
            <w:tcW w:w="1465" w:type="pct"/>
            <w:tcBorders>
              <w:tl2br w:val="nil"/>
              <w:tr2bl w:val="nil"/>
            </w:tcBorders>
            <w:shd w:val="clear" w:color="auto" w:fill="auto"/>
            <w:noWrap/>
            <w:tcMar>
              <w:top w:w="15" w:type="dxa"/>
              <w:left w:w="15" w:type="dxa"/>
              <w:bottom w:w="0" w:type="dxa"/>
              <w:right w:w="15" w:type="dxa"/>
            </w:tcMar>
            <w:vAlign w:val="center"/>
          </w:tcPr>
          <w:p w14:paraId="3ED169A2">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133333</w:t>
            </w:r>
          </w:p>
        </w:tc>
        <w:tc>
          <w:tcPr>
            <w:tcW w:w="1363" w:type="pct"/>
            <w:tcBorders>
              <w:tl2br w:val="nil"/>
              <w:tr2bl w:val="nil"/>
            </w:tcBorders>
            <w:shd w:val="clear" w:color="auto" w:fill="auto"/>
            <w:noWrap/>
            <w:tcMar>
              <w:top w:w="15" w:type="dxa"/>
              <w:left w:w="15" w:type="dxa"/>
              <w:bottom w:w="0" w:type="dxa"/>
              <w:right w:w="15" w:type="dxa"/>
            </w:tcMar>
            <w:vAlign w:val="center"/>
          </w:tcPr>
          <w:p w14:paraId="456619BE">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106.2274</w:t>
            </w:r>
          </w:p>
        </w:tc>
      </w:tr>
      <w:tr w14:paraId="3C61F16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73123FD4">
            <w:pPr>
              <w:pStyle w:val="52"/>
              <w:spacing w:before="0" w:after="0" w:line="240" w:lineRule="auto"/>
              <w:ind w:left="0" w:firstLine="0"/>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废气</w:t>
            </w:r>
          </w:p>
        </w:tc>
        <w:tc>
          <w:tcPr>
            <w:tcW w:w="1085" w:type="pct"/>
            <w:tcBorders>
              <w:tl2br w:val="nil"/>
              <w:tr2bl w:val="nil"/>
            </w:tcBorders>
            <w:shd w:val="clear" w:color="auto" w:fill="auto"/>
            <w:noWrap/>
            <w:tcMar>
              <w:top w:w="15" w:type="dxa"/>
              <w:left w:w="15" w:type="dxa"/>
              <w:bottom w:w="0" w:type="dxa"/>
              <w:right w:w="15" w:type="dxa"/>
            </w:tcMar>
            <w:vAlign w:val="center"/>
          </w:tcPr>
          <w:p w14:paraId="35A40B7A">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9.83</w:t>
            </w:r>
            <w:r>
              <w:rPr>
                <w:rFonts w:hint="default" w:ascii="Times New Roman" w:hAnsi="Times New Roman" w:cs="Times New Roman"/>
                <w:color w:val="auto"/>
                <w:sz w:val="21"/>
                <w:szCs w:val="21"/>
                <w:highlight w:val="none"/>
              </w:rPr>
              <w:t>mg/m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（SO</w:t>
            </w:r>
            <w:r>
              <w:rPr>
                <w:rFonts w:hint="default" w:ascii="Times New Roman" w:hAnsi="Times New Roman" w:cs="Times New Roman"/>
                <w:color w:val="auto"/>
                <w:sz w:val="21"/>
                <w:szCs w:val="21"/>
                <w:highlight w:val="none"/>
                <w:vertAlign w:val="subscript"/>
              </w:rPr>
              <w:t>2</w:t>
            </w:r>
            <w:r>
              <w:rPr>
                <w:rFonts w:hint="default" w:ascii="Times New Roman" w:hAnsi="Times New Roman" w:cs="Times New Roman"/>
                <w:color w:val="auto"/>
                <w:sz w:val="21"/>
                <w:szCs w:val="21"/>
                <w:highlight w:val="none"/>
              </w:rPr>
              <w:t>）</w:t>
            </w:r>
          </w:p>
        </w:tc>
        <w:tc>
          <w:tcPr>
            <w:tcW w:w="1465" w:type="pct"/>
            <w:tcBorders>
              <w:tl2br w:val="nil"/>
              <w:tr2bl w:val="nil"/>
            </w:tcBorders>
            <w:shd w:val="clear" w:color="auto" w:fill="auto"/>
            <w:noWrap/>
            <w:tcMar>
              <w:top w:w="15" w:type="dxa"/>
              <w:left w:w="15" w:type="dxa"/>
              <w:bottom w:w="0" w:type="dxa"/>
              <w:right w:w="15" w:type="dxa"/>
            </w:tcMar>
            <w:vAlign w:val="center"/>
          </w:tcPr>
          <w:p w14:paraId="4A2AB666">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485617</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/h</w:t>
            </w:r>
          </w:p>
        </w:tc>
        <w:tc>
          <w:tcPr>
            <w:tcW w:w="1363" w:type="pct"/>
            <w:tcBorders>
              <w:tl2br w:val="nil"/>
              <w:tr2bl w:val="nil"/>
            </w:tcBorders>
            <w:shd w:val="clear" w:color="auto" w:fill="auto"/>
            <w:noWrap/>
            <w:tcMar>
              <w:top w:w="15" w:type="dxa"/>
              <w:left w:w="15" w:type="dxa"/>
              <w:bottom w:w="0" w:type="dxa"/>
              <w:right w:w="15" w:type="dxa"/>
            </w:tcMar>
            <w:vAlign w:val="center"/>
          </w:tcPr>
          <w:p w14:paraId="409B00B2">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4.7736</w:t>
            </w:r>
          </w:p>
        </w:tc>
      </w:tr>
      <w:tr w14:paraId="3713247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085" w:type="pct"/>
            <w:tcBorders>
              <w:tl2br w:val="nil"/>
              <w:tr2bl w:val="nil"/>
            </w:tcBorders>
            <w:shd w:val="clear" w:color="auto" w:fill="auto"/>
            <w:noWrap/>
            <w:tcMar>
              <w:top w:w="15" w:type="dxa"/>
              <w:left w:w="15" w:type="dxa"/>
              <w:bottom w:w="0" w:type="dxa"/>
              <w:right w:w="15" w:type="dxa"/>
            </w:tcMar>
            <w:vAlign w:val="center"/>
          </w:tcPr>
          <w:p w14:paraId="7F918B2E">
            <w:pPr>
              <w:pStyle w:val="52"/>
              <w:spacing w:before="0" w:after="0" w:line="240" w:lineRule="auto"/>
              <w:ind w:left="0" w:firstLine="0"/>
              <w:rPr>
                <w:rFonts w:hint="default" w:ascii="Times New Roman" w:hAnsi="Times New Roman" w:cs="Times New Roman"/>
                <w:color w:val="auto"/>
                <w:sz w:val="21"/>
                <w:szCs w:val="21"/>
              </w:rPr>
            </w:pPr>
            <w:r>
              <w:rPr>
                <w:rFonts w:hint="default" w:ascii="Times New Roman" w:hAnsi="Times New Roman" w:cs="Times New Roman"/>
                <w:b/>
                <w:bCs/>
                <w:color w:val="auto"/>
                <w:sz w:val="21"/>
                <w:szCs w:val="21"/>
              </w:rPr>
              <w:t>输出总计</w:t>
            </w:r>
          </w:p>
        </w:tc>
        <w:tc>
          <w:tcPr>
            <w:tcW w:w="1085" w:type="pct"/>
            <w:tcBorders>
              <w:tl2br w:val="nil"/>
              <w:tr2bl w:val="nil"/>
            </w:tcBorders>
            <w:shd w:val="clear" w:color="auto" w:fill="auto"/>
            <w:noWrap/>
            <w:tcMar>
              <w:top w:w="15" w:type="dxa"/>
              <w:left w:w="15" w:type="dxa"/>
              <w:bottom w:w="0" w:type="dxa"/>
              <w:right w:w="15" w:type="dxa"/>
            </w:tcMar>
            <w:vAlign w:val="center"/>
          </w:tcPr>
          <w:p w14:paraId="7F67DEC9">
            <w:pPr>
              <w:pStyle w:val="52"/>
              <w:spacing w:before="0" w:after="0" w:line="240" w:lineRule="auto"/>
              <w:ind w:left="0" w:leftChars="0" w:firstLine="0" w:firstLineChars="0"/>
              <w:rPr>
                <w:rFonts w:hint="default" w:ascii="Times New Roman" w:hAnsi="Times New Roman" w:eastAsia="等线"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rPr>
              <w:t>——</w:t>
            </w:r>
          </w:p>
        </w:tc>
        <w:tc>
          <w:tcPr>
            <w:tcW w:w="1465" w:type="pct"/>
            <w:tcBorders>
              <w:tl2br w:val="nil"/>
              <w:tr2bl w:val="nil"/>
            </w:tcBorders>
            <w:shd w:val="clear" w:color="auto" w:fill="auto"/>
            <w:noWrap/>
            <w:tcMar>
              <w:top w:w="15" w:type="dxa"/>
              <w:left w:w="15" w:type="dxa"/>
              <w:bottom w:w="0" w:type="dxa"/>
              <w:right w:w="15" w:type="dxa"/>
            </w:tcMar>
            <w:vAlign w:val="center"/>
          </w:tcPr>
          <w:p w14:paraId="210A3685">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等线" w:cs="Times New Roman"/>
                <w:color w:val="auto"/>
                <w:sz w:val="21"/>
                <w:szCs w:val="21"/>
                <w:highlight w:val="none"/>
              </w:rPr>
              <w:t>——</w:t>
            </w:r>
          </w:p>
        </w:tc>
        <w:tc>
          <w:tcPr>
            <w:tcW w:w="1363" w:type="pct"/>
            <w:tcBorders>
              <w:tl2br w:val="nil"/>
              <w:tr2bl w:val="nil"/>
            </w:tcBorders>
            <w:shd w:val="clear" w:color="auto" w:fill="auto"/>
            <w:noWrap/>
            <w:tcMar>
              <w:top w:w="15" w:type="dxa"/>
              <w:left w:w="15" w:type="dxa"/>
              <w:bottom w:w="0" w:type="dxa"/>
              <w:right w:w="15" w:type="dxa"/>
            </w:tcMar>
            <w:vAlign w:val="bottom"/>
          </w:tcPr>
          <w:p w14:paraId="1331D299">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111.001</w:t>
            </w:r>
          </w:p>
        </w:tc>
      </w:tr>
    </w:tbl>
    <w:p w14:paraId="409251FF">
      <w:pPr>
        <w:pStyle w:val="6"/>
        <w:spacing w:before="120" w:beforeLines="50"/>
        <w:rPr>
          <w:rFonts w:hint="default" w:ascii="Times New Roman" w:hAnsi="Times New Roman" w:cs="Times New Roman"/>
        </w:rPr>
      </w:pPr>
      <w:r>
        <w:rPr>
          <w:rFonts w:hint="default" w:ascii="Times New Roman" w:hAnsi="Times New Roman" w:cs="Times New Roman"/>
          <w:color w:val="auto"/>
          <w:highlight w:val="none"/>
        </w:rPr>
        <w:t>由平衡分析可知，本项目从窑尾高温区投加的全硫与配料系统投加的硫总投加量为726.552mg/kg-cli），满足《水泥窑协同处置固体废物环境保护技术规范》（HJ 662-2013）中“从窑头、窑尾高温区投加的全硫与配料系统投加的硫总投加量不应大于3000mg/kg-cli。”的规定。</w:t>
      </w:r>
    </w:p>
    <w:p w14:paraId="33BF5001">
      <w:pPr>
        <w:pStyle w:val="3"/>
        <w:keepNext/>
        <w:keepLines/>
        <w:pageBreakBefore w:val="0"/>
        <w:widowControl/>
        <w:kinsoku/>
        <w:wordWrap/>
        <w:overflowPunct/>
        <w:topLinePunct w:val="0"/>
        <w:autoSpaceDE/>
        <w:autoSpaceDN/>
        <w:bidi w:val="0"/>
        <w:adjustRightInd/>
        <w:snapToGrid/>
        <w:spacing w:beforeLines="0" w:afterLines="0" w:line="360" w:lineRule="auto"/>
        <w:textAlignment w:val="auto"/>
        <w:rPr>
          <w:rFonts w:hint="default" w:ascii="Times New Roman" w:hAnsi="Times New Roman" w:eastAsia="宋体" w:cs="Times New Roman"/>
          <w:sz w:val="24"/>
          <w:szCs w:val="18"/>
          <w:highlight w:val="none"/>
          <w:lang w:val="en-US" w:eastAsia="zh-CN"/>
        </w:rPr>
      </w:pPr>
      <w:bookmarkStart w:id="100" w:name="_Toc10169"/>
      <w:bookmarkStart w:id="101" w:name="_Toc16069"/>
      <w:bookmarkStart w:id="102" w:name="_Toc31023"/>
      <w:r>
        <w:rPr>
          <w:rFonts w:hint="default" w:ascii="Times New Roman" w:hAnsi="Times New Roman" w:eastAsia="宋体" w:cs="Times New Roman"/>
          <w:sz w:val="24"/>
          <w:szCs w:val="18"/>
          <w:highlight w:val="none"/>
        </w:rPr>
        <w:t>3.</w:t>
      </w:r>
      <w:r>
        <w:rPr>
          <w:rFonts w:hint="default" w:ascii="Times New Roman" w:hAnsi="Times New Roman" w:cs="Times New Roman"/>
          <w:sz w:val="24"/>
          <w:szCs w:val="18"/>
          <w:highlight w:val="none"/>
          <w:lang w:val="en-US" w:eastAsia="zh-CN"/>
        </w:rPr>
        <w:t>4</w:t>
      </w:r>
      <w:r>
        <w:rPr>
          <w:rFonts w:hint="default" w:ascii="Times New Roman" w:hAnsi="Times New Roman" w:eastAsia="宋体" w:cs="Times New Roman"/>
          <w:sz w:val="24"/>
          <w:szCs w:val="18"/>
          <w:highlight w:val="none"/>
          <w:lang w:val="en-US" w:eastAsia="zh-CN"/>
        </w:rPr>
        <w:t>产品方案</w:t>
      </w:r>
      <w:bookmarkEnd w:id="100"/>
      <w:bookmarkEnd w:id="101"/>
      <w:bookmarkEnd w:id="102"/>
    </w:p>
    <w:p w14:paraId="1A4E5BB2">
      <w:pPr>
        <w:pStyle w:val="6"/>
        <w:rPr>
          <w:rFonts w:hint="default" w:ascii="Times New Roman" w:hAnsi="Times New Roman" w:cs="Times New Roman"/>
        </w:rPr>
      </w:pPr>
      <w:r>
        <w:rPr>
          <w:rFonts w:hint="default" w:ascii="Times New Roman" w:hAnsi="Times New Roman" w:cs="Times New Roman"/>
        </w:rPr>
        <w:t>本项目产品方案见</w:t>
      </w:r>
      <w:r>
        <w:rPr>
          <w:rFonts w:hint="default" w:ascii="Times New Roman" w:hAnsi="Times New Roman" w:cs="Times New Roman"/>
        </w:rPr>
        <w:fldChar w:fldCharType="begin"/>
      </w:r>
      <w:r>
        <w:rPr>
          <w:rFonts w:hint="default" w:ascii="Times New Roman" w:hAnsi="Times New Roman" w:cs="Times New Roman"/>
        </w:rPr>
        <w:instrText xml:space="preserve"> REF _Ref127186691 \h  \* MERGEFORMAT </w:instrText>
      </w:r>
      <w:r>
        <w:rPr>
          <w:rFonts w:hint="default" w:ascii="Times New Roman" w:hAnsi="Times New Roman" w:cs="Times New Roman"/>
        </w:rPr>
        <w:fldChar w:fldCharType="separate"/>
      </w:r>
      <w:r>
        <w:rPr>
          <w:rFonts w:hint="default" w:ascii="Times New Roman" w:hAnsi="Times New Roman" w:cs="Times New Roman"/>
        </w:rPr>
        <w:t>表3.</w:t>
      </w:r>
      <w:r>
        <w:rPr>
          <w:rFonts w:hint="default" w:ascii="Times New Roman" w:hAnsi="Times New Roman" w:cs="Times New Roman"/>
          <w:lang w:val="en-US" w:eastAsia="zh-CN"/>
        </w:rPr>
        <w:t>4-</w:t>
      </w:r>
      <w:r>
        <w:rPr>
          <w:rFonts w:hint="default" w:ascii="Times New Roman" w:hAnsi="Times New Roman" w:cs="Times New Roman"/>
        </w:rPr>
        <w:fldChar w:fldCharType="end"/>
      </w:r>
      <w:r>
        <w:rPr>
          <w:rFonts w:hint="default" w:ascii="Times New Roman" w:hAnsi="Times New Roman" w:cs="Times New Roman"/>
          <w:lang w:val="en-US" w:eastAsia="zh-CN"/>
        </w:rPr>
        <w:t>1</w:t>
      </w:r>
      <w:r>
        <w:rPr>
          <w:rFonts w:hint="default" w:ascii="Times New Roman" w:hAnsi="Times New Roman" w:cs="Times New Roman"/>
        </w:rPr>
        <w:t>。</w:t>
      </w:r>
    </w:p>
    <w:p w14:paraId="38D4BCD6">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03" w:name="_Ref127186691"/>
      <w:r>
        <w:rPr>
          <w:rFonts w:hint="default" w:ascii="Times New Roman" w:hAnsi="Times New Roman" w:cs="Times New Roman"/>
          <w:b/>
          <w:bCs/>
        </w:rPr>
        <w:t>表</w:t>
      </w:r>
      <w:bookmarkEnd w:id="103"/>
      <w:r>
        <w:rPr>
          <w:rFonts w:hint="default" w:ascii="Times New Roman" w:hAnsi="Times New Roman" w:cs="Times New Roman"/>
          <w:b/>
          <w:bCs/>
          <w:lang w:val="en-US" w:eastAsia="zh-CN"/>
        </w:rPr>
        <w:t>3.4-1</w:t>
      </w:r>
      <w:r>
        <w:rPr>
          <w:rFonts w:hint="default" w:ascii="Times New Roman" w:hAnsi="Times New Roman" w:cs="Times New Roman"/>
          <w:b/>
          <w:bCs/>
        </w:rPr>
        <w:t xml:space="preserve"> 本项目实施后产品方案变化情况一览表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1563"/>
        <w:gridCol w:w="2345"/>
        <w:gridCol w:w="2089"/>
        <w:gridCol w:w="1817"/>
      </w:tblGrid>
      <w:tr w14:paraId="624646C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2" w:type="pct"/>
            <w:tcBorders>
              <w:tl2br w:val="nil"/>
              <w:tr2bl w:val="nil"/>
            </w:tcBorders>
            <w:vAlign w:val="center"/>
          </w:tcPr>
          <w:p w14:paraId="36EB6A8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917" w:type="pct"/>
            <w:tcBorders>
              <w:tl2br w:val="nil"/>
              <w:tr2bl w:val="nil"/>
            </w:tcBorders>
            <w:vAlign w:val="center"/>
          </w:tcPr>
          <w:p w14:paraId="094D2549">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产品名称</w:t>
            </w:r>
          </w:p>
        </w:tc>
        <w:tc>
          <w:tcPr>
            <w:tcW w:w="1376" w:type="pct"/>
            <w:tcBorders>
              <w:tl2br w:val="nil"/>
              <w:tr2bl w:val="nil"/>
            </w:tcBorders>
            <w:vAlign w:val="center"/>
          </w:tcPr>
          <w:p w14:paraId="4B3BD22B">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协同处置前产量（t/a）</w:t>
            </w:r>
          </w:p>
        </w:tc>
        <w:tc>
          <w:tcPr>
            <w:tcW w:w="1226" w:type="pct"/>
            <w:tcBorders>
              <w:tl2br w:val="nil"/>
              <w:tr2bl w:val="nil"/>
            </w:tcBorders>
            <w:vAlign w:val="center"/>
          </w:tcPr>
          <w:p w14:paraId="07630EA9">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协同处置后产量（t/a）</w:t>
            </w:r>
          </w:p>
        </w:tc>
        <w:tc>
          <w:tcPr>
            <w:tcW w:w="1066" w:type="pct"/>
            <w:tcBorders>
              <w:tl2br w:val="nil"/>
              <w:tr2bl w:val="nil"/>
            </w:tcBorders>
            <w:vAlign w:val="center"/>
          </w:tcPr>
          <w:p w14:paraId="10B7B80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变化量（t/a）</w:t>
            </w:r>
          </w:p>
        </w:tc>
      </w:tr>
      <w:tr w14:paraId="7912270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2" w:type="pct"/>
            <w:tcBorders>
              <w:tl2br w:val="nil"/>
              <w:tr2bl w:val="nil"/>
            </w:tcBorders>
            <w:vAlign w:val="center"/>
          </w:tcPr>
          <w:p w14:paraId="4142527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917" w:type="pct"/>
            <w:tcBorders>
              <w:tl2br w:val="nil"/>
              <w:tr2bl w:val="nil"/>
            </w:tcBorders>
            <w:vAlign w:val="center"/>
          </w:tcPr>
          <w:p w14:paraId="143B36E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水泥熟料</w:t>
            </w:r>
          </w:p>
        </w:tc>
        <w:tc>
          <w:tcPr>
            <w:tcW w:w="1376" w:type="pct"/>
            <w:tcBorders>
              <w:tl2br w:val="nil"/>
              <w:tr2bl w:val="nil"/>
            </w:tcBorders>
            <w:vAlign w:val="center"/>
          </w:tcPr>
          <w:p w14:paraId="6F9126E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397353</w:t>
            </w:r>
          </w:p>
        </w:tc>
        <w:tc>
          <w:tcPr>
            <w:tcW w:w="1226" w:type="pct"/>
            <w:tcBorders>
              <w:tl2br w:val="nil"/>
              <w:tr2bl w:val="nil"/>
            </w:tcBorders>
            <w:vAlign w:val="center"/>
          </w:tcPr>
          <w:p w14:paraId="439BBD1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397353</w:t>
            </w:r>
          </w:p>
        </w:tc>
        <w:tc>
          <w:tcPr>
            <w:tcW w:w="1066" w:type="pct"/>
            <w:tcBorders>
              <w:tl2br w:val="nil"/>
              <w:tr2bl w:val="nil"/>
            </w:tcBorders>
            <w:vAlign w:val="center"/>
          </w:tcPr>
          <w:p w14:paraId="1796446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w:t>
            </w:r>
          </w:p>
        </w:tc>
      </w:tr>
    </w:tbl>
    <w:p w14:paraId="6606B0B7">
      <w:pPr>
        <w:pStyle w:val="3"/>
        <w:keepNext/>
        <w:keepLines/>
        <w:pageBreakBefore w:val="0"/>
        <w:widowControl/>
        <w:kinsoku/>
        <w:wordWrap/>
        <w:overflowPunct/>
        <w:topLinePunct w:val="0"/>
        <w:autoSpaceDE/>
        <w:autoSpaceDN/>
        <w:bidi w:val="0"/>
        <w:adjustRightInd/>
        <w:snapToGrid/>
        <w:spacing w:before="157" w:beforeLines="50" w:afterLines="0" w:line="360" w:lineRule="auto"/>
        <w:textAlignment w:val="auto"/>
        <w:rPr>
          <w:rFonts w:hint="default" w:ascii="Times New Roman" w:hAnsi="Times New Roman" w:eastAsia="宋体" w:cs="Times New Roman"/>
          <w:sz w:val="24"/>
          <w:szCs w:val="18"/>
          <w:highlight w:val="none"/>
        </w:rPr>
      </w:pPr>
      <w:bookmarkStart w:id="104" w:name="_Toc27670"/>
      <w:bookmarkStart w:id="105" w:name="_Toc26867"/>
      <w:bookmarkStart w:id="106" w:name="_Toc12223"/>
      <w:r>
        <w:rPr>
          <w:rFonts w:hint="default" w:ascii="Times New Roman" w:hAnsi="Times New Roman" w:cs="Times New Roman"/>
          <w:sz w:val="24"/>
          <w:szCs w:val="18"/>
          <w:highlight w:val="none"/>
          <w:lang w:val="en-US" w:eastAsia="zh-CN"/>
        </w:rPr>
        <w:t>3.5</w:t>
      </w:r>
      <w:r>
        <w:rPr>
          <w:rFonts w:hint="default" w:ascii="Times New Roman" w:hAnsi="Times New Roman" w:eastAsia="宋体" w:cs="Times New Roman"/>
          <w:sz w:val="24"/>
          <w:szCs w:val="18"/>
          <w:highlight w:val="none"/>
        </w:rPr>
        <w:t>主要生产设备</w:t>
      </w:r>
      <w:bookmarkEnd w:id="104"/>
      <w:bookmarkEnd w:id="105"/>
      <w:bookmarkEnd w:id="106"/>
    </w:p>
    <w:p w14:paraId="29B6521F">
      <w:pPr>
        <w:pStyle w:val="6"/>
        <w:rPr>
          <w:rFonts w:hint="default" w:ascii="Times New Roman" w:hAnsi="Times New Roman" w:cs="Times New Roman"/>
        </w:rPr>
      </w:pPr>
      <w:r>
        <w:rPr>
          <w:rFonts w:hint="default" w:ascii="Times New Roman" w:hAnsi="Times New Roman" w:cs="Times New Roman"/>
        </w:rPr>
        <w:t>本项目主要设备见</w:t>
      </w:r>
      <w:r>
        <w:rPr>
          <w:rFonts w:hint="default" w:ascii="Times New Roman" w:hAnsi="Times New Roman" w:cs="Times New Roman"/>
        </w:rPr>
        <w:fldChar w:fldCharType="begin"/>
      </w:r>
      <w:r>
        <w:rPr>
          <w:rFonts w:hint="default" w:ascii="Times New Roman" w:hAnsi="Times New Roman" w:cs="Times New Roman"/>
        </w:rPr>
        <w:instrText xml:space="preserve"> REF _Ref127185834 \h  \* MERGEFORMAT </w:instrText>
      </w:r>
      <w:r>
        <w:rPr>
          <w:rFonts w:hint="default" w:ascii="Times New Roman" w:hAnsi="Times New Roman" w:cs="Times New Roman"/>
        </w:rPr>
        <w:fldChar w:fldCharType="separate"/>
      </w:r>
      <w:r>
        <w:rPr>
          <w:rFonts w:hint="default" w:ascii="Times New Roman" w:hAnsi="Times New Roman" w:cs="Times New Roman"/>
        </w:rPr>
        <w:t>表3.</w:t>
      </w:r>
      <w:r>
        <w:rPr>
          <w:rFonts w:hint="default" w:ascii="Times New Roman" w:hAnsi="Times New Roman" w:cs="Times New Roman"/>
          <w:lang w:val="en-US" w:eastAsia="zh-CN"/>
        </w:rPr>
        <w:t>5</w:t>
      </w:r>
      <w:r>
        <w:rPr>
          <w:rFonts w:hint="default" w:ascii="Times New Roman" w:hAnsi="Times New Roman" w:cs="Times New Roman"/>
        </w:rPr>
        <w:fldChar w:fldCharType="end"/>
      </w:r>
      <w:r>
        <w:rPr>
          <w:rFonts w:hint="default" w:ascii="Times New Roman" w:hAnsi="Times New Roman" w:cs="Times New Roman"/>
          <w:lang w:val="en-US" w:eastAsia="zh-CN"/>
        </w:rPr>
        <w:t>-1</w:t>
      </w:r>
      <w:r>
        <w:rPr>
          <w:rFonts w:hint="default" w:ascii="Times New Roman" w:hAnsi="Times New Roman" w:cs="Times New Roman"/>
        </w:rPr>
        <w:t>。</w:t>
      </w:r>
    </w:p>
    <w:p w14:paraId="5279297B">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highlight w:val="none"/>
        </w:rPr>
      </w:pPr>
      <w:bookmarkStart w:id="107" w:name="_Ref127185834"/>
      <w:r>
        <w:rPr>
          <w:rFonts w:hint="default" w:ascii="Times New Roman" w:hAnsi="Times New Roman" w:cs="Times New Roman"/>
          <w:b/>
          <w:bCs/>
          <w:highlight w:val="none"/>
        </w:rPr>
        <w:t>表</w:t>
      </w:r>
      <w:bookmarkEnd w:id="107"/>
      <w:r>
        <w:rPr>
          <w:rFonts w:hint="default" w:ascii="Times New Roman" w:hAnsi="Times New Roman" w:cs="Times New Roman"/>
          <w:b/>
          <w:bCs/>
          <w:highlight w:val="none"/>
          <w:lang w:val="en-US" w:eastAsia="zh-CN"/>
        </w:rPr>
        <w:t>3.5-1</w:t>
      </w:r>
      <w:r>
        <w:rPr>
          <w:rFonts w:hint="default" w:ascii="Times New Roman" w:hAnsi="Times New Roman" w:cs="Times New Roman"/>
          <w:b/>
          <w:bCs/>
          <w:highlight w:val="none"/>
        </w:rPr>
        <w:t xml:space="preserve"> 本项目主要设备一览表</w:t>
      </w:r>
    </w:p>
    <w:tbl>
      <w:tblPr>
        <w:tblStyle w:val="39"/>
        <w:tblW w:w="4996"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05"/>
        <w:gridCol w:w="1806"/>
        <w:gridCol w:w="3808"/>
        <w:gridCol w:w="868"/>
        <w:gridCol w:w="822"/>
      </w:tblGrid>
      <w:tr w14:paraId="069B24F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08" w:type="pct"/>
            <w:tcBorders>
              <w:tl2br w:val="nil"/>
              <w:tr2bl w:val="nil"/>
            </w:tcBorders>
            <w:vAlign w:val="center"/>
          </w:tcPr>
          <w:p w14:paraId="665A966D">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生产工序</w:t>
            </w:r>
          </w:p>
        </w:tc>
        <w:tc>
          <w:tcPr>
            <w:tcW w:w="1061" w:type="pct"/>
            <w:tcBorders>
              <w:tl2br w:val="nil"/>
              <w:tr2bl w:val="nil"/>
            </w:tcBorders>
            <w:vAlign w:val="center"/>
          </w:tcPr>
          <w:p w14:paraId="3C49C38B">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设备名称</w:t>
            </w:r>
          </w:p>
        </w:tc>
        <w:tc>
          <w:tcPr>
            <w:tcW w:w="2237" w:type="pct"/>
            <w:tcBorders>
              <w:tl2br w:val="nil"/>
              <w:tr2bl w:val="nil"/>
            </w:tcBorders>
            <w:vAlign w:val="center"/>
          </w:tcPr>
          <w:p w14:paraId="74DF6D35">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规格</w:t>
            </w:r>
          </w:p>
        </w:tc>
        <w:tc>
          <w:tcPr>
            <w:tcW w:w="510" w:type="pct"/>
            <w:tcBorders>
              <w:tl2br w:val="nil"/>
              <w:tr2bl w:val="nil"/>
            </w:tcBorders>
            <w:vAlign w:val="center"/>
          </w:tcPr>
          <w:p w14:paraId="3A6D6F8F">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单位</w:t>
            </w:r>
          </w:p>
        </w:tc>
        <w:tc>
          <w:tcPr>
            <w:tcW w:w="482" w:type="pct"/>
            <w:tcBorders>
              <w:tl2br w:val="nil"/>
              <w:tr2bl w:val="nil"/>
            </w:tcBorders>
            <w:vAlign w:val="center"/>
          </w:tcPr>
          <w:p w14:paraId="135D8A9B">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数量</w:t>
            </w:r>
          </w:p>
        </w:tc>
      </w:tr>
      <w:tr w14:paraId="4E5E890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restart"/>
            <w:tcBorders>
              <w:tl2br w:val="nil"/>
              <w:tr2bl w:val="nil"/>
            </w:tcBorders>
            <w:vAlign w:val="center"/>
          </w:tcPr>
          <w:p w14:paraId="1C0965C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固态废物处置系统</w:t>
            </w:r>
          </w:p>
        </w:tc>
        <w:tc>
          <w:tcPr>
            <w:tcW w:w="1061" w:type="pct"/>
            <w:tcBorders>
              <w:tl2br w:val="nil"/>
              <w:tr2bl w:val="nil"/>
            </w:tcBorders>
            <w:shd w:val="clear" w:color="auto" w:fill="auto"/>
            <w:vAlign w:val="center"/>
          </w:tcPr>
          <w:p w14:paraId="2F913BE9">
            <w:pPr>
              <w:pStyle w:val="52"/>
              <w:spacing w:before="0" w:after="0" w:line="240" w:lineRule="auto"/>
              <w:ind w:left="0" w:leftChars="0" w:firstLine="0" w:firstLineChars="0"/>
              <w:rPr>
                <w:rFonts w:hint="default" w:ascii="Times New Roman" w:hAnsi="Times New Roman" w:cs="Times New Roman" w:eastAsiaTheme="minorEastAsia"/>
                <w:color w:val="000000" w:themeColor="text1"/>
                <w:kern w:val="0"/>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重型板喂机</w:t>
            </w:r>
          </w:p>
        </w:tc>
        <w:tc>
          <w:tcPr>
            <w:tcW w:w="2237" w:type="pct"/>
            <w:tcBorders>
              <w:tl2br w:val="nil"/>
              <w:tr2bl w:val="nil"/>
            </w:tcBorders>
            <w:shd w:val="clear" w:color="auto" w:fill="auto"/>
            <w:vAlign w:val="center"/>
          </w:tcPr>
          <w:p w14:paraId="71B42638">
            <w:pPr>
              <w:pStyle w:val="52"/>
              <w:spacing w:before="0" w:after="0" w:line="240" w:lineRule="auto"/>
              <w:ind w:left="0" w:leftChars="0" w:firstLine="0" w:firstLineChars="0"/>
              <w:rPr>
                <w:rFonts w:hint="default" w:ascii="Times New Roman" w:hAnsi="Times New Roman" w:cs="Times New Roman" w:eastAsiaTheme="minorEastAsia"/>
                <w:color w:val="000000" w:themeColor="text1"/>
                <w:kern w:val="0"/>
                <w:sz w:val="21"/>
                <w:szCs w:val="21"/>
                <w:lang w:val="en-US" w:eastAsia="zh-CN" w:bidi="ar-SA"/>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B1000×15m</w:t>
            </w:r>
          </w:p>
        </w:tc>
        <w:tc>
          <w:tcPr>
            <w:tcW w:w="510" w:type="pct"/>
            <w:tcBorders>
              <w:tl2br w:val="nil"/>
              <w:tr2bl w:val="nil"/>
            </w:tcBorders>
            <w:vAlign w:val="center"/>
          </w:tcPr>
          <w:p w14:paraId="272B249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台</w:t>
            </w:r>
          </w:p>
        </w:tc>
        <w:tc>
          <w:tcPr>
            <w:tcW w:w="482" w:type="pct"/>
            <w:tcBorders>
              <w:tl2br w:val="nil"/>
              <w:tr2bl w:val="nil"/>
            </w:tcBorders>
            <w:vAlign w:val="center"/>
          </w:tcPr>
          <w:p w14:paraId="3D284EA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3FE7786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tl2br w:val="nil"/>
              <w:tr2bl w:val="nil"/>
            </w:tcBorders>
            <w:vAlign w:val="center"/>
          </w:tcPr>
          <w:p w14:paraId="65DEBC9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61" w:type="pct"/>
            <w:tcBorders>
              <w:tl2br w:val="nil"/>
              <w:tr2bl w:val="nil"/>
            </w:tcBorders>
            <w:vAlign w:val="center"/>
          </w:tcPr>
          <w:p w14:paraId="2CF4CB63">
            <w:pPr>
              <w:pStyle w:val="52"/>
              <w:spacing w:before="0" w:after="0" w:line="240" w:lineRule="auto"/>
              <w:ind w:left="0" w:firstLine="0"/>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打散机</w:t>
            </w:r>
          </w:p>
        </w:tc>
        <w:tc>
          <w:tcPr>
            <w:tcW w:w="2237" w:type="pct"/>
            <w:tcBorders>
              <w:tl2br w:val="nil"/>
              <w:tr2bl w:val="nil"/>
            </w:tcBorders>
            <w:vAlign w:val="center"/>
          </w:tcPr>
          <w:p w14:paraId="462B5E1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5t/h</w:t>
            </w:r>
          </w:p>
        </w:tc>
        <w:tc>
          <w:tcPr>
            <w:tcW w:w="510" w:type="pct"/>
            <w:tcBorders>
              <w:tl2br w:val="nil"/>
              <w:tr2bl w:val="nil"/>
            </w:tcBorders>
            <w:vAlign w:val="center"/>
          </w:tcPr>
          <w:p w14:paraId="08C5A35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台</w:t>
            </w:r>
          </w:p>
        </w:tc>
        <w:tc>
          <w:tcPr>
            <w:tcW w:w="482" w:type="pct"/>
            <w:tcBorders>
              <w:tl2br w:val="nil"/>
              <w:tr2bl w:val="nil"/>
            </w:tcBorders>
            <w:vAlign w:val="center"/>
          </w:tcPr>
          <w:p w14:paraId="2118650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4536BF0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tl2br w:val="nil"/>
              <w:tr2bl w:val="nil"/>
            </w:tcBorders>
            <w:vAlign w:val="center"/>
          </w:tcPr>
          <w:p w14:paraId="45E0899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61" w:type="pct"/>
            <w:tcBorders>
              <w:tl2br w:val="nil"/>
              <w:tr2bl w:val="nil"/>
            </w:tcBorders>
            <w:vAlign w:val="center"/>
          </w:tcPr>
          <w:p w14:paraId="520AD7E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大倾角皮带机</w:t>
            </w:r>
          </w:p>
        </w:tc>
        <w:tc>
          <w:tcPr>
            <w:tcW w:w="2237" w:type="pct"/>
            <w:tcBorders>
              <w:tl2br w:val="nil"/>
              <w:tr2bl w:val="nil"/>
            </w:tcBorders>
            <w:vAlign w:val="center"/>
          </w:tcPr>
          <w:p w14:paraId="050A347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B</w:t>
            </w:r>
            <w:r>
              <w:rPr>
                <w:rFonts w:hint="default" w:ascii="Times New Roman" w:hAnsi="Times New Roman" w:cs="Times New Roman"/>
                <w:color w:val="000000" w:themeColor="text1"/>
                <w:sz w:val="21"/>
                <w:szCs w:val="21"/>
                <w14:textFill>
                  <w14:solidFill>
                    <w14:schemeClr w14:val="tx1"/>
                  </w14:solidFill>
                </w14:textFill>
              </w:rPr>
              <w:t>1000mm</w:t>
            </w:r>
          </w:p>
        </w:tc>
        <w:tc>
          <w:tcPr>
            <w:tcW w:w="510" w:type="pct"/>
            <w:tcBorders>
              <w:tl2br w:val="nil"/>
              <w:tr2bl w:val="nil"/>
            </w:tcBorders>
            <w:vAlign w:val="center"/>
          </w:tcPr>
          <w:p w14:paraId="738B170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台</w:t>
            </w:r>
          </w:p>
        </w:tc>
        <w:tc>
          <w:tcPr>
            <w:tcW w:w="482" w:type="pct"/>
            <w:tcBorders>
              <w:tl2br w:val="nil"/>
              <w:tr2bl w:val="nil"/>
            </w:tcBorders>
            <w:vAlign w:val="center"/>
          </w:tcPr>
          <w:p w14:paraId="3A00A13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7BEB8CA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tl2br w:val="nil"/>
              <w:tr2bl w:val="nil"/>
            </w:tcBorders>
            <w:vAlign w:val="center"/>
          </w:tcPr>
          <w:p w14:paraId="5D39551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61" w:type="pct"/>
            <w:tcBorders>
              <w:tl2br w:val="nil"/>
              <w:tr2bl w:val="nil"/>
            </w:tcBorders>
            <w:vAlign w:val="center"/>
          </w:tcPr>
          <w:p w14:paraId="637FB178">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带式输送机</w:t>
            </w:r>
          </w:p>
        </w:tc>
        <w:tc>
          <w:tcPr>
            <w:tcW w:w="2237" w:type="pct"/>
            <w:tcBorders>
              <w:tl2br w:val="nil"/>
              <w:tr2bl w:val="nil"/>
            </w:tcBorders>
            <w:vAlign w:val="center"/>
          </w:tcPr>
          <w:p w14:paraId="1E449314">
            <w:pPr>
              <w:pStyle w:val="52"/>
              <w:spacing w:before="0" w:after="0" w:line="240" w:lineRule="auto"/>
              <w:ind w:left="0" w:firstLine="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B</w:t>
            </w:r>
            <w:r>
              <w:rPr>
                <w:rFonts w:hint="default" w:ascii="Times New Roman" w:hAnsi="Times New Roman" w:cs="Times New Roman"/>
                <w:color w:val="000000" w:themeColor="text1"/>
                <w:sz w:val="21"/>
                <w:szCs w:val="21"/>
                <w14:textFill>
                  <w14:solidFill>
                    <w14:schemeClr w14:val="tx1"/>
                  </w14:solidFill>
                </w14:textFill>
              </w:rPr>
              <w:t>1000mm</w:t>
            </w:r>
          </w:p>
        </w:tc>
        <w:tc>
          <w:tcPr>
            <w:tcW w:w="510" w:type="pct"/>
            <w:tcBorders>
              <w:tl2br w:val="nil"/>
              <w:tr2bl w:val="nil"/>
            </w:tcBorders>
            <w:shd w:val="clear" w:color="auto" w:fill="auto"/>
            <w:vAlign w:val="center"/>
          </w:tcPr>
          <w:p w14:paraId="46A7F101">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台</w:t>
            </w:r>
          </w:p>
        </w:tc>
        <w:tc>
          <w:tcPr>
            <w:tcW w:w="482" w:type="pct"/>
            <w:tcBorders>
              <w:tl2br w:val="nil"/>
              <w:tr2bl w:val="nil"/>
            </w:tcBorders>
            <w:shd w:val="clear" w:color="auto" w:fill="auto"/>
            <w:vAlign w:val="center"/>
          </w:tcPr>
          <w:p w14:paraId="6DBB75CD">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12FC5A5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tl2br w:val="nil"/>
              <w:tr2bl w:val="nil"/>
            </w:tcBorders>
            <w:vAlign w:val="center"/>
          </w:tcPr>
          <w:p w14:paraId="4E81D5A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61" w:type="pct"/>
            <w:tcBorders>
              <w:tl2br w:val="nil"/>
              <w:tr2bl w:val="nil"/>
            </w:tcBorders>
            <w:vAlign w:val="center"/>
          </w:tcPr>
          <w:p w14:paraId="54021AB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缓冲料斗</w:t>
            </w:r>
          </w:p>
        </w:tc>
        <w:tc>
          <w:tcPr>
            <w:tcW w:w="2237" w:type="pct"/>
            <w:tcBorders>
              <w:tl2br w:val="nil"/>
              <w:tr2bl w:val="nil"/>
            </w:tcBorders>
            <w:vAlign w:val="center"/>
          </w:tcPr>
          <w:p w14:paraId="6FC79CB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510" w:type="pct"/>
            <w:tcBorders>
              <w:tl2br w:val="nil"/>
              <w:tr2bl w:val="nil"/>
            </w:tcBorders>
            <w:vAlign w:val="center"/>
          </w:tcPr>
          <w:p w14:paraId="57D5230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台</w:t>
            </w:r>
          </w:p>
        </w:tc>
        <w:tc>
          <w:tcPr>
            <w:tcW w:w="482" w:type="pct"/>
            <w:tcBorders>
              <w:tl2br w:val="nil"/>
              <w:tr2bl w:val="nil"/>
            </w:tcBorders>
            <w:vAlign w:val="center"/>
          </w:tcPr>
          <w:p w14:paraId="26AE97A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5DEB8DF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tl2br w:val="nil"/>
              <w:tr2bl w:val="nil"/>
            </w:tcBorders>
            <w:vAlign w:val="center"/>
          </w:tcPr>
          <w:p w14:paraId="1BAB89F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61" w:type="pct"/>
            <w:tcBorders>
              <w:tl2br w:val="nil"/>
              <w:tr2bl w:val="nil"/>
            </w:tcBorders>
            <w:vAlign w:val="center"/>
          </w:tcPr>
          <w:p w14:paraId="51198117">
            <w:pPr>
              <w:pStyle w:val="52"/>
              <w:spacing w:before="0" w:after="0" w:line="240" w:lineRule="auto"/>
              <w:ind w:left="0" w:firstLine="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计量称</w:t>
            </w:r>
          </w:p>
        </w:tc>
        <w:tc>
          <w:tcPr>
            <w:tcW w:w="2237" w:type="pct"/>
            <w:tcBorders>
              <w:tl2br w:val="nil"/>
              <w:tr2bl w:val="nil"/>
            </w:tcBorders>
            <w:vAlign w:val="center"/>
          </w:tcPr>
          <w:p w14:paraId="322C2336">
            <w:pPr>
              <w:pStyle w:val="52"/>
              <w:spacing w:before="0" w:after="0" w:line="240" w:lineRule="auto"/>
              <w:ind w:left="0" w:firstLine="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w:t>
            </w:r>
          </w:p>
        </w:tc>
        <w:tc>
          <w:tcPr>
            <w:tcW w:w="510" w:type="pct"/>
            <w:tcBorders>
              <w:tl2br w:val="nil"/>
              <w:tr2bl w:val="nil"/>
            </w:tcBorders>
            <w:shd w:val="clear" w:color="auto" w:fill="auto"/>
            <w:vAlign w:val="center"/>
          </w:tcPr>
          <w:p w14:paraId="2ED4115E">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台</w:t>
            </w:r>
          </w:p>
        </w:tc>
        <w:tc>
          <w:tcPr>
            <w:tcW w:w="482" w:type="pct"/>
            <w:tcBorders>
              <w:tl2br w:val="nil"/>
              <w:tr2bl w:val="nil"/>
            </w:tcBorders>
            <w:shd w:val="clear" w:color="auto" w:fill="auto"/>
            <w:vAlign w:val="center"/>
          </w:tcPr>
          <w:p w14:paraId="4358EFD6">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2F1D93C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tl2br w:val="nil"/>
              <w:tr2bl w:val="nil"/>
            </w:tcBorders>
            <w:vAlign w:val="center"/>
          </w:tcPr>
          <w:p w14:paraId="3A57FB1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61" w:type="pct"/>
            <w:tcBorders>
              <w:tl2br w:val="nil"/>
              <w:tr2bl w:val="nil"/>
            </w:tcBorders>
            <w:vAlign w:val="center"/>
          </w:tcPr>
          <w:p w14:paraId="161E1E27">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气动闸板阀</w:t>
            </w:r>
          </w:p>
        </w:tc>
        <w:tc>
          <w:tcPr>
            <w:tcW w:w="2237" w:type="pct"/>
            <w:tcBorders>
              <w:tl2br w:val="nil"/>
              <w:tr2bl w:val="nil"/>
            </w:tcBorders>
            <w:vAlign w:val="center"/>
          </w:tcPr>
          <w:p w14:paraId="1C778C3F">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800*800</w:t>
            </w:r>
          </w:p>
        </w:tc>
        <w:tc>
          <w:tcPr>
            <w:tcW w:w="510" w:type="pct"/>
            <w:tcBorders>
              <w:tl2br w:val="nil"/>
              <w:tr2bl w:val="nil"/>
            </w:tcBorders>
            <w:shd w:val="clear" w:color="auto" w:fill="auto"/>
            <w:vAlign w:val="center"/>
          </w:tcPr>
          <w:p w14:paraId="314C0AB4">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台</w:t>
            </w:r>
          </w:p>
        </w:tc>
        <w:tc>
          <w:tcPr>
            <w:tcW w:w="482" w:type="pct"/>
            <w:tcBorders>
              <w:tl2br w:val="nil"/>
              <w:tr2bl w:val="nil"/>
            </w:tcBorders>
            <w:shd w:val="clear" w:color="auto" w:fill="auto"/>
            <w:vAlign w:val="center"/>
          </w:tcPr>
          <w:p w14:paraId="4D436F9C">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r>
      <w:tr w14:paraId="33ACF3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tl2br w:val="nil"/>
              <w:tr2bl w:val="nil"/>
            </w:tcBorders>
            <w:vAlign w:val="center"/>
          </w:tcPr>
          <w:p w14:paraId="785A1E8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61" w:type="pct"/>
            <w:tcBorders>
              <w:tl2br w:val="nil"/>
              <w:tr2bl w:val="nil"/>
            </w:tcBorders>
            <w:vAlign w:val="center"/>
          </w:tcPr>
          <w:p w14:paraId="3452A831">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叉车</w:t>
            </w:r>
          </w:p>
        </w:tc>
        <w:tc>
          <w:tcPr>
            <w:tcW w:w="2237" w:type="pct"/>
            <w:tcBorders>
              <w:tl2br w:val="nil"/>
              <w:tr2bl w:val="nil"/>
            </w:tcBorders>
            <w:vAlign w:val="center"/>
          </w:tcPr>
          <w:p w14:paraId="620B36A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起重量：3t</w:t>
            </w:r>
          </w:p>
        </w:tc>
        <w:tc>
          <w:tcPr>
            <w:tcW w:w="510" w:type="pct"/>
            <w:tcBorders>
              <w:tl2br w:val="nil"/>
              <w:tr2bl w:val="nil"/>
            </w:tcBorders>
            <w:vAlign w:val="center"/>
          </w:tcPr>
          <w:p w14:paraId="633C1F6C">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482" w:type="pct"/>
            <w:tcBorders>
              <w:tl2br w:val="nil"/>
              <w:tr2bl w:val="nil"/>
            </w:tcBorders>
            <w:vAlign w:val="center"/>
          </w:tcPr>
          <w:p w14:paraId="148E5704">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r>
      <w:tr w14:paraId="239DCED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tl2br w:val="nil"/>
              <w:tr2bl w:val="nil"/>
            </w:tcBorders>
            <w:vAlign w:val="center"/>
          </w:tcPr>
          <w:p w14:paraId="731F0C4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61" w:type="pct"/>
            <w:tcBorders>
              <w:tl2br w:val="nil"/>
              <w:tr2bl w:val="nil"/>
            </w:tcBorders>
            <w:vAlign w:val="center"/>
          </w:tcPr>
          <w:p w14:paraId="5DA2E525">
            <w:pPr>
              <w:pStyle w:val="52"/>
              <w:spacing w:before="0" w:after="0" w:line="240" w:lineRule="auto"/>
              <w:ind w:left="0" w:firstLine="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除尘设施</w:t>
            </w:r>
          </w:p>
        </w:tc>
        <w:tc>
          <w:tcPr>
            <w:tcW w:w="2237" w:type="pct"/>
            <w:tcBorders>
              <w:tl2br w:val="nil"/>
              <w:tr2bl w:val="nil"/>
            </w:tcBorders>
            <w:vAlign w:val="center"/>
          </w:tcPr>
          <w:p w14:paraId="3C1727BE">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风量5000m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/h，设置在打散机与皮带机上方</w:t>
            </w:r>
          </w:p>
        </w:tc>
        <w:tc>
          <w:tcPr>
            <w:tcW w:w="510" w:type="pct"/>
            <w:tcBorders>
              <w:tl2br w:val="nil"/>
              <w:tr2bl w:val="nil"/>
            </w:tcBorders>
            <w:vAlign w:val="center"/>
          </w:tcPr>
          <w:p w14:paraId="631C7401">
            <w:pPr>
              <w:pStyle w:val="52"/>
              <w:spacing w:before="0" w:after="0" w:line="240" w:lineRule="auto"/>
              <w:ind w:left="0" w:firstLine="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台</w:t>
            </w:r>
          </w:p>
        </w:tc>
        <w:tc>
          <w:tcPr>
            <w:tcW w:w="482" w:type="pct"/>
            <w:tcBorders>
              <w:tl2br w:val="nil"/>
              <w:tr2bl w:val="nil"/>
            </w:tcBorders>
            <w:vAlign w:val="center"/>
          </w:tcPr>
          <w:p w14:paraId="1586B768">
            <w:pPr>
              <w:pStyle w:val="52"/>
              <w:spacing w:before="0" w:after="0" w:line="240" w:lineRule="auto"/>
              <w:ind w:left="0" w:firstLine="0"/>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w:t>
            </w:r>
          </w:p>
        </w:tc>
      </w:tr>
      <w:tr w14:paraId="19F90A3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restart"/>
            <w:tcBorders>
              <w:tl2br w:val="nil"/>
              <w:tr2bl w:val="nil"/>
            </w:tcBorders>
            <w:vAlign w:val="center"/>
          </w:tcPr>
          <w:p w14:paraId="516BD01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液态危险废物处置系统</w:t>
            </w:r>
          </w:p>
        </w:tc>
        <w:tc>
          <w:tcPr>
            <w:tcW w:w="1061" w:type="pct"/>
            <w:tcBorders>
              <w:tl2br w:val="nil"/>
              <w:tr2bl w:val="nil"/>
            </w:tcBorders>
            <w:shd w:val="clear" w:color="auto" w:fill="auto"/>
            <w:vAlign w:val="center"/>
          </w:tcPr>
          <w:p w14:paraId="301BDF73">
            <w:pPr>
              <w:pStyle w:val="52"/>
              <w:spacing w:before="0" w:after="0" w:line="240" w:lineRule="auto"/>
              <w:ind w:left="0" w:leftChars="0" w:firstLine="0" w:firstLineChars="0"/>
              <w:rPr>
                <w:rFonts w:hint="default" w:ascii="Times New Roman" w:hAnsi="Times New Roman" w:cs="Times New Roman" w:eastAsiaTheme="minorEastAsia"/>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液态废物输送管道</w:t>
            </w:r>
          </w:p>
        </w:tc>
        <w:tc>
          <w:tcPr>
            <w:tcW w:w="2237" w:type="pct"/>
            <w:tcBorders>
              <w:tl2br w:val="nil"/>
              <w:tr2bl w:val="nil"/>
            </w:tcBorders>
            <w:shd w:val="clear" w:color="auto" w:fill="auto"/>
            <w:vAlign w:val="center"/>
          </w:tcPr>
          <w:p w14:paraId="3857FC5F">
            <w:pPr>
              <w:pStyle w:val="52"/>
              <w:spacing w:before="0" w:after="0" w:line="240" w:lineRule="auto"/>
              <w:ind w:left="0" w:leftChars="0" w:firstLine="0" w:firstLineChars="0"/>
              <w:rPr>
                <w:rFonts w:hint="default" w:ascii="Times New Roman" w:hAnsi="Times New Roman" w:cs="Times New Roman" w:eastAsiaTheme="minorEastAsia"/>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1000m，材质为304不锈钢，管径为Φ25mm</w:t>
            </w:r>
          </w:p>
        </w:tc>
        <w:tc>
          <w:tcPr>
            <w:tcW w:w="510" w:type="pct"/>
            <w:tcBorders>
              <w:tl2br w:val="nil"/>
              <w:tr2bl w:val="nil"/>
            </w:tcBorders>
            <w:vAlign w:val="center"/>
          </w:tcPr>
          <w:p w14:paraId="227987D4">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m</w:t>
            </w:r>
          </w:p>
        </w:tc>
        <w:tc>
          <w:tcPr>
            <w:tcW w:w="482" w:type="pct"/>
            <w:tcBorders>
              <w:tl2br w:val="nil"/>
              <w:tr2bl w:val="nil"/>
            </w:tcBorders>
            <w:vAlign w:val="center"/>
          </w:tcPr>
          <w:p w14:paraId="2B5C9626">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1000</w:t>
            </w:r>
          </w:p>
        </w:tc>
      </w:tr>
      <w:tr w14:paraId="6525C8C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tl2br w:val="nil"/>
              <w:tr2bl w:val="nil"/>
            </w:tcBorders>
            <w:vAlign w:val="center"/>
          </w:tcPr>
          <w:p w14:paraId="73CA3F8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61" w:type="pct"/>
            <w:tcBorders>
              <w:tl2br w:val="nil"/>
              <w:tr2bl w:val="nil"/>
            </w:tcBorders>
            <w:shd w:val="clear" w:color="auto" w:fill="auto"/>
            <w:vAlign w:val="center"/>
          </w:tcPr>
          <w:p w14:paraId="30F4D573">
            <w:pPr>
              <w:pStyle w:val="52"/>
              <w:spacing w:before="0" w:after="0" w:line="240" w:lineRule="auto"/>
              <w:ind w:left="0" w:leftChars="0" w:firstLine="0" w:firstLineChars="0"/>
              <w:rPr>
                <w:rFonts w:hint="default" w:ascii="Times New Roman" w:hAnsi="Times New Roman" w:cs="Times New Roman" w:eastAsiaTheme="minorEastAsia"/>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电磁流量计</w:t>
            </w:r>
          </w:p>
        </w:tc>
        <w:tc>
          <w:tcPr>
            <w:tcW w:w="2237" w:type="pct"/>
            <w:tcBorders>
              <w:tl2br w:val="nil"/>
              <w:tr2bl w:val="nil"/>
            </w:tcBorders>
            <w:shd w:val="clear" w:color="auto" w:fill="auto"/>
            <w:vAlign w:val="center"/>
          </w:tcPr>
          <w:p w14:paraId="3BAD636F">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lang w:val="en-US" w:eastAsia="zh-CN" w:bidi="ar-SA"/>
                <w14:textFill>
                  <w14:solidFill>
                    <w14:schemeClr w14:val="tx1"/>
                  </w14:solidFill>
                </w14:textFill>
              </w:rPr>
              <w:t>/</w:t>
            </w:r>
          </w:p>
        </w:tc>
        <w:tc>
          <w:tcPr>
            <w:tcW w:w="510" w:type="pct"/>
            <w:tcBorders>
              <w:tl2br w:val="nil"/>
              <w:tr2bl w:val="nil"/>
            </w:tcBorders>
            <w:shd w:val="clear" w:color="auto" w:fill="auto"/>
            <w:vAlign w:val="center"/>
          </w:tcPr>
          <w:p w14:paraId="05CC7E2E">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台</w:t>
            </w:r>
          </w:p>
        </w:tc>
        <w:tc>
          <w:tcPr>
            <w:tcW w:w="482" w:type="pct"/>
            <w:tcBorders>
              <w:tl2br w:val="nil"/>
              <w:tr2bl w:val="nil"/>
            </w:tcBorders>
            <w:shd w:val="clear" w:color="auto" w:fill="auto"/>
            <w:vAlign w:val="center"/>
          </w:tcPr>
          <w:p w14:paraId="111170EC">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1</w:t>
            </w:r>
          </w:p>
        </w:tc>
      </w:tr>
    </w:tbl>
    <w:p w14:paraId="5A16E265">
      <w:pPr>
        <w:pStyle w:val="3"/>
        <w:keepNext/>
        <w:keepLines/>
        <w:pageBreakBefore w:val="0"/>
        <w:widowControl/>
        <w:kinsoku/>
        <w:wordWrap/>
        <w:overflowPunct/>
        <w:topLinePunct w:val="0"/>
        <w:autoSpaceDE/>
        <w:autoSpaceDN/>
        <w:bidi w:val="0"/>
        <w:adjustRightInd/>
        <w:snapToGrid/>
        <w:spacing w:before="157" w:beforeLines="50" w:afterLines="0" w:line="360" w:lineRule="auto"/>
        <w:textAlignment w:val="auto"/>
        <w:rPr>
          <w:rFonts w:hint="default" w:ascii="Times New Roman" w:hAnsi="Times New Roman" w:cs="Times New Roman"/>
          <w:sz w:val="24"/>
          <w:szCs w:val="18"/>
          <w:highlight w:val="none"/>
          <w:lang w:val="en-US" w:eastAsia="zh-CN"/>
        </w:rPr>
      </w:pPr>
      <w:bookmarkStart w:id="108" w:name="_Toc31562"/>
      <w:bookmarkStart w:id="109" w:name="_Toc3605"/>
      <w:bookmarkStart w:id="110" w:name="_Toc375"/>
      <w:r>
        <w:rPr>
          <w:rFonts w:hint="default" w:ascii="Times New Roman" w:hAnsi="Times New Roman" w:cs="Times New Roman"/>
          <w:sz w:val="24"/>
          <w:szCs w:val="18"/>
          <w:highlight w:val="none"/>
          <w:lang w:val="en-US" w:eastAsia="zh-CN"/>
        </w:rPr>
        <w:t>3.6水泥窑协同处置危险废物可行性</w:t>
      </w:r>
      <w:bookmarkEnd w:id="108"/>
      <w:bookmarkEnd w:id="109"/>
      <w:bookmarkEnd w:id="110"/>
    </w:p>
    <w:p w14:paraId="6B08920F">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bookmarkStart w:id="111" w:name="_Hlk151208999"/>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6</w:t>
      </w:r>
      <w:r>
        <w:rPr>
          <w:rFonts w:hint="default" w:ascii="Times New Roman" w:hAnsi="Times New Roman" w:eastAsia="宋体" w:cs="Times New Roman"/>
          <w:b/>
          <w:bCs w:val="0"/>
          <w:kern w:val="2"/>
          <w:sz w:val="24"/>
          <w:szCs w:val="24"/>
          <w:highlight w:val="none"/>
          <w:lang w:val="en-US" w:eastAsia="zh-CN"/>
        </w:rPr>
        <w:t>.1项目服务范围及拟接收危险废物类别</w:t>
      </w:r>
    </w:p>
    <w:p w14:paraId="013EE883">
      <w:pPr>
        <w:pStyle w:val="6"/>
        <w:rPr>
          <w:rFonts w:hint="default" w:ascii="Times New Roman" w:hAnsi="Times New Roman" w:cs="Times New Roman"/>
        </w:rPr>
      </w:pPr>
      <w:r>
        <w:rPr>
          <w:rFonts w:hint="default" w:ascii="Times New Roman" w:hAnsi="Times New Roman" w:cs="Times New Roman"/>
        </w:rPr>
        <w:t>《关于进一步加强危险废物规范化环境管理有关工作的通知》（环办固体〔2023〕17号）要求：“加快清理不合法不合理政策规定，不得违规设置行政壁垒限制或禁止合理的危险废物跨省或跨设区的市转移，不得违规增设危险废物管理计划审核，不得违规下放危险废物跨省转移和经营许可审批权限，不得在危险废物经营许可审批过程中违规限定接受工业危险废物的区域范围或比例等。”</w:t>
      </w:r>
    </w:p>
    <w:p w14:paraId="06855FE9">
      <w:pPr>
        <w:pStyle w:val="6"/>
        <w:rPr>
          <w:rFonts w:hint="default" w:ascii="Times New Roman" w:hAnsi="Times New Roman" w:cs="Times New Roman"/>
        </w:rPr>
      </w:pPr>
      <w:r>
        <w:rPr>
          <w:rFonts w:hint="default" w:ascii="Times New Roman" w:hAnsi="Times New Roman" w:cs="Times New Roman"/>
          <w:lang w:val="en-US" w:eastAsia="zh-CN"/>
        </w:rPr>
        <w:t>为进一步降低危险废物长距离运输过程中的环境风险，响应国家“无废园区”号召，现结合阿克苏市西工业园区实际情况，</w:t>
      </w:r>
      <w:r>
        <w:rPr>
          <w:rFonts w:hint="default" w:ascii="Times New Roman" w:hAnsi="Times New Roman" w:cs="Times New Roman"/>
        </w:rPr>
        <w:t>本项目</w:t>
      </w:r>
      <w:r>
        <w:rPr>
          <w:rFonts w:hint="default" w:ascii="Times New Roman" w:hAnsi="Times New Roman" w:cs="Times New Roman"/>
          <w:lang w:val="en-US" w:eastAsia="zh-CN"/>
        </w:rPr>
        <w:t>收集</w:t>
      </w:r>
      <w:r>
        <w:rPr>
          <w:rFonts w:hint="default" w:ascii="Times New Roman" w:hAnsi="Times New Roman" w:cs="Times New Roman"/>
        </w:rPr>
        <w:t>新疆兴发化工有限公司产生的HW11精（蒸）馏残渣（900-013-11）。本项目拟处置的危险废物共涉及《国家危险废物名录（2021年版）》中的</w:t>
      </w:r>
      <w:r>
        <w:rPr>
          <w:rFonts w:hint="default" w:ascii="Times New Roman" w:hAnsi="Times New Roman" w:cs="Times New Roman"/>
          <w:lang w:val="en-US" w:eastAsia="zh-CN"/>
        </w:rPr>
        <w:t>1</w:t>
      </w:r>
      <w:r>
        <w:rPr>
          <w:rFonts w:hint="default" w:ascii="Times New Roman" w:hAnsi="Times New Roman" w:cs="Times New Roman"/>
        </w:rPr>
        <w:t>种类别、</w:t>
      </w:r>
      <w:r>
        <w:rPr>
          <w:rFonts w:hint="default" w:ascii="Times New Roman" w:hAnsi="Times New Roman" w:cs="Times New Roman"/>
          <w:lang w:val="en-US" w:eastAsia="zh-CN"/>
        </w:rPr>
        <w:t>1</w:t>
      </w:r>
      <w:r>
        <w:rPr>
          <w:rFonts w:hint="default" w:ascii="Times New Roman" w:hAnsi="Times New Roman" w:cs="Times New Roman"/>
        </w:rPr>
        <w:t>种代码</w:t>
      </w:r>
      <w:r>
        <w:rPr>
          <w:rFonts w:hint="default" w:ascii="Times New Roman" w:hAnsi="Times New Roman" w:cs="Times New Roman"/>
          <w:lang w:eastAsia="zh-CN"/>
        </w:rPr>
        <w:t>，</w:t>
      </w:r>
      <w:r>
        <w:rPr>
          <w:rFonts w:hint="default" w:ascii="Times New Roman" w:hAnsi="Times New Roman" w:cs="Times New Roman"/>
          <w:lang w:val="en-US" w:eastAsia="zh-CN"/>
        </w:rPr>
        <w:t>见</w:t>
      </w:r>
      <w:r>
        <w:rPr>
          <w:rFonts w:hint="default" w:ascii="Times New Roman" w:hAnsi="Times New Roman" w:cs="Times New Roman"/>
        </w:rPr>
        <w:fldChar w:fldCharType="begin"/>
      </w:r>
      <w:r>
        <w:rPr>
          <w:rFonts w:hint="default" w:ascii="Times New Roman" w:hAnsi="Times New Roman" w:cs="Times New Roman"/>
        </w:rPr>
        <w:instrText xml:space="preserve"> REF _Ref126752378 \h  \* MERGEFORMAT </w:instrText>
      </w:r>
      <w:r>
        <w:rPr>
          <w:rFonts w:hint="default" w:ascii="Times New Roman" w:hAnsi="Times New Roman" w:cs="Times New Roman"/>
        </w:rPr>
        <w:fldChar w:fldCharType="separate"/>
      </w:r>
      <w:r>
        <w:rPr>
          <w:rFonts w:hint="default" w:ascii="Times New Roman" w:hAnsi="Times New Roman" w:cs="Times New Roman"/>
        </w:rPr>
        <w:t>表3.</w:t>
      </w:r>
      <w:r>
        <w:rPr>
          <w:rFonts w:hint="default" w:ascii="Times New Roman" w:hAnsi="Times New Roman" w:cs="Times New Roman"/>
          <w:lang w:val="en-US" w:eastAsia="zh-CN"/>
        </w:rPr>
        <w:t>6</w:t>
      </w:r>
      <w:r>
        <w:rPr>
          <w:rFonts w:hint="default" w:ascii="Times New Roman" w:hAnsi="Times New Roman" w:cs="Times New Roman"/>
        </w:rPr>
        <w:fldChar w:fldCharType="end"/>
      </w:r>
      <w:r>
        <w:rPr>
          <w:rFonts w:hint="default" w:ascii="Times New Roman" w:hAnsi="Times New Roman" w:cs="Times New Roman"/>
          <w:lang w:val="en-US" w:eastAsia="zh-CN"/>
        </w:rPr>
        <w:t>-1</w:t>
      </w:r>
      <w:r>
        <w:rPr>
          <w:rFonts w:hint="default" w:ascii="Times New Roman" w:hAnsi="Times New Roman" w:cs="Times New Roman"/>
        </w:rPr>
        <w:t>。</w:t>
      </w:r>
    </w:p>
    <w:p w14:paraId="214FEADD">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12" w:name="_Ref126752378"/>
      <w:r>
        <w:rPr>
          <w:rFonts w:hint="default" w:ascii="Times New Roman" w:hAnsi="Times New Roman" w:cs="Times New Roman"/>
          <w:b/>
          <w:bCs/>
        </w:rPr>
        <w:t>表</w:t>
      </w:r>
      <w:bookmarkEnd w:id="112"/>
      <w:r>
        <w:rPr>
          <w:rFonts w:hint="default" w:ascii="Times New Roman" w:hAnsi="Times New Roman" w:cs="Times New Roman"/>
          <w:b/>
          <w:bCs/>
          <w:lang w:val="en-US" w:eastAsia="zh-CN"/>
        </w:rPr>
        <w:t>3.6-1</w:t>
      </w:r>
      <w:r>
        <w:rPr>
          <w:rFonts w:hint="default" w:ascii="Times New Roman" w:hAnsi="Times New Roman" w:cs="Times New Roman"/>
          <w:b/>
          <w:bCs/>
        </w:rPr>
        <w:t xml:space="preserve"> 本项目拟处置危废类别及数量一览表</w:t>
      </w:r>
    </w:p>
    <w:tbl>
      <w:tblPr>
        <w:tblStyle w:val="39"/>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965"/>
        <w:gridCol w:w="1843"/>
        <w:gridCol w:w="1180"/>
        <w:gridCol w:w="1757"/>
      </w:tblGrid>
      <w:tr w14:paraId="070D90B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blHeader/>
        </w:trPr>
        <w:tc>
          <w:tcPr>
            <w:tcW w:w="450" w:type="pct"/>
            <w:tcBorders>
              <w:tl2br w:val="nil"/>
              <w:tr2bl w:val="nil"/>
            </w:tcBorders>
            <w:vAlign w:val="center"/>
          </w:tcPr>
          <w:p w14:paraId="5DC8391D">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序号</w:t>
            </w:r>
          </w:p>
        </w:tc>
        <w:tc>
          <w:tcPr>
            <w:tcW w:w="1741" w:type="pct"/>
            <w:tcBorders>
              <w:tl2br w:val="nil"/>
              <w:tr2bl w:val="nil"/>
            </w:tcBorders>
            <w:vAlign w:val="center"/>
          </w:tcPr>
          <w:p w14:paraId="01D8278A">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危险废物类别</w:t>
            </w:r>
          </w:p>
        </w:tc>
        <w:tc>
          <w:tcPr>
            <w:tcW w:w="1082" w:type="pct"/>
            <w:tcBorders>
              <w:tl2br w:val="nil"/>
              <w:tr2bl w:val="nil"/>
            </w:tcBorders>
            <w:vAlign w:val="center"/>
          </w:tcPr>
          <w:p w14:paraId="57CC673B">
            <w:pPr>
              <w:pStyle w:val="52"/>
              <w:spacing w:before="0" w:after="0" w:line="240" w:lineRule="auto"/>
              <w:ind w:left="0" w:firstLine="0"/>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危险废物</w:t>
            </w:r>
            <w:r>
              <w:rPr>
                <w:rFonts w:hint="default" w:ascii="Times New Roman" w:hAnsi="Times New Roman" w:cs="Times New Roman"/>
                <w:b/>
                <w:bCs/>
                <w:color w:val="000000" w:themeColor="text1"/>
                <w:sz w:val="21"/>
                <w:szCs w:val="18"/>
                <w:lang w:val="en-US" w:eastAsia="zh-CN"/>
                <w14:textFill>
                  <w14:solidFill>
                    <w14:schemeClr w14:val="tx1"/>
                  </w14:solidFill>
                </w14:textFill>
              </w:rPr>
              <w:t>代码</w:t>
            </w:r>
          </w:p>
        </w:tc>
        <w:tc>
          <w:tcPr>
            <w:tcW w:w="693" w:type="pct"/>
            <w:tcBorders>
              <w:tl2br w:val="nil"/>
              <w:tr2bl w:val="nil"/>
            </w:tcBorders>
            <w:vAlign w:val="center"/>
          </w:tcPr>
          <w:p w14:paraId="719FE684">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数量（t/a）</w:t>
            </w:r>
          </w:p>
        </w:tc>
        <w:tc>
          <w:tcPr>
            <w:tcW w:w="1031" w:type="pct"/>
            <w:tcBorders>
              <w:tl2br w:val="nil"/>
              <w:tr2bl w:val="nil"/>
            </w:tcBorders>
          </w:tcPr>
          <w:p w14:paraId="334A0B61">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形态</w:t>
            </w:r>
          </w:p>
        </w:tc>
      </w:tr>
      <w:tr w14:paraId="209F27A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50" w:type="pct"/>
            <w:vMerge w:val="restart"/>
            <w:tcBorders>
              <w:tl2br w:val="nil"/>
              <w:tr2bl w:val="nil"/>
            </w:tcBorders>
            <w:vAlign w:val="center"/>
          </w:tcPr>
          <w:p w14:paraId="7BA6ADE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w:t>
            </w:r>
          </w:p>
        </w:tc>
        <w:tc>
          <w:tcPr>
            <w:tcW w:w="1741" w:type="pct"/>
            <w:vMerge w:val="restart"/>
            <w:tcBorders>
              <w:tl2br w:val="nil"/>
              <w:tr2bl w:val="nil"/>
            </w:tcBorders>
            <w:vAlign w:val="center"/>
          </w:tcPr>
          <w:p w14:paraId="59A743E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HW11精（蒸）馏残渣</w:t>
            </w:r>
          </w:p>
        </w:tc>
        <w:tc>
          <w:tcPr>
            <w:tcW w:w="1082" w:type="pct"/>
            <w:vMerge w:val="restart"/>
            <w:tcBorders>
              <w:tl2br w:val="nil"/>
              <w:tr2bl w:val="nil"/>
            </w:tcBorders>
            <w:vAlign w:val="center"/>
          </w:tcPr>
          <w:p w14:paraId="355FDFA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900-013-11</w:t>
            </w:r>
          </w:p>
        </w:tc>
        <w:tc>
          <w:tcPr>
            <w:tcW w:w="693" w:type="pct"/>
            <w:tcBorders>
              <w:tl2br w:val="nil"/>
              <w:tr2bl w:val="nil"/>
            </w:tcBorders>
            <w:vAlign w:val="center"/>
          </w:tcPr>
          <w:p w14:paraId="399484CB">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200</w:t>
            </w:r>
          </w:p>
        </w:tc>
        <w:tc>
          <w:tcPr>
            <w:tcW w:w="1031" w:type="pct"/>
            <w:tcBorders>
              <w:tl2br w:val="nil"/>
              <w:tr2bl w:val="nil"/>
            </w:tcBorders>
          </w:tcPr>
          <w:p w14:paraId="2897956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固态</w:t>
            </w:r>
          </w:p>
        </w:tc>
      </w:tr>
      <w:tr w14:paraId="75034B0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450" w:type="pct"/>
            <w:vMerge w:val="continue"/>
            <w:tcBorders>
              <w:tl2br w:val="nil"/>
              <w:tr2bl w:val="nil"/>
            </w:tcBorders>
            <w:vAlign w:val="center"/>
          </w:tcPr>
          <w:p w14:paraId="598F397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741" w:type="pct"/>
            <w:vMerge w:val="continue"/>
            <w:tcBorders>
              <w:tl2br w:val="nil"/>
              <w:tr2bl w:val="nil"/>
            </w:tcBorders>
            <w:vAlign w:val="center"/>
          </w:tcPr>
          <w:p w14:paraId="04E4FC4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82" w:type="pct"/>
            <w:vMerge w:val="continue"/>
            <w:tcBorders>
              <w:tl2br w:val="nil"/>
              <w:tr2bl w:val="nil"/>
            </w:tcBorders>
            <w:vAlign w:val="center"/>
          </w:tcPr>
          <w:p w14:paraId="1814FA5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93" w:type="pct"/>
            <w:tcBorders>
              <w:tl2br w:val="nil"/>
              <w:tr2bl w:val="nil"/>
            </w:tcBorders>
            <w:vAlign w:val="center"/>
          </w:tcPr>
          <w:p w14:paraId="42F0480A">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50</w:t>
            </w:r>
          </w:p>
        </w:tc>
        <w:tc>
          <w:tcPr>
            <w:tcW w:w="1031" w:type="pct"/>
            <w:tcBorders>
              <w:tl2br w:val="nil"/>
              <w:tr2bl w:val="nil"/>
            </w:tcBorders>
          </w:tcPr>
          <w:p w14:paraId="251ABCF9">
            <w:pPr>
              <w:pStyle w:val="52"/>
              <w:spacing w:before="0" w:after="0" w:line="240" w:lineRule="auto"/>
              <w:ind w:left="0" w:firstLine="0"/>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液态</w:t>
            </w:r>
          </w:p>
        </w:tc>
      </w:tr>
      <w:bookmarkEnd w:id="111"/>
    </w:tbl>
    <w:p w14:paraId="0E13AD07">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6.2</w:t>
      </w:r>
      <w:r>
        <w:rPr>
          <w:rFonts w:hint="default" w:ascii="Times New Roman" w:hAnsi="Times New Roman" w:eastAsia="宋体" w:cs="Times New Roman"/>
          <w:b/>
          <w:bCs w:val="0"/>
          <w:kern w:val="2"/>
          <w:sz w:val="24"/>
          <w:szCs w:val="24"/>
          <w:highlight w:val="none"/>
          <w:lang w:val="en-US" w:eastAsia="zh-CN"/>
        </w:rPr>
        <w:t>拟处置危废成分分析</w:t>
      </w:r>
    </w:p>
    <w:p w14:paraId="725440FD">
      <w:pPr>
        <w:pStyle w:val="6"/>
        <w:rPr>
          <w:rFonts w:hint="default" w:ascii="Times New Roman" w:hAnsi="Times New Roman" w:cs="Times New Roman"/>
        </w:rPr>
      </w:pPr>
      <w:r>
        <w:rPr>
          <w:rFonts w:hint="default" w:ascii="Times New Roman" w:hAnsi="Times New Roman" w:cs="Times New Roman"/>
        </w:rPr>
        <w:t>本项目拟处置危险废物类别成分分析数据见表3.</w:t>
      </w:r>
      <w:r>
        <w:rPr>
          <w:rFonts w:hint="default" w:ascii="Times New Roman" w:hAnsi="Times New Roman" w:cs="Times New Roman"/>
          <w:lang w:val="en-US" w:eastAsia="zh-CN"/>
        </w:rPr>
        <w:t>6-2</w:t>
      </w:r>
      <w:r>
        <w:rPr>
          <w:rFonts w:hint="default" w:ascii="Times New Roman" w:hAnsi="Times New Roman" w:cs="Times New Roman"/>
        </w:rPr>
        <w:t>。</w:t>
      </w:r>
    </w:p>
    <w:p w14:paraId="639B3D5D">
      <w:pPr>
        <w:pStyle w:val="6"/>
        <w:spacing w:line="240" w:lineRule="auto"/>
        <w:ind w:left="0" w:leftChars="0" w:right="0" w:rightChars="0" w:firstLine="0" w:firstLineChars="0"/>
        <w:jc w:val="center"/>
        <w:rPr>
          <w:rFonts w:hint="default" w:ascii="Times New Roman" w:hAnsi="Times New Roman" w:cs="Times New Roman"/>
          <w:b/>
          <w:bCs/>
        </w:rPr>
      </w:pPr>
      <w:r>
        <w:rPr>
          <w:rFonts w:hint="default" w:ascii="Times New Roman" w:hAnsi="Times New Roman" w:cs="Times New Roman"/>
          <w:b/>
          <w:bCs/>
        </w:rPr>
        <w:t>表3.</w:t>
      </w:r>
      <w:r>
        <w:rPr>
          <w:rFonts w:hint="default" w:ascii="Times New Roman" w:hAnsi="Times New Roman" w:cs="Times New Roman"/>
          <w:b/>
          <w:bCs/>
          <w:lang w:val="en-US" w:eastAsia="zh-CN"/>
        </w:rPr>
        <w:t>6-2</w:t>
      </w:r>
      <w:r>
        <w:rPr>
          <w:rFonts w:hint="default" w:ascii="Times New Roman" w:hAnsi="Times New Roman" w:cs="Times New Roman"/>
          <w:b/>
          <w:bCs/>
        </w:rPr>
        <w:t xml:space="preserve"> </w:t>
      </w:r>
      <w:r>
        <w:rPr>
          <w:rFonts w:hint="default" w:ascii="Times New Roman" w:hAnsi="Times New Roman" w:cs="Times New Roman"/>
          <w:b/>
          <w:bCs/>
          <w:highlight w:val="none"/>
        </w:rPr>
        <w:t>项目拟处置危险废物成分分析一览表</w:t>
      </w:r>
    </w:p>
    <w:tbl>
      <w:tblPr>
        <w:tblStyle w:val="39"/>
        <w:tblW w:w="4994"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133"/>
        <w:gridCol w:w="1773"/>
        <w:gridCol w:w="1664"/>
        <w:gridCol w:w="2981"/>
      </w:tblGrid>
      <w:tr w14:paraId="2A28E93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blHeader/>
        </w:trPr>
        <w:tc>
          <w:tcPr>
            <w:tcW w:w="561" w:type="pct"/>
            <w:vMerge w:val="restart"/>
            <w:tcBorders>
              <w:tl2br w:val="nil"/>
              <w:tr2bl w:val="nil"/>
            </w:tcBorders>
            <w:vAlign w:val="center"/>
          </w:tcPr>
          <w:p w14:paraId="55F2E151">
            <w:pPr>
              <w:pStyle w:val="52"/>
              <w:spacing w:before="0" w:after="0" w:line="240" w:lineRule="auto"/>
              <w:ind w:left="0" w:firstLine="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类别</w:t>
            </w:r>
          </w:p>
        </w:tc>
        <w:tc>
          <w:tcPr>
            <w:tcW w:w="666" w:type="pct"/>
            <w:vMerge w:val="restart"/>
            <w:tcBorders>
              <w:tl2br w:val="nil"/>
              <w:tr2bl w:val="nil"/>
            </w:tcBorders>
            <w:vAlign w:val="center"/>
          </w:tcPr>
          <w:p w14:paraId="05BA700A">
            <w:pPr>
              <w:pStyle w:val="52"/>
              <w:spacing w:before="0" w:after="0" w:line="240" w:lineRule="auto"/>
              <w:ind w:left="0" w:firstLine="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单位</w:t>
            </w:r>
          </w:p>
        </w:tc>
        <w:tc>
          <w:tcPr>
            <w:tcW w:w="2020" w:type="pct"/>
            <w:gridSpan w:val="2"/>
            <w:tcBorders>
              <w:tl2br w:val="nil"/>
              <w:tr2bl w:val="nil"/>
            </w:tcBorders>
            <w:vAlign w:val="center"/>
          </w:tcPr>
          <w:p w14:paraId="77FB00B1">
            <w:pPr>
              <w:pStyle w:val="52"/>
              <w:spacing w:before="0" w:after="0" w:line="240" w:lineRule="auto"/>
              <w:ind w:left="0" w:firstLine="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数值</w:t>
            </w:r>
          </w:p>
        </w:tc>
        <w:tc>
          <w:tcPr>
            <w:tcW w:w="1751" w:type="pct"/>
            <w:vMerge w:val="restart"/>
            <w:tcBorders>
              <w:tl2br w:val="nil"/>
              <w:tr2bl w:val="nil"/>
            </w:tcBorders>
            <w:vAlign w:val="center"/>
          </w:tcPr>
          <w:p w14:paraId="4D8A9BC4">
            <w:pPr>
              <w:pStyle w:val="52"/>
              <w:spacing w:before="0" w:after="0" w:line="240" w:lineRule="auto"/>
              <w:ind w:left="0" w:firstLine="0"/>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备注</w:t>
            </w:r>
          </w:p>
        </w:tc>
      </w:tr>
      <w:tr w14:paraId="7DCF8E8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blHeader/>
        </w:trPr>
        <w:tc>
          <w:tcPr>
            <w:tcW w:w="561" w:type="pct"/>
            <w:vMerge w:val="continue"/>
            <w:tcBorders>
              <w:tl2br w:val="nil"/>
              <w:tr2bl w:val="nil"/>
            </w:tcBorders>
            <w:vAlign w:val="center"/>
          </w:tcPr>
          <w:p w14:paraId="0B2A381D">
            <w:pPr>
              <w:pStyle w:val="52"/>
              <w:spacing w:before="0" w:after="0" w:line="240" w:lineRule="auto"/>
              <w:ind w:left="0" w:firstLine="0"/>
              <w:rPr>
                <w:rFonts w:hint="default" w:ascii="Times New Roman" w:hAnsi="Times New Roman" w:cs="Times New Roman"/>
                <w:b/>
                <w:bCs/>
                <w:color w:val="000000" w:themeColor="text1"/>
                <w:sz w:val="21"/>
                <w:szCs w:val="21"/>
                <w:lang w:val="en-US" w:eastAsia="zh-CN"/>
                <w14:textFill>
                  <w14:solidFill>
                    <w14:schemeClr w14:val="tx1"/>
                  </w14:solidFill>
                </w14:textFill>
              </w:rPr>
            </w:pPr>
          </w:p>
        </w:tc>
        <w:tc>
          <w:tcPr>
            <w:tcW w:w="666" w:type="pct"/>
            <w:vMerge w:val="continue"/>
            <w:tcBorders>
              <w:tl2br w:val="nil"/>
              <w:tr2bl w:val="nil"/>
            </w:tcBorders>
            <w:vAlign w:val="center"/>
          </w:tcPr>
          <w:p w14:paraId="544987D4">
            <w:pPr>
              <w:pStyle w:val="52"/>
              <w:spacing w:before="0" w:after="0" w:line="240" w:lineRule="auto"/>
              <w:ind w:left="0" w:firstLine="0"/>
              <w:rPr>
                <w:rFonts w:hint="default" w:ascii="Times New Roman" w:hAnsi="Times New Roman" w:cs="Times New Roman"/>
                <w:b/>
                <w:bCs/>
                <w:color w:val="000000" w:themeColor="text1"/>
                <w:sz w:val="21"/>
                <w:szCs w:val="21"/>
                <w:lang w:val="en-US" w:eastAsia="zh-CN"/>
                <w14:textFill>
                  <w14:solidFill>
                    <w14:schemeClr w14:val="tx1"/>
                  </w14:solidFill>
                </w14:textFill>
              </w:rPr>
            </w:pPr>
          </w:p>
        </w:tc>
        <w:tc>
          <w:tcPr>
            <w:tcW w:w="1042" w:type="pct"/>
            <w:tcBorders>
              <w:tl2br w:val="nil"/>
              <w:tr2bl w:val="nil"/>
            </w:tcBorders>
            <w:vAlign w:val="center"/>
          </w:tcPr>
          <w:p w14:paraId="4CF4F49D">
            <w:pPr>
              <w:pStyle w:val="52"/>
              <w:spacing w:before="0" w:after="0" w:line="240" w:lineRule="auto"/>
              <w:ind w:left="0" w:firstLine="0"/>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固态废物</w:t>
            </w:r>
          </w:p>
        </w:tc>
        <w:tc>
          <w:tcPr>
            <w:tcW w:w="978" w:type="pct"/>
            <w:tcBorders>
              <w:tl2br w:val="nil"/>
              <w:tr2bl w:val="nil"/>
            </w:tcBorders>
            <w:vAlign w:val="center"/>
          </w:tcPr>
          <w:p w14:paraId="57991EEA">
            <w:pPr>
              <w:pStyle w:val="52"/>
              <w:spacing w:before="0" w:after="0" w:line="240" w:lineRule="auto"/>
              <w:ind w:left="0" w:firstLine="0"/>
              <w:rPr>
                <w:rFonts w:hint="default" w:ascii="Times New Roman" w:hAnsi="Times New Roman" w:cs="Times New Roman"/>
                <w:b/>
                <w:bCs/>
                <w:color w:val="000000" w:themeColor="text1"/>
                <w:sz w:val="21"/>
                <w:szCs w:val="21"/>
                <w:lang w:val="en-US" w:eastAsia="zh-CN"/>
                <w14:textFill>
                  <w14:solidFill>
                    <w14:schemeClr w14:val="tx1"/>
                  </w14:solidFill>
                </w14:textFill>
              </w:rPr>
            </w:pPr>
            <w:r>
              <w:rPr>
                <w:rFonts w:hint="default" w:ascii="Times New Roman" w:hAnsi="Times New Roman" w:cs="Times New Roman"/>
                <w:b/>
                <w:bCs/>
                <w:color w:val="000000" w:themeColor="text1"/>
                <w:sz w:val="21"/>
                <w:szCs w:val="21"/>
                <w:lang w:val="en-US" w:eastAsia="zh-CN"/>
                <w14:textFill>
                  <w14:solidFill>
                    <w14:schemeClr w14:val="tx1"/>
                  </w14:solidFill>
                </w14:textFill>
              </w:rPr>
              <w:t>液态废物</w:t>
            </w:r>
          </w:p>
        </w:tc>
        <w:tc>
          <w:tcPr>
            <w:tcW w:w="1751" w:type="pct"/>
            <w:vMerge w:val="continue"/>
            <w:tcBorders>
              <w:tl2br w:val="nil"/>
              <w:tr2bl w:val="nil"/>
            </w:tcBorders>
            <w:vAlign w:val="center"/>
          </w:tcPr>
          <w:p w14:paraId="57504DC1">
            <w:pPr>
              <w:pStyle w:val="52"/>
              <w:spacing w:before="0" w:after="0" w:line="240" w:lineRule="auto"/>
              <w:ind w:left="0" w:firstLine="0"/>
              <w:rPr>
                <w:rFonts w:hint="default" w:ascii="Times New Roman" w:hAnsi="Times New Roman" w:cs="Times New Roman"/>
                <w:b/>
                <w:bCs/>
                <w:color w:val="000000" w:themeColor="text1"/>
                <w:sz w:val="21"/>
                <w:szCs w:val="21"/>
                <w:lang w:val="en-US" w:eastAsia="zh-CN"/>
                <w14:textFill>
                  <w14:solidFill>
                    <w14:schemeClr w14:val="tx1"/>
                  </w14:solidFill>
                </w14:textFill>
              </w:rPr>
            </w:pPr>
          </w:p>
        </w:tc>
      </w:tr>
      <w:tr w14:paraId="2CFFCE4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1" w:type="pct"/>
            <w:tcBorders>
              <w:tl2br w:val="nil"/>
              <w:tr2bl w:val="nil"/>
            </w:tcBorders>
            <w:shd w:val="clear" w:color="auto" w:fill="auto"/>
            <w:vAlign w:val="center"/>
          </w:tcPr>
          <w:p w14:paraId="3F638930">
            <w:pPr>
              <w:pStyle w:val="52"/>
              <w:spacing w:before="0" w:after="0" w:line="240" w:lineRule="auto"/>
              <w:ind w:left="0" w:firstLine="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热值</w:t>
            </w:r>
          </w:p>
        </w:tc>
        <w:tc>
          <w:tcPr>
            <w:tcW w:w="666" w:type="pct"/>
            <w:tcBorders>
              <w:tl2br w:val="nil"/>
              <w:tr2bl w:val="nil"/>
            </w:tcBorders>
            <w:shd w:val="clear" w:color="auto" w:fill="auto"/>
            <w:vAlign w:val="center"/>
          </w:tcPr>
          <w:p w14:paraId="38A2CBB2">
            <w:pPr>
              <w:pStyle w:val="52"/>
              <w:spacing w:before="0" w:after="0" w:line="240" w:lineRule="auto"/>
              <w:ind w:left="0" w:firstLine="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MJ/kg</w:t>
            </w:r>
          </w:p>
        </w:tc>
        <w:tc>
          <w:tcPr>
            <w:tcW w:w="1042" w:type="pct"/>
            <w:tcBorders>
              <w:tl2br w:val="nil"/>
              <w:tr2bl w:val="nil"/>
            </w:tcBorders>
            <w:shd w:val="clear" w:color="auto" w:fill="auto"/>
            <w:vAlign w:val="center"/>
          </w:tcPr>
          <w:p w14:paraId="5EE62F61">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5.5</w:t>
            </w:r>
          </w:p>
        </w:tc>
        <w:tc>
          <w:tcPr>
            <w:tcW w:w="978" w:type="pct"/>
            <w:tcBorders>
              <w:tl2br w:val="nil"/>
              <w:tr2bl w:val="nil"/>
            </w:tcBorders>
            <w:shd w:val="clear" w:color="auto" w:fill="auto"/>
            <w:vAlign w:val="center"/>
          </w:tcPr>
          <w:p w14:paraId="58349407">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30.71</w:t>
            </w:r>
          </w:p>
        </w:tc>
        <w:tc>
          <w:tcPr>
            <w:tcW w:w="1751" w:type="pct"/>
            <w:tcBorders>
              <w:tl2br w:val="nil"/>
              <w:tr2bl w:val="nil"/>
            </w:tcBorders>
            <w:vAlign w:val="center"/>
          </w:tcPr>
          <w:p w14:paraId="58E58A0A">
            <w:pPr>
              <w:pStyle w:val="52"/>
              <w:spacing w:before="0" w:after="0" w:line="240" w:lineRule="auto"/>
              <w:ind w:left="0" w:firstLine="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w:t>
            </w:r>
          </w:p>
        </w:tc>
      </w:tr>
      <w:tr w14:paraId="7D41B96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1" w:type="pct"/>
            <w:tcBorders>
              <w:tl2br w:val="nil"/>
              <w:tr2bl w:val="nil"/>
            </w:tcBorders>
            <w:shd w:val="clear" w:color="auto" w:fill="auto"/>
            <w:vAlign w:val="center"/>
          </w:tcPr>
          <w:p w14:paraId="7AF31F44">
            <w:pPr>
              <w:pStyle w:val="52"/>
              <w:spacing w:before="0" w:after="0" w:line="240" w:lineRule="auto"/>
              <w:ind w:left="0" w:firstLine="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w:t>
            </w:r>
          </w:p>
        </w:tc>
        <w:tc>
          <w:tcPr>
            <w:tcW w:w="666" w:type="pct"/>
            <w:tcBorders>
              <w:tl2br w:val="nil"/>
              <w:tr2bl w:val="nil"/>
            </w:tcBorders>
            <w:shd w:val="clear" w:color="auto" w:fill="auto"/>
            <w:vAlign w:val="center"/>
          </w:tcPr>
          <w:p w14:paraId="0DFEFD21">
            <w:pPr>
              <w:pStyle w:val="52"/>
              <w:spacing w:before="0" w:after="0" w:line="240" w:lineRule="auto"/>
              <w:ind w:left="0" w:firstLine="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042" w:type="pct"/>
            <w:tcBorders>
              <w:tl2br w:val="nil"/>
              <w:tr2bl w:val="nil"/>
            </w:tcBorders>
            <w:shd w:val="clear" w:color="auto" w:fill="auto"/>
            <w:vAlign w:val="center"/>
          </w:tcPr>
          <w:p w14:paraId="6E97FFBB">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19.4</w:t>
            </w:r>
          </w:p>
        </w:tc>
        <w:tc>
          <w:tcPr>
            <w:tcW w:w="978" w:type="pct"/>
            <w:tcBorders>
              <w:tl2br w:val="nil"/>
              <w:tr2bl w:val="nil"/>
            </w:tcBorders>
            <w:shd w:val="clear" w:color="auto" w:fill="auto"/>
            <w:vAlign w:val="center"/>
          </w:tcPr>
          <w:p w14:paraId="7723902A">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lang w:val="en-US" w:eastAsia="zh-CN"/>
              </w:rPr>
              <w:t>41.3</w:t>
            </w:r>
          </w:p>
        </w:tc>
        <w:tc>
          <w:tcPr>
            <w:tcW w:w="1751" w:type="pct"/>
            <w:tcBorders>
              <w:tl2br w:val="nil"/>
              <w:tr2bl w:val="nil"/>
            </w:tcBorders>
            <w:vAlign w:val="center"/>
          </w:tcPr>
          <w:p w14:paraId="5EF49535">
            <w:pPr>
              <w:pStyle w:val="52"/>
              <w:spacing w:before="0" w:after="0" w:line="240" w:lineRule="auto"/>
              <w:ind w:left="0" w:firstLine="0"/>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主要成分为甲磺酸钠</w:t>
            </w:r>
          </w:p>
        </w:tc>
      </w:tr>
      <w:tr w14:paraId="56BFB7D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1" w:type="pct"/>
            <w:tcBorders>
              <w:tl2br w:val="nil"/>
              <w:tr2bl w:val="nil"/>
            </w:tcBorders>
            <w:shd w:val="clear" w:color="auto" w:fill="auto"/>
            <w:vAlign w:val="center"/>
          </w:tcPr>
          <w:p w14:paraId="1E153C50">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CI</w:t>
            </w:r>
          </w:p>
        </w:tc>
        <w:tc>
          <w:tcPr>
            <w:tcW w:w="666" w:type="pct"/>
            <w:tcBorders>
              <w:tl2br w:val="nil"/>
              <w:tr2bl w:val="nil"/>
            </w:tcBorders>
            <w:shd w:val="clear" w:color="auto" w:fill="auto"/>
            <w:vAlign w:val="center"/>
          </w:tcPr>
          <w:p w14:paraId="1E442F7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042" w:type="pct"/>
            <w:tcBorders>
              <w:tl2br w:val="nil"/>
              <w:tr2bl w:val="nil"/>
            </w:tcBorders>
            <w:shd w:val="clear" w:color="auto" w:fill="auto"/>
            <w:vAlign w:val="center"/>
          </w:tcPr>
          <w:p w14:paraId="0CD03CA0">
            <w:pPr>
              <w:pStyle w:val="52"/>
              <w:spacing w:before="0" w:after="0" w:line="240" w:lineRule="auto"/>
              <w:ind w:left="0" w:leftChars="0" w:firstLine="0" w:firstLineChars="0"/>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0</w:t>
            </w:r>
          </w:p>
        </w:tc>
        <w:tc>
          <w:tcPr>
            <w:tcW w:w="978" w:type="pct"/>
            <w:tcBorders>
              <w:tl2br w:val="nil"/>
              <w:tr2bl w:val="nil"/>
            </w:tcBorders>
            <w:shd w:val="clear" w:color="auto" w:fill="auto"/>
            <w:vAlign w:val="center"/>
          </w:tcPr>
          <w:p w14:paraId="2A23D9A3">
            <w:pPr>
              <w:pStyle w:val="52"/>
              <w:spacing w:before="0" w:after="0" w:line="240" w:lineRule="auto"/>
              <w:ind w:left="0" w:leftChars="0" w:firstLine="0" w:firstLineChars="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w:t>
            </w:r>
          </w:p>
        </w:tc>
        <w:tc>
          <w:tcPr>
            <w:tcW w:w="1751" w:type="pct"/>
            <w:tcBorders>
              <w:tl2br w:val="nil"/>
              <w:tr2bl w:val="nil"/>
            </w:tcBorders>
            <w:vAlign w:val="center"/>
          </w:tcPr>
          <w:p w14:paraId="349EE198">
            <w:pPr>
              <w:pStyle w:val="52"/>
              <w:spacing w:before="0" w:after="0" w:line="240" w:lineRule="auto"/>
              <w:ind w:left="0" w:firstLine="0"/>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项目所处置危废中不含氯元素</w:t>
            </w:r>
          </w:p>
        </w:tc>
      </w:tr>
      <w:tr w14:paraId="6474DB3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1" w:type="pct"/>
            <w:tcBorders>
              <w:tl2br w:val="nil"/>
              <w:tr2bl w:val="nil"/>
            </w:tcBorders>
            <w:shd w:val="clear" w:color="auto" w:fill="auto"/>
            <w:vAlign w:val="center"/>
          </w:tcPr>
          <w:p w14:paraId="3CA7F878">
            <w:pPr>
              <w:pStyle w:val="52"/>
              <w:spacing w:before="0" w:after="0" w:line="240" w:lineRule="auto"/>
              <w:ind w:left="0" w:firstLine="0"/>
              <w:rPr>
                <w:rFonts w:hint="eastAsia"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F</w:t>
            </w:r>
          </w:p>
        </w:tc>
        <w:tc>
          <w:tcPr>
            <w:tcW w:w="666" w:type="pct"/>
            <w:tcBorders>
              <w:tl2br w:val="nil"/>
              <w:tr2bl w:val="nil"/>
            </w:tcBorders>
            <w:shd w:val="clear" w:color="auto" w:fill="auto"/>
            <w:vAlign w:val="center"/>
          </w:tcPr>
          <w:p w14:paraId="70D28391">
            <w:pPr>
              <w:pStyle w:val="52"/>
              <w:spacing w:before="0" w:after="0" w:line="240" w:lineRule="auto"/>
              <w:ind w:left="0" w:firstLine="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042" w:type="pct"/>
            <w:tcBorders>
              <w:tl2br w:val="nil"/>
              <w:tr2bl w:val="nil"/>
            </w:tcBorders>
            <w:shd w:val="clear" w:color="auto" w:fill="auto"/>
            <w:vAlign w:val="center"/>
          </w:tcPr>
          <w:p w14:paraId="407224EF">
            <w:pPr>
              <w:pStyle w:val="52"/>
              <w:spacing w:before="0" w:after="0" w:line="240" w:lineRule="auto"/>
              <w:ind w:left="0" w:leftChars="0" w:firstLine="0" w:firstLineChars="0"/>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0</w:t>
            </w:r>
          </w:p>
        </w:tc>
        <w:tc>
          <w:tcPr>
            <w:tcW w:w="978" w:type="pct"/>
            <w:tcBorders>
              <w:tl2br w:val="nil"/>
              <w:tr2bl w:val="nil"/>
            </w:tcBorders>
            <w:shd w:val="clear" w:color="auto" w:fill="auto"/>
            <w:vAlign w:val="center"/>
          </w:tcPr>
          <w:p w14:paraId="557730D6">
            <w:pPr>
              <w:pStyle w:val="52"/>
              <w:spacing w:before="0" w:after="0" w:line="240" w:lineRule="auto"/>
              <w:ind w:left="0" w:leftChars="0" w:firstLine="0" w:firstLineChars="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w:t>
            </w:r>
          </w:p>
        </w:tc>
        <w:tc>
          <w:tcPr>
            <w:tcW w:w="1751" w:type="pct"/>
            <w:tcBorders>
              <w:tl2br w:val="nil"/>
              <w:tr2bl w:val="nil"/>
            </w:tcBorders>
            <w:vAlign w:val="center"/>
          </w:tcPr>
          <w:p w14:paraId="2B8A2173">
            <w:pPr>
              <w:pStyle w:val="52"/>
              <w:spacing w:before="0" w:after="0" w:line="240" w:lineRule="auto"/>
              <w:ind w:left="0" w:firstLine="0"/>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项目所处置危废中不含氟元素</w:t>
            </w:r>
          </w:p>
        </w:tc>
      </w:tr>
      <w:tr w14:paraId="5470C4F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1" w:type="pct"/>
            <w:tcBorders>
              <w:tl2br w:val="nil"/>
              <w:tr2bl w:val="nil"/>
            </w:tcBorders>
            <w:shd w:val="clear" w:color="auto" w:fill="auto"/>
            <w:vAlign w:val="center"/>
          </w:tcPr>
          <w:p w14:paraId="04B4EE95">
            <w:pPr>
              <w:pStyle w:val="52"/>
              <w:spacing w:before="0" w:after="0" w:line="240" w:lineRule="auto"/>
              <w:ind w:left="0" w:firstLine="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Hg</w:t>
            </w:r>
          </w:p>
        </w:tc>
        <w:tc>
          <w:tcPr>
            <w:tcW w:w="666" w:type="pct"/>
            <w:tcBorders>
              <w:tl2br w:val="nil"/>
              <w:tr2bl w:val="nil"/>
            </w:tcBorders>
            <w:shd w:val="clear" w:color="auto" w:fill="auto"/>
            <w:vAlign w:val="center"/>
          </w:tcPr>
          <w:p w14:paraId="5BCB9C52">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042" w:type="pct"/>
            <w:tcBorders>
              <w:tl2br w:val="nil"/>
              <w:tr2bl w:val="nil"/>
            </w:tcBorders>
            <w:shd w:val="clear" w:color="auto" w:fill="auto"/>
            <w:vAlign w:val="center"/>
          </w:tcPr>
          <w:p w14:paraId="33C9505E">
            <w:pPr>
              <w:pStyle w:val="52"/>
              <w:spacing w:before="0" w:after="0" w:line="240" w:lineRule="auto"/>
              <w:ind w:left="0" w:leftChars="0" w:firstLine="0" w:firstLineChars="0"/>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0</w:t>
            </w:r>
          </w:p>
        </w:tc>
        <w:tc>
          <w:tcPr>
            <w:tcW w:w="978" w:type="pct"/>
            <w:tcBorders>
              <w:tl2br w:val="nil"/>
              <w:tr2bl w:val="nil"/>
            </w:tcBorders>
            <w:shd w:val="clear" w:color="auto" w:fill="auto"/>
            <w:vAlign w:val="center"/>
          </w:tcPr>
          <w:p w14:paraId="11A65AC6">
            <w:pPr>
              <w:pStyle w:val="52"/>
              <w:spacing w:before="0" w:after="0" w:line="240" w:lineRule="auto"/>
              <w:ind w:left="0" w:leftChars="0" w:firstLine="0" w:firstLineChars="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w:t>
            </w:r>
          </w:p>
        </w:tc>
        <w:tc>
          <w:tcPr>
            <w:tcW w:w="1751" w:type="pct"/>
            <w:vMerge w:val="restart"/>
            <w:tcBorders>
              <w:tl2br w:val="nil"/>
              <w:tr2bl w:val="nil"/>
            </w:tcBorders>
            <w:vAlign w:val="center"/>
          </w:tcPr>
          <w:p w14:paraId="55ADEBF6">
            <w:pPr>
              <w:pStyle w:val="52"/>
              <w:spacing w:before="0" w:after="0" w:line="240" w:lineRule="auto"/>
              <w:ind w:left="0" w:firstLine="0"/>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项目所处置危废中不含</w:t>
            </w:r>
            <w:r>
              <w:rPr>
                <w:rFonts w:hint="eastAsia" w:ascii="Times New Roman" w:hAnsi="Times New Roman" w:cs="Times New Roman"/>
                <w:color w:val="auto"/>
                <w:sz w:val="21"/>
                <w:szCs w:val="21"/>
                <w:lang w:val="en-US" w:eastAsia="zh-CN"/>
              </w:rPr>
              <w:t>各类重金属</w:t>
            </w:r>
            <w:r>
              <w:rPr>
                <w:rFonts w:hint="default" w:ascii="Times New Roman" w:hAnsi="Times New Roman" w:cs="Times New Roman"/>
                <w:color w:val="auto"/>
                <w:sz w:val="21"/>
                <w:szCs w:val="21"/>
                <w:lang w:val="en-US" w:eastAsia="zh-CN"/>
              </w:rPr>
              <w:t>元素</w:t>
            </w:r>
          </w:p>
        </w:tc>
      </w:tr>
      <w:tr w14:paraId="7AB8334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1" w:type="pct"/>
            <w:tcBorders>
              <w:tl2br w:val="nil"/>
              <w:tr2bl w:val="nil"/>
            </w:tcBorders>
            <w:shd w:val="clear" w:color="auto" w:fill="auto"/>
            <w:vAlign w:val="center"/>
          </w:tcPr>
          <w:p w14:paraId="45248445">
            <w:pPr>
              <w:pStyle w:val="52"/>
              <w:spacing w:before="0" w:after="0" w:line="240" w:lineRule="auto"/>
              <w:ind w:left="0" w:firstLine="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Cr</w:t>
            </w:r>
          </w:p>
        </w:tc>
        <w:tc>
          <w:tcPr>
            <w:tcW w:w="666" w:type="pct"/>
            <w:tcBorders>
              <w:tl2br w:val="nil"/>
              <w:tr2bl w:val="nil"/>
            </w:tcBorders>
            <w:shd w:val="clear" w:color="auto" w:fill="auto"/>
            <w:vAlign w:val="center"/>
          </w:tcPr>
          <w:p w14:paraId="4C207E9B">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042" w:type="pct"/>
            <w:tcBorders>
              <w:tl2br w:val="nil"/>
              <w:tr2bl w:val="nil"/>
            </w:tcBorders>
            <w:shd w:val="clear" w:color="auto" w:fill="auto"/>
            <w:vAlign w:val="center"/>
          </w:tcPr>
          <w:p w14:paraId="2AA15B4C">
            <w:pPr>
              <w:pStyle w:val="52"/>
              <w:spacing w:before="0" w:after="0" w:line="240" w:lineRule="auto"/>
              <w:ind w:left="0" w:leftChars="0" w:firstLine="0" w:firstLineChars="0"/>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0</w:t>
            </w:r>
          </w:p>
        </w:tc>
        <w:tc>
          <w:tcPr>
            <w:tcW w:w="978" w:type="pct"/>
            <w:tcBorders>
              <w:tl2br w:val="nil"/>
              <w:tr2bl w:val="nil"/>
            </w:tcBorders>
            <w:shd w:val="clear" w:color="auto" w:fill="auto"/>
            <w:vAlign w:val="center"/>
          </w:tcPr>
          <w:p w14:paraId="3E229B35">
            <w:pPr>
              <w:pStyle w:val="52"/>
              <w:spacing w:before="0" w:after="0" w:line="240" w:lineRule="auto"/>
              <w:ind w:left="0" w:leftChars="0" w:firstLine="0" w:firstLineChars="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w:t>
            </w:r>
          </w:p>
        </w:tc>
        <w:tc>
          <w:tcPr>
            <w:tcW w:w="1751" w:type="pct"/>
            <w:vMerge w:val="continue"/>
            <w:tcBorders>
              <w:tl2br w:val="nil"/>
              <w:tr2bl w:val="nil"/>
            </w:tcBorders>
            <w:vAlign w:val="center"/>
          </w:tcPr>
          <w:p w14:paraId="42081052">
            <w:pPr>
              <w:pStyle w:val="52"/>
              <w:spacing w:before="0" w:after="0" w:line="240" w:lineRule="auto"/>
              <w:ind w:left="0" w:firstLine="0"/>
              <w:rPr>
                <w:rFonts w:hint="default" w:ascii="Times New Roman" w:hAnsi="Times New Roman" w:cs="Times New Roman"/>
                <w:color w:val="FF0000"/>
                <w:sz w:val="21"/>
                <w:szCs w:val="21"/>
                <w:lang w:val="en-US" w:eastAsia="zh-CN"/>
              </w:rPr>
            </w:pPr>
          </w:p>
        </w:tc>
      </w:tr>
      <w:tr w14:paraId="78A48E2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1" w:type="pct"/>
            <w:tcBorders>
              <w:tl2br w:val="nil"/>
              <w:tr2bl w:val="nil"/>
            </w:tcBorders>
            <w:shd w:val="clear" w:color="auto" w:fill="auto"/>
            <w:vAlign w:val="center"/>
          </w:tcPr>
          <w:p w14:paraId="653A7F4D">
            <w:pPr>
              <w:pStyle w:val="52"/>
              <w:spacing w:before="0" w:after="0" w:line="240" w:lineRule="auto"/>
              <w:ind w:left="0" w:firstLine="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As</w:t>
            </w:r>
          </w:p>
        </w:tc>
        <w:tc>
          <w:tcPr>
            <w:tcW w:w="666" w:type="pct"/>
            <w:tcBorders>
              <w:tl2br w:val="nil"/>
              <w:tr2bl w:val="nil"/>
            </w:tcBorders>
            <w:shd w:val="clear" w:color="auto" w:fill="auto"/>
            <w:vAlign w:val="center"/>
          </w:tcPr>
          <w:p w14:paraId="32A3C992">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042" w:type="pct"/>
            <w:tcBorders>
              <w:tl2br w:val="nil"/>
              <w:tr2bl w:val="nil"/>
            </w:tcBorders>
            <w:shd w:val="clear" w:color="auto" w:fill="auto"/>
            <w:vAlign w:val="center"/>
          </w:tcPr>
          <w:p w14:paraId="4874BA05">
            <w:pPr>
              <w:pStyle w:val="52"/>
              <w:spacing w:before="0" w:after="0" w:line="240" w:lineRule="auto"/>
              <w:ind w:left="0" w:leftChars="0" w:firstLine="0" w:firstLineChars="0"/>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0</w:t>
            </w:r>
          </w:p>
        </w:tc>
        <w:tc>
          <w:tcPr>
            <w:tcW w:w="978" w:type="pct"/>
            <w:tcBorders>
              <w:tl2br w:val="nil"/>
              <w:tr2bl w:val="nil"/>
            </w:tcBorders>
            <w:shd w:val="clear" w:color="auto" w:fill="auto"/>
            <w:vAlign w:val="center"/>
          </w:tcPr>
          <w:p w14:paraId="60E912EF">
            <w:pPr>
              <w:pStyle w:val="52"/>
              <w:spacing w:before="0" w:after="0" w:line="240" w:lineRule="auto"/>
              <w:ind w:left="0" w:leftChars="0" w:firstLine="0" w:firstLineChars="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w:t>
            </w:r>
          </w:p>
        </w:tc>
        <w:tc>
          <w:tcPr>
            <w:tcW w:w="1751" w:type="pct"/>
            <w:vMerge w:val="continue"/>
            <w:tcBorders>
              <w:tl2br w:val="nil"/>
              <w:tr2bl w:val="nil"/>
            </w:tcBorders>
            <w:vAlign w:val="center"/>
          </w:tcPr>
          <w:p w14:paraId="11359EDD">
            <w:pPr>
              <w:pStyle w:val="52"/>
              <w:spacing w:before="0" w:after="0" w:line="240" w:lineRule="auto"/>
              <w:ind w:left="0" w:firstLine="0"/>
              <w:rPr>
                <w:rFonts w:hint="default" w:ascii="Times New Roman" w:hAnsi="Times New Roman" w:cs="Times New Roman"/>
                <w:color w:val="FF0000"/>
                <w:sz w:val="21"/>
                <w:szCs w:val="21"/>
                <w:lang w:val="en-US" w:eastAsia="zh-CN"/>
              </w:rPr>
            </w:pPr>
          </w:p>
        </w:tc>
      </w:tr>
      <w:tr w14:paraId="1AF9EA3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1" w:type="pct"/>
            <w:tcBorders>
              <w:tl2br w:val="nil"/>
              <w:tr2bl w:val="nil"/>
            </w:tcBorders>
            <w:shd w:val="clear" w:color="auto" w:fill="auto"/>
            <w:vAlign w:val="center"/>
          </w:tcPr>
          <w:p w14:paraId="40BA181C">
            <w:pPr>
              <w:pStyle w:val="52"/>
              <w:spacing w:before="0" w:after="0" w:line="240" w:lineRule="auto"/>
              <w:ind w:left="0" w:firstLine="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Cd</w:t>
            </w:r>
          </w:p>
        </w:tc>
        <w:tc>
          <w:tcPr>
            <w:tcW w:w="666" w:type="pct"/>
            <w:tcBorders>
              <w:tl2br w:val="nil"/>
              <w:tr2bl w:val="nil"/>
            </w:tcBorders>
            <w:shd w:val="clear" w:color="auto" w:fill="auto"/>
            <w:vAlign w:val="center"/>
          </w:tcPr>
          <w:p w14:paraId="66D28959">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042" w:type="pct"/>
            <w:tcBorders>
              <w:tl2br w:val="nil"/>
              <w:tr2bl w:val="nil"/>
            </w:tcBorders>
            <w:shd w:val="clear" w:color="auto" w:fill="auto"/>
            <w:vAlign w:val="center"/>
          </w:tcPr>
          <w:p w14:paraId="5E31CEE4">
            <w:pPr>
              <w:pStyle w:val="52"/>
              <w:spacing w:before="0" w:after="0" w:line="240" w:lineRule="auto"/>
              <w:ind w:left="0" w:leftChars="0" w:firstLine="0" w:firstLineChars="0"/>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0</w:t>
            </w:r>
          </w:p>
        </w:tc>
        <w:tc>
          <w:tcPr>
            <w:tcW w:w="978" w:type="pct"/>
            <w:tcBorders>
              <w:tl2br w:val="nil"/>
              <w:tr2bl w:val="nil"/>
            </w:tcBorders>
            <w:shd w:val="clear" w:color="auto" w:fill="auto"/>
            <w:vAlign w:val="center"/>
          </w:tcPr>
          <w:p w14:paraId="37376E84">
            <w:pPr>
              <w:pStyle w:val="52"/>
              <w:spacing w:before="0" w:after="0" w:line="240" w:lineRule="auto"/>
              <w:ind w:left="0" w:leftChars="0" w:firstLine="0" w:firstLineChars="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w:t>
            </w:r>
          </w:p>
        </w:tc>
        <w:tc>
          <w:tcPr>
            <w:tcW w:w="1751" w:type="pct"/>
            <w:vMerge w:val="continue"/>
            <w:tcBorders>
              <w:tl2br w:val="nil"/>
              <w:tr2bl w:val="nil"/>
            </w:tcBorders>
            <w:vAlign w:val="center"/>
          </w:tcPr>
          <w:p w14:paraId="2E50EF93">
            <w:pPr>
              <w:pStyle w:val="52"/>
              <w:spacing w:before="0" w:after="0" w:line="240" w:lineRule="auto"/>
              <w:ind w:left="0" w:firstLine="0"/>
              <w:rPr>
                <w:rFonts w:hint="default" w:ascii="Times New Roman" w:hAnsi="Times New Roman" w:cs="Times New Roman"/>
                <w:color w:val="FF0000"/>
                <w:sz w:val="21"/>
                <w:szCs w:val="21"/>
                <w:lang w:val="en-US" w:eastAsia="zh-CN"/>
              </w:rPr>
            </w:pPr>
          </w:p>
        </w:tc>
      </w:tr>
      <w:tr w14:paraId="5F14FE3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561" w:type="pct"/>
            <w:tcBorders>
              <w:tl2br w:val="nil"/>
              <w:tr2bl w:val="nil"/>
            </w:tcBorders>
            <w:shd w:val="clear" w:color="auto" w:fill="auto"/>
            <w:vAlign w:val="center"/>
          </w:tcPr>
          <w:p w14:paraId="22B5F58A">
            <w:pPr>
              <w:pStyle w:val="52"/>
              <w:spacing w:before="0" w:after="0" w:line="240" w:lineRule="auto"/>
              <w:ind w:left="0" w:firstLine="0"/>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Pb</w:t>
            </w:r>
          </w:p>
        </w:tc>
        <w:tc>
          <w:tcPr>
            <w:tcW w:w="666" w:type="pct"/>
            <w:tcBorders>
              <w:tl2br w:val="nil"/>
              <w:tr2bl w:val="nil"/>
            </w:tcBorders>
            <w:shd w:val="clear" w:color="auto" w:fill="auto"/>
            <w:vAlign w:val="center"/>
          </w:tcPr>
          <w:p w14:paraId="0508B22C">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042" w:type="pct"/>
            <w:tcBorders>
              <w:tl2br w:val="nil"/>
              <w:tr2bl w:val="nil"/>
            </w:tcBorders>
            <w:shd w:val="clear" w:color="auto" w:fill="auto"/>
            <w:vAlign w:val="center"/>
          </w:tcPr>
          <w:p w14:paraId="3C7C1AB9">
            <w:pPr>
              <w:pStyle w:val="52"/>
              <w:spacing w:before="0" w:after="0" w:line="240" w:lineRule="auto"/>
              <w:ind w:left="0" w:leftChars="0" w:firstLine="0" w:firstLineChars="0"/>
              <w:rPr>
                <w:rFonts w:hint="default" w:cs="Times New Roman"/>
                <w:color w:val="auto"/>
                <w:kern w:val="0"/>
                <w:sz w:val="21"/>
                <w:szCs w:val="21"/>
                <w:lang w:val="en-US" w:eastAsia="zh-CN" w:bidi="ar-SA"/>
              </w:rPr>
            </w:pPr>
            <w:r>
              <w:rPr>
                <w:rFonts w:hint="eastAsia" w:cs="Times New Roman"/>
                <w:color w:val="auto"/>
                <w:kern w:val="0"/>
                <w:sz w:val="21"/>
                <w:szCs w:val="21"/>
                <w:lang w:val="en-US" w:eastAsia="zh-CN" w:bidi="ar-SA"/>
              </w:rPr>
              <w:t>0</w:t>
            </w:r>
          </w:p>
        </w:tc>
        <w:tc>
          <w:tcPr>
            <w:tcW w:w="978" w:type="pct"/>
            <w:tcBorders>
              <w:tl2br w:val="nil"/>
              <w:tr2bl w:val="nil"/>
            </w:tcBorders>
            <w:shd w:val="clear" w:color="auto" w:fill="auto"/>
            <w:vAlign w:val="center"/>
          </w:tcPr>
          <w:p w14:paraId="0F7C97A5">
            <w:pPr>
              <w:pStyle w:val="52"/>
              <w:spacing w:before="0" w:after="0" w:line="240" w:lineRule="auto"/>
              <w:ind w:left="0" w:leftChars="0" w:firstLine="0" w:firstLineChars="0"/>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0</w:t>
            </w:r>
          </w:p>
        </w:tc>
        <w:tc>
          <w:tcPr>
            <w:tcW w:w="1751" w:type="pct"/>
            <w:vMerge w:val="continue"/>
            <w:tcBorders>
              <w:tl2br w:val="nil"/>
              <w:tr2bl w:val="nil"/>
            </w:tcBorders>
            <w:vAlign w:val="center"/>
          </w:tcPr>
          <w:p w14:paraId="04D44626">
            <w:pPr>
              <w:pStyle w:val="52"/>
              <w:spacing w:before="0" w:after="0" w:line="240" w:lineRule="auto"/>
              <w:ind w:left="0" w:firstLine="0"/>
              <w:rPr>
                <w:rFonts w:hint="default" w:ascii="Times New Roman" w:hAnsi="Times New Roman" w:cs="Times New Roman"/>
                <w:color w:val="FF0000"/>
                <w:sz w:val="21"/>
                <w:szCs w:val="21"/>
                <w:lang w:val="en-US" w:eastAsia="zh-CN"/>
              </w:rPr>
            </w:pPr>
          </w:p>
        </w:tc>
      </w:tr>
    </w:tbl>
    <w:p w14:paraId="32CCF772">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6.3</w:t>
      </w:r>
      <w:r>
        <w:rPr>
          <w:rFonts w:hint="default" w:ascii="Times New Roman" w:hAnsi="Times New Roman" w:eastAsia="宋体" w:cs="Times New Roman"/>
          <w:b/>
          <w:bCs w:val="0"/>
          <w:kern w:val="2"/>
          <w:sz w:val="24"/>
          <w:szCs w:val="24"/>
          <w:highlight w:val="none"/>
          <w:lang w:val="en-US" w:eastAsia="zh-CN"/>
        </w:rPr>
        <w:t>入窑协同处置固体废物特性</w:t>
      </w:r>
    </w:p>
    <w:p w14:paraId="06A7676B">
      <w:pPr>
        <w:pStyle w:val="6"/>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lang w:eastAsia="zh-CN"/>
        </w:rPr>
        <w:t>）</w:t>
      </w:r>
      <w:r>
        <w:rPr>
          <w:rFonts w:hint="default" w:ascii="Times New Roman" w:hAnsi="Times New Roman" w:cs="Times New Roman"/>
        </w:rPr>
        <w:t>禁止下列固体废物入窑进行协同处置</w:t>
      </w:r>
    </w:p>
    <w:p w14:paraId="7D832BC7">
      <w:pPr>
        <w:pStyle w:val="6"/>
        <w:rPr>
          <w:rFonts w:hint="default" w:ascii="Times New Roman" w:hAnsi="Times New Roman" w:cs="Times New Roman"/>
        </w:rPr>
      </w:pPr>
      <w:r>
        <w:rPr>
          <w:rFonts w:hint="default" w:ascii="Times New Roman" w:hAnsi="Times New Roman" w:cs="Times New Roman"/>
        </w:rPr>
        <w:t>放射性废物；爆炸物及反应性废物；未经拆解的废电池、废家用电器和电子产品；含汞的温度计、血压计、荧光灯管和开关；铬渣；未知特性和未经鉴定的废物；WH29含汞废物。</w:t>
      </w:r>
    </w:p>
    <w:p w14:paraId="087749C2">
      <w:pPr>
        <w:pStyle w:val="6"/>
        <w:rPr>
          <w:rFonts w:hint="default" w:ascii="Times New Roman" w:hAnsi="Times New Roman" w:eastAsia="宋体" w:cs="Times New Roman"/>
          <w:lang w:val="en-US" w:eastAsia="zh-CN"/>
        </w:rPr>
      </w:pPr>
      <w:r>
        <w:rPr>
          <w:rFonts w:hint="default" w:ascii="Times New Roman" w:hAnsi="Times New Roman" w:cs="Times New Roman"/>
        </w:rPr>
        <w:t>HW08石油和天然气开采中含油率大于5%的含油污泥、油泥沙；内燃机、汽车、轮船等集中拆解过程产生的废矿物油；车辆、轮船及其它机械维修过程中产生的废发动机油、制动器油、自动变速器油、齿轮油等废润滑油；使用工业齿轮油进行机械设备润滑过程中产生的废润滑油；液压设备维护、更换和拆解过程中产生的废液压油；冷冻压缩设备维护、更换和拆解过程中产生的废冷冻机油；变压器维护、更换和拆解过程中产生的废变压器油等可回收再生利用的废矿物油与含矿物油废物</w:t>
      </w:r>
      <w:r>
        <w:rPr>
          <w:rFonts w:hint="default" w:ascii="Times New Roman" w:hAnsi="Times New Roman" w:cs="Times New Roman"/>
          <w:lang w:eastAsia="zh-CN"/>
        </w:rPr>
        <w:t>。</w:t>
      </w:r>
    </w:p>
    <w:p w14:paraId="4109209E">
      <w:pPr>
        <w:pStyle w:val="6"/>
        <w:rPr>
          <w:rFonts w:hint="default" w:ascii="Times New Roman" w:hAnsi="Times New Roman" w:cs="Times New Roman"/>
          <w:lang w:val="en-US" w:eastAsia="zh-CN"/>
        </w:rPr>
      </w:pPr>
      <w:r>
        <w:rPr>
          <w:rFonts w:hint="default" w:ascii="Times New Roman" w:hAnsi="Times New Roman" w:cs="Times New Roman"/>
          <w:lang w:val="en-US" w:eastAsia="zh-CN"/>
        </w:rPr>
        <w:t>（2）入窑协同处置的固体废物特性要求</w:t>
      </w:r>
    </w:p>
    <w:p w14:paraId="543CBC7C">
      <w:pPr>
        <w:pStyle w:val="6"/>
        <w:rPr>
          <w:rFonts w:hint="default" w:ascii="Times New Roman" w:hAnsi="Times New Roman" w:cs="Times New Roman"/>
          <w:lang w:val="en-US" w:eastAsia="zh-CN"/>
        </w:rPr>
      </w:pPr>
      <w:r>
        <w:rPr>
          <w:rFonts w:hint="default" w:ascii="Times New Roman" w:hAnsi="Times New Roman" w:cs="Times New Roman"/>
          <w:lang w:val="en-US" w:eastAsia="zh-CN"/>
        </w:rPr>
        <w:t>①入窑固体废物应具有稳定的化学组成和物理特性，其化学组成、理化性质等不应对水泥生产过程和水泥产品质量产生不利影响；</w:t>
      </w:r>
    </w:p>
    <w:p w14:paraId="00B626FE">
      <w:pPr>
        <w:pStyle w:val="6"/>
        <w:rPr>
          <w:rFonts w:hint="default" w:ascii="Times New Roman" w:hAnsi="Times New Roman" w:cs="Times New Roman"/>
          <w:lang w:val="en-US" w:eastAsia="zh-CN"/>
        </w:rPr>
      </w:pPr>
      <w:r>
        <w:rPr>
          <w:rFonts w:hint="default" w:ascii="Times New Roman" w:hAnsi="Times New Roman" w:cs="Times New Roman"/>
          <w:lang w:val="en-US" w:eastAsia="zh-CN"/>
        </w:rPr>
        <w:t>②入窑固体废物中如含有重金属成分，其含量应该满足HJ662-2013第6.6.7条的要求；</w:t>
      </w:r>
    </w:p>
    <w:p w14:paraId="5602F51F">
      <w:pPr>
        <w:pStyle w:val="6"/>
        <w:rPr>
          <w:rFonts w:hint="default" w:ascii="Times New Roman" w:hAnsi="Times New Roman" w:cs="Times New Roman"/>
          <w:lang w:val="en-US" w:eastAsia="zh-CN"/>
        </w:rPr>
      </w:pPr>
      <w:r>
        <w:rPr>
          <w:rFonts w:hint="default" w:ascii="Times New Roman" w:hAnsi="Times New Roman" w:cs="Times New Roman"/>
          <w:lang w:val="en-US" w:eastAsia="zh-CN"/>
        </w:rPr>
        <w:t>③入窑固体废物中氯（Cl）和氟（F）元素的含量不应对水泥生产和水泥产品质量造成不利影响，其含量应该满足HJ662-2013第6.6.8条的要求；</w:t>
      </w:r>
    </w:p>
    <w:p w14:paraId="4CE16026">
      <w:pPr>
        <w:pStyle w:val="6"/>
        <w:rPr>
          <w:rFonts w:hint="default" w:ascii="Times New Roman" w:hAnsi="Times New Roman" w:cs="Times New Roman"/>
          <w:lang w:val="en-US" w:eastAsia="zh-CN"/>
        </w:rPr>
      </w:pPr>
      <w:r>
        <w:rPr>
          <w:rFonts w:hint="default" w:ascii="Times New Roman" w:hAnsi="Times New Roman" w:cs="Times New Roman"/>
          <w:lang w:val="en-US" w:eastAsia="zh-CN"/>
        </w:rPr>
        <w:t>④入窑固体废物中硫（S）元素含量应满足HJ662-2013第6.6.9条的要求；</w:t>
      </w:r>
    </w:p>
    <w:p w14:paraId="1D55F6F6">
      <w:pPr>
        <w:pStyle w:val="6"/>
        <w:rPr>
          <w:rFonts w:hint="default" w:ascii="Times New Roman" w:hAnsi="Times New Roman" w:cs="Times New Roman"/>
          <w:lang w:val="en-US" w:eastAsia="zh-CN"/>
        </w:rPr>
      </w:pPr>
      <w:r>
        <w:rPr>
          <w:rFonts w:hint="default" w:ascii="Times New Roman" w:hAnsi="Times New Roman" w:cs="Times New Roman"/>
          <w:lang w:val="en-US" w:eastAsia="zh-CN"/>
        </w:rPr>
        <w:t>⑤具有腐蚀性的固体废物，应经过预处理降低废物腐蚀性或对设施进行防腐性改造，确保不对设施造成腐蚀后方可进行协同处置。</w:t>
      </w:r>
    </w:p>
    <w:p w14:paraId="08FCE948">
      <w:pPr>
        <w:pStyle w:val="6"/>
        <w:rPr>
          <w:rFonts w:hint="default" w:ascii="Times New Roman" w:hAnsi="Times New Roman" w:cs="Times New Roman"/>
          <w:lang w:val="en-US" w:eastAsia="zh-CN"/>
        </w:rPr>
      </w:pPr>
      <w:r>
        <w:rPr>
          <w:rFonts w:hint="default" w:ascii="Times New Roman" w:hAnsi="Times New Roman" w:cs="Times New Roman"/>
          <w:lang w:val="en-US" w:eastAsia="zh-CN"/>
        </w:rPr>
        <w:t>（3）拟处置危废成分的基本要求</w:t>
      </w:r>
    </w:p>
    <w:p w14:paraId="380A71DE">
      <w:pPr>
        <w:pStyle w:val="6"/>
        <w:rPr>
          <w:rFonts w:hint="default" w:ascii="Times New Roman" w:hAnsi="Times New Roman" w:cs="Times New Roman"/>
          <w:lang w:val="en-US" w:eastAsia="zh-CN"/>
        </w:rPr>
      </w:pPr>
      <w:r>
        <w:rPr>
          <w:rFonts w:hint="default" w:ascii="Times New Roman" w:hAnsi="Times New Roman" w:cs="Times New Roman"/>
          <w:lang w:val="en-US" w:eastAsia="zh-CN"/>
        </w:rPr>
        <w:t>根据《水泥窑协同处置固体废物环境保护技术规范》(HJ662-2013)“6.6.8协同处置企业应根据水泥生产工艺特点，控制随物料入窑的氯和氟元素的投加量，以保证水泥的正常生产和熟料质量符合国家标准，入窑物料中氟元素含量不应大于0.5%，氯元素含量不应大于0.04%”、“6.6.9协同处置企业应控制物料中硫元素的投加量。通过配料系统投加的物料中硫化物硫与有机硫总含量不应大于0.014%；从窑头、窑尾高温区投加的全硫与配料系统投加的硫酸盐硫总投加量不应大于3000mg/kg-cli”此外，入窑废物及生料中的金属含量需满足HJ662表1重金属最大允许投加量限制要求。</w:t>
      </w:r>
    </w:p>
    <w:p w14:paraId="14DE0B1D">
      <w:pPr>
        <w:pStyle w:val="6"/>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（4）本项目所处置危险废物特性</w:t>
      </w:r>
    </w:p>
    <w:p w14:paraId="4B76BE40">
      <w:pPr>
        <w:pStyle w:val="6"/>
        <w:rPr>
          <w:rFonts w:hint="default" w:ascii="Times New Roman" w:hAnsi="Times New Roman" w:cs="Times New Roman"/>
          <w:lang w:val="en-US" w:eastAsia="zh-CN"/>
        </w:rPr>
      </w:pPr>
      <w:r>
        <w:rPr>
          <w:rFonts w:hint="default" w:ascii="Times New Roman" w:hAnsi="Times New Roman" w:cs="Times New Roman"/>
          <w:lang w:val="en-US" w:eastAsia="zh-CN"/>
        </w:rPr>
        <w:t>①固态危险废物</w:t>
      </w:r>
    </w:p>
    <w:p w14:paraId="1CEFE1C4">
      <w:pPr>
        <w:pStyle w:val="6"/>
        <w:rPr>
          <w:rFonts w:hint="default" w:ascii="Times New Roman" w:hAnsi="Times New Roman" w:cs="Times New Roman"/>
          <w:lang w:val="en-US" w:eastAsia="zh-CN"/>
        </w:rPr>
      </w:pPr>
      <w:r>
        <w:rPr>
          <w:rFonts w:hint="default" w:ascii="Times New Roman" w:hAnsi="Times New Roman" w:cs="Times New Roman"/>
          <w:lang w:val="en-US" w:eastAsia="zh-CN"/>
        </w:rPr>
        <w:t>本项目固态危险废物中主要物质为</w:t>
      </w:r>
      <w:r>
        <w:rPr>
          <w:rFonts w:hint="eastAsia" w:cs="Times New Roman"/>
          <w:lang w:val="en-US" w:eastAsia="zh-CN"/>
        </w:rPr>
        <w:t>甲磺酸钠</w:t>
      </w:r>
      <w:r>
        <w:rPr>
          <w:rFonts w:hint="default" w:ascii="Times New Roman" w:hAnsi="Times New Roman" w:cs="Times New Roman"/>
          <w:lang w:val="en-US" w:eastAsia="zh-CN"/>
        </w:rPr>
        <w:t>，别称甲基亚磺酸钠、甲烷亚磺酸钠，是一种化学品，化学式CH</w:t>
      </w:r>
      <w:r>
        <w:rPr>
          <w:rFonts w:hint="default" w:ascii="Times New Roman" w:hAnsi="Times New Roman" w:cs="Times New Roman"/>
          <w:vertAlign w:val="subscript"/>
          <w:lang w:val="en-US" w:eastAsia="zh-CN"/>
        </w:rPr>
        <w:t>3</w:t>
      </w:r>
      <w:r>
        <w:rPr>
          <w:rFonts w:hint="default" w:ascii="Times New Roman" w:hAnsi="Times New Roman" w:cs="Times New Roman"/>
          <w:lang w:val="en-US" w:eastAsia="zh-CN"/>
        </w:rPr>
        <w:t>NaO</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S，分子量102.09，CAS登录号20277-69-4。该化合物外观为白色至淡黄色固体粉末，熔点为222-226°C（分解），沸点256.4°C（760mmHg），具有吸湿性，易溶于水。甲磺酸钠在常温下相对稳定，不易发生分解或变质。然而，在高温、强酸或强碱等极端条件下，其稳定性可能会受到影响。因此，在储存和使用过程中，应注意避免这些不利条件，以确保甲磺酸钠的质量和性能。此外，甲磺酸钠还应避免与氧化物、水分等接触，以防止发生不必要的化学反应。</w:t>
      </w:r>
    </w:p>
    <w:p w14:paraId="71BAA266">
      <w:pPr>
        <w:pStyle w:val="6"/>
        <w:rPr>
          <w:rFonts w:hint="default" w:ascii="Times New Roman" w:hAnsi="Times New Roman" w:cs="Times New Roman"/>
          <w:lang w:val="en-US" w:eastAsia="zh-CN"/>
        </w:rPr>
      </w:pPr>
      <w:r>
        <w:rPr>
          <w:rFonts w:hint="default" w:ascii="Times New Roman" w:hAnsi="Times New Roman" w:cs="Times New Roman"/>
          <w:lang w:val="en-US" w:eastAsia="zh-CN"/>
        </w:rPr>
        <w:t>②液态危险废物</w:t>
      </w:r>
    </w:p>
    <w:p w14:paraId="5F498370">
      <w:pPr>
        <w:pStyle w:val="6"/>
        <w:rPr>
          <w:rFonts w:hint="default" w:ascii="Times New Roman" w:hAnsi="Times New Roman" w:cs="Times New Roman"/>
          <w:lang w:val="en-US" w:eastAsia="zh-CN"/>
        </w:rPr>
      </w:pPr>
      <w:r>
        <w:rPr>
          <w:rFonts w:hint="default" w:ascii="Times New Roman" w:hAnsi="Times New Roman" w:cs="Times New Roman"/>
          <w:lang w:val="en-US" w:eastAsia="zh-CN"/>
        </w:rPr>
        <w:t>本项目液态危险废物中主要物质为二甲基硫醚，其化学式为C</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H</w:t>
      </w:r>
      <w:r>
        <w:rPr>
          <w:rFonts w:hint="default" w:ascii="Times New Roman" w:hAnsi="Times New Roman" w:cs="Times New Roman"/>
          <w:vertAlign w:val="subscript"/>
          <w:lang w:val="en-US" w:eastAsia="zh-CN"/>
        </w:rPr>
        <w:t>6</w:t>
      </w:r>
      <w:r>
        <w:rPr>
          <w:rFonts w:hint="default" w:ascii="Times New Roman" w:hAnsi="Times New Roman" w:cs="Times New Roman"/>
          <w:lang w:val="en-US" w:eastAsia="zh-CN"/>
        </w:rPr>
        <w:t>S，是最简单的硫醚类有机化合物，CAS号为75-18-3。该物质为无色透明液体，具有不愉快气味，熔点-98℃，沸点37.3℃，密度0.846g/cm³，难溶于水但可溶于乙醇、乙醚等有机溶剂。</w:t>
      </w:r>
    </w:p>
    <w:p w14:paraId="5C2ABC2E">
      <w:pPr>
        <w:pStyle w:val="6"/>
        <w:rPr>
          <w:rFonts w:hint="default" w:ascii="Times New Roman" w:hAnsi="Times New Roman" w:cs="Times New Roman"/>
          <w:lang w:val="en-US" w:eastAsia="zh-CN"/>
        </w:rPr>
      </w:pPr>
      <w:r>
        <w:rPr>
          <w:rFonts w:hint="default" w:ascii="Times New Roman" w:hAnsi="Times New Roman" w:cs="Times New Roman"/>
          <w:lang w:val="en-US" w:eastAsia="zh-CN"/>
        </w:rPr>
        <w:t>二甲基硫醚属高度易燃物质（危险性符号F），闪点-34℉，其蒸气与空气混合可形成爆炸性混合物。储存时需保持阴凉通风，库温不超过30℃，并与氧化剂、碱类隔离存放。主要应用于制备二甲基亚砜及农药中间体生产领域。</w:t>
      </w:r>
    </w:p>
    <w:p w14:paraId="3A8BEE31">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6.4</w:t>
      </w:r>
      <w:r>
        <w:rPr>
          <w:rFonts w:hint="default" w:ascii="Times New Roman" w:hAnsi="Times New Roman" w:eastAsia="宋体" w:cs="Times New Roman"/>
          <w:b/>
          <w:bCs w:val="0"/>
          <w:kern w:val="2"/>
          <w:sz w:val="24"/>
          <w:szCs w:val="24"/>
          <w:highlight w:val="none"/>
          <w:lang w:val="en-US" w:eastAsia="zh-CN"/>
        </w:rPr>
        <w:t>项目处置规模的合理性</w:t>
      </w:r>
    </w:p>
    <w:p w14:paraId="438AB497">
      <w:pPr>
        <w:pStyle w:val="6"/>
        <w:ind w:firstLine="464"/>
        <w:rPr>
          <w:rFonts w:hint="default" w:ascii="Times New Roman" w:hAnsi="Times New Roman" w:cs="Times New Roman"/>
        </w:rPr>
      </w:pPr>
      <w:r>
        <w:rPr>
          <w:rFonts w:hint="default" w:ascii="Times New Roman" w:hAnsi="Times New Roman" w:cs="Times New Roman"/>
          <w:spacing w:val="-4"/>
        </w:rPr>
        <w:t>本项目水泥窑协同处置固态废物</w:t>
      </w:r>
      <w:r>
        <w:rPr>
          <w:rFonts w:hint="eastAsia" w:cs="Times New Roman"/>
          <w:spacing w:val="-4"/>
          <w:lang w:val="en-US" w:eastAsia="zh-CN"/>
        </w:rPr>
        <w:t>20</w:t>
      </w:r>
      <w:r>
        <w:rPr>
          <w:rFonts w:hint="default" w:ascii="Times New Roman" w:hAnsi="Times New Roman" w:cs="Times New Roman"/>
          <w:spacing w:val="-4"/>
          <w:lang w:val="en-US" w:eastAsia="zh-CN"/>
        </w:rPr>
        <w:t>0t/a</w:t>
      </w:r>
      <w:r>
        <w:rPr>
          <w:rFonts w:hint="default" w:ascii="Times New Roman" w:hAnsi="Times New Roman" w:cs="Times New Roman"/>
          <w:spacing w:val="-4"/>
        </w:rPr>
        <w:t>、液态废物</w:t>
      </w:r>
      <w:r>
        <w:rPr>
          <w:rFonts w:hint="default" w:ascii="Times New Roman" w:hAnsi="Times New Roman" w:cs="Times New Roman"/>
          <w:spacing w:val="-4"/>
          <w:lang w:val="en-US" w:eastAsia="zh-CN"/>
        </w:rPr>
        <w:t>50t/a</w:t>
      </w:r>
      <w:r>
        <w:rPr>
          <w:rFonts w:hint="default" w:ascii="Times New Roman" w:hAnsi="Times New Roman" w:cs="Times New Roman"/>
          <w:spacing w:val="-4"/>
        </w:rPr>
        <w:t>。</w:t>
      </w:r>
      <w:r>
        <w:rPr>
          <w:rFonts w:hint="default" w:ascii="Times New Roman" w:hAnsi="Times New Roman" w:cs="Times New Roman"/>
        </w:rPr>
        <w:t>根据</w:t>
      </w:r>
      <w:bookmarkStart w:id="113" w:name="_Hlk151227165"/>
      <w:r>
        <w:rPr>
          <w:rFonts w:hint="default" w:ascii="Times New Roman" w:hAnsi="Times New Roman" w:cs="Times New Roman"/>
        </w:rPr>
        <w:t>《水泥窑协同处置危险废物经营许可证审查指南（试行）》</w:t>
      </w:r>
      <w:bookmarkEnd w:id="113"/>
      <w:r>
        <w:rPr>
          <w:rFonts w:hint="default" w:ascii="Times New Roman" w:hAnsi="Times New Roman" w:cs="Times New Roman"/>
        </w:rPr>
        <w:t>中表2和表3水泥窑对危险废物的最大容量中的相关叙述：将低位热值大于等于3MJ/kg的为可燃，小于3MJ/kg的为不可燃，汇总本项目拟处置的</w:t>
      </w:r>
      <w:r>
        <w:rPr>
          <w:rFonts w:hint="default" w:ascii="Times New Roman" w:hAnsi="Times New Roman" w:cs="Times New Roman"/>
          <w:lang w:val="en-US" w:eastAsia="zh-CN"/>
        </w:rPr>
        <w:t>固体废物均为</w:t>
      </w:r>
      <w:r>
        <w:rPr>
          <w:rFonts w:hint="default" w:ascii="Times New Roman" w:hAnsi="Times New Roman" w:cs="Times New Roman"/>
        </w:rPr>
        <w:t>可燃废物</w:t>
      </w:r>
      <w:r>
        <w:rPr>
          <w:rFonts w:hint="default" w:ascii="Times New Roman" w:hAnsi="Times New Roman" w:cs="Times New Roman"/>
          <w:lang w:eastAsia="zh-CN"/>
        </w:rPr>
        <w:t>（</w:t>
      </w:r>
      <w:r>
        <w:rPr>
          <w:rFonts w:hint="default" w:ascii="Times New Roman" w:hAnsi="Times New Roman" w:cs="Times New Roman"/>
          <w:lang w:val="en-US" w:eastAsia="zh-CN"/>
        </w:rPr>
        <w:t>合计</w:t>
      </w:r>
      <w:r>
        <w:rPr>
          <w:rFonts w:hint="eastAsia" w:cs="Times New Roman"/>
          <w:lang w:val="en-US" w:eastAsia="zh-CN"/>
        </w:rPr>
        <w:t>25</w:t>
      </w:r>
      <w:r>
        <w:rPr>
          <w:rFonts w:hint="default" w:ascii="Times New Roman" w:hAnsi="Times New Roman" w:cs="Times New Roman"/>
          <w:lang w:val="en-US" w:eastAsia="zh-CN"/>
        </w:rPr>
        <w:t>0</w:t>
      </w:r>
      <w:r>
        <w:rPr>
          <w:rFonts w:hint="default" w:ascii="Times New Roman" w:hAnsi="Times New Roman" w:cs="Times New Roman"/>
        </w:rPr>
        <w:t>t/a</w:t>
      </w:r>
      <w:r>
        <w:rPr>
          <w:rFonts w:hint="default" w:ascii="Times New Roman" w:hAnsi="Times New Roman" w:cs="Times New Roman"/>
          <w:lang w:eastAsia="zh-CN"/>
        </w:rPr>
        <w:t>）</w:t>
      </w:r>
      <w:r>
        <w:rPr>
          <w:rFonts w:hint="default" w:ascii="Times New Roman" w:hAnsi="Times New Roman" w:cs="Times New Roman"/>
        </w:rPr>
        <w:t>，占水泥窑熟料生产能力的</w:t>
      </w:r>
      <w:r>
        <w:rPr>
          <w:rFonts w:hint="default" w:ascii="Times New Roman" w:hAnsi="Times New Roman" w:cs="Times New Roman"/>
          <w:highlight w:val="none"/>
          <w:lang w:val="en-US" w:eastAsia="zh-CN"/>
        </w:rPr>
        <w:t>0.00</w:t>
      </w:r>
      <w:r>
        <w:rPr>
          <w:rFonts w:hint="eastAsia" w:cs="Times New Roman"/>
          <w:highlight w:val="none"/>
          <w:lang w:val="en-US" w:eastAsia="zh-CN"/>
        </w:rPr>
        <w:t>063</w:t>
      </w:r>
      <w:r>
        <w:rPr>
          <w:rFonts w:hint="default" w:ascii="Times New Roman" w:hAnsi="Times New Roman" w:cs="Times New Roman"/>
          <w:highlight w:val="none"/>
        </w:rPr>
        <w:t>%，指南规定的不同热值对应可投加的可燃危险废物质量占水泥窑熟料生产能力的百分比不超过9%~15%，本项目为</w:t>
      </w:r>
      <w:r>
        <w:rPr>
          <w:rFonts w:hint="default" w:ascii="Times New Roman" w:hAnsi="Times New Roman" w:cs="Times New Roman"/>
          <w:highlight w:val="none"/>
          <w:lang w:val="en-US" w:eastAsia="zh-CN"/>
        </w:rPr>
        <w:t>0.00</w:t>
      </w:r>
      <w:r>
        <w:rPr>
          <w:rFonts w:hint="eastAsia" w:cs="Times New Roman"/>
          <w:highlight w:val="none"/>
          <w:lang w:val="en-US" w:eastAsia="zh-CN"/>
        </w:rPr>
        <w:t>063</w:t>
      </w:r>
      <w:r>
        <w:rPr>
          <w:rFonts w:hint="default" w:ascii="Times New Roman" w:hAnsi="Times New Roman" w:cs="Times New Roman"/>
          <w:highlight w:val="none"/>
        </w:rPr>
        <w:t>%，</w:t>
      </w:r>
      <w:r>
        <w:rPr>
          <w:rFonts w:hint="default" w:ascii="Times New Roman" w:hAnsi="Times New Roman" w:cs="Times New Roman"/>
        </w:rPr>
        <w:t>满足最大容量要求。本项目拟处置危废中</w:t>
      </w:r>
      <w:r>
        <w:rPr>
          <w:rFonts w:hint="default" w:ascii="Times New Roman" w:hAnsi="Times New Roman" w:cs="Times New Roman"/>
          <w:lang w:val="en-US" w:eastAsia="zh-CN"/>
        </w:rPr>
        <w:t>不含</w:t>
      </w:r>
      <w:r>
        <w:rPr>
          <w:rFonts w:hint="default" w:ascii="Times New Roman" w:hAnsi="Times New Roman" w:cs="Times New Roman"/>
        </w:rPr>
        <w:t>不可燃废物。综上所述，项目的危废处置规模整体上是合理的</w:t>
      </w:r>
      <w:r>
        <w:rPr>
          <w:rFonts w:hint="eastAsia" w:cs="Times New Roman"/>
          <w:lang w:eastAsia="zh-CN"/>
        </w:rPr>
        <w:t>，</w:t>
      </w:r>
      <w:r>
        <w:rPr>
          <w:rFonts w:hint="eastAsia" w:cs="Times New Roman"/>
          <w:lang w:val="en-US" w:eastAsia="zh-CN"/>
        </w:rPr>
        <w:t>合理性</w:t>
      </w:r>
      <w:r>
        <w:rPr>
          <w:rFonts w:hint="default" w:ascii="Times New Roman" w:hAnsi="Times New Roman" w:cs="Times New Roman"/>
        </w:rPr>
        <w:t>对比分析见</w:t>
      </w:r>
      <w:r>
        <w:rPr>
          <w:rFonts w:hint="default" w:ascii="Times New Roman" w:hAnsi="Times New Roman" w:cs="Times New Roman"/>
        </w:rPr>
        <w:fldChar w:fldCharType="begin"/>
      </w:r>
      <w:r>
        <w:rPr>
          <w:rFonts w:hint="default" w:ascii="Times New Roman" w:hAnsi="Times New Roman" w:cs="Times New Roman"/>
        </w:rPr>
        <w:instrText xml:space="preserve"> REF _Ref126854968 \h  \* MERGEFORMAT </w:instrText>
      </w:r>
      <w:r>
        <w:rPr>
          <w:rFonts w:hint="default" w:ascii="Times New Roman" w:hAnsi="Times New Roman" w:cs="Times New Roman"/>
        </w:rPr>
        <w:fldChar w:fldCharType="separate"/>
      </w:r>
      <w:r>
        <w:rPr>
          <w:rFonts w:hint="default" w:ascii="Times New Roman" w:hAnsi="Times New Roman" w:cs="Times New Roman"/>
        </w:rPr>
        <w:t>表3.</w:t>
      </w:r>
      <w:r>
        <w:rPr>
          <w:rFonts w:hint="default" w:ascii="Times New Roman" w:hAnsi="Times New Roman" w:cs="Times New Roman"/>
          <w:lang w:val="en-US" w:eastAsia="zh-CN"/>
        </w:rPr>
        <w:t>6</w:t>
      </w:r>
      <w:r>
        <w:rPr>
          <w:rFonts w:hint="default" w:ascii="Times New Roman" w:hAnsi="Times New Roman" w:cs="Times New Roman"/>
        </w:rPr>
        <w:fldChar w:fldCharType="end"/>
      </w:r>
      <w:r>
        <w:rPr>
          <w:rFonts w:hint="default" w:ascii="Times New Roman" w:hAnsi="Times New Roman" w:cs="Times New Roman"/>
          <w:lang w:val="en-US" w:eastAsia="zh-CN"/>
        </w:rPr>
        <w:t>-3</w:t>
      </w:r>
      <w:r>
        <w:rPr>
          <w:rFonts w:hint="default" w:ascii="Times New Roman" w:hAnsi="Times New Roman" w:cs="Times New Roman"/>
        </w:rPr>
        <w:t>。</w:t>
      </w:r>
    </w:p>
    <w:p w14:paraId="3B3EE357">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14" w:name="_Ref126854968"/>
      <w:r>
        <w:rPr>
          <w:rFonts w:hint="default" w:ascii="Times New Roman" w:hAnsi="Times New Roman" w:cs="Times New Roman"/>
          <w:b/>
          <w:bCs/>
        </w:rPr>
        <w:t>表</w:t>
      </w:r>
      <w:bookmarkEnd w:id="114"/>
      <w:r>
        <w:rPr>
          <w:rFonts w:hint="default" w:ascii="Times New Roman" w:hAnsi="Times New Roman" w:cs="Times New Roman"/>
          <w:b/>
          <w:bCs/>
          <w:lang w:val="en-US" w:eastAsia="zh-CN"/>
        </w:rPr>
        <w:t>3.6-3</w:t>
      </w:r>
      <w:r>
        <w:rPr>
          <w:rFonts w:hint="default" w:ascii="Times New Roman" w:hAnsi="Times New Roman" w:cs="Times New Roman"/>
          <w:b/>
          <w:bCs/>
        </w:rPr>
        <w:t xml:space="preserve"> 项目处置规模合理性对比分析</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581"/>
        <w:gridCol w:w="2497"/>
        <w:gridCol w:w="2915"/>
        <w:gridCol w:w="1814"/>
      </w:tblGrid>
      <w:tr w14:paraId="4478C4C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2223" w:type="pct"/>
            <w:gridSpan w:val="3"/>
            <w:tcBorders>
              <w:tl2br w:val="nil"/>
              <w:tr2bl w:val="nil"/>
            </w:tcBorders>
            <w:vAlign w:val="center"/>
          </w:tcPr>
          <w:p w14:paraId="76A45C51">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废物特性和形态</w:t>
            </w:r>
          </w:p>
        </w:tc>
        <w:tc>
          <w:tcPr>
            <w:tcW w:w="1711" w:type="pct"/>
            <w:tcBorders>
              <w:tl2br w:val="nil"/>
              <w:tr2bl w:val="nil"/>
            </w:tcBorders>
            <w:vAlign w:val="center"/>
          </w:tcPr>
          <w:p w14:paraId="1A7675DB">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可投加的危险废物的最大质量</w:t>
            </w:r>
          </w:p>
        </w:tc>
        <w:tc>
          <w:tcPr>
            <w:tcW w:w="1065" w:type="pct"/>
            <w:tcBorders>
              <w:tl2br w:val="nil"/>
              <w:tr2bl w:val="nil"/>
            </w:tcBorders>
            <w:vAlign w:val="center"/>
          </w:tcPr>
          <w:p w14:paraId="4D9411B9">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本项目情况</w:t>
            </w:r>
          </w:p>
        </w:tc>
      </w:tr>
      <w:tr w14:paraId="6542ECB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223" w:type="pct"/>
            <w:gridSpan w:val="3"/>
            <w:tcBorders>
              <w:tl2br w:val="nil"/>
              <w:tr2bl w:val="nil"/>
            </w:tcBorders>
            <w:vAlign w:val="center"/>
          </w:tcPr>
          <w:p w14:paraId="682175E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可燃</w:t>
            </w:r>
          </w:p>
        </w:tc>
        <w:tc>
          <w:tcPr>
            <w:tcW w:w="1711" w:type="pct"/>
            <w:tcBorders>
              <w:tl2br w:val="nil"/>
              <w:tr2bl w:val="nil"/>
            </w:tcBorders>
            <w:vAlign w:val="center"/>
          </w:tcPr>
          <w:p w14:paraId="66B4416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lang w:val="zh-CN"/>
                <w14:textFill>
                  <w14:solidFill>
                    <w14:schemeClr w14:val="tx1"/>
                  </w14:solidFill>
                </w14:textFill>
              </w:rPr>
              <w:t>不同热值对应可投加的可燃危险废物的百分比不超过9%~15%</w:t>
            </w:r>
          </w:p>
        </w:tc>
        <w:tc>
          <w:tcPr>
            <w:tcW w:w="1065" w:type="pct"/>
            <w:tcBorders>
              <w:tl2br w:val="nil"/>
              <w:tr2bl w:val="nil"/>
            </w:tcBorders>
            <w:vAlign w:val="center"/>
          </w:tcPr>
          <w:p w14:paraId="2C3E189C">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lang w:val="zh-CN"/>
                <w14:textFill>
                  <w14:solidFill>
                    <w14:schemeClr w14:val="tx1"/>
                  </w14:solidFill>
                </w14:textFill>
              </w:rPr>
              <w:t>本项目不超过0.00</w:t>
            </w:r>
            <w:r>
              <w:rPr>
                <w:rFonts w:hint="eastAsia" w:cs="Times New Roman"/>
                <w:color w:val="000000" w:themeColor="text1"/>
                <w:sz w:val="21"/>
                <w:szCs w:val="18"/>
                <w:highlight w:val="none"/>
                <w:lang w:val="en-US" w:eastAsia="zh-CN"/>
                <w14:textFill>
                  <w14:solidFill>
                    <w14:schemeClr w14:val="tx1"/>
                  </w14:solidFill>
                </w14:textFill>
              </w:rPr>
              <w:t>063</w:t>
            </w:r>
            <w:r>
              <w:rPr>
                <w:rFonts w:hint="default" w:ascii="Times New Roman" w:hAnsi="Times New Roman" w:cs="Times New Roman"/>
                <w:color w:val="000000" w:themeColor="text1"/>
                <w:sz w:val="21"/>
                <w:szCs w:val="18"/>
                <w:highlight w:val="none"/>
                <w:lang w:val="zh-CN"/>
                <w14:textFill>
                  <w14:solidFill>
                    <w14:schemeClr w14:val="tx1"/>
                  </w14:solidFill>
                </w14:textFill>
              </w:rPr>
              <w:t>%</w:t>
            </w:r>
          </w:p>
        </w:tc>
      </w:tr>
      <w:tr w14:paraId="17B68C7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6" w:type="pct"/>
            <w:vMerge w:val="restart"/>
            <w:tcBorders>
              <w:tl2br w:val="nil"/>
              <w:tr2bl w:val="nil"/>
            </w:tcBorders>
            <w:vAlign w:val="center"/>
          </w:tcPr>
          <w:p w14:paraId="5381073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不可燃</w:t>
            </w:r>
          </w:p>
        </w:tc>
        <w:tc>
          <w:tcPr>
            <w:tcW w:w="1807" w:type="pct"/>
            <w:gridSpan w:val="2"/>
            <w:tcBorders>
              <w:tl2br w:val="nil"/>
              <w:tr2bl w:val="nil"/>
            </w:tcBorders>
            <w:vAlign w:val="center"/>
          </w:tcPr>
          <w:p w14:paraId="17FED32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液态</w:t>
            </w:r>
          </w:p>
        </w:tc>
        <w:tc>
          <w:tcPr>
            <w:tcW w:w="1711" w:type="pct"/>
            <w:tcBorders>
              <w:tl2br w:val="nil"/>
              <w:tr2bl w:val="nil"/>
            </w:tcBorders>
            <w:vAlign w:val="center"/>
          </w:tcPr>
          <w:p w14:paraId="25F7308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bookmarkStart w:id="115" w:name="_Hlk151227341"/>
            <w:r>
              <w:rPr>
                <w:rFonts w:hint="default" w:ascii="Times New Roman" w:hAnsi="Times New Roman" w:cs="Times New Roman"/>
                <w:color w:val="000000" w:themeColor="text1"/>
                <w:sz w:val="21"/>
                <w:szCs w:val="18"/>
                <w14:textFill>
                  <w14:solidFill>
                    <w14:schemeClr w14:val="tx1"/>
                  </w14:solidFill>
                </w14:textFill>
              </w:rPr>
              <w:t>一般不超过水泥窑熟料生产能力的10%</w:t>
            </w:r>
            <w:bookmarkEnd w:id="115"/>
          </w:p>
        </w:tc>
        <w:tc>
          <w:tcPr>
            <w:tcW w:w="1065" w:type="pct"/>
            <w:tcBorders>
              <w:tl2br w:val="nil"/>
              <w:tr2bl w:val="nil"/>
            </w:tcBorders>
            <w:vAlign w:val="center"/>
          </w:tcPr>
          <w:p w14:paraId="170E393D">
            <w:pPr>
              <w:pStyle w:val="52"/>
              <w:spacing w:before="0" w:after="0" w:line="240" w:lineRule="auto"/>
              <w:ind w:left="0" w:firstLine="0"/>
              <w:rPr>
                <w:rFonts w:hint="default" w:ascii="Times New Roman" w:hAnsi="Times New Roman" w:eastAsia="宋体" w:cs="Times New Roman"/>
                <w:color w:val="000000" w:themeColor="text1"/>
                <w:sz w:val="21"/>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本项目不涉及</w:t>
            </w:r>
          </w:p>
        </w:tc>
      </w:tr>
      <w:tr w14:paraId="2A00678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6" w:type="pct"/>
            <w:vMerge w:val="continue"/>
            <w:tcBorders>
              <w:tl2br w:val="nil"/>
              <w:tr2bl w:val="nil"/>
            </w:tcBorders>
            <w:vAlign w:val="center"/>
          </w:tcPr>
          <w:p w14:paraId="51385B2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341" w:type="pct"/>
            <w:vMerge w:val="restart"/>
            <w:tcBorders>
              <w:tl2br w:val="nil"/>
              <w:tr2bl w:val="nil"/>
            </w:tcBorders>
            <w:vAlign w:val="center"/>
          </w:tcPr>
          <w:p w14:paraId="7A0D7C1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固态</w:t>
            </w:r>
          </w:p>
        </w:tc>
        <w:tc>
          <w:tcPr>
            <w:tcW w:w="1465" w:type="pct"/>
            <w:tcBorders>
              <w:tl2br w:val="nil"/>
              <w:tr2bl w:val="nil"/>
            </w:tcBorders>
            <w:vAlign w:val="center"/>
          </w:tcPr>
          <w:p w14:paraId="725DB26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含有机质或氰化物的小粒径</w:t>
            </w:r>
          </w:p>
        </w:tc>
        <w:tc>
          <w:tcPr>
            <w:tcW w:w="1711" w:type="pct"/>
            <w:tcBorders>
              <w:tl2br w:val="nil"/>
              <w:tr2bl w:val="nil"/>
            </w:tcBorders>
            <w:vAlign w:val="center"/>
          </w:tcPr>
          <w:p w14:paraId="0F91063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一般不超过水泥窑熟料生产能力的15%</w:t>
            </w:r>
          </w:p>
        </w:tc>
        <w:tc>
          <w:tcPr>
            <w:tcW w:w="1065" w:type="pct"/>
            <w:vMerge w:val="restart"/>
            <w:tcBorders>
              <w:tl2br w:val="nil"/>
              <w:tr2bl w:val="nil"/>
            </w:tcBorders>
            <w:vAlign w:val="center"/>
          </w:tcPr>
          <w:p w14:paraId="49A715E9">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本项目不涉及</w:t>
            </w:r>
          </w:p>
        </w:tc>
      </w:tr>
      <w:tr w14:paraId="1CEDF58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6" w:type="pct"/>
            <w:vMerge w:val="continue"/>
            <w:tcBorders>
              <w:tl2br w:val="nil"/>
              <w:tr2bl w:val="nil"/>
            </w:tcBorders>
            <w:vAlign w:val="center"/>
          </w:tcPr>
          <w:p w14:paraId="6C8FB43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341" w:type="pct"/>
            <w:vMerge w:val="continue"/>
            <w:tcBorders>
              <w:tl2br w:val="nil"/>
              <w:tr2bl w:val="nil"/>
            </w:tcBorders>
            <w:vAlign w:val="center"/>
          </w:tcPr>
          <w:p w14:paraId="6001F24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465" w:type="pct"/>
            <w:tcBorders>
              <w:tl2br w:val="nil"/>
              <w:tr2bl w:val="nil"/>
            </w:tcBorders>
            <w:vAlign w:val="center"/>
          </w:tcPr>
          <w:p w14:paraId="45B88C7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含有机质或氰化物的大粒径或大块状</w:t>
            </w:r>
          </w:p>
        </w:tc>
        <w:tc>
          <w:tcPr>
            <w:tcW w:w="1711" w:type="pct"/>
            <w:tcBorders>
              <w:tl2br w:val="nil"/>
              <w:tr2bl w:val="nil"/>
            </w:tcBorders>
            <w:vAlign w:val="center"/>
          </w:tcPr>
          <w:p w14:paraId="53F2C3E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一般不超过水泥窑熟料生产能力的4%</w:t>
            </w:r>
          </w:p>
        </w:tc>
        <w:tc>
          <w:tcPr>
            <w:tcW w:w="1065" w:type="pct"/>
            <w:vMerge w:val="continue"/>
            <w:tcBorders>
              <w:tl2br w:val="nil"/>
              <w:tr2bl w:val="nil"/>
            </w:tcBorders>
            <w:vAlign w:val="center"/>
          </w:tcPr>
          <w:p w14:paraId="23520747">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p>
        </w:tc>
      </w:tr>
      <w:tr w14:paraId="672CB92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6" w:type="pct"/>
            <w:vMerge w:val="continue"/>
            <w:tcBorders>
              <w:tl2br w:val="nil"/>
              <w:tr2bl w:val="nil"/>
            </w:tcBorders>
            <w:vAlign w:val="center"/>
          </w:tcPr>
          <w:p w14:paraId="6FF1018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341" w:type="pct"/>
            <w:vMerge w:val="continue"/>
            <w:tcBorders>
              <w:tl2br w:val="nil"/>
              <w:tr2bl w:val="nil"/>
            </w:tcBorders>
            <w:vAlign w:val="center"/>
          </w:tcPr>
          <w:p w14:paraId="0BD373F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465" w:type="pct"/>
            <w:tcBorders>
              <w:tl2br w:val="nil"/>
              <w:tr2bl w:val="nil"/>
            </w:tcBorders>
            <w:vAlign w:val="center"/>
          </w:tcPr>
          <w:p w14:paraId="4A14133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不含有机质（有机质含量&lt;0.5%，二噁英含量&lt;10ngTEQ/kg，其他特征有机物含量≤常规水泥生料中相应的有机物含量）和氰化物（CN</w:t>
            </w:r>
            <w:r>
              <w:rPr>
                <w:rFonts w:hint="default" w:ascii="Times New Roman" w:hAnsi="Times New Roman" w:cs="Times New Roman"/>
                <w:color w:val="000000" w:themeColor="text1"/>
                <w:sz w:val="21"/>
                <w:szCs w:val="18"/>
                <w:vertAlign w:val="superscript"/>
                <w14:textFill>
                  <w14:solidFill>
                    <w14:schemeClr w14:val="tx1"/>
                  </w14:solidFill>
                </w14:textFill>
              </w:rPr>
              <w:t>-</w:t>
            </w:r>
            <w:r>
              <w:rPr>
                <w:rFonts w:hint="default" w:ascii="Times New Roman" w:hAnsi="Times New Roman" w:cs="Times New Roman"/>
                <w:color w:val="000000" w:themeColor="text1"/>
                <w:sz w:val="21"/>
                <w:szCs w:val="18"/>
                <w14:textFill>
                  <w14:solidFill>
                    <w14:schemeClr w14:val="tx1"/>
                  </w14:solidFill>
                </w14:textFill>
              </w:rPr>
              <w:t>）含量&lt;0.01mg/kg</w:t>
            </w:r>
          </w:p>
        </w:tc>
        <w:tc>
          <w:tcPr>
            <w:tcW w:w="1711" w:type="pct"/>
            <w:tcBorders>
              <w:tl2br w:val="nil"/>
              <w:tr2bl w:val="nil"/>
            </w:tcBorders>
            <w:vAlign w:val="center"/>
          </w:tcPr>
          <w:p w14:paraId="7F31C19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一般不超过水泥窑熟料生产能力的15%</w:t>
            </w:r>
          </w:p>
        </w:tc>
        <w:tc>
          <w:tcPr>
            <w:tcW w:w="1065" w:type="pct"/>
            <w:tcBorders>
              <w:tl2br w:val="nil"/>
              <w:tr2bl w:val="nil"/>
            </w:tcBorders>
            <w:vAlign w:val="center"/>
          </w:tcPr>
          <w:p w14:paraId="32DD199F">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本项目不涉及</w:t>
            </w:r>
          </w:p>
        </w:tc>
      </w:tr>
      <w:tr w14:paraId="7D0C475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6" w:type="pct"/>
            <w:vMerge w:val="continue"/>
            <w:tcBorders>
              <w:tl2br w:val="nil"/>
              <w:tr2bl w:val="nil"/>
            </w:tcBorders>
            <w:vAlign w:val="center"/>
          </w:tcPr>
          <w:p w14:paraId="39C82FE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807" w:type="pct"/>
            <w:gridSpan w:val="2"/>
            <w:tcBorders>
              <w:tl2br w:val="nil"/>
              <w:tr2bl w:val="nil"/>
            </w:tcBorders>
            <w:vAlign w:val="center"/>
          </w:tcPr>
          <w:p w14:paraId="4FE2EB9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半固态</w:t>
            </w:r>
          </w:p>
        </w:tc>
        <w:tc>
          <w:tcPr>
            <w:tcW w:w="1711" w:type="pct"/>
            <w:tcBorders>
              <w:tl2br w:val="nil"/>
              <w:tr2bl w:val="nil"/>
            </w:tcBorders>
            <w:vAlign w:val="center"/>
          </w:tcPr>
          <w:p w14:paraId="4F73DF0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一般不超过水泥窑熟料生产能力的4%</w:t>
            </w:r>
          </w:p>
        </w:tc>
        <w:tc>
          <w:tcPr>
            <w:tcW w:w="1065" w:type="pct"/>
            <w:tcBorders>
              <w:tl2br w:val="nil"/>
              <w:tr2bl w:val="nil"/>
            </w:tcBorders>
            <w:vAlign w:val="center"/>
          </w:tcPr>
          <w:p w14:paraId="2B4123EF">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本项目不涉及</w:t>
            </w:r>
          </w:p>
        </w:tc>
      </w:tr>
    </w:tbl>
    <w:p w14:paraId="571E6CA4">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6.5</w:t>
      </w:r>
      <w:r>
        <w:rPr>
          <w:rFonts w:hint="default" w:ascii="Times New Roman" w:hAnsi="Times New Roman" w:eastAsia="宋体" w:cs="Times New Roman"/>
          <w:b/>
          <w:bCs w:val="0"/>
          <w:kern w:val="2"/>
          <w:sz w:val="24"/>
          <w:szCs w:val="24"/>
          <w:highlight w:val="none"/>
          <w:lang w:val="en-US" w:eastAsia="zh-CN"/>
        </w:rPr>
        <w:t>水泥窑协同处置危险废物</w:t>
      </w:r>
      <w:r>
        <w:rPr>
          <w:rFonts w:hint="default" w:ascii="Times New Roman" w:hAnsi="Times New Roman" w:cs="Times New Roman"/>
          <w:b/>
          <w:bCs w:val="0"/>
          <w:kern w:val="2"/>
          <w:sz w:val="24"/>
          <w:szCs w:val="24"/>
          <w:highlight w:val="none"/>
          <w:lang w:val="en-US" w:eastAsia="zh-CN"/>
        </w:rPr>
        <w:t>技术方案</w:t>
      </w:r>
    </w:p>
    <w:p w14:paraId="453F2B6A">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（1）</w:t>
      </w:r>
      <w:r>
        <w:rPr>
          <w:rFonts w:hint="default" w:ascii="Times New Roman" w:hAnsi="Times New Roman" w:eastAsia="宋体" w:cs="Times New Roman"/>
          <w:sz w:val="24"/>
          <w:szCs w:val="24"/>
          <w:highlight w:val="none"/>
        </w:rPr>
        <w:t>新型干法水泥窑煅烧过程</w:t>
      </w:r>
    </w:p>
    <w:p w14:paraId="608A0F9A">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新型干法窑的煅烧过程如下图所示，物料和烟气流向相反。物料流向：生料磨→预热器→分解炉→回转窑→冷却机；烟气流向：回转窑→分解炉→预热器→余热锅炉→生料磨或增湿塔→除尘器→烟囱。</w:t>
      </w:r>
    </w:p>
    <w:p w14:paraId="3B0CED75">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4"/>
          <w:szCs w:val="24"/>
          <w:highlight w:val="none"/>
        </w:rPr>
      </w:pPr>
      <w:r>
        <w:rPr>
          <w:rFonts w:hint="default" w:ascii="Times New Roman" w:hAnsi="Times New Roman" w:cs="Times New Roman"/>
        </w:rPr>
        <w:drawing>
          <wp:inline distT="0" distB="0" distL="0" distR="0">
            <wp:extent cx="5219700" cy="2893695"/>
            <wp:effectExtent l="9525" t="9525" r="13335" b="2286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19700" cy="2893695"/>
                    </a:xfrm>
                    <a:prstGeom prst="rect">
                      <a:avLst/>
                    </a:prstGeom>
                    <a:noFill/>
                    <a:ln>
                      <a:solidFill>
                        <a:schemeClr val="tx1"/>
                      </a:solidFill>
                    </a:ln>
                  </pic:spPr>
                </pic:pic>
              </a:graphicData>
            </a:graphic>
          </wp:inline>
        </w:drawing>
      </w:r>
    </w:p>
    <w:p w14:paraId="62C1E7A7">
      <w:pPr>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cs="Times New Roman"/>
          <w:b/>
          <w:bCs/>
          <w:sz w:val="24"/>
          <w:szCs w:val="24"/>
          <w:highlight w:val="none"/>
          <w:lang w:val="en-US" w:eastAsia="zh-CN"/>
        </w:rPr>
        <w:t>图3.</w:t>
      </w:r>
      <w:r>
        <w:rPr>
          <w:rFonts w:hint="eastAsia" w:cs="Times New Roman"/>
          <w:b/>
          <w:bCs/>
          <w:sz w:val="24"/>
          <w:szCs w:val="24"/>
          <w:highlight w:val="none"/>
          <w:lang w:val="en-US" w:eastAsia="zh-CN"/>
        </w:rPr>
        <w:t>6</w:t>
      </w:r>
      <w:r>
        <w:rPr>
          <w:rFonts w:hint="default" w:ascii="Times New Roman" w:hAnsi="Times New Roman" w:cs="Times New Roman"/>
          <w:b/>
          <w:bCs/>
          <w:sz w:val="24"/>
          <w:szCs w:val="24"/>
          <w:highlight w:val="none"/>
          <w:lang w:val="en-US" w:eastAsia="zh-CN"/>
        </w:rPr>
        <w:t xml:space="preserve">-1 </w:t>
      </w:r>
      <w:r>
        <w:rPr>
          <w:rFonts w:hint="default" w:ascii="Times New Roman" w:hAnsi="Times New Roman" w:eastAsia="宋体" w:cs="Times New Roman"/>
          <w:b/>
          <w:bCs/>
          <w:sz w:val="24"/>
          <w:szCs w:val="24"/>
          <w:highlight w:val="none"/>
        </w:rPr>
        <w:t>新型干法窑的煅烧过程气固相温度分布和停留时间图</w:t>
      </w:r>
    </w:p>
    <w:p w14:paraId="1EA289E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悬浮预热器内：物料温度100</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rPr>
        <w:t>750℃，停留时间50s左右；气体温度350~850℃，停留时间10s左右。分解炉内：物料温度750</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rPr>
        <w:t>900℃，停留时间5s左右；气体温度850</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rPr>
        <w:t>1150℃，停留时间3s左右。回转窑窑内：物料温度900</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rPr>
        <w:t>1450℃，停留时间30min左右；烟气温度1150</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rPr>
        <w:t>2000℃，停留时间10s左右。</w:t>
      </w:r>
    </w:p>
    <w:p w14:paraId="4EC8E6AF">
      <w:pPr>
        <w:pStyle w:val="6"/>
        <w:rPr>
          <w:rFonts w:hint="default" w:ascii="Times New Roman" w:hAnsi="Times New Roman" w:cs="Times New Roman"/>
        </w:rPr>
      </w:pPr>
      <w:r>
        <w:rPr>
          <w:rFonts w:hint="default" w:ascii="Times New Roman" w:hAnsi="Times New Roman" w:cs="Times New Roman"/>
        </w:rPr>
        <w:t>熟料烧成系统各温区发生的主要反应见</w:t>
      </w:r>
      <w:r>
        <w:rPr>
          <w:rFonts w:hint="default" w:ascii="Times New Roman" w:hAnsi="Times New Roman" w:cs="Times New Roman"/>
        </w:rPr>
        <w:fldChar w:fldCharType="begin"/>
      </w:r>
      <w:r>
        <w:rPr>
          <w:rFonts w:hint="default" w:ascii="Times New Roman" w:hAnsi="Times New Roman" w:cs="Times New Roman"/>
        </w:rPr>
        <w:instrText xml:space="preserve"> REF _Ref127186845 \h  \* MERGEFORMAT </w:instrText>
      </w:r>
      <w:r>
        <w:rPr>
          <w:rFonts w:hint="default" w:ascii="Times New Roman" w:hAnsi="Times New Roman" w:cs="Times New Roman"/>
        </w:rPr>
        <w:fldChar w:fldCharType="separate"/>
      </w:r>
      <w:r>
        <w:rPr>
          <w:rFonts w:hint="default" w:ascii="Times New Roman" w:hAnsi="Times New Roman" w:cs="Times New Roman"/>
        </w:rPr>
        <w:t>表3.</w:t>
      </w:r>
      <w:r>
        <w:rPr>
          <w:rFonts w:hint="default" w:ascii="Times New Roman" w:hAnsi="Times New Roman" w:cs="Times New Roman"/>
          <w:lang w:val="en-US" w:eastAsia="zh-CN"/>
        </w:rPr>
        <w:t>6</w:t>
      </w:r>
      <w:r>
        <w:rPr>
          <w:rFonts w:hint="default" w:ascii="Times New Roman" w:hAnsi="Times New Roman" w:cs="Times New Roman"/>
        </w:rPr>
        <w:fldChar w:fldCharType="end"/>
      </w:r>
      <w:r>
        <w:rPr>
          <w:rFonts w:hint="default" w:ascii="Times New Roman" w:hAnsi="Times New Roman" w:cs="Times New Roman"/>
          <w:lang w:val="en-US" w:eastAsia="zh-CN"/>
        </w:rPr>
        <w:t>-4</w:t>
      </w:r>
      <w:r>
        <w:rPr>
          <w:rFonts w:hint="default" w:ascii="Times New Roman" w:hAnsi="Times New Roman" w:cs="Times New Roman"/>
        </w:rPr>
        <w:t>。</w:t>
      </w:r>
    </w:p>
    <w:p w14:paraId="31BF4570">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16" w:name="_Ref127186845"/>
      <w:r>
        <w:rPr>
          <w:rFonts w:hint="default" w:ascii="Times New Roman" w:hAnsi="Times New Roman" w:cs="Times New Roman"/>
          <w:b/>
          <w:bCs/>
        </w:rPr>
        <w:t>表</w:t>
      </w:r>
      <w:bookmarkEnd w:id="116"/>
      <w:r>
        <w:rPr>
          <w:rFonts w:hint="default" w:ascii="Times New Roman" w:hAnsi="Times New Roman" w:cs="Times New Roman"/>
          <w:b/>
          <w:bCs/>
          <w:lang w:val="en-US" w:eastAsia="zh-CN"/>
        </w:rPr>
        <w:t>3.6-4</w:t>
      </w:r>
      <w:r>
        <w:rPr>
          <w:rFonts w:hint="default" w:ascii="Times New Roman" w:hAnsi="Times New Roman" w:cs="Times New Roman"/>
          <w:b/>
          <w:bCs/>
        </w:rPr>
        <w:t xml:space="preserve"> 熟料烧成系统各温度区主要反应表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10"/>
        <w:gridCol w:w="1019"/>
        <w:gridCol w:w="1431"/>
        <w:gridCol w:w="5556"/>
      </w:tblGrid>
      <w:tr w14:paraId="1137FD3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0" w:type="pct"/>
            <w:tcBorders>
              <w:tl2br w:val="nil"/>
              <w:tr2bl w:val="nil"/>
            </w:tcBorders>
            <w:vAlign w:val="center"/>
          </w:tcPr>
          <w:p w14:paraId="3DAC0C1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序号</w:t>
            </w:r>
          </w:p>
        </w:tc>
        <w:tc>
          <w:tcPr>
            <w:tcW w:w="598" w:type="pct"/>
            <w:tcBorders>
              <w:tl2br w:val="nil"/>
              <w:tr2bl w:val="nil"/>
            </w:tcBorders>
            <w:vAlign w:val="center"/>
          </w:tcPr>
          <w:p w14:paraId="6B1D9896">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区域名称</w:t>
            </w:r>
          </w:p>
        </w:tc>
        <w:tc>
          <w:tcPr>
            <w:tcW w:w="840" w:type="pct"/>
            <w:tcBorders>
              <w:tl2br w:val="nil"/>
              <w:tr2bl w:val="nil"/>
            </w:tcBorders>
            <w:vAlign w:val="center"/>
          </w:tcPr>
          <w:p w14:paraId="101D657B">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物料温度（℃）</w:t>
            </w:r>
          </w:p>
        </w:tc>
        <w:tc>
          <w:tcPr>
            <w:tcW w:w="3262" w:type="pct"/>
            <w:tcBorders>
              <w:tl2br w:val="nil"/>
              <w:tr2bl w:val="nil"/>
            </w:tcBorders>
            <w:vAlign w:val="center"/>
          </w:tcPr>
          <w:p w14:paraId="59B5EB4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主要反应</w:t>
            </w:r>
          </w:p>
        </w:tc>
      </w:tr>
      <w:tr w14:paraId="72513C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0" w:type="pct"/>
            <w:tcBorders>
              <w:tl2br w:val="nil"/>
              <w:tr2bl w:val="nil"/>
            </w:tcBorders>
            <w:vAlign w:val="center"/>
          </w:tcPr>
          <w:p w14:paraId="6F4B996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w:t>
            </w:r>
          </w:p>
        </w:tc>
        <w:tc>
          <w:tcPr>
            <w:tcW w:w="598" w:type="pct"/>
            <w:tcBorders>
              <w:tl2br w:val="nil"/>
              <w:tr2bl w:val="nil"/>
            </w:tcBorders>
            <w:vAlign w:val="center"/>
          </w:tcPr>
          <w:p w14:paraId="7F4DFAF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干燥带</w:t>
            </w:r>
          </w:p>
        </w:tc>
        <w:tc>
          <w:tcPr>
            <w:tcW w:w="840" w:type="pct"/>
            <w:tcBorders>
              <w:tl2br w:val="nil"/>
              <w:tr2bl w:val="nil"/>
            </w:tcBorders>
            <w:vAlign w:val="center"/>
          </w:tcPr>
          <w:p w14:paraId="697867B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20~150</w:t>
            </w:r>
          </w:p>
        </w:tc>
        <w:tc>
          <w:tcPr>
            <w:tcW w:w="3262" w:type="pct"/>
            <w:tcBorders>
              <w:tl2br w:val="nil"/>
              <w:tr2bl w:val="nil"/>
            </w:tcBorders>
            <w:vAlign w:val="center"/>
          </w:tcPr>
          <w:p w14:paraId="16F8362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物料水分蒸发</w:t>
            </w:r>
          </w:p>
        </w:tc>
      </w:tr>
      <w:tr w14:paraId="0D61D36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0" w:type="pct"/>
            <w:tcBorders>
              <w:tl2br w:val="nil"/>
              <w:tr2bl w:val="nil"/>
            </w:tcBorders>
            <w:vAlign w:val="center"/>
          </w:tcPr>
          <w:p w14:paraId="24B8069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w:t>
            </w:r>
          </w:p>
        </w:tc>
        <w:tc>
          <w:tcPr>
            <w:tcW w:w="598" w:type="pct"/>
            <w:tcBorders>
              <w:tl2br w:val="nil"/>
              <w:tr2bl w:val="nil"/>
            </w:tcBorders>
            <w:vAlign w:val="center"/>
          </w:tcPr>
          <w:p w14:paraId="4736DD7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预热带</w:t>
            </w:r>
          </w:p>
        </w:tc>
        <w:tc>
          <w:tcPr>
            <w:tcW w:w="840" w:type="pct"/>
            <w:tcBorders>
              <w:tl2br w:val="nil"/>
              <w:tr2bl w:val="nil"/>
            </w:tcBorders>
            <w:vAlign w:val="center"/>
          </w:tcPr>
          <w:p w14:paraId="4CD6E59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150~600</w:t>
            </w:r>
          </w:p>
        </w:tc>
        <w:tc>
          <w:tcPr>
            <w:tcW w:w="3262" w:type="pct"/>
            <w:tcBorders>
              <w:tl2br w:val="nil"/>
              <w:tr2bl w:val="nil"/>
            </w:tcBorders>
            <w:vAlign w:val="center"/>
          </w:tcPr>
          <w:p w14:paraId="2559B0C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陶土脱水与分解</w:t>
            </w:r>
          </w:p>
        </w:tc>
      </w:tr>
      <w:tr w14:paraId="705F9B0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0" w:type="pct"/>
            <w:tcBorders>
              <w:tl2br w:val="nil"/>
              <w:tr2bl w:val="nil"/>
            </w:tcBorders>
            <w:vAlign w:val="center"/>
          </w:tcPr>
          <w:p w14:paraId="304BE3E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w:t>
            </w:r>
          </w:p>
        </w:tc>
        <w:tc>
          <w:tcPr>
            <w:tcW w:w="598" w:type="pct"/>
            <w:tcBorders>
              <w:tl2br w:val="nil"/>
              <w:tr2bl w:val="nil"/>
            </w:tcBorders>
            <w:vAlign w:val="center"/>
          </w:tcPr>
          <w:p w14:paraId="09B60E3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分解带</w:t>
            </w:r>
          </w:p>
        </w:tc>
        <w:tc>
          <w:tcPr>
            <w:tcW w:w="840" w:type="pct"/>
            <w:tcBorders>
              <w:tl2br w:val="nil"/>
              <w:tr2bl w:val="nil"/>
            </w:tcBorders>
            <w:vAlign w:val="center"/>
          </w:tcPr>
          <w:p w14:paraId="678DFFE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600~900</w:t>
            </w:r>
          </w:p>
        </w:tc>
        <w:tc>
          <w:tcPr>
            <w:tcW w:w="3262" w:type="pct"/>
            <w:tcBorders>
              <w:tl2br w:val="nil"/>
              <w:tr2bl w:val="nil"/>
            </w:tcBorders>
            <w:vAlign w:val="center"/>
          </w:tcPr>
          <w:p w14:paraId="3A8600D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石灰石中碳酸盐分解，形成Ca、CF、C</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F；开始形成C</w:t>
            </w:r>
            <w:r>
              <w:rPr>
                <w:rFonts w:hint="default" w:ascii="Times New Roman" w:hAnsi="Times New Roman" w:cs="Times New Roman"/>
                <w:color w:val="000000" w:themeColor="text1"/>
                <w:sz w:val="21"/>
                <w:szCs w:val="21"/>
                <w:vertAlign w:val="subscript"/>
                <w14:textFill>
                  <w14:solidFill>
                    <w14:schemeClr w14:val="tx1"/>
                  </w14:solidFill>
                </w14:textFill>
              </w:rPr>
              <w:t>12</w:t>
            </w:r>
            <w:r>
              <w:rPr>
                <w:rFonts w:hint="default" w:ascii="Times New Roman" w:hAnsi="Times New Roman" w:cs="Times New Roman"/>
                <w:color w:val="000000" w:themeColor="text1"/>
                <w:sz w:val="21"/>
                <w:szCs w:val="21"/>
                <w14:textFill>
                  <w14:solidFill>
                    <w14:schemeClr w14:val="tx1"/>
                  </w14:solidFill>
                </w14:textFill>
              </w:rPr>
              <w:t>A</w:t>
            </w:r>
            <w:r>
              <w:rPr>
                <w:rFonts w:hint="default" w:ascii="Times New Roman" w:hAnsi="Times New Roman" w:cs="Times New Roman"/>
                <w:color w:val="000000" w:themeColor="text1"/>
                <w:sz w:val="21"/>
                <w:szCs w:val="21"/>
                <w:vertAlign w:val="subscript"/>
                <w14:textFill>
                  <w14:solidFill>
                    <w14:schemeClr w14:val="tx1"/>
                  </w14:solidFill>
                </w14:textFill>
              </w:rPr>
              <w:t>7</w:t>
            </w:r>
            <w:r>
              <w:rPr>
                <w:rFonts w:hint="default" w:ascii="Times New Roman" w:hAnsi="Times New Roman" w:cs="Times New Roman"/>
                <w:color w:val="000000" w:themeColor="text1"/>
                <w:sz w:val="21"/>
                <w:szCs w:val="21"/>
                <w14:textFill>
                  <w14:solidFill>
                    <w14:schemeClr w14:val="tx1"/>
                  </w14:solidFill>
                </w14:textFill>
              </w:rPr>
              <w:t>，C</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S</w:t>
            </w:r>
          </w:p>
        </w:tc>
      </w:tr>
      <w:tr w14:paraId="2A21B68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0" w:type="pct"/>
            <w:tcBorders>
              <w:tl2br w:val="nil"/>
              <w:tr2bl w:val="nil"/>
            </w:tcBorders>
            <w:vAlign w:val="center"/>
          </w:tcPr>
          <w:p w14:paraId="09A37B6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p>
        </w:tc>
        <w:tc>
          <w:tcPr>
            <w:tcW w:w="598" w:type="pct"/>
            <w:tcBorders>
              <w:tl2br w:val="nil"/>
              <w:tr2bl w:val="nil"/>
            </w:tcBorders>
            <w:vAlign w:val="center"/>
          </w:tcPr>
          <w:p w14:paraId="6881384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反应带</w:t>
            </w:r>
          </w:p>
        </w:tc>
        <w:tc>
          <w:tcPr>
            <w:tcW w:w="840" w:type="pct"/>
            <w:tcBorders>
              <w:tl2br w:val="nil"/>
              <w:tr2bl w:val="nil"/>
            </w:tcBorders>
            <w:vAlign w:val="center"/>
          </w:tcPr>
          <w:p w14:paraId="6DB865E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900~1300</w:t>
            </w:r>
          </w:p>
        </w:tc>
        <w:tc>
          <w:tcPr>
            <w:tcW w:w="3262" w:type="pct"/>
            <w:tcBorders>
              <w:tl2br w:val="nil"/>
              <w:tr2bl w:val="nil"/>
            </w:tcBorders>
            <w:vAlign w:val="center"/>
          </w:tcPr>
          <w:p w14:paraId="705B7FC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大量形成C</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S，C</w:t>
            </w:r>
            <w:r>
              <w:rPr>
                <w:rFonts w:hint="default" w:ascii="Times New Roman" w:hAnsi="Times New Roman" w:cs="Times New Roman"/>
                <w:color w:val="000000" w:themeColor="text1"/>
                <w:sz w:val="21"/>
                <w:szCs w:val="21"/>
                <w:vertAlign w:val="subscript"/>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AF，C</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S</w:t>
            </w:r>
          </w:p>
        </w:tc>
      </w:tr>
      <w:tr w14:paraId="29BBAC5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0" w:type="pct"/>
            <w:tcBorders>
              <w:tl2br w:val="nil"/>
              <w:tr2bl w:val="nil"/>
            </w:tcBorders>
            <w:vAlign w:val="center"/>
          </w:tcPr>
          <w:p w14:paraId="0EB2988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w:t>
            </w:r>
          </w:p>
        </w:tc>
        <w:tc>
          <w:tcPr>
            <w:tcW w:w="598" w:type="pct"/>
            <w:tcBorders>
              <w:tl2br w:val="nil"/>
              <w:tr2bl w:val="nil"/>
            </w:tcBorders>
            <w:vAlign w:val="center"/>
          </w:tcPr>
          <w:p w14:paraId="3D04D3B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烧成带</w:t>
            </w:r>
          </w:p>
        </w:tc>
        <w:tc>
          <w:tcPr>
            <w:tcW w:w="840" w:type="pct"/>
            <w:tcBorders>
              <w:tl2br w:val="nil"/>
              <w:tr2bl w:val="nil"/>
            </w:tcBorders>
            <w:vAlign w:val="center"/>
          </w:tcPr>
          <w:p w14:paraId="14E5B8C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1300~1450</w:t>
            </w:r>
          </w:p>
        </w:tc>
        <w:tc>
          <w:tcPr>
            <w:tcW w:w="3262" w:type="pct"/>
            <w:tcBorders>
              <w:tl2br w:val="nil"/>
              <w:tr2bl w:val="nil"/>
            </w:tcBorders>
            <w:vAlign w:val="center"/>
          </w:tcPr>
          <w:p w14:paraId="2B53003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液相开始出现形成C</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S，f-CaO逐步消失，液相量达到20%~30%；Al</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O</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、Fe</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O</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及其他组分进入液相。</w:t>
            </w:r>
          </w:p>
        </w:tc>
      </w:tr>
      <w:tr w14:paraId="1A49D70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00" w:type="pct"/>
            <w:tcBorders>
              <w:tl2br w:val="nil"/>
              <w:tr2bl w:val="nil"/>
            </w:tcBorders>
            <w:vAlign w:val="center"/>
          </w:tcPr>
          <w:p w14:paraId="64F13DB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w:t>
            </w:r>
          </w:p>
        </w:tc>
        <w:tc>
          <w:tcPr>
            <w:tcW w:w="598" w:type="pct"/>
            <w:tcBorders>
              <w:tl2br w:val="nil"/>
              <w:tr2bl w:val="nil"/>
            </w:tcBorders>
            <w:vAlign w:val="center"/>
          </w:tcPr>
          <w:p w14:paraId="421C9B9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冷却带</w:t>
            </w:r>
          </w:p>
        </w:tc>
        <w:tc>
          <w:tcPr>
            <w:tcW w:w="840" w:type="pct"/>
            <w:tcBorders>
              <w:tl2br w:val="nil"/>
              <w:tr2bl w:val="nil"/>
            </w:tcBorders>
            <w:vAlign w:val="center"/>
          </w:tcPr>
          <w:p w14:paraId="1197426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1300~1000</w:t>
            </w:r>
          </w:p>
        </w:tc>
        <w:tc>
          <w:tcPr>
            <w:tcW w:w="3262" w:type="pct"/>
            <w:tcBorders>
              <w:tl2br w:val="nil"/>
              <w:tr2bl w:val="nil"/>
            </w:tcBorders>
            <w:vAlign w:val="center"/>
          </w:tcPr>
          <w:p w14:paraId="2B67925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C</w:t>
            </w:r>
            <w:r>
              <w:rPr>
                <w:rFonts w:hint="default" w:ascii="Times New Roman" w:hAnsi="Times New Roman" w:cs="Times New Roman"/>
                <w:color w:val="000000" w:themeColor="text1"/>
                <w:sz w:val="21"/>
                <w:szCs w:val="21"/>
                <w:vertAlign w:val="subscript"/>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A，C</w:t>
            </w:r>
            <w:r>
              <w:rPr>
                <w:rFonts w:hint="default" w:ascii="Times New Roman" w:hAnsi="Times New Roman" w:cs="Times New Roman"/>
                <w:color w:val="000000" w:themeColor="text1"/>
                <w:sz w:val="21"/>
                <w:szCs w:val="21"/>
                <w:vertAlign w:val="subscript"/>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AF有时还有C</w:t>
            </w:r>
            <w:r>
              <w:rPr>
                <w:rFonts w:hint="default" w:ascii="Times New Roman" w:hAnsi="Times New Roman" w:cs="Times New Roman"/>
                <w:color w:val="000000" w:themeColor="text1"/>
                <w:sz w:val="21"/>
                <w:szCs w:val="21"/>
                <w:vertAlign w:val="subscript"/>
                <w14:textFill>
                  <w14:solidFill>
                    <w14:schemeClr w14:val="tx1"/>
                  </w14:solidFill>
                </w14:textFill>
              </w:rPr>
              <w:t>12</w:t>
            </w:r>
            <w:r>
              <w:rPr>
                <w:rFonts w:hint="default" w:ascii="Times New Roman" w:hAnsi="Times New Roman" w:cs="Times New Roman"/>
                <w:color w:val="000000" w:themeColor="text1"/>
                <w:sz w:val="21"/>
                <w:szCs w:val="21"/>
                <w14:textFill>
                  <w14:solidFill>
                    <w14:schemeClr w14:val="tx1"/>
                  </w14:solidFill>
                </w14:textFill>
              </w:rPr>
              <w:t>A</w:t>
            </w:r>
            <w:r>
              <w:rPr>
                <w:rFonts w:hint="default" w:ascii="Times New Roman" w:hAnsi="Times New Roman" w:cs="Times New Roman"/>
                <w:color w:val="000000" w:themeColor="text1"/>
                <w:sz w:val="21"/>
                <w:szCs w:val="21"/>
                <w:vertAlign w:val="subscript"/>
                <w14:textFill>
                  <w14:solidFill>
                    <w14:schemeClr w14:val="tx1"/>
                  </w14:solidFill>
                </w14:textFill>
              </w:rPr>
              <w:t>7</w:t>
            </w:r>
            <w:r>
              <w:rPr>
                <w:rFonts w:hint="default" w:ascii="Times New Roman" w:hAnsi="Times New Roman" w:cs="Times New Roman"/>
                <w:color w:val="000000" w:themeColor="text1"/>
                <w:sz w:val="21"/>
                <w:szCs w:val="21"/>
                <w14:textFill>
                  <w14:solidFill>
                    <w14:schemeClr w14:val="tx1"/>
                  </w14:solidFill>
                </w14:textFill>
              </w:rPr>
              <w:t>重新结晶出来，部分液相成为玻璃体。</w:t>
            </w:r>
          </w:p>
        </w:tc>
      </w:tr>
    </w:tbl>
    <w:p w14:paraId="0B1CBB6F">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处置原理</w:t>
      </w:r>
    </w:p>
    <w:p w14:paraId="3450EF7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高温作用下促使未分解或难分解的物质进一步分解；高温锻烧过程中固相和液相反应将分解或燃烧后的残余物中绝大部分重金属离子固化在熟料中；同时预分解全系统在负压下运行且窑尾安装烟气处理装置，高效收尘系统和粉灰循环利用系统保证了有害粉尘的收集和利用。</w:t>
      </w:r>
    </w:p>
    <w:p w14:paraId="6F3F33DE">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①</w:t>
      </w:r>
      <w:r>
        <w:rPr>
          <w:rFonts w:hint="default" w:ascii="Times New Roman" w:hAnsi="Times New Roman" w:eastAsia="宋体" w:cs="Times New Roman"/>
          <w:sz w:val="24"/>
          <w:szCs w:val="24"/>
          <w:highlight w:val="none"/>
        </w:rPr>
        <w:t>挥发性危废处置及有机物的去除</w:t>
      </w:r>
    </w:p>
    <w:p w14:paraId="3EFF0A4A">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项目所指的挥发性危废是主要成分为挥发性有机物的危险废物。挥发性有机物是一种在常温常压下，具有高蒸汽压和易蒸发性能的碳氢类物质，在高温下易氧化燃烧，完全氧化时生成CO</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和H</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O。</w:t>
      </w:r>
    </w:p>
    <w:p w14:paraId="394080F1">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挥发性危废经预处理形成膏状后，被喷枪高压气流切割成细小的颗粒喷入分解炉底部，与炉内向上升烟气充分混合接触，并呈悬浮态，有机物在温度850~1150℃，停留时间3s的条件下，迅速充分燃烧分解，燃烧效率大于99.9%，焚毁去除率大于99.99%。</w:t>
      </w:r>
    </w:p>
    <w:p w14:paraId="3CA2B38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②</w:t>
      </w:r>
      <w:r>
        <w:rPr>
          <w:rFonts w:hint="default" w:ascii="Times New Roman" w:hAnsi="Times New Roman" w:eastAsia="宋体" w:cs="Times New Roman"/>
          <w:sz w:val="24"/>
          <w:szCs w:val="24"/>
          <w:highlight w:val="none"/>
        </w:rPr>
        <w:t>HCl、HF酸性气体的去除</w:t>
      </w:r>
    </w:p>
    <w:p w14:paraId="64C30425">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含氟原燃料在烧成过程形成的HF会与生料煅烧中产生的CaO，Al</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O</w:t>
      </w:r>
      <w:r>
        <w:rPr>
          <w:rFonts w:hint="default" w:ascii="Times New Roman" w:hAnsi="Times New Roman" w:eastAsia="宋体" w:cs="Times New Roman"/>
          <w:sz w:val="24"/>
          <w:szCs w:val="24"/>
          <w:highlight w:val="none"/>
          <w:vertAlign w:val="subscript"/>
        </w:rPr>
        <w:t>3</w:t>
      </w:r>
      <w:r>
        <w:rPr>
          <w:rFonts w:hint="default" w:ascii="Times New Roman" w:hAnsi="Times New Roman" w:eastAsia="宋体" w:cs="Times New Roman"/>
          <w:sz w:val="24"/>
          <w:szCs w:val="24"/>
          <w:highlight w:val="none"/>
        </w:rPr>
        <w:t>形成氟铝酸钙固溶于熟料中带出窑外，90~95%的F元素会随熟料带入窑外，剩余的F元素以CaF</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的形式凝结在窑灰中在窑内形成内循环，极少部分随尾气排放。水泥窑产生的HCl主要来自于含氯的原燃料在烧成过程中形成的HCl。由于水泥窑中具有强碱性环境，HCl在窑内与CaO反应生产CaCl</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随熟料带出窑外，或与碱金属氯化物反应生成NaCl、KCl在窑内形成内循环而不断积累，通常情况下，97%以上的HCl在窑内会被碱性物质吸收，随尾气排放到窑外的量很少，只有当原料中Cl元素添加速率过大，或窑内NaCl、KCl内循环累计到一定程度而达到原料带入量与随尾气和熟料排出量达到平衡后，随尾气排出的HCl可能会增加。这也是水泥窑协同处置危险废物相对于其它焚烧炉的一个重要优势。</w:t>
      </w:r>
    </w:p>
    <w:p w14:paraId="5477A3D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根据《水泥窑协同处置固体废物环境保护技术规范》（HJ662-2013）6.6.8要求“协同处置企业应根据水泥生产工艺特点，控制随物料入窑的氯和氟元素的投加量，以保证水泥的正常生产和熟料质量符合国家标准，入窑物料中氟元素含量不应大于0.5%，氯元素含量不应大于0.04%”，水泥窑协同处置规范中并未对Na、K和P等元素进行限制，主要通过控制氯元素来实现保证水泥质量的目的。</w:t>
      </w:r>
      <w:r>
        <w:rPr>
          <w:rFonts w:hint="default" w:ascii="Times New Roman" w:hAnsi="Times New Roman" w:cs="Times New Roman"/>
          <w:sz w:val="24"/>
          <w:szCs w:val="24"/>
          <w:highlight w:val="none"/>
          <w:lang w:val="en-US" w:eastAsia="zh-CN"/>
        </w:rPr>
        <w:t>本项目所处置危险废物中不含</w:t>
      </w:r>
      <w:r>
        <w:rPr>
          <w:rFonts w:hint="default" w:ascii="Times New Roman" w:hAnsi="Times New Roman" w:eastAsia="宋体" w:cs="Times New Roman"/>
          <w:sz w:val="24"/>
          <w:szCs w:val="24"/>
          <w:highlight w:val="none"/>
        </w:rPr>
        <w:t>氟元素</w:t>
      </w:r>
      <w:r>
        <w:rPr>
          <w:rFonts w:hint="default" w:ascii="Times New Roman" w:hAnsi="Times New Roman" w:cs="Times New Roman"/>
          <w:sz w:val="24"/>
          <w:szCs w:val="24"/>
          <w:highlight w:val="none"/>
          <w:lang w:val="en-US" w:eastAsia="zh-CN"/>
        </w:rPr>
        <w:t>与</w:t>
      </w:r>
      <w:r>
        <w:rPr>
          <w:rFonts w:hint="default" w:ascii="Times New Roman" w:hAnsi="Times New Roman" w:eastAsia="宋体" w:cs="Times New Roman"/>
          <w:sz w:val="24"/>
          <w:szCs w:val="24"/>
          <w:highlight w:val="none"/>
        </w:rPr>
        <w:t>氯元素</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可满足</w:t>
      </w:r>
      <w:r>
        <w:rPr>
          <w:rFonts w:hint="default" w:ascii="Times New Roman" w:hAnsi="Times New Roman" w:eastAsia="宋体" w:cs="Times New Roman"/>
          <w:sz w:val="24"/>
          <w:szCs w:val="24"/>
          <w:highlight w:val="none"/>
        </w:rPr>
        <w:t>《水泥窑协同处置固体废物环境保护技术规范》（HJ662-2013）</w:t>
      </w:r>
      <w:r>
        <w:rPr>
          <w:rFonts w:hint="default" w:ascii="Times New Roman" w:hAnsi="Times New Roman" w:cs="Times New Roman"/>
          <w:sz w:val="24"/>
          <w:szCs w:val="24"/>
          <w:highlight w:val="none"/>
          <w:lang w:val="en-US" w:eastAsia="zh-CN"/>
        </w:rPr>
        <w:t>中相关要求。</w:t>
      </w:r>
    </w:p>
    <w:p w14:paraId="1F9649BF">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③</w:t>
      </w:r>
      <w:r>
        <w:rPr>
          <w:rFonts w:hint="default" w:ascii="Times New Roman" w:hAnsi="Times New Roman" w:eastAsia="宋体" w:cs="Times New Roman"/>
          <w:sz w:val="24"/>
          <w:szCs w:val="24"/>
          <w:highlight w:val="none"/>
        </w:rPr>
        <w:t>二噁英抑制及去除</w:t>
      </w:r>
    </w:p>
    <w:p w14:paraId="011BF6F8">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挥发性危废中还有部分物质含有含氯的有机物，其窑内一定条件下会形成二噁英。根据查阅文献（孙吉平，刘星星等，利用水泥新型干法窑系统处置城市垃圾抑制二噁英产生的机理研究，长沙铁道学院学报，2012.6）及相关资料，二噁英是由各种氯代前体物进一步转化而成，如多氯联苯、氯苯等含氯芳香烃类化合物，这些前体物在HCl、O</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、CO存在，在250~600℃之间条件下，在特定的金属离子（Cu</w:t>
      </w:r>
      <w:r>
        <w:rPr>
          <w:rFonts w:hint="default" w:ascii="Times New Roman" w:hAnsi="Times New Roman" w:eastAsia="宋体" w:cs="Times New Roman"/>
          <w:sz w:val="24"/>
          <w:szCs w:val="24"/>
          <w:highlight w:val="none"/>
          <w:vertAlign w:val="superscript"/>
        </w:rPr>
        <w:t>2+</w:t>
      </w:r>
      <w:r>
        <w:rPr>
          <w:rFonts w:hint="default" w:ascii="Times New Roman" w:hAnsi="Times New Roman" w:eastAsia="宋体" w:cs="Times New Roman"/>
          <w:sz w:val="24"/>
          <w:szCs w:val="24"/>
          <w:highlight w:val="none"/>
        </w:rPr>
        <w:t>、Fe</w:t>
      </w:r>
      <w:r>
        <w:rPr>
          <w:rFonts w:hint="default" w:ascii="Times New Roman" w:hAnsi="Times New Roman" w:eastAsia="宋体" w:cs="Times New Roman"/>
          <w:sz w:val="24"/>
          <w:szCs w:val="24"/>
          <w:highlight w:val="none"/>
          <w:vertAlign w:val="superscript"/>
        </w:rPr>
        <w:t>2+</w:t>
      </w:r>
      <w:r>
        <w:rPr>
          <w:rFonts w:hint="default" w:ascii="Times New Roman" w:hAnsi="Times New Roman" w:eastAsia="宋体" w:cs="Times New Roman"/>
          <w:sz w:val="24"/>
          <w:szCs w:val="24"/>
          <w:highlight w:val="none"/>
        </w:rPr>
        <w:t>）对其催化作用下生成二噁英。而二噁英的消除要求焚烧温度大于800℃，在此高温区停留1~2S，尽量缩短燃烧烟气的处理和排放温度处于（300~400℃）之间时间。</w:t>
      </w:r>
    </w:p>
    <w:p w14:paraId="7B98A40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水泥窑协同处置危险废物对二噁英控制具有有利条件。</w:t>
      </w:r>
    </w:p>
    <w:p w14:paraId="2EC742B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1）危险废物带入烧成系统的Cl</w:t>
      </w:r>
      <w:r>
        <w:rPr>
          <w:rFonts w:hint="default" w:ascii="Times New Roman" w:hAnsi="Times New Roman" w:eastAsia="宋体" w:cs="Times New Roman"/>
          <w:sz w:val="24"/>
          <w:szCs w:val="24"/>
          <w:highlight w:val="none"/>
          <w:vertAlign w:val="superscript"/>
        </w:rPr>
        <w:t>-</w:t>
      </w:r>
      <w:r>
        <w:rPr>
          <w:rFonts w:hint="default" w:ascii="Times New Roman" w:hAnsi="Times New Roman" w:eastAsia="宋体" w:cs="Times New Roman"/>
          <w:sz w:val="24"/>
          <w:szCs w:val="24"/>
          <w:highlight w:val="none"/>
        </w:rPr>
        <w:t>（有机氯高温分解）在燃烧过程中与高温气流和高温、高细度、高浓度、高吸附性、高均匀性分布的碱性物料充分接触，充分吸收，不会成为二噁英的氯源，使得二噁英失去了形成的第一条件。</w:t>
      </w:r>
    </w:p>
    <w:p w14:paraId="02F4E9C3">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项目大部分挥发性有机物在分解炉底部投入，在850~1150℃温度下停留3s，停留时间大于2s，有足够的焚烧时间。在1450℃高温下二噁英及有机物迅速破除，且停留时间10s，远大于2s，有足够的焚烧时间，不存在不完全燃烧区域。二噁英和有机物分解成的Cl-又迅速被窑内碱性物料吸收。</w:t>
      </w:r>
    </w:p>
    <w:p w14:paraId="295C8CC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3）在烟气降温阶段，窑尾一级预热器进口气体为530℃，出口气体温度为330℃，因窑尾预热器系统内气固悬浮换热，因此随着生料在进口气体管道的喂入，气体温度在0.1s内迅速降至350℃~400℃，同时预热器中Cl</w:t>
      </w:r>
      <w:r>
        <w:rPr>
          <w:rFonts w:hint="default" w:ascii="Times New Roman" w:hAnsi="Times New Roman" w:eastAsia="宋体" w:cs="Times New Roman"/>
          <w:sz w:val="24"/>
          <w:szCs w:val="24"/>
          <w:highlight w:val="none"/>
          <w:vertAlign w:val="superscript"/>
        </w:rPr>
        <w:t>-</w:t>
      </w:r>
      <w:r>
        <w:rPr>
          <w:rFonts w:hint="default" w:ascii="Times New Roman" w:hAnsi="Times New Roman" w:eastAsia="宋体" w:cs="Times New Roman"/>
          <w:sz w:val="24"/>
          <w:szCs w:val="24"/>
          <w:highlight w:val="none"/>
        </w:rPr>
        <w:t>含量极少，极少的Cl</w:t>
      </w:r>
      <w:r>
        <w:rPr>
          <w:rFonts w:hint="default" w:ascii="Times New Roman" w:hAnsi="Times New Roman" w:eastAsia="宋体" w:cs="Times New Roman"/>
          <w:sz w:val="24"/>
          <w:szCs w:val="24"/>
          <w:highlight w:val="none"/>
          <w:vertAlign w:val="superscript"/>
        </w:rPr>
        <w:t>-</w:t>
      </w:r>
      <w:r>
        <w:rPr>
          <w:rFonts w:hint="default" w:ascii="Times New Roman" w:hAnsi="Times New Roman" w:eastAsia="宋体" w:cs="Times New Roman"/>
          <w:sz w:val="24"/>
          <w:szCs w:val="24"/>
          <w:highlight w:val="none"/>
        </w:rPr>
        <w:t>也易被生料吸收，生料里又缺少Cu</w:t>
      </w:r>
      <w:r>
        <w:rPr>
          <w:rFonts w:hint="default" w:ascii="Times New Roman" w:hAnsi="Times New Roman" w:eastAsia="宋体" w:cs="Times New Roman"/>
          <w:sz w:val="24"/>
          <w:szCs w:val="24"/>
          <w:highlight w:val="none"/>
          <w:vertAlign w:val="superscript"/>
        </w:rPr>
        <w:t>2+</w:t>
      </w:r>
      <w:r>
        <w:rPr>
          <w:rFonts w:hint="default" w:ascii="Times New Roman" w:hAnsi="Times New Roman" w:eastAsia="宋体" w:cs="Times New Roman"/>
          <w:sz w:val="24"/>
          <w:szCs w:val="24"/>
          <w:highlight w:val="none"/>
        </w:rPr>
        <w:t>、Fe</w:t>
      </w:r>
      <w:r>
        <w:rPr>
          <w:rFonts w:hint="default" w:ascii="Times New Roman" w:hAnsi="Times New Roman" w:eastAsia="宋体" w:cs="Times New Roman"/>
          <w:sz w:val="24"/>
          <w:szCs w:val="24"/>
          <w:highlight w:val="none"/>
          <w:vertAlign w:val="superscript"/>
        </w:rPr>
        <w:t>2+</w:t>
      </w:r>
      <w:r>
        <w:rPr>
          <w:rFonts w:hint="default" w:ascii="Times New Roman" w:hAnsi="Times New Roman" w:eastAsia="宋体" w:cs="Times New Roman"/>
          <w:sz w:val="24"/>
          <w:szCs w:val="24"/>
          <w:highlight w:val="none"/>
        </w:rPr>
        <w:t>催化剂，较难再次形成二噁英，预热器出来的烟气还需经过增湿塔、原料磨和除尘器等构成多级收尘系统，在增湿塔内，烟气温度从330℃迅速冷却至250℃以下，避免了二噁英二次合成。</w:t>
      </w:r>
    </w:p>
    <w:p w14:paraId="3A81572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4）重金属固定</w:t>
      </w:r>
    </w:p>
    <w:p w14:paraId="42E8D9DA">
      <w:pPr>
        <w:pStyle w:val="6"/>
        <w:rPr>
          <w:rFonts w:hint="default" w:ascii="Times New Roman" w:hAnsi="Times New Roman" w:cs="Times New Roman"/>
        </w:rPr>
      </w:pPr>
      <w:r>
        <w:rPr>
          <w:rFonts w:hint="default" w:ascii="Times New Roman" w:hAnsi="Times New Roman" w:cs="Times New Roman"/>
        </w:rPr>
        <w:t>根据国内对水泥窑协同处置危险废物重金属固化迁移规律的研究成果，水泥熟料中主要包含4种矿物，硅酸二钙（C</w:t>
      </w:r>
      <w:r>
        <w:rPr>
          <w:rFonts w:hint="default" w:ascii="Times New Roman" w:hAnsi="Times New Roman" w:cs="Times New Roman"/>
          <w:vertAlign w:val="subscript"/>
        </w:rPr>
        <w:t>2</w:t>
      </w:r>
      <w:r>
        <w:rPr>
          <w:rFonts w:hint="default" w:ascii="Times New Roman" w:hAnsi="Times New Roman" w:cs="Times New Roman"/>
        </w:rPr>
        <w:t>S）、铝酸三钙（C</w:t>
      </w:r>
      <w:r>
        <w:rPr>
          <w:rFonts w:hint="default" w:ascii="Times New Roman" w:hAnsi="Times New Roman" w:cs="Times New Roman"/>
          <w:vertAlign w:val="subscript"/>
        </w:rPr>
        <w:t>3</w:t>
      </w:r>
      <w:r>
        <w:rPr>
          <w:rFonts w:hint="default" w:ascii="Times New Roman" w:hAnsi="Times New Roman" w:cs="Times New Roman"/>
        </w:rPr>
        <w:t>A）、铁铝酸四钙（C</w:t>
      </w:r>
      <w:r>
        <w:rPr>
          <w:rFonts w:hint="default" w:ascii="Times New Roman" w:hAnsi="Times New Roman" w:cs="Times New Roman"/>
          <w:vertAlign w:val="subscript"/>
        </w:rPr>
        <w:t>4</w:t>
      </w:r>
      <w:r>
        <w:rPr>
          <w:rFonts w:hint="default" w:ascii="Times New Roman" w:hAnsi="Times New Roman" w:cs="Times New Roman"/>
        </w:rPr>
        <w:t>AF）和硅酸三钙（C</w:t>
      </w:r>
      <w:r>
        <w:rPr>
          <w:rFonts w:hint="default" w:ascii="Times New Roman" w:hAnsi="Times New Roman" w:cs="Times New Roman"/>
          <w:vertAlign w:val="subscript"/>
        </w:rPr>
        <w:t>3</w:t>
      </w:r>
      <w:r>
        <w:rPr>
          <w:rFonts w:hint="default" w:ascii="Times New Roman" w:hAnsi="Times New Roman" w:cs="Times New Roman"/>
        </w:rPr>
        <w:t>S）。C</w:t>
      </w:r>
      <w:r>
        <w:rPr>
          <w:rFonts w:hint="default" w:ascii="Times New Roman" w:hAnsi="Times New Roman" w:cs="Times New Roman"/>
          <w:vertAlign w:val="subscript"/>
        </w:rPr>
        <w:t>2</w:t>
      </w:r>
      <w:r>
        <w:rPr>
          <w:rFonts w:hint="default" w:ascii="Times New Roman" w:hAnsi="Times New Roman" w:cs="Times New Roman"/>
        </w:rPr>
        <w:t>S在800℃左右开始形成，C</w:t>
      </w:r>
      <w:r>
        <w:rPr>
          <w:rFonts w:hint="default" w:ascii="Times New Roman" w:hAnsi="Times New Roman" w:cs="Times New Roman"/>
          <w:vertAlign w:val="subscript"/>
        </w:rPr>
        <w:t>3</w:t>
      </w:r>
      <w:r>
        <w:rPr>
          <w:rFonts w:hint="default" w:ascii="Times New Roman" w:hAnsi="Times New Roman" w:cs="Times New Roman"/>
        </w:rPr>
        <w:t>A及C</w:t>
      </w:r>
      <w:r>
        <w:rPr>
          <w:rFonts w:hint="default" w:ascii="Times New Roman" w:hAnsi="Times New Roman" w:cs="Times New Roman"/>
          <w:vertAlign w:val="subscript"/>
        </w:rPr>
        <w:t>4</w:t>
      </w:r>
      <w:r>
        <w:rPr>
          <w:rFonts w:hint="default" w:ascii="Times New Roman" w:hAnsi="Times New Roman" w:cs="Times New Roman"/>
        </w:rPr>
        <w:t>AF在900~1100℃逐渐开始形成，在1100~1200℃大量形成，1200~1300℃过程中开始出现液相，CaO与C</w:t>
      </w:r>
      <w:r>
        <w:rPr>
          <w:rFonts w:hint="default" w:ascii="Times New Roman" w:hAnsi="Times New Roman" w:cs="Times New Roman"/>
          <w:vertAlign w:val="subscript"/>
        </w:rPr>
        <w:t>2</w:t>
      </w:r>
      <w:r>
        <w:rPr>
          <w:rFonts w:hint="default" w:ascii="Times New Roman" w:hAnsi="Times New Roman" w:cs="Times New Roman"/>
        </w:rPr>
        <w:t>S溶入液相中，游离氧化钙被充分吸收大量生成C</w:t>
      </w:r>
      <w:r>
        <w:rPr>
          <w:rFonts w:hint="default" w:ascii="Times New Roman" w:hAnsi="Times New Roman" w:cs="Times New Roman"/>
          <w:vertAlign w:val="subscript"/>
        </w:rPr>
        <w:t>3</w:t>
      </w:r>
      <w:r>
        <w:rPr>
          <w:rFonts w:hint="default" w:ascii="Times New Roman" w:hAnsi="Times New Roman" w:cs="Times New Roman"/>
        </w:rPr>
        <w:t>S。在水泥窑熟料煅烧900~1450℃温度下，不挥发类金属通过固相反应或液相烧结进入熟料矿物晶格内；半挥发类金属绝大部分与物料里的碱性物质反应生成重金属盐类分布在熟料矿物中，挥发出来的金属在窑内不断循环下达到饱和平衡，从而抑制了这些重金属的继续挥发，达到很好的固化效果。</w:t>
      </w:r>
    </w:p>
    <w:p w14:paraId="753C5E80">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处置技术方案</w:t>
      </w:r>
    </w:p>
    <w:p w14:paraId="33BCDD1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w:t>
      </w:r>
      <w:r>
        <w:rPr>
          <w:rFonts w:hint="default" w:ascii="Times New Roman" w:hAnsi="Times New Roman" w:cs="Times New Roman"/>
          <w:sz w:val="24"/>
          <w:szCs w:val="24"/>
          <w:highlight w:val="none"/>
          <w:lang w:val="en-US" w:eastAsia="zh-CN"/>
        </w:rPr>
        <w:t>仅</w:t>
      </w:r>
      <w:r>
        <w:rPr>
          <w:rFonts w:hint="default" w:ascii="Times New Roman" w:hAnsi="Times New Roman" w:eastAsia="宋体" w:cs="Times New Roman"/>
          <w:sz w:val="24"/>
          <w:szCs w:val="24"/>
          <w:highlight w:val="none"/>
        </w:rPr>
        <w:t>处置新疆兴发化工有限公司产生的HW11精（蒸）馏残渣（900-013-11）。</w:t>
      </w:r>
    </w:p>
    <w:p w14:paraId="1B7DAC47">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rPr>
        <w:t>其中固态部分在</w:t>
      </w:r>
      <w:r>
        <w:rPr>
          <w:rFonts w:hint="default" w:ascii="Times New Roman" w:hAnsi="Times New Roman" w:cs="Times New Roman"/>
          <w:sz w:val="24"/>
          <w:szCs w:val="24"/>
          <w:highlight w:val="none"/>
          <w:lang w:val="en-US" w:eastAsia="zh-CN"/>
        </w:rPr>
        <w:t>运输进厂后</w:t>
      </w:r>
      <w:r>
        <w:rPr>
          <w:rFonts w:hint="eastAsia" w:cs="Times New Roman"/>
          <w:sz w:val="24"/>
          <w:szCs w:val="24"/>
          <w:highlight w:val="none"/>
          <w:lang w:val="en-US" w:eastAsia="zh-CN"/>
        </w:rPr>
        <w:t>，</w:t>
      </w:r>
      <w:r>
        <w:rPr>
          <w:rFonts w:hint="default" w:ascii="Times New Roman" w:hAnsi="Times New Roman" w:cs="Times New Roman"/>
          <w:sz w:val="24"/>
          <w:szCs w:val="24"/>
          <w:highlight w:val="none"/>
          <w:lang w:val="en-US" w:eastAsia="zh-CN"/>
        </w:rPr>
        <w:t>经重型板喂机投料进入打散机破碎，通过大倾角皮带机送入水泥窑高温焚烧处置</w:t>
      </w:r>
      <w:r>
        <w:rPr>
          <w:rFonts w:hint="eastAsia" w:cs="Times New Roman"/>
          <w:sz w:val="24"/>
          <w:szCs w:val="24"/>
          <w:highlight w:val="none"/>
          <w:lang w:val="en-US" w:eastAsia="zh-CN"/>
        </w:rPr>
        <w:t>；液态部分在</w:t>
      </w:r>
      <w:r>
        <w:rPr>
          <w:rFonts w:hint="default" w:ascii="Times New Roman" w:hAnsi="Times New Roman" w:cs="Times New Roman"/>
          <w:sz w:val="24"/>
          <w:szCs w:val="24"/>
          <w:highlight w:val="none"/>
          <w:lang w:val="en-US" w:eastAsia="zh-CN"/>
        </w:rPr>
        <w:t>新疆兴发化工有限公司废液暂存罐内</w:t>
      </w:r>
      <w:r>
        <w:rPr>
          <w:rFonts w:hint="eastAsia" w:cs="Times New Roman"/>
          <w:sz w:val="24"/>
          <w:szCs w:val="24"/>
          <w:highlight w:val="none"/>
          <w:lang w:val="en-US" w:eastAsia="zh-CN"/>
        </w:rPr>
        <w:t>暂存，</w:t>
      </w:r>
      <w:r>
        <w:rPr>
          <w:rFonts w:hint="default" w:ascii="Times New Roman" w:hAnsi="Times New Roman" w:cs="Times New Roman"/>
          <w:sz w:val="24"/>
          <w:szCs w:val="24"/>
          <w:highlight w:val="none"/>
          <w:lang w:val="en-US" w:eastAsia="zh-CN"/>
        </w:rPr>
        <w:t>经</w:t>
      </w:r>
      <w:r>
        <w:rPr>
          <w:rFonts w:hint="eastAsia" w:cs="Times New Roman"/>
          <w:sz w:val="24"/>
          <w:szCs w:val="24"/>
          <w:highlight w:val="none"/>
          <w:lang w:val="en-US" w:eastAsia="zh-CN"/>
        </w:rPr>
        <w:t>架空密闭</w:t>
      </w:r>
      <w:r>
        <w:rPr>
          <w:rFonts w:hint="default" w:ascii="Times New Roman" w:hAnsi="Times New Roman" w:cs="Times New Roman"/>
          <w:sz w:val="24"/>
          <w:szCs w:val="24"/>
          <w:highlight w:val="none"/>
          <w:lang w:val="en-US" w:eastAsia="zh-CN"/>
        </w:rPr>
        <w:t>管道</w:t>
      </w:r>
      <w:r>
        <w:rPr>
          <w:rFonts w:hint="eastAsia" w:cs="Times New Roman"/>
          <w:sz w:val="24"/>
          <w:szCs w:val="24"/>
          <w:highlight w:val="none"/>
          <w:lang w:val="en-US" w:eastAsia="zh-CN"/>
        </w:rPr>
        <w:t>输</w:t>
      </w:r>
      <w:r>
        <w:rPr>
          <w:rFonts w:hint="default" w:ascii="Times New Roman" w:hAnsi="Times New Roman" w:cs="Times New Roman"/>
          <w:sz w:val="24"/>
          <w:szCs w:val="24"/>
          <w:highlight w:val="none"/>
          <w:lang w:val="en-US" w:eastAsia="zh-CN"/>
        </w:rPr>
        <w:t>送至水泥窑内雾化燃烧</w:t>
      </w:r>
      <w:r>
        <w:rPr>
          <w:rFonts w:hint="default" w:ascii="Times New Roman" w:hAnsi="Times New Roman" w:eastAsia="宋体" w:cs="Times New Roman"/>
          <w:sz w:val="24"/>
          <w:szCs w:val="24"/>
          <w:highlight w:val="none"/>
        </w:rPr>
        <w:t>。</w:t>
      </w:r>
      <w:r>
        <w:rPr>
          <w:rFonts w:hint="eastAsia" w:cs="Times New Roman"/>
          <w:sz w:val="24"/>
          <w:szCs w:val="24"/>
          <w:highlight w:val="none"/>
          <w:lang w:val="en-US" w:eastAsia="zh-CN"/>
        </w:rPr>
        <w:t>本项目处置过程</w:t>
      </w:r>
      <w:r>
        <w:rPr>
          <w:rFonts w:hint="default" w:ascii="Times New Roman" w:hAnsi="Times New Roman" w:eastAsia="宋体" w:cs="Times New Roman"/>
          <w:sz w:val="24"/>
          <w:szCs w:val="24"/>
          <w:highlight w:val="none"/>
        </w:rPr>
        <w:t>其具备自动化程度高，系统密封性好，针对不同状态的危险废物，采用不同的入窑输送系统，实现对</w:t>
      </w:r>
      <w:r>
        <w:rPr>
          <w:rFonts w:hint="default" w:ascii="Times New Roman" w:hAnsi="Times New Roman" w:cs="Times New Roman"/>
          <w:sz w:val="24"/>
          <w:szCs w:val="24"/>
          <w:highlight w:val="none"/>
          <w:lang w:val="en-US" w:eastAsia="zh-CN"/>
        </w:rPr>
        <w:t>水泥</w:t>
      </w:r>
      <w:r>
        <w:rPr>
          <w:rFonts w:hint="default" w:ascii="Times New Roman" w:hAnsi="Times New Roman" w:eastAsia="宋体" w:cs="Times New Roman"/>
          <w:sz w:val="24"/>
          <w:szCs w:val="24"/>
          <w:highlight w:val="none"/>
        </w:rPr>
        <w:t>窑系统的最小影响。</w:t>
      </w:r>
    </w:p>
    <w:p w14:paraId="20AB51CE">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结合目前国内水泥窑协同处置项目的技术方案和实际运营情况，本项目工艺主要分为固态危险废物</w:t>
      </w:r>
      <w:r>
        <w:rPr>
          <w:rFonts w:hint="default" w:ascii="Times New Roman" w:hAnsi="Times New Roman" w:cs="Times New Roman"/>
          <w:sz w:val="24"/>
          <w:szCs w:val="24"/>
          <w:highlight w:val="none"/>
          <w:lang w:val="en-US" w:eastAsia="zh-CN"/>
        </w:rPr>
        <w:t>和</w:t>
      </w:r>
      <w:r>
        <w:rPr>
          <w:rFonts w:hint="default" w:ascii="Times New Roman" w:hAnsi="Times New Roman" w:eastAsia="宋体" w:cs="Times New Roman"/>
          <w:sz w:val="24"/>
          <w:szCs w:val="24"/>
          <w:highlight w:val="none"/>
        </w:rPr>
        <w:t>液态危险废物处置系统</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主要包括“</w:t>
      </w:r>
      <w:r>
        <w:rPr>
          <w:rFonts w:hint="default" w:ascii="Times New Roman" w:hAnsi="Times New Roman" w:cs="Times New Roman"/>
          <w:sz w:val="24"/>
          <w:szCs w:val="24"/>
          <w:highlight w:val="none"/>
          <w:lang w:val="en-US" w:eastAsia="zh-CN"/>
        </w:rPr>
        <w:t>危险废物输送</w:t>
      </w: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分析化验</w:t>
      </w:r>
      <w:r>
        <w:rPr>
          <w:rFonts w:hint="default" w:ascii="Times New Roman" w:hAnsi="Times New Roman" w:eastAsia="宋体" w:cs="Times New Roman"/>
          <w:sz w:val="24"/>
          <w:szCs w:val="24"/>
          <w:highlight w:val="none"/>
        </w:rPr>
        <w:t>”、“入窑煅烧”三部分，</w:t>
      </w:r>
      <w:r>
        <w:rPr>
          <w:rFonts w:hint="default" w:ascii="Times New Roman" w:hAnsi="Times New Roman" w:cs="Times New Roman"/>
          <w:sz w:val="24"/>
          <w:szCs w:val="24"/>
          <w:highlight w:val="none"/>
          <w:lang w:val="en-US" w:eastAsia="zh-CN"/>
        </w:rPr>
        <w:t>输送进场的危险废物在经分析化验后直接</w:t>
      </w:r>
      <w:r>
        <w:rPr>
          <w:rFonts w:hint="default" w:ascii="Times New Roman" w:hAnsi="Times New Roman" w:eastAsia="宋体" w:cs="Times New Roman"/>
          <w:sz w:val="24"/>
          <w:szCs w:val="24"/>
          <w:highlight w:val="none"/>
        </w:rPr>
        <w:t>进入水泥回转窑焚烧，实现</w:t>
      </w:r>
      <w:r>
        <w:rPr>
          <w:rFonts w:hint="default" w:ascii="Times New Roman" w:hAnsi="Times New Roman" w:cs="Times New Roman"/>
          <w:sz w:val="24"/>
          <w:szCs w:val="24"/>
          <w:highlight w:val="none"/>
          <w:lang w:val="en-US" w:eastAsia="zh-CN"/>
        </w:rPr>
        <w:t>危险废物</w:t>
      </w:r>
      <w:r>
        <w:rPr>
          <w:rFonts w:hint="default" w:ascii="Times New Roman" w:hAnsi="Times New Roman" w:eastAsia="宋体" w:cs="Times New Roman"/>
          <w:sz w:val="24"/>
          <w:szCs w:val="24"/>
          <w:highlight w:val="none"/>
        </w:rPr>
        <w:t>的无害化处置。</w:t>
      </w:r>
    </w:p>
    <w:p w14:paraId="61367476">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6.6</w:t>
      </w:r>
      <w:r>
        <w:rPr>
          <w:rFonts w:hint="default" w:ascii="Times New Roman" w:hAnsi="Times New Roman" w:eastAsia="宋体" w:cs="Times New Roman"/>
          <w:b/>
          <w:bCs w:val="0"/>
          <w:kern w:val="2"/>
          <w:sz w:val="24"/>
          <w:szCs w:val="24"/>
          <w:highlight w:val="none"/>
          <w:lang w:val="en-US" w:eastAsia="zh-CN"/>
        </w:rPr>
        <w:t>危险废物入窑焚烧处置的可行性和可靠性分析</w:t>
      </w:r>
    </w:p>
    <w:p w14:paraId="08E3FA13">
      <w:pPr>
        <w:pStyle w:val="6"/>
        <w:rPr>
          <w:rFonts w:hint="default" w:ascii="Times New Roman" w:hAnsi="Times New Roman" w:cs="Times New Roman"/>
        </w:rPr>
      </w:pPr>
      <w:r>
        <w:rPr>
          <w:rFonts w:hint="default" w:ascii="Times New Roman" w:hAnsi="Times New Roman" w:cs="Times New Roman"/>
        </w:rPr>
        <w:t>本评价评主要从三个方面分析危废入窑的可行性，一是本项目危废存在一定的含水率，水泥窑是否可以有效处理；二是采取水泥窑协同处置的最终效果；三是对水泥产品质量影响。具体分析如下：</w:t>
      </w:r>
    </w:p>
    <w:p w14:paraId="5EDB4666">
      <w:pPr>
        <w:pStyle w:val="6"/>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1</w:t>
      </w:r>
      <w:r>
        <w:rPr>
          <w:rFonts w:hint="default" w:ascii="Times New Roman" w:hAnsi="Times New Roman" w:cs="Times New Roman"/>
          <w:lang w:eastAsia="zh-CN"/>
        </w:rPr>
        <w:t>）</w:t>
      </w:r>
      <w:r>
        <w:rPr>
          <w:rFonts w:hint="default" w:ascii="Times New Roman" w:hAnsi="Times New Roman" w:cs="Times New Roman"/>
        </w:rPr>
        <w:t>项目处理的废料中虽然含有一定的水分及不可燃物质，能够入窑有效焚烧，主要有几下几点原因：</w:t>
      </w:r>
    </w:p>
    <w:p w14:paraId="61BC977B">
      <w:pPr>
        <w:pStyle w:val="6"/>
        <w:rPr>
          <w:rFonts w:hint="default" w:ascii="Times New Roman" w:hAnsi="Times New Roman" w:cs="Times New Roman"/>
        </w:rPr>
      </w:pPr>
      <w:r>
        <w:rPr>
          <w:rFonts w:hint="default" w:ascii="Times New Roman" w:hAnsi="Times New Roman" w:cs="Times New Roman"/>
        </w:rPr>
        <w:t>1）按照添加比例及添加物料中的水分计算，入窑物料所含水分对整体原料所含水分含量变化极小。</w:t>
      </w:r>
    </w:p>
    <w:p w14:paraId="43067DE0">
      <w:pPr>
        <w:pStyle w:val="6"/>
        <w:rPr>
          <w:rFonts w:hint="default" w:ascii="Times New Roman" w:hAnsi="Times New Roman" w:cs="Times New Roman"/>
        </w:rPr>
      </w:pPr>
      <w:r>
        <w:rPr>
          <w:rFonts w:hint="default" w:ascii="Times New Roman" w:hAnsi="Times New Roman" w:cs="Times New Roman"/>
        </w:rPr>
        <w:t>2）</w:t>
      </w:r>
      <w:r>
        <w:rPr>
          <w:rFonts w:hint="default" w:ascii="Times New Roman" w:hAnsi="Times New Roman" w:cs="Times New Roman"/>
          <w:lang w:val="en-US" w:eastAsia="zh-CN"/>
        </w:rPr>
        <w:t>项目所处置</w:t>
      </w:r>
      <w:r>
        <w:rPr>
          <w:rFonts w:hint="default" w:ascii="Times New Roman" w:hAnsi="Times New Roman" w:cs="Times New Roman"/>
        </w:rPr>
        <w:t>废物所指的含水率中的水分并不是单纯的水分子，其中含有有机溶剂等高热值液态成分，对水泥窑温度反而起提升作用。</w:t>
      </w:r>
    </w:p>
    <w:p w14:paraId="31661399">
      <w:pPr>
        <w:pStyle w:val="6"/>
        <w:rPr>
          <w:rFonts w:hint="default" w:ascii="Times New Roman" w:hAnsi="Times New Roman" w:cs="Times New Roman"/>
        </w:rPr>
      </w:pPr>
      <w:r>
        <w:rPr>
          <w:rFonts w:hint="default" w:ascii="Times New Roman" w:hAnsi="Times New Roman" w:cs="Times New Roman"/>
        </w:rPr>
        <w:t>3）水泥窑协调处置技术规范规定，废物入窑口为窑尾分解炉或窑头、生料磨，对水泥窑温度影响相对较小，且即使对水泥窑产生影响，在水泥厂中控室可及时反映，通过改变物料投加速率等简单手段可迅速消除影响。</w:t>
      </w:r>
    </w:p>
    <w:p w14:paraId="1EC28290">
      <w:pPr>
        <w:pStyle w:val="6"/>
        <w:rPr>
          <w:rFonts w:hint="default" w:ascii="Times New Roman" w:hAnsi="Times New Roman" w:cs="Times New Roman"/>
        </w:rPr>
      </w:pPr>
      <w:r>
        <w:rPr>
          <w:rFonts w:hint="default" w:ascii="Times New Roman" w:hAnsi="Times New Roman" w:cs="Times New Roman"/>
        </w:rPr>
        <w:t>4）水泥窑协同处置危险废物技术是国家鼓励的，在此基础上，国家对入窑的废物中需要控制的可能污染环境的物质是有标准的，只要不超出规定范围添加危险废物，且通过了性能测试要求，入窑就可行。废物中的水通过预处置达到一个相当稳定的含水率，对热量损失也是稳定的。</w:t>
      </w:r>
    </w:p>
    <w:p w14:paraId="54CC2079">
      <w:pPr>
        <w:pStyle w:val="6"/>
        <w:rPr>
          <w:rFonts w:hint="default" w:ascii="Times New Roman" w:hAnsi="Times New Roman" w:cs="Times New Roman"/>
        </w:rPr>
      </w:pPr>
      <w:r>
        <w:rPr>
          <w:rFonts w:hint="default" w:ascii="Times New Roman" w:hAnsi="Times New Roman" w:cs="Times New Roman"/>
          <w:lang w:eastAsia="zh-CN"/>
        </w:rPr>
        <w:t>（</w:t>
      </w:r>
      <w:r>
        <w:rPr>
          <w:rFonts w:hint="default" w:ascii="Times New Roman" w:hAnsi="Times New Roman" w:cs="Times New Roman"/>
          <w:lang w:val="en-US" w:eastAsia="zh-CN"/>
        </w:rPr>
        <w:t>2</w:t>
      </w:r>
      <w:r>
        <w:rPr>
          <w:rFonts w:hint="default" w:ascii="Times New Roman" w:hAnsi="Times New Roman" w:cs="Times New Roman"/>
          <w:lang w:eastAsia="zh-CN"/>
        </w:rPr>
        <w:t>）</w:t>
      </w:r>
      <w:r>
        <w:rPr>
          <w:rFonts w:hint="default" w:ascii="Times New Roman" w:hAnsi="Times New Roman" w:cs="Times New Roman"/>
        </w:rPr>
        <w:t>水泥窑协同处理的有效性</w:t>
      </w:r>
    </w:p>
    <w:p w14:paraId="0781541B">
      <w:pPr>
        <w:pStyle w:val="6"/>
        <w:rPr>
          <w:rFonts w:hint="default" w:ascii="Times New Roman" w:hAnsi="Times New Roman" w:cs="Times New Roman"/>
          <w:spacing w:val="-6"/>
        </w:rPr>
      </w:pPr>
      <w:r>
        <w:rPr>
          <w:rFonts w:hint="default" w:ascii="Times New Roman" w:hAnsi="Times New Roman" w:cs="Times New Roman"/>
        </w:rPr>
        <w:t>相比一般危废焚烧炉，水泥回转窑筒体长，危废在回转窑高温状态下停留时间长。根据统计数据，物料从窑尾到窑头总的停留时间在35min左右，气体在大于950℃以上的停留时间在12s以上，高于1300℃以上的停留时间大于3s，更有利于危废的充分燃烧和分解，项目拟处置的危废最终绝大部分以窑尾烟气（经处理后可以达标排放）形式对外达标排放，剩余部分固存在水泥熟料中。</w:t>
      </w:r>
      <w:r>
        <w:rPr>
          <w:rFonts w:hint="default" w:ascii="Times New Roman" w:hAnsi="Times New Roman" w:cs="Times New Roman"/>
          <w:spacing w:val="-6"/>
        </w:rPr>
        <w:t>此外，水泥窑焚烧处置后无二次固废产生、外排。生产废水全部入窑焚烧处置不外排。</w:t>
      </w:r>
    </w:p>
    <w:p w14:paraId="5E45517D">
      <w:pPr>
        <w:pStyle w:val="6"/>
        <w:ind w:firstLine="456"/>
        <w:rPr>
          <w:rFonts w:hint="default" w:ascii="Times New Roman" w:hAnsi="Times New Roman" w:cs="Times New Roman"/>
        </w:rPr>
      </w:pPr>
      <w:r>
        <w:rPr>
          <w:rFonts w:hint="default" w:ascii="Times New Roman" w:hAnsi="Times New Roman" w:cs="Times New Roman"/>
          <w:spacing w:val="-6"/>
        </w:rPr>
        <w:t>因此，用水泥窑协同处置危废是非常科学、环保的一种末端处置方式，处置效果良好。</w:t>
      </w:r>
    </w:p>
    <w:p w14:paraId="650A975C">
      <w:pPr>
        <w:pStyle w:val="6"/>
        <w:rPr>
          <w:rFonts w:hint="default" w:ascii="Times New Roman" w:hAnsi="Times New Roman" w:cs="Times New Roman"/>
        </w:rPr>
      </w:pPr>
      <w:bookmarkStart w:id="117" w:name="_Hlk150988411"/>
      <w:r>
        <w:rPr>
          <w:rFonts w:hint="default" w:ascii="Times New Roman" w:hAnsi="Times New Roman" w:cs="Times New Roman"/>
          <w:lang w:eastAsia="zh-CN"/>
        </w:rPr>
        <w:t>（</w:t>
      </w:r>
      <w:r>
        <w:rPr>
          <w:rFonts w:hint="default" w:ascii="Times New Roman" w:hAnsi="Times New Roman" w:cs="Times New Roman"/>
          <w:lang w:val="en-US" w:eastAsia="zh-CN"/>
        </w:rPr>
        <w:t>3</w:t>
      </w:r>
      <w:r>
        <w:rPr>
          <w:rFonts w:hint="default" w:ascii="Times New Roman" w:hAnsi="Times New Roman" w:cs="Times New Roman"/>
          <w:lang w:eastAsia="zh-CN"/>
        </w:rPr>
        <w:t>）</w:t>
      </w:r>
      <w:r>
        <w:rPr>
          <w:rFonts w:hint="default" w:ascii="Times New Roman" w:hAnsi="Times New Roman" w:cs="Times New Roman"/>
        </w:rPr>
        <w:t>对熟料及水泥产量和质量影响分析</w:t>
      </w:r>
    </w:p>
    <w:p w14:paraId="5FFD1541">
      <w:pPr>
        <w:pStyle w:val="6"/>
        <w:rPr>
          <w:rFonts w:hint="default" w:ascii="Times New Roman" w:hAnsi="Times New Roman" w:cs="Times New Roman"/>
        </w:rPr>
      </w:pPr>
      <w:r>
        <w:rPr>
          <w:rFonts w:hint="default" w:ascii="Times New Roman" w:hAnsi="Times New Roman" w:cs="Times New Roman"/>
        </w:rPr>
        <w:t>根据分析并参照同类项目情况，固废采用水泥窑协同处置，对水泥熟料的产量、质量不会造成影响，主要分析如下：</w:t>
      </w:r>
    </w:p>
    <w:p w14:paraId="6FB84B86">
      <w:pPr>
        <w:pStyle w:val="6"/>
        <w:rPr>
          <w:rFonts w:hint="default" w:ascii="Times New Roman" w:hAnsi="Times New Roman" w:cs="Times New Roman"/>
        </w:rPr>
      </w:pPr>
      <w:r>
        <w:rPr>
          <w:rFonts w:hint="default" w:ascii="Times New Roman" w:hAnsi="Times New Roman" w:cs="Times New Roman"/>
        </w:rPr>
        <w:t>根据《水泥窑协同处置危险废物经营许可证审查指南（试行）》要求，不同热值与成分的危废掺烧比例，约为熟料生产能力的4-15%之间。</w:t>
      </w:r>
      <w:r>
        <w:rPr>
          <w:rFonts w:hint="default" w:ascii="Times New Roman" w:hAnsi="Times New Roman" w:cs="Times New Roman"/>
          <w:lang w:val="en-US" w:eastAsia="zh-CN"/>
        </w:rPr>
        <w:t>由于本项目徐处置危险废物量较小（1500t/a），</w:t>
      </w:r>
      <w:r>
        <w:rPr>
          <w:rFonts w:hint="default" w:ascii="Times New Roman" w:hAnsi="Times New Roman" w:cs="Times New Roman"/>
        </w:rPr>
        <w:t>危废掺烧比例约</w:t>
      </w:r>
      <w:r>
        <w:rPr>
          <w:rFonts w:hint="default" w:ascii="Times New Roman" w:hAnsi="Times New Roman" w:cs="Times New Roman"/>
          <w:lang w:val="en-US" w:eastAsia="zh-CN"/>
        </w:rPr>
        <w:t>0.38</w:t>
      </w:r>
      <w:r>
        <w:rPr>
          <w:rFonts w:hint="default" w:ascii="Times New Roman" w:hAnsi="Times New Roman" w:cs="Times New Roman"/>
        </w:rPr>
        <w:t>%，因此对于水泥生产的干扰较为可控。根据拟焚烧废物的处理量和烧失量比例（烧失量61.76%），计算得出约有</w:t>
      </w:r>
      <w:r>
        <w:rPr>
          <w:rFonts w:hint="default" w:ascii="Times New Roman" w:hAnsi="Times New Roman" w:cs="Times New Roman"/>
          <w:lang w:val="en-US" w:eastAsia="zh-CN"/>
        </w:rPr>
        <w:t>926.4</w:t>
      </w:r>
      <w:r>
        <w:rPr>
          <w:rFonts w:hint="default" w:ascii="Times New Roman" w:hAnsi="Times New Roman" w:cs="Times New Roman"/>
        </w:rPr>
        <w:t>t/a烧失，剩余</w:t>
      </w:r>
      <w:r>
        <w:rPr>
          <w:rFonts w:hint="default" w:ascii="Times New Roman" w:hAnsi="Times New Roman" w:cs="Times New Roman"/>
          <w:lang w:val="en-US" w:eastAsia="zh-CN"/>
        </w:rPr>
        <w:t>573.6</w:t>
      </w:r>
      <w:r>
        <w:rPr>
          <w:rFonts w:hint="default" w:ascii="Times New Roman" w:hAnsi="Times New Roman" w:cs="Times New Roman"/>
        </w:rPr>
        <w:t>t/a固存在水泥熟料中，仅占熟料总量的</w:t>
      </w:r>
      <w:r>
        <w:rPr>
          <w:rFonts w:hint="default" w:ascii="Times New Roman" w:hAnsi="Times New Roman" w:cs="Times New Roman"/>
          <w:lang w:val="en-US" w:eastAsia="zh-CN"/>
        </w:rPr>
        <w:t>0.14</w:t>
      </w:r>
      <w:r>
        <w:rPr>
          <w:rFonts w:hint="default" w:ascii="Times New Roman" w:hAnsi="Times New Roman" w:cs="Times New Roman"/>
        </w:rPr>
        <w:t>%。</w:t>
      </w:r>
    </w:p>
    <w:p w14:paraId="24160087">
      <w:pPr>
        <w:pStyle w:val="6"/>
        <w:rPr>
          <w:rFonts w:hint="default" w:ascii="Times New Roman" w:hAnsi="Times New Roman" w:cs="Times New Roman"/>
        </w:rPr>
      </w:pPr>
      <w:r>
        <w:rPr>
          <w:rFonts w:hint="default" w:ascii="Times New Roman" w:hAnsi="Times New Roman" w:cs="Times New Roman"/>
          <w:lang w:val="en-US" w:eastAsia="zh-CN"/>
        </w:rPr>
        <w:t>由于本项目所处置危险废物中不含氟、氯与重金属元素，处置过程不会对水泥熟料质量产生影响，</w:t>
      </w:r>
      <w:r>
        <w:rPr>
          <w:rFonts w:hint="default" w:ascii="Times New Roman" w:hAnsi="Times New Roman" w:cs="Times New Roman"/>
        </w:rPr>
        <w:t>满足《水泥窑协同处置固体废物环境保护技术规范》（HJ662-2013）的入窑标准要求（该标准制定的目的之一就是要确保水泥窑协同处置项目的熟料质量稳定）。硅酸盐水泥熟料的基本化学性能见</w:t>
      </w:r>
      <w:r>
        <w:rPr>
          <w:rFonts w:hint="default" w:ascii="Times New Roman" w:hAnsi="Times New Roman" w:cs="Times New Roman"/>
        </w:rPr>
        <w:fldChar w:fldCharType="begin"/>
      </w:r>
      <w:r>
        <w:rPr>
          <w:rFonts w:hint="default" w:ascii="Times New Roman" w:hAnsi="Times New Roman" w:cs="Times New Roman"/>
        </w:rPr>
        <w:instrText xml:space="preserve"> REF _Ref135305723 \h  \* MERGEFORMAT </w:instrText>
      </w:r>
      <w:r>
        <w:rPr>
          <w:rFonts w:hint="default" w:ascii="Times New Roman" w:hAnsi="Times New Roman" w:cs="Times New Roman"/>
        </w:rPr>
        <w:fldChar w:fldCharType="separate"/>
      </w:r>
      <w:r>
        <w:rPr>
          <w:rFonts w:hint="default" w:ascii="Times New Roman" w:hAnsi="Times New Roman" w:cs="Times New Roman"/>
        </w:rPr>
        <w:t>表3</w:t>
      </w:r>
      <w:r>
        <w:rPr>
          <w:rFonts w:hint="default" w:ascii="Times New Roman" w:hAnsi="Times New Roman" w:cs="Times New Roman"/>
          <w:lang w:val="en-US" w:eastAsia="zh-CN"/>
        </w:rPr>
        <w:t>.</w:t>
      </w:r>
      <w:r>
        <w:rPr>
          <w:rFonts w:hint="default" w:ascii="Times New Roman" w:hAnsi="Times New Roman" w:cs="Times New Roman"/>
        </w:rPr>
        <w:fldChar w:fldCharType="end"/>
      </w:r>
      <w:r>
        <w:rPr>
          <w:rFonts w:hint="default" w:ascii="Times New Roman" w:hAnsi="Times New Roman" w:cs="Times New Roman"/>
          <w:lang w:val="en-US" w:eastAsia="zh-CN"/>
        </w:rPr>
        <w:t>6-</w:t>
      </w:r>
      <w:r>
        <w:rPr>
          <w:rFonts w:hint="eastAsia" w:cs="Times New Roman"/>
          <w:lang w:val="en-US" w:eastAsia="zh-CN"/>
        </w:rPr>
        <w:t>5</w:t>
      </w:r>
      <w:r>
        <w:rPr>
          <w:rFonts w:hint="default" w:ascii="Times New Roman" w:hAnsi="Times New Roman" w:cs="Times New Roman"/>
        </w:rPr>
        <w:t>。</w:t>
      </w:r>
    </w:p>
    <w:p w14:paraId="1791BE3A">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sz w:val="24"/>
          <w:szCs w:val="20"/>
        </w:rPr>
      </w:pPr>
      <w:bookmarkStart w:id="118" w:name="_Ref135305723"/>
      <w:r>
        <w:rPr>
          <w:rFonts w:hint="default" w:ascii="Times New Roman" w:hAnsi="Times New Roman" w:cs="Times New Roman"/>
          <w:b/>
          <w:bCs/>
          <w:sz w:val="24"/>
          <w:szCs w:val="20"/>
        </w:rPr>
        <w:t>表</w:t>
      </w:r>
      <w:bookmarkEnd w:id="118"/>
      <w:r>
        <w:rPr>
          <w:rFonts w:hint="default" w:ascii="Times New Roman" w:hAnsi="Times New Roman" w:cs="Times New Roman"/>
          <w:b/>
          <w:bCs/>
          <w:sz w:val="24"/>
          <w:szCs w:val="20"/>
          <w:lang w:val="en-US" w:eastAsia="zh-CN"/>
        </w:rPr>
        <w:t>3.6-</w:t>
      </w:r>
      <w:r>
        <w:rPr>
          <w:rFonts w:hint="eastAsia" w:cs="Times New Roman"/>
          <w:b/>
          <w:bCs/>
          <w:sz w:val="24"/>
          <w:szCs w:val="20"/>
          <w:lang w:val="en-US" w:eastAsia="zh-CN"/>
        </w:rPr>
        <w:t>5</w:t>
      </w:r>
      <w:r>
        <w:rPr>
          <w:rFonts w:hint="default" w:ascii="Times New Roman" w:hAnsi="Times New Roman" w:cs="Times New Roman"/>
          <w:b/>
          <w:bCs/>
          <w:sz w:val="24"/>
          <w:szCs w:val="20"/>
        </w:rPr>
        <w:t xml:space="preserve"> 硅酸盐水泥熟料的基本化学性能表</w:t>
      </w:r>
    </w:p>
    <w:tbl>
      <w:tblPr>
        <w:tblStyle w:val="39"/>
        <w:tblW w:w="4998"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36"/>
        <w:gridCol w:w="994"/>
        <w:gridCol w:w="1069"/>
        <w:gridCol w:w="1069"/>
        <w:gridCol w:w="941"/>
        <w:gridCol w:w="1803"/>
        <w:gridCol w:w="714"/>
        <w:gridCol w:w="704"/>
      </w:tblGrid>
      <w:tr w14:paraId="01FEEE2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3" w:type="pct"/>
            <w:tcBorders>
              <w:tl2br w:val="nil"/>
              <w:tr2bl w:val="nil"/>
            </w:tcBorders>
            <w:shd w:val="clear" w:color="auto" w:fill="auto"/>
            <w:noWrap/>
            <w:tcMar>
              <w:top w:w="15" w:type="dxa"/>
              <w:left w:w="15" w:type="dxa"/>
              <w:bottom w:w="0" w:type="dxa"/>
              <w:right w:w="15" w:type="dxa"/>
            </w:tcMar>
            <w:vAlign w:val="center"/>
          </w:tcPr>
          <w:p w14:paraId="55558C8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f-CaO（质量分数）/(%)</w:t>
            </w:r>
          </w:p>
        </w:tc>
        <w:tc>
          <w:tcPr>
            <w:tcW w:w="590" w:type="pct"/>
            <w:tcBorders>
              <w:tl2br w:val="nil"/>
              <w:tr2bl w:val="nil"/>
            </w:tcBorders>
            <w:shd w:val="clear" w:color="auto" w:fill="auto"/>
            <w:noWrap/>
            <w:tcMar>
              <w:top w:w="15" w:type="dxa"/>
              <w:left w:w="15" w:type="dxa"/>
              <w:bottom w:w="0" w:type="dxa"/>
              <w:right w:w="15" w:type="dxa"/>
            </w:tcMar>
            <w:vAlign w:val="center"/>
          </w:tcPr>
          <w:p w14:paraId="7E21E90C">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MgO（质量分数）/(%)</w:t>
            </w:r>
          </w:p>
        </w:tc>
        <w:tc>
          <w:tcPr>
            <w:tcW w:w="642" w:type="pct"/>
            <w:tcBorders>
              <w:tl2br w:val="nil"/>
              <w:tr2bl w:val="nil"/>
            </w:tcBorders>
            <w:shd w:val="clear" w:color="auto" w:fill="auto"/>
            <w:noWrap/>
            <w:tcMar>
              <w:top w:w="15" w:type="dxa"/>
              <w:left w:w="15" w:type="dxa"/>
              <w:bottom w:w="0" w:type="dxa"/>
              <w:right w:w="15" w:type="dxa"/>
            </w:tcMar>
            <w:vAlign w:val="center"/>
          </w:tcPr>
          <w:p w14:paraId="7B19E341">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烧失量（质量分数）/(%)</w:t>
            </w:r>
          </w:p>
        </w:tc>
        <w:tc>
          <w:tcPr>
            <w:tcW w:w="642" w:type="pct"/>
            <w:tcBorders>
              <w:tl2br w:val="nil"/>
              <w:tr2bl w:val="nil"/>
            </w:tcBorders>
            <w:shd w:val="clear" w:color="auto" w:fill="auto"/>
            <w:noWrap/>
            <w:tcMar>
              <w:top w:w="15" w:type="dxa"/>
              <w:left w:w="15" w:type="dxa"/>
              <w:bottom w:w="0" w:type="dxa"/>
              <w:right w:w="15" w:type="dxa"/>
            </w:tcMar>
            <w:vAlign w:val="center"/>
          </w:tcPr>
          <w:p w14:paraId="4AC3C41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不溶物（质量分数）/(%)</w:t>
            </w:r>
          </w:p>
        </w:tc>
        <w:tc>
          <w:tcPr>
            <w:tcW w:w="561" w:type="pct"/>
            <w:tcBorders>
              <w:tl2br w:val="nil"/>
              <w:tr2bl w:val="nil"/>
            </w:tcBorders>
            <w:shd w:val="clear" w:color="auto" w:fill="auto"/>
            <w:noWrap/>
            <w:tcMar>
              <w:top w:w="15" w:type="dxa"/>
              <w:left w:w="15" w:type="dxa"/>
              <w:bottom w:w="0" w:type="dxa"/>
              <w:right w:w="15" w:type="dxa"/>
            </w:tcMar>
            <w:vAlign w:val="center"/>
          </w:tcPr>
          <w:p w14:paraId="2EE29D0D">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SO</w:t>
            </w:r>
            <w:r>
              <w:rPr>
                <w:rFonts w:hint="default" w:ascii="Times New Roman" w:hAnsi="Times New Roman" w:cs="Times New Roman"/>
                <w:b/>
                <w:bCs/>
                <w:color w:val="000000" w:themeColor="text1"/>
                <w:sz w:val="21"/>
                <w:szCs w:val="18"/>
                <w:vertAlign w:val="subscript"/>
                <w14:textFill>
                  <w14:solidFill>
                    <w14:schemeClr w14:val="tx1"/>
                  </w14:solidFill>
                </w14:textFill>
              </w:rPr>
              <w:t>3</w:t>
            </w:r>
            <w:r>
              <w:rPr>
                <w:rFonts w:hint="default" w:ascii="Times New Roman" w:hAnsi="Times New Roman" w:cs="Times New Roman"/>
                <w:b/>
                <w:bCs/>
                <w:color w:val="000000" w:themeColor="text1"/>
                <w:sz w:val="21"/>
                <w:szCs w:val="18"/>
                <w14:textFill>
                  <w14:solidFill>
                    <w14:schemeClr w14:val="tx1"/>
                  </w14:solidFill>
                </w14:textFill>
              </w:rPr>
              <w:t>（质量分数）/(%)</w:t>
            </w:r>
          </w:p>
        </w:tc>
        <w:tc>
          <w:tcPr>
            <w:tcW w:w="930" w:type="pct"/>
            <w:tcBorders>
              <w:tl2br w:val="nil"/>
              <w:tr2bl w:val="nil"/>
            </w:tcBorders>
            <w:shd w:val="clear" w:color="auto" w:fill="auto"/>
            <w:noWrap/>
            <w:tcMar>
              <w:top w:w="15" w:type="dxa"/>
              <w:left w:w="15" w:type="dxa"/>
              <w:bottom w:w="0" w:type="dxa"/>
              <w:right w:w="15" w:type="dxa"/>
            </w:tcMar>
            <w:vAlign w:val="center"/>
          </w:tcPr>
          <w:p w14:paraId="3BA5253B">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(3CaO·SiO</w:t>
            </w:r>
            <w:r>
              <w:rPr>
                <w:rFonts w:hint="default" w:ascii="Times New Roman" w:hAnsi="Times New Roman" w:cs="Times New Roman"/>
                <w:b/>
                <w:bCs/>
                <w:color w:val="000000" w:themeColor="text1"/>
                <w:sz w:val="21"/>
                <w:szCs w:val="18"/>
                <w:vertAlign w:val="subscript"/>
                <w14:textFill>
                  <w14:solidFill>
                    <w14:schemeClr w14:val="tx1"/>
                  </w14:solidFill>
                </w14:textFill>
              </w:rPr>
              <w:t>2</w:t>
            </w:r>
            <w:r>
              <w:rPr>
                <w:rFonts w:hint="default" w:ascii="Times New Roman" w:hAnsi="Times New Roman" w:cs="Times New Roman"/>
                <w:b/>
                <w:bCs/>
                <w:color w:val="000000" w:themeColor="text1"/>
                <w:sz w:val="21"/>
                <w:szCs w:val="18"/>
                <w14:textFill>
                  <w14:solidFill>
                    <w14:schemeClr w14:val="tx1"/>
                  </w14:solidFill>
                </w14:textFill>
              </w:rPr>
              <w:t>+2CaO·SiO</w:t>
            </w:r>
            <w:r>
              <w:rPr>
                <w:rFonts w:hint="default" w:ascii="Times New Roman" w:hAnsi="Times New Roman" w:cs="Times New Roman"/>
                <w:b/>
                <w:bCs/>
                <w:color w:val="000000" w:themeColor="text1"/>
                <w:sz w:val="21"/>
                <w:szCs w:val="18"/>
                <w:vertAlign w:val="subscript"/>
                <w14:textFill>
                  <w14:solidFill>
                    <w14:schemeClr w14:val="tx1"/>
                  </w14:solidFill>
                </w14:textFill>
              </w:rPr>
              <w:t>2</w:t>
            </w:r>
            <w:r>
              <w:rPr>
                <w:rFonts w:hint="default" w:ascii="Times New Roman" w:hAnsi="Times New Roman" w:cs="Times New Roman"/>
                <w:b/>
                <w:bCs/>
                <w:color w:val="000000" w:themeColor="text1"/>
                <w:sz w:val="21"/>
                <w:szCs w:val="18"/>
                <w14:textFill>
                  <w14:solidFill>
                    <w14:schemeClr w14:val="tx1"/>
                  </w14:solidFill>
                </w14:textFill>
              </w:rPr>
              <w:t>)（质量分数）/(%)</w:t>
            </w:r>
          </w:p>
        </w:tc>
        <w:tc>
          <w:tcPr>
            <w:tcW w:w="467" w:type="pct"/>
            <w:tcBorders>
              <w:tl2br w:val="nil"/>
              <w:tr2bl w:val="nil"/>
            </w:tcBorders>
            <w:shd w:val="clear" w:color="auto" w:fill="auto"/>
            <w:noWrap/>
            <w:tcMar>
              <w:top w:w="15" w:type="dxa"/>
              <w:left w:w="15" w:type="dxa"/>
              <w:bottom w:w="0" w:type="dxa"/>
              <w:right w:w="15" w:type="dxa"/>
            </w:tcMar>
            <w:vAlign w:val="center"/>
          </w:tcPr>
          <w:p w14:paraId="430C0FC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CaO/SiO</w:t>
            </w:r>
            <w:r>
              <w:rPr>
                <w:rFonts w:hint="default" w:ascii="Times New Roman" w:hAnsi="Times New Roman" w:cs="Times New Roman"/>
                <w:b/>
                <w:bCs/>
                <w:color w:val="000000" w:themeColor="text1"/>
                <w:sz w:val="21"/>
                <w:szCs w:val="18"/>
                <w:vertAlign w:val="subscript"/>
                <w14:textFill>
                  <w14:solidFill>
                    <w14:schemeClr w14:val="tx1"/>
                  </w14:solidFill>
                </w14:textFill>
              </w:rPr>
              <w:t>2</w:t>
            </w:r>
            <w:r>
              <w:rPr>
                <w:rFonts w:hint="default" w:ascii="Times New Roman" w:hAnsi="Times New Roman" w:cs="Times New Roman"/>
                <w:b/>
                <w:bCs/>
                <w:color w:val="000000" w:themeColor="text1"/>
                <w:sz w:val="21"/>
                <w:szCs w:val="18"/>
                <w14:textFill>
                  <w14:solidFill>
                    <w14:schemeClr w14:val="tx1"/>
                  </w14:solidFill>
                </w14:textFill>
              </w:rPr>
              <w:t>质量比</w:t>
            </w:r>
          </w:p>
        </w:tc>
        <w:tc>
          <w:tcPr>
            <w:tcW w:w="551" w:type="pct"/>
            <w:tcBorders>
              <w:tl2br w:val="nil"/>
              <w:tr2bl w:val="nil"/>
            </w:tcBorders>
            <w:shd w:val="clear" w:color="auto" w:fill="auto"/>
            <w:noWrap/>
            <w:tcMar>
              <w:top w:w="15" w:type="dxa"/>
              <w:left w:w="15" w:type="dxa"/>
              <w:bottom w:w="0" w:type="dxa"/>
              <w:right w:w="15" w:type="dxa"/>
            </w:tcMar>
            <w:vAlign w:val="center"/>
          </w:tcPr>
          <w:p w14:paraId="6EBF4A7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数据来源</w:t>
            </w:r>
          </w:p>
        </w:tc>
      </w:tr>
      <w:tr w14:paraId="62C3523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613" w:type="pct"/>
            <w:tcBorders>
              <w:tl2br w:val="nil"/>
              <w:tr2bl w:val="nil"/>
            </w:tcBorders>
            <w:shd w:val="clear" w:color="auto" w:fill="auto"/>
            <w:noWrap/>
            <w:tcMar>
              <w:top w:w="15" w:type="dxa"/>
              <w:left w:w="15" w:type="dxa"/>
              <w:bottom w:w="0" w:type="dxa"/>
              <w:right w:w="15" w:type="dxa"/>
            </w:tcMar>
            <w:vAlign w:val="center"/>
          </w:tcPr>
          <w:p w14:paraId="486EB66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≤1.5</w:t>
            </w:r>
          </w:p>
        </w:tc>
        <w:tc>
          <w:tcPr>
            <w:tcW w:w="590" w:type="pct"/>
            <w:tcBorders>
              <w:tl2br w:val="nil"/>
              <w:tr2bl w:val="nil"/>
            </w:tcBorders>
            <w:shd w:val="clear" w:color="auto" w:fill="auto"/>
            <w:noWrap/>
            <w:tcMar>
              <w:top w:w="15" w:type="dxa"/>
              <w:left w:w="15" w:type="dxa"/>
              <w:bottom w:w="0" w:type="dxa"/>
              <w:right w:w="15" w:type="dxa"/>
            </w:tcMar>
            <w:vAlign w:val="center"/>
          </w:tcPr>
          <w:p w14:paraId="2FFCE9A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≤5.0</w:t>
            </w:r>
          </w:p>
        </w:tc>
        <w:tc>
          <w:tcPr>
            <w:tcW w:w="642" w:type="pct"/>
            <w:tcBorders>
              <w:tl2br w:val="nil"/>
              <w:tr2bl w:val="nil"/>
            </w:tcBorders>
            <w:shd w:val="clear" w:color="auto" w:fill="auto"/>
            <w:noWrap/>
            <w:tcMar>
              <w:top w:w="15" w:type="dxa"/>
              <w:left w:w="15" w:type="dxa"/>
              <w:bottom w:w="0" w:type="dxa"/>
              <w:right w:w="15" w:type="dxa"/>
            </w:tcMar>
            <w:vAlign w:val="center"/>
          </w:tcPr>
          <w:p w14:paraId="79900F1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≤1.5</w:t>
            </w:r>
          </w:p>
        </w:tc>
        <w:tc>
          <w:tcPr>
            <w:tcW w:w="642" w:type="pct"/>
            <w:tcBorders>
              <w:tl2br w:val="nil"/>
              <w:tr2bl w:val="nil"/>
            </w:tcBorders>
            <w:shd w:val="clear" w:color="auto" w:fill="auto"/>
            <w:noWrap/>
            <w:tcMar>
              <w:top w:w="15" w:type="dxa"/>
              <w:left w:w="15" w:type="dxa"/>
              <w:bottom w:w="0" w:type="dxa"/>
              <w:right w:w="15" w:type="dxa"/>
            </w:tcMar>
            <w:vAlign w:val="center"/>
          </w:tcPr>
          <w:p w14:paraId="28E11C5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≤0.75</w:t>
            </w:r>
          </w:p>
        </w:tc>
        <w:tc>
          <w:tcPr>
            <w:tcW w:w="561" w:type="pct"/>
            <w:tcBorders>
              <w:tl2br w:val="nil"/>
              <w:tr2bl w:val="nil"/>
            </w:tcBorders>
            <w:shd w:val="clear" w:color="auto" w:fill="auto"/>
            <w:noWrap/>
            <w:tcMar>
              <w:top w:w="15" w:type="dxa"/>
              <w:left w:w="15" w:type="dxa"/>
              <w:bottom w:w="0" w:type="dxa"/>
              <w:right w:w="15" w:type="dxa"/>
            </w:tcMar>
            <w:vAlign w:val="center"/>
          </w:tcPr>
          <w:p w14:paraId="029E8AD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≤1.5</w:t>
            </w:r>
          </w:p>
        </w:tc>
        <w:tc>
          <w:tcPr>
            <w:tcW w:w="930" w:type="pct"/>
            <w:tcBorders>
              <w:tl2br w:val="nil"/>
              <w:tr2bl w:val="nil"/>
            </w:tcBorders>
            <w:shd w:val="clear" w:color="auto" w:fill="auto"/>
            <w:noWrap/>
            <w:tcMar>
              <w:top w:w="15" w:type="dxa"/>
              <w:left w:w="15" w:type="dxa"/>
              <w:bottom w:w="0" w:type="dxa"/>
              <w:right w:w="15" w:type="dxa"/>
            </w:tcMar>
            <w:vAlign w:val="center"/>
          </w:tcPr>
          <w:p w14:paraId="42FFE33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≥66</w:t>
            </w:r>
          </w:p>
        </w:tc>
        <w:tc>
          <w:tcPr>
            <w:tcW w:w="467" w:type="pct"/>
            <w:tcBorders>
              <w:tl2br w:val="nil"/>
              <w:tr2bl w:val="nil"/>
            </w:tcBorders>
            <w:shd w:val="clear" w:color="auto" w:fill="auto"/>
            <w:noWrap/>
            <w:tcMar>
              <w:top w:w="15" w:type="dxa"/>
              <w:left w:w="15" w:type="dxa"/>
              <w:bottom w:w="0" w:type="dxa"/>
              <w:right w:w="15" w:type="dxa"/>
            </w:tcMar>
            <w:vAlign w:val="center"/>
          </w:tcPr>
          <w:p w14:paraId="11C9B76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≥2.0</w:t>
            </w:r>
          </w:p>
        </w:tc>
        <w:tc>
          <w:tcPr>
            <w:tcW w:w="551" w:type="pct"/>
            <w:tcBorders>
              <w:tl2br w:val="nil"/>
              <w:tr2bl w:val="nil"/>
            </w:tcBorders>
            <w:shd w:val="clear" w:color="auto" w:fill="auto"/>
            <w:noWrap/>
            <w:tcMar>
              <w:top w:w="15" w:type="dxa"/>
              <w:left w:w="15" w:type="dxa"/>
              <w:bottom w:w="0" w:type="dxa"/>
              <w:right w:w="15" w:type="dxa"/>
            </w:tcMar>
            <w:vAlign w:val="center"/>
          </w:tcPr>
          <w:p w14:paraId="0838600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GB/T21372-2008</w:t>
            </w:r>
          </w:p>
        </w:tc>
      </w:tr>
      <w:bookmarkEnd w:id="117"/>
    </w:tbl>
    <w:p w14:paraId="2E185301">
      <w:pPr>
        <w:pStyle w:val="6"/>
        <w:spacing w:before="120" w:beforeLines="50"/>
        <w:rPr>
          <w:rFonts w:hint="default" w:ascii="Times New Roman" w:hAnsi="Times New Roman" w:cs="Times New Roman"/>
        </w:rPr>
      </w:pPr>
      <w:r>
        <w:rPr>
          <w:rFonts w:hint="default" w:ascii="Times New Roman" w:hAnsi="Times New Roman" w:cs="Times New Roman"/>
        </w:rPr>
        <w:t>根据《水泥窑协同处置固体废物技术规范》（GB/T30760-2014）中关于水泥熟料中重金属含量限值的要求“水泥窑协同处置固体废物时，水泥窑生产的水泥熟料应满足GB/T21372-2008 的要求，水泥熟料中重金属元素含量不宜超过表2规定的限值。水泥熟料中重金属含量的检测按附录B规定的方法进行”，“水泥窑协同处置固体废物时，水泥熟料中可浸出重金属含量不得超过表3规定的限值。水泥熟料中可浸出重金属含量测定按GB/T30810规定的方法进行，其中样品制备按GB/T21372-2008中5.2进行”。</w:t>
      </w:r>
    </w:p>
    <w:p w14:paraId="3C8F6C20">
      <w:pPr>
        <w:pStyle w:val="6"/>
        <w:rPr>
          <w:rFonts w:hint="default" w:ascii="Times New Roman" w:hAnsi="Times New Roman" w:cs="Times New Roman"/>
        </w:rPr>
      </w:pPr>
      <w:r>
        <w:rPr>
          <w:rFonts w:hint="default" w:ascii="Times New Roman" w:hAnsi="Times New Roman" w:cs="Times New Roman"/>
        </w:rPr>
        <w:t>因此，本项目建成后，水泥熟料中的重金属含量限值应满足</w:t>
      </w:r>
      <w:r>
        <w:rPr>
          <w:rFonts w:hint="default" w:ascii="Times New Roman" w:hAnsi="Times New Roman" w:cs="Times New Roman"/>
        </w:rPr>
        <w:fldChar w:fldCharType="begin"/>
      </w:r>
      <w:r>
        <w:rPr>
          <w:rFonts w:hint="default" w:ascii="Times New Roman" w:hAnsi="Times New Roman" w:cs="Times New Roman"/>
        </w:rPr>
        <w:instrText xml:space="preserve"> REF _Ref152062731 \h  \* MERGEFORMAT </w:instrText>
      </w:r>
      <w:r>
        <w:rPr>
          <w:rFonts w:hint="default" w:ascii="Times New Roman" w:hAnsi="Times New Roman" w:cs="Times New Roman"/>
        </w:rPr>
        <w:fldChar w:fldCharType="separate"/>
      </w:r>
      <w:r>
        <w:rPr>
          <w:rFonts w:hint="default" w:ascii="Times New Roman" w:hAnsi="Times New Roman" w:cs="Times New Roman"/>
        </w:rPr>
        <w:t>表</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.6-</w:t>
      </w:r>
      <w:r>
        <w:rPr>
          <w:rFonts w:hint="eastAsia" w:cs="Times New Roman"/>
          <w:lang w:val="en-US" w:eastAsia="zh-CN"/>
        </w:rPr>
        <w:t>6</w:t>
      </w:r>
      <w:r>
        <w:rPr>
          <w:rFonts w:hint="default" w:ascii="Times New Roman" w:hAnsi="Times New Roman" w:cs="Times New Roman"/>
        </w:rPr>
        <w:t>的要求，水泥熟料中可浸出重金属含量不得超过</w:t>
      </w:r>
      <w:r>
        <w:rPr>
          <w:rFonts w:hint="default" w:ascii="Times New Roman" w:hAnsi="Times New Roman" w:cs="Times New Roman"/>
          <w:lang w:val="en-US" w:eastAsia="zh-CN"/>
        </w:rPr>
        <w:t>表3.6-</w:t>
      </w:r>
      <w:r>
        <w:rPr>
          <w:rFonts w:hint="eastAsia" w:cs="Times New Roman"/>
          <w:lang w:val="en-US" w:eastAsia="zh-CN"/>
        </w:rPr>
        <w:t>7</w:t>
      </w:r>
      <w:r>
        <w:rPr>
          <w:rFonts w:hint="default" w:ascii="Times New Roman" w:hAnsi="Times New Roman" w:cs="Times New Roman"/>
        </w:rPr>
        <w:t>中的限值要求。</w:t>
      </w:r>
    </w:p>
    <w:p w14:paraId="7D245CA5">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sz w:val="24"/>
          <w:szCs w:val="20"/>
        </w:rPr>
      </w:pPr>
      <w:bookmarkStart w:id="119" w:name="_Ref152062731"/>
      <w:r>
        <w:rPr>
          <w:rFonts w:hint="default" w:ascii="Times New Roman" w:hAnsi="Times New Roman" w:cs="Times New Roman"/>
          <w:b/>
          <w:bCs/>
          <w:sz w:val="24"/>
          <w:szCs w:val="20"/>
        </w:rPr>
        <w:t>表</w:t>
      </w:r>
      <w:bookmarkEnd w:id="119"/>
      <w:r>
        <w:rPr>
          <w:rFonts w:hint="default" w:ascii="Times New Roman" w:hAnsi="Times New Roman" w:cs="Times New Roman"/>
          <w:b/>
          <w:bCs/>
          <w:sz w:val="24"/>
          <w:szCs w:val="20"/>
          <w:lang w:val="en-US" w:eastAsia="zh-CN"/>
        </w:rPr>
        <w:t>3.6-</w:t>
      </w:r>
      <w:r>
        <w:rPr>
          <w:rFonts w:hint="eastAsia" w:cs="Times New Roman"/>
          <w:b/>
          <w:bCs/>
          <w:sz w:val="24"/>
          <w:szCs w:val="20"/>
          <w:lang w:val="en-US" w:eastAsia="zh-CN"/>
        </w:rPr>
        <w:t>6</w:t>
      </w:r>
      <w:r>
        <w:rPr>
          <w:rFonts w:hint="default" w:ascii="Times New Roman" w:hAnsi="Times New Roman" w:cs="Times New Roman"/>
          <w:b/>
          <w:bCs/>
          <w:sz w:val="24"/>
          <w:szCs w:val="20"/>
        </w:rPr>
        <w:t xml:space="preserve"> 水泥熟料中重金属含量限值</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165"/>
        <w:gridCol w:w="4165"/>
      </w:tblGrid>
      <w:tr w14:paraId="524CF78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1C5DEDE4">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重金属</w:t>
            </w:r>
          </w:p>
        </w:tc>
        <w:tc>
          <w:tcPr>
            <w:tcW w:w="2500" w:type="pct"/>
            <w:tcBorders>
              <w:tl2br w:val="nil"/>
              <w:tr2bl w:val="nil"/>
            </w:tcBorders>
            <w:shd w:val="clear" w:color="auto" w:fill="auto"/>
            <w:noWrap/>
            <w:tcMar>
              <w:top w:w="15" w:type="dxa"/>
              <w:left w:w="15" w:type="dxa"/>
              <w:bottom w:w="0" w:type="dxa"/>
              <w:right w:w="15" w:type="dxa"/>
            </w:tcMar>
            <w:vAlign w:val="center"/>
          </w:tcPr>
          <w:p w14:paraId="0B91172B">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限值/（mg/kg）</w:t>
            </w:r>
          </w:p>
        </w:tc>
      </w:tr>
      <w:tr w14:paraId="4B4D50C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103781F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砷（As）</w:t>
            </w:r>
          </w:p>
        </w:tc>
        <w:tc>
          <w:tcPr>
            <w:tcW w:w="2500" w:type="pct"/>
            <w:tcBorders>
              <w:tl2br w:val="nil"/>
              <w:tr2bl w:val="nil"/>
            </w:tcBorders>
            <w:shd w:val="clear" w:color="auto" w:fill="auto"/>
            <w:noWrap/>
            <w:tcMar>
              <w:top w:w="15" w:type="dxa"/>
              <w:left w:w="15" w:type="dxa"/>
              <w:bottom w:w="0" w:type="dxa"/>
              <w:right w:w="15" w:type="dxa"/>
            </w:tcMar>
            <w:vAlign w:val="center"/>
          </w:tcPr>
          <w:p w14:paraId="10E5722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40</w:t>
            </w:r>
          </w:p>
        </w:tc>
      </w:tr>
      <w:tr w14:paraId="78E80A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404B826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铅（Pb）</w:t>
            </w:r>
          </w:p>
        </w:tc>
        <w:tc>
          <w:tcPr>
            <w:tcW w:w="2500" w:type="pct"/>
            <w:tcBorders>
              <w:tl2br w:val="nil"/>
              <w:tr2bl w:val="nil"/>
            </w:tcBorders>
            <w:shd w:val="clear" w:color="auto" w:fill="auto"/>
            <w:noWrap/>
            <w:tcMar>
              <w:top w:w="15" w:type="dxa"/>
              <w:left w:w="15" w:type="dxa"/>
              <w:bottom w:w="0" w:type="dxa"/>
              <w:right w:w="15" w:type="dxa"/>
            </w:tcMar>
            <w:vAlign w:val="center"/>
          </w:tcPr>
          <w:p w14:paraId="6A3385E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100</w:t>
            </w:r>
          </w:p>
        </w:tc>
      </w:tr>
      <w:tr w14:paraId="243C887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69906DF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镉（Cd）</w:t>
            </w:r>
          </w:p>
        </w:tc>
        <w:tc>
          <w:tcPr>
            <w:tcW w:w="2500" w:type="pct"/>
            <w:tcBorders>
              <w:tl2br w:val="nil"/>
              <w:tr2bl w:val="nil"/>
            </w:tcBorders>
            <w:shd w:val="clear" w:color="auto" w:fill="auto"/>
            <w:noWrap/>
            <w:tcMar>
              <w:top w:w="15" w:type="dxa"/>
              <w:left w:w="15" w:type="dxa"/>
              <w:bottom w:w="0" w:type="dxa"/>
              <w:right w:w="15" w:type="dxa"/>
            </w:tcMar>
            <w:vAlign w:val="center"/>
          </w:tcPr>
          <w:p w14:paraId="5B90711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1.5</w:t>
            </w:r>
          </w:p>
        </w:tc>
      </w:tr>
      <w:tr w14:paraId="24134A5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53CB075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铬（Cr）</w:t>
            </w:r>
          </w:p>
        </w:tc>
        <w:tc>
          <w:tcPr>
            <w:tcW w:w="2500" w:type="pct"/>
            <w:tcBorders>
              <w:tl2br w:val="nil"/>
              <w:tr2bl w:val="nil"/>
            </w:tcBorders>
            <w:shd w:val="clear" w:color="auto" w:fill="auto"/>
            <w:noWrap/>
            <w:tcMar>
              <w:top w:w="15" w:type="dxa"/>
              <w:left w:w="15" w:type="dxa"/>
              <w:bottom w:w="0" w:type="dxa"/>
              <w:right w:w="15" w:type="dxa"/>
            </w:tcMar>
            <w:vAlign w:val="center"/>
          </w:tcPr>
          <w:p w14:paraId="71D1BD7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150</w:t>
            </w:r>
          </w:p>
        </w:tc>
      </w:tr>
      <w:tr w14:paraId="417D9FA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0FD3504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铜（Cu）</w:t>
            </w:r>
          </w:p>
        </w:tc>
        <w:tc>
          <w:tcPr>
            <w:tcW w:w="2500" w:type="pct"/>
            <w:tcBorders>
              <w:tl2br w:val="nil"/>
              <w:tr2bl w:val="nil"/>
            </w:tcBorders>
            <w:shd w:val="clear" w:color="auto" w:fill="auto"/>
            <w:noWrap/>
            <w:tcMar>
              <w:top w:w="15" w:type="dxa"/>
              <w:left w:w="15" w:type="dxa"/>
              <w:bottom w:w="0" w:type="dxa"/>
              <w:right w:w="15" w:type="dxa"/>
            </w:tcMar>
            <w:vAlign w:val="center"/>
          </w:tcPr>
          <w:p w14:paraId="0632738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100</w:t>
            </w:r>
          </w:p>
        </w:tc>
      </w:tr>
      <w:tr w14:paraId="4219F13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366E430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镍（Ni）</w:t>
            </w:r>
          </w:p>
        </w:tc>
        <w:tc>
          <w:tcPr>
            <w:tcW w:w="2500" w:type="pct"/>
            <w:tcBorders>
              <w:tl2br w:val="nil"/>
              <w:tr2bl w:val="nil"/>
            </w:tcBorders>
            <w:shd w:val="clear" w:color="auto" w:fill="auto"/>
            <w:noWrap/>
            <w:tcMar>
              <w:top w:w="15" w:type="dxa"/>
              <w:left w:w="15" w:type="dxa"/>
              <w:bottom w:w="0" w:type="dxa"/>
              <w:right w:w="15" w:type="dxa"/>
            </w:tcMar>
            <w:vAlign w:val="center"/>
          </w:tcPr>
          <w:p w14:paraId="7264D28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100</w:t>
            </w:r>
          </w:p>
        </w:tc>
      </w:tr>
      <w:tr w14:paraId="123BCB3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767DFA0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锌（Zn）</w:t>
            </w:r>
          </w:p>
        </w:tc>
        <w:tc>
          <w:tcPr>
            <w:tcW w:w="2500" w:type="pct"/>
            <w:tcBorders>
              <w:tl2br w:val="nil"/>
              <w:tr2bl w:val="nil"/>
            </w:tcBorders>
            <w:shd w:val="clear" w:color="auto" w:fill="auto"/>
            <w:noWrap/>
            <w:tcMar>
              <w:top w:w="15" w:type="dxa"/>
              <w:left w:w="15" w:type="dxa"/>
              <w:bottom w:w="0" w:type="dxa"/>
              <w:right w:w="15" w:type="dxa"/>
            </w:tcMar>
            <w:vAlign w:val="center"/>
          </w:tcPr>
          <w:p w14:paraId="73141A8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500</w:t>
            </w:r>
          </w:p>
        </w:tc>
      </w:tr>
      <w:tr w14:paraId="5C1EFA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28C2606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锰（Mn）</w:t>
            </w:r>
          </w:p>
        </w:tc>
        <w:tc>
          <w:tcPr>
            <w:tcW w:w="2500" w:type="pct"/>
            <w:tcBorders>
              <w:tl2br w:val="nil"/>
              <w:tr2bl w:val="nil"/>
            </w:tcBorders>
            <w:shd w:val="clear" w:color="auto" w:fill="auto"/>
            <w:noWrap/>
            <w:tcMar>
              <w:top w:w="15" w:type="dxa"/>
              <w:left w:w="15" w:type="dxa"/>
              <w:bottom w:w="0" w:type="dxa"/>
              <w:right w:w="15" w:type="dxa"/>
            </w:tcMar>
            <w:vAlign w:val="center"/>
          </w:tcPr>
          <w:p w14:paraId="61D4E19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600</w:t>
            </w:r>
          </w:p>
        </w:tc>
      </w:tr>
    </w:tbl>
    <w:p w14:paraId="6E3968C3">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sz w:val="24"/>
          <w:szCs w:val="20"/>
        </w:rPr>
      </w:pPr>
      <w:bookmarkStart w:id="120" w:name="_Ref152062738"/>
      <w:r>
        <w:rPr>
          <w:rFonts w:hint="default" w:ascii="Times New Roman" w:hAnsi="Times New Roman" w:cs="Times New Roman"/>
          <w:b/>
          <w:bCs/>
          <w:sz w:val="24"/>
          <w:szCs w:val="20"/>
        </w:rPr>
        <w:t>表</w:t>
      </w:r>
      <w:bookmarkEnd w:id="120"/>
      <w:r>
        <w:rPr>
          <w:rFonts w:hint="default" w:ascii="Times New Roman" w:hAnsi="Times New Roman" w:cs="Times New Roman"/>
          <w:b/>
          <w:bCs/>
          <w:sz w:val="24"/>
          <w:szCs w:val="20"/>
          <w:lang w:val="en-US" w:eastAsia="zh-CN"/>
        </w:rPr>
        <w:t>3.6-</w:t>
      </w:r>
      <w:r>
        <w:rPr>
          <w:rFonts w:hint="eastAsia" w:cs="Times New Roman"/>
          <w:b/>
          <w:bCs/>
          <w:sz w:val="24"/>
          <w:szCs w:val="20"/>
          <w:lang w:val="en-US" w:eastAsia="zh-CN"/>
        </w:rPr>
        <w:t>7</w:t>
      </w:r>
      <w:r>
        <w:rPr>
          <w:rFonts w:hint="default" w:ascii="Times New Roman" w:hAnsi="Times New Roman" w:cs="Times New Roman"/>
          <w:b/>
          <w:bCs/>
          <w:sz w:val="24"/>
          <w:szCs w:val="20"/>
        </w:rPr>
        <w:t xml:space="preserve"> 水泥熟料中可浸出重金属含量限值</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165"/>
        <w:gridCol w:w="4165"/>
      </w:tblGrid>
      <w:tr w14:paraId="68E5396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79EB544E">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重金属</w:t>
            </w:r>
          </w:p>
        </w:tc>
        <w:tc>
          <w:tcPr>
            <w:tcW w:w="2500" w:type="pct"/>
            <w:tcBorders>
              <w:tl2br w:val="nil"/>
              <w:tr2bl w:val="nil"/>
            </w:tcBorders>
            <w:shd w:val="clear" w:color="auto" w:fill="auto"/>
            <w:noWrap/>
            <w:tcMar>
              <w:top w:w="15" w:type="dxa"/>
              <w:left w:w="15" w:type="dxa"/>
              <w:bottom w:w="0" w:type="dxa"/>
              <w:right w:w="15" w:type="dxa"/>
            </w:tcMar>
            <w:vAlign w:val="center"/>
          </w:tcPr>
          <w:p w14:paraId="36F90EE1">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限值/（mg/kg）</w:t>
            </w:r>
          </w:p>
        </w:tc>
      </w:tr>
      <w:tr w14:paraId="1AB762B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690DD4A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砷（As）</w:t>
            </w:r>
          </w:p>
        </w:tc>
        <w:tc>
          <w:tcPr>
            <w:tcW w:w="2500" w:type="pct"/>
            <w:tcBorders>
              <w:tl2br w:val="nil"/>
              <w:tr2bl w:val="nil"/>
            </w:tcBorders>
            <w:shd w:val="clear" w:color="auto" w:fill="auto"/>
            <w:noWrap/>
            <w:tcMar>
              <w:top w:w="15" w:type="dxa"/>
              <w:left w:w="15" w:type="dxa"/>
              <w:bottom w:w="0" w:type="dxa"/>
              <w:right w:w="15" w:type="dxa"/>
            </w:tcMar>
            <w:vAlign w:val="center"/>
          </w:tcPr>
          <w:p w14:paraId="429D5EF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0.1</w:t>
            </w:r>
          </w:p>
        </w:tc>
      </w:tr>
      <w:tr w14:paraId="2E03089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2BD6274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铅（Pb）</w:t>
            </w:r>
          </w:p>
        </w:tc>
        <w:tc>
          <w:tcPr>
            <w:tcW w:w="2500" w:type="pct"/>
            <w:tcBorders>
              <w:tl2br w:val="nil"/>
              <w:tr2bl w:val="nil"/>
            </w:tcBorders>
            <w:shd w:val="clear" w:color="auto" w:fill="auto"/>
            <w:noWrap/>
            <w:tcMar>
              <w:top w:w="15" w:type="dxa"/>
              <w:left w:w="15" w:type="dxa"/>
              <w:bottom w:w="0" w:type="dxa"/>
              <w:right w:w="15" w:type="dxa"/>
            </w:tcMar>
            <w:vAlign w:val="center"/>
          </w:tcPr>
          <w:p w14:paraId="39E4187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0.3</w:t>
            </w:r>
          </w:p>
        </w:tc>
      </w:tr>
      <w:tr w14:paraId="52E11C4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5668850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镉（Cd）</w:t>
            </w:r>
          </w:p>
        </w:tc>
        <w:tc>
          <w:tcPr>
            <w:tcW w:w="2500" w:type="pct"/>
            <w:tcBorders>
              <w:tl2br w:val="nil"/>
              <w:tr2bl w:val="nil"/>
            </w:tcBorders>
            <w:shd w:val="clear" w:color="auto" w:fill="auto"/>
            <w:noWrap/>
            <w:tcMar>
              <w:top w:w="15" w:type="dxa"/>
              <w:left w:w="15" w:type="dxa"/>
              <w:bottom w:w="0" w:type="dxa"/>
              <w:right w:w="15" w:type="dxa"/>
            </w:tcMar>
            <w:vAlign w:val="center"/>
          </w:tcPr>
          <w:p w14:paraId="16B8DBE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0.03</w:t>
            </w:r>
          </w:p>
        </w:tc>
      </w:tr>
      <w:tr w14:paraId="4789C7B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3A58E78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铬（Cr）</w:t>
            </w:r>
          </w:p>
        </w:tc>
        <w:tc>
          <w:tcPr>
            <w:tcW w:w="2500" w:type="pct"/>
            <w:tcBorders>
              <w:tl2br w:val="nil"/>
              <w:tr2bl w:val="nil"/>
            </w:tcBorders>
            <w:shd w:val="clear" w:color="auto" w:fill="auto"/>
            <w:noWrap/>
            <w:tcMar>
              <w:top w:w="15" w:type="dxa"/>
              <w:left w:w="15" w:type="dxa"/>
              <w:bottom w:w="0" w:type="dxa"/>
              <w:right w:w="15" w:type="dxa"/>
            </w:tcMar>
            <w:vAlign w:val="center"/>
          </w:tcPr>
          <w:p w14:paraId="72EBEBF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0.2</w:t>
            </w:r>
          </w:p>
        </w:tc>
      </w:tr>
      <w:tr w14:paraId="7EF69BC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0CDE156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铜（Cu）</w:t>
            </w:r>
          </w:p>
        </w:tc>
        <w:tc>
          <w:tcPr>
            <w:tcW w:w="2500" w:type="pct"/>
            <w:tcBorders>
              <w:tl2br w:val="nil"/>
              <w:tr2bl w:val="nil"/>
            </w:tcBorders>
            <w:shd w:val="clear" w:color="auto" w:fill="auto"/>
            <w:noWrap/>
            <w:tcMar>
              <w:top w:w="15" w:type="dxa"/>
              <w:left w:w="15" w:type="dxa"/>
              <w:bottom w:w="0" w:type="dxa"/>
              <w:right w:w="15" w:type="dxa"/>
            </w:tcMar>
            <w:vAlign w:val="center"/>
          </w:tcPr>
          <w:p w14:paraId="31E7754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1.0</w:t>
            </w:r>
          </w:p>
        </w:tc>
      </w:tr>
      <w:tr w14:paraId="168395F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3465D70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镍（Ni）</w:t>
            </w:r>
          </w:p>
        </w:tc>
        <w:tc>
          <w:tcPr>
            <w:tcW w:w="2500" w:type="pct"/>
            <w:tcBorders>
              <w:tl2br w:val="nil"/>
              <w:tr2bl w:val="nil"/>
            </w:tcBorders>
            <w:shd w:val="clear" w:color="auto" w:fill="auto"/>
            <w:noWrap/>
            <w:tcMar>
              <w:top w:w="15" w:type="dxa"/>
              <w:left w:w="15" w:type="dxa"/>
              <w:bottom w:w="0" w:type="dxa"/>
              <w:right w:w="15" w:type="dxa"/>
            </w:tcMar>
            <w:vAlign w:val="center"/>
          </w:tcPr>
          <w:p w14:paraId="3B15BDE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0.2</w:t>
            </w:r>
          </w:p>
        </w:tc>
      </w:tr>
      <w:tr w14:paraId="245C082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0D659E6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锌（Zn）</w:t>
            </w:r>
          </w:p>
        </w:tc>
        <w:tc>
          <w:tcPr>
            <w:tcW w:w="2500" w:type="pct"/>
            <w:tcBorders>
              <w:tl2br w:val="nil"/>
              <w:tr2bl w:val="nil"/>
            </w:tcBorders>
            <w:shd w:val="clear" w:color="auto" w:fill="auto"/>
            <w:noWrap/>
            <w:tcMar>
              <w:top w:w="15" w:type="dxa"/>
              <w:left w:w="15" w:type="dxa"/>
              <w:bottom w:w="0" w:type="dxa"/>
              <w:right w:w="15" w:type="dxa"/>
            </w:tcMar>
            <w:vAlign w:val="center"/>
          </w:tcPr>
          <w:p w14:paraId="3DEA89E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1.0</w:t>
            </w:r>
          </w:p>
        </w:tc>
      </w:tr>
      <w:tr w14:paraId="4540BCE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2500" w:type="pct"/>
            <w:tcBorders>
              <w:tl2br w:val="nil"/>
              <w:tr2bl w:val="nil"/>
            </w:tcBorders>
            <w:shd w:val="clear" w:color="auto" w:fill="auto"/>
            <w:noWrap/>
            <w:tcMar>
              <w:top w:w="15" w:type="dxa"/>
              <w:left w:w="15" w:type="dxa"/>
              <w:bottom w:w="0" w:type="dxa"/>
              <w:right w:w="15" w:type="dxa"/>
            </w:tcMar>
            <w:vAlign w:val="center"/>
          </w:tcPr>
          <w:p w14:paraId="07C653F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锰（Mn）</w:t>
            </w:r>
          </w:p>
        </w:tc>
        <w:tc>
          <w:tcPr>
            <w:tcW w:w="2500" w:type="pct"/>
            <w:tcBorders>
              <w:tl2br w:val="nil"/>
              <w:tr2bl w:val="nil"/>
            </w:tcBorders>
            <w:shd w:val="clear" w:color="auto" w:fill="auto"/>
            <w:noWrap/>
            <w:tcMar>
              <w:top w:w="15" w:type="dxa"/>
              <w:left w:w="15" w:type="dxa"/>
              <w:bottom w:w="0" w:type="dxa"/>
              <w:right w:w="15" w:type="dxa"/>
            </w:tcMar>
            <w:vAlign w:val="center"/>
          </w:tcPr>
          <w:p w14:paraId="52704B6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1.0</w:t>
            </w:r>
          </w:p>
        </w:tc>
      </w:tr>
    </w:tbl>
    <w:p w14:paraId="34C93D98">
      <w:pPr>
        <w:pStyle w:val="3"/>
        <w:keepNext/>
        <w:keepLines/>
        <w:pageBreakBefore w:val="0"/>
        <w:widowControl/>
        <w:kinsoku/>
        <w:wordWrap/>
        <w:overflowPunct/>
        <w:topLinePunct w:val="0"/>
        <w:autoSpaceDE/>
        <w:autoSpaceDN/>
        <w:bidi w:val="0"/>
        <w:adjustRightInd/>
        <w:snapToGrid/>
        <w:spacing w:before="157" w:beforeLines="50" w:afterLines="0" w:line="360" w:lineRule="auto"/>
        <w:textAlignment w:val="auto"/>
        <w:rPr>
          <w:rFonts w:hint="default" w:ascii="Times New Roman" w:hAnsi="Times New Roman" w:eastAsia="宋体" w:cs="Times New Roman"/>
          <w:sz w:val="24"/>
          <w:szCs w:val="18"/>
          <w:highlight w:val="none"/>
          <w:lang w:eastAsia="zh-CN"/>
        </w:rPr>
      </w:pPr>
      <w:bookmarkStart w:id="121" w:name="_Toc14095"/>
      <w:bookmarkStart w:id="122" w:name="_Toc25206"/>
      <w:bookmarkStart w:id="123" w:name="_Toc24419"/>
      <w:r>
        <w:rPr>
          <w:rFonts w:hint="default" w:ascii="Times New Roman" w:hAnsi="Times New Roman" w:eastAsia="宋体" w:cs="Times New Roman"/>
          <w:sz w:val="24"/>
          <w:szCs w:val="18"/>
          <w:highlight w:val="none"/>
        </w:rPr>
        <w:t>3.</w:t>
      </w:r>
      <w:bookmarkEnd w:id="97"/>
      <w:r>
        <w:rPr>
          <w:rFonts w:hint="default" w:ascii="Times New Roman" w:hAnsi="Times New Roman" w:cs="Times New Roman"/>
          <w:sz w:val="24"/>
          <w:szCs w:val="18"/>
          <w:highlight w:val="none"/>
          <w:lang w:val="en-US" w:eastAsia="zh-CN"/>
        </w:rPr>
        <w:t>7公用及辅助工程</w:t>
      </w:r>
      <w:bookmarkEnd w:id="121"/>
      <w:bookmarkEnd w:id="122"/>
      <w:bookmarkEnd w:id="123"/>
    </w:p>
    <w:p w14:paraId="10F76BFF">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eastAsia="zh-CN"/>
        </w:rPr>
      </w:pPr>
      <w:r>
        <w:rPr>
          <w:rFonts w:hint="default" w:ascii="Times New Roman" w:hAnsi="Times New Roman" w:eastAsia="宋体" w:cs="Times New Roman"/>
          <w:b/>
          <w:bCs w:val="0"/>
          <w:kern w:val="2"/>
          <w:sz w:val="24"/>
          <w:szCs w:val="24"/>
          <w:highlight w:val="none"/>
        </w:rPr>
        <w:t>3.</w:t>
      </w:r>
      <w:r>
        <w:rPr>
          <w:rFonts w:hint="default" w:ascii="Times New Roman" w:hAnsi="Times New Roman" w:cs="Times New Roman"/>
          <w:b/>
          <w:bCs w:val="0"/>
          <w:kern w:val="2"/>
          <w:sz w:val="24"/>
          <w:szCs w:val="24"/>
          <w:highlight w:val="none"/>
          <w:lang w:val="en-US" w:eastAsia="zh-CN"/>
        </w:rPr>
        <w:t>7</w:t>
      </w:r>
      <w:r>
        <w:rPr>
          <w:rFonts w:hint="default" w:ascii="Times New Roman" w:hAnsi="Times New Roman" w:eastAsia="宋体" w:cs="Times New Roman"/>
          <w:b/>
          <w:bCs w:val="0"/>
          <w:kern w:val="2"/>
          <w:sz w:val="24"/>
          <w:szCs w:val="24"/>
          <w:highlight w:val="none"/>
        </w:rPr>
        <w:t>.1</w:t>
      </w:r>
      <w:r>
        <w:rPr>
          <w:rFonts w:hint="default" w:ascii="Times New Roman" w:hAnsi="Times New Roman" w:cs="Times New Roman"/>
          <w:b/>
          <w:bCs w:val="0"/>
          <w:kern w:val="2"/>
          <w:sz w:val="24"/>
          <w:szCs w:val="24"/>
          <w:highlight w:val="none"/>
          <w:lang w:val="en-US" w:eastAsia="zh-CN"/>
        </w:rPr>
        <w:t>给排水</w:t>
      </w:r>
    </w:p>
    <w:p w14:paraId="06810AF7">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highlight w:val="yellow"/>
        </w:rPr>
      </w:pPr>
      <w:r>
        <w:rPr>
          <w:rFonts w:hint="default" w:ascii="Times New Roman" w:hAnsi="Times New Roman" w:cs="Times New Roman"/>
          <w:highlight w:val="none"/>
          <w:lang w:val="en-US" w:eastAsia="zh-CN"/>
        </w:rPr>
        <w:t>项目不新增劳动定员</w:t>
      </w:r>
      <w:r>
        <w:rPr>
          <w:rFonts w:hint="default" w:ascii="Times New Roman" w:hAnsi="Times New Roman" w:cs="Times New Roman"/>
          <w:b w:val="0"/>
          <w:bCs w:val="0"/>
          <w:sz w:val="24"/>
          <w:szCs w:val="24"/>
          <w:highlight w:val="none"/>
          <w:lang w:val="en-US" w:eastAsia="zh-CN"/>
        </w:rPr>
        <w:t>，无新增生活</w:t>
      </w:r>
      <w:r>
        <w:rPr>
          <w:rFonts w:hint="eastAsia" w:cs="Times New Roman"/>
          <w:b w:val="0"/>
          <w:bCs w:val="0"/>
          <w:sz w:val="24"/>
          <w:szCs w:val="24"/>
          <w:highlight w:val="none"/>
          <w:lang w:val="en-US" w:eastAsia="zh-CN"/>
        </w:rPr>
        <w:t>用水需求，</w:t>
      </w:r>
      <w:bookmarkStart w:id="124" w:name="_Hlk151223147"/>
      <w:r>
        <w:rPr>
          <w:rFonts w:hint="default" w:ascii="Times New Roman" w:hAnsi="Times New Roman" w:cs="Times New Roman"/>
          <w:highlight w:val="none"/>
        </w:rPr>
        <w:t>拟建项目</w:t>
      </w:r>
      <w:r>
        <w:rPr>
          <w:rFonts w:hint="eastAsia" w:cs="Times New Roman"/>
          <w:highlight w:val="none"/>
          <w:lang w:val="en-US" w:eastAsia="zh-CN"/>
        </w:rPr>
        <w:t>所需</w:t>
      </w:r>
      <w:r>
        <w:rPr>
          <w:rFonts w:hint="default" w:ascii="Times New Roman" w:hAnsi="Times New Roman" w:cs="Times New Roman"/>
          <w:highlight w:val="none"/>
        </w:rPr>
        <w:t>用水</w:t>
      </w:r>
      <w:r>
        <w:rPr>
          <w:rFonts w:hint="eastAsia" w:cs="Times New Roman"/>
          <w:highlight w:val="none"/>
          <w:lang w:val="en-US" w:eastAsia="zh-CN"/>
        </w:rPr>
        <w:t>仅为</w:t>
      </w:r>
      <w:r>
        <w:rPr>
          <w:rFonts w:hint="default" w:ascii="Times New Roman" w:hAnsi="Times New Roman" w:cs="Times New Roman"/>
          <w:highlight w:val="none"/>
        </w:rPr>
        <w:t>化验用水</w:t>
      </w:r>
      <w:r>
        <w:rPr>
          <w:rFonts w:hint="eastAsia" w:cs="Times New Roman"/>
          <w:highlight w:val="none"/>
          <w:lang w:eastAsia="zh-CN"/>
        </w:rPr>
        <w:t>，</w:t>
      </w:r>
      <w:r>
        <w:rPr>
          <w:rFonts w:hint="eastAsia" w:cs="Times New Roman"/>
          <w:highlight w:val="none"/>
          <w:lang w:val="en-US" w:eastAsia="zh-CN"/>
        </w:rPr>
        <w:t>约为0.025m</w:t>
      </w:r>
      <w:r>
        <w:rPr>
          <w:rFonts w:hint="eastAsia" w:cs="Times New Roman"/>
          <w:highlight w:val="none"/>
          <w:vertAlign w:val="superscript"/>
          <w:lang w:val="en-US" w:eastAsia="zh-CN"/>
        </w:rPr>
        <w:t>3</w:t>
      </w:r>
      <w:r>
        <w:rPr>
          <w:rFonts w:hint="eastAsia" w:cs="Times New Roman"/>
          <w:highlight w:val="none"/>
          <w:lang w:val="en-US" w:eastAsia="zh-CN"/>
        </w:rPr>
        <w:t>/a，</w:t>
      </w:r>
      <w:r>
        <w:rPr>
          <w:rFonts w:hint="default" w:ascii="Times New Roman" w:hAnsi="Times New Roman" w:eastAsia="宋体" w:cs="Times New Roman"/>
          <w:b w:val="0"/>
          <w:bCs w:val="0"/>
          <w:sz w:val="24"/>
          <w:szCs w:val="24"/>
          <w:highlight w:val="none"/>
          <w:lang w:val="en-US" w:eastAsia="zh-CN"/>
        </w:rPr>
        <w:t>本项目依托水泥厂现有给水设施，</w:t>
      </w:r>
      <w:r>
        <w:rPr>
          <w:rFonts w:hint="default" w:ascii="Times New Roman" w:hAnsi="Times New Roman" w:cs="Times New Roman"/>
          <w:b w:val="0"/>
          <w:bCs w:val="0"/>
          <w:sz w:val="24"/>
          <w:szCs w:val="24"/>
          <w:highlight w:val="none"/>
          <w:lang w:val="en-US" w:eastAsia="zh-CN"/>
        </w:rPr>
        <w:t>可满足本项目用水需求</w:t>
      </w:r>
      <w:r>
        <w:rPr>
          <w:rFonts w:hint="eastAsia" w:cs="Times New Roman"/>
          <w:b w:val="0"/>
          <w:bCs w:val="0"/>
          <w:sz w:val="24"/>
          <w:szCs w:val="24"/>
          <w:highlight w:val="none"/>
          <w:lang w:val="en-US" w:eastAsia="zh-CN"/>
        </w:rPr>
        <w:t>；本项目化验室废水属危险废物，委托有资质单位处置，不外排</w:t>
      </w:r>
      <w:r>
        <w:rPr>
          <w:rFonts w:hint="eastAsia" w:cs="Times New Roman"/>
          <w:highlight w:val="none"/>
          <w:lang w:val="en-US" w:eastAsia="zh-CN"/>
        </w:rPr>
        <w:t>。</w:t>
      </w:r>
    </w:p>
    <w:bookmarkEnd w:id="124"/>
    <w:p w14:paraId="5A65C5C2">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7</w:t>
      </w:r>
      <w:r>
        <w:rPr>
          <w:rFonts w:hint="default" w:ascii="Times New Roman" w:hAnsi="Times New Roman" w:eastAsia="宋体" w:cs="Times New Roman"/>
          <w:b/>
          <w:bCs w:val="0"/>
          <w:kern w:val="2"/>
          <w:sz w:val="24"/>
          <w:szCs w:val="24"/>
          <w:highlight w:val="none"/>
          <w:lang w:val="en-US" w:eastAsia="zh-CN"/>
        </w:rPr>
        <w:t>.</w:t>
      </w:r>
      <w:r>
        <w:rPr>
          <w:rFonts w:hint="default" w:ascii="Times New Roman" w:hAnsi="Times New Roman" w:cs="Times New Roman"/>
          <w:b/>
          <w:bCs w:val="0"/>
          <w:kern w:val="2"/>
          <w:sz w:val="24"/>
          <w:szCs w:val="24"/>
          <w:highlight w:val="none"/>
          <w:lang w:val="en-US" w:eastAsia="zh-CN"/>
        </w:rPr>
        <w:t>2</w:t>
      </w:r>
      <w:r>
        <w:rPr>
          <w:rFonts w:hint="default" w:ascii="Times New Roman" w:hAnsi="Times New Roman" w:eastAsia="宋体" w:cs="Times New Roman"/>
          <w:b/>
          <w:bCs w:val="0"/>
          <w:kern w:val="2"/>
          <w:sz w:val="24"/>
          <w:szCs w:val="24"/>
          <w:highlight w:val="none"/>
          <w:lang w:val="en-US" w:eastAsia="zh-CN"/>
        </w:rPr>
        <w:t>供电</w:t>
      </w:r>
    </w:p>
    <w:p w14:paraId="4C585EE6">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项目供电依托水泥厂现有供电设施，本工程总电源取自厂区熟料线内原有配电站。</w:t>
      </w:r>
    </w:p>
    <w:p w14:paraId="30EB46E1">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7</w:t>
      </w:r>
      <w:r>
        <w:rPr>
          <w:rFonts w:hint="default" w:ascii="Times New Roman" w:hAnsi="Times New Roman" w:eastAsia="宋体" w:cs="Times New Roman"/>
          <w:b/>
          <w:bCs w:val="0"/>
          <w:kern w:val="2"/>
          <w:sz w:val="24"/>
          <w:szCs w:val="24"/>
          <w:highlight w:val="none"/>
          <w:lang w:val="en-US" w:eastAsia="zh-CN"/>
        </w:rPr>
        <w:t>.</w:t>
      </w:r>
      <w:r>
        <w:rPr>
          <w:rFonts w:hint="default" w:ascii="Times New Roman" w:hAnsi="Times New Roman" w:cs="Times New Roman"/>
          <w:b/>
          <w:bCs w:val="0"/>
          <w:kern w:val="2"/>
          <w:sz w:val="24"/>
          <w:szCs w:val="24"/>
          <w:highlight w:val="none"/>
          <w:lang w:val="en-US" w:eastAsia="zh-CN"/>
        </w:rPr>
        <w:t>3</w:t>
      </w:r>
      <w:r>
        <w:rPr>
          <w:rFonts w:hint="default" w:ascii="Times New Roman" w:hAnsi="Times New Roman" w:eastAsia="宋体" w:cs="Times New Roman"/>
          <w:b/>
          <w:bCs w:val="0"/>
          <w:kern w:val="2"/>
          <w:sz w:val="24"/>
          <w:szCs w:val="24"/>
          <w:highlight w:val="none"/>
          <w:lang w:val="en-US" w:eastAsia="zh-CN"/>
        </w:rPr>
        <w:t>供热</w:t>
      </w:r>
    </w:p>
    <w:p w14:paraId="0595EC2C">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本项目</w:t>
      </w:r>
      <w:r>
        <w:rPr>
          <w:rFonts w:hint="default" w:ascii="Times New Roman" w:hAnsi="Times New Roman" w:eastAsia="宋体" w:cs="Times New Roman"/>
          <w:b w:val="0"/>
          <w:bCs w:val="0"/>
          <w:sz w:val="24"/>
          <w:szCs w:val="24"/>
          <w:highlight w:val="none"/>
          <w:lang w:val="en-US" w:eastAsia="zh-CN"/>
        </w:rPr>
        <w:t>不</w:t>
      </w:r>
      <w:r>
        <w:rPr>
          <w:rFonts w:hint="default" w:ascii="Times New Roman" w:hAnsi="Times New Roman" w:cs="Times New Roman"/>
          <w:b w:val="0"/>
          <w:bCs w:val="0"/>
          <w:sz w:val="24"/>
          <w:szCs w:val="24"/>
          <w:highlight w:val="none"/>
          <w:lang w:val="en-US" w:eastAsia="zh-CN"/>
        </w:rPr>
        <w:t>新</w:t>
      </w:r>
      <w:r>
        <w:rPr>
          <w:rFonts w:hint="default" w:ascii="Times New Roman" w:hAnsi="Times New Roman" w:eastAsia="宋体" w:cs="Times New Roman"/>
          <w:b w:val="0"/>
          <w:bCs w:val="0"/>
          <w:sz w:val="24"/>
          <w:szCs w:val="24"/>
          <w:highlight w:val="none"/>
          <w:lang w:val="en-US" w:eastAsia="zh-CN"/>
        </w:rPr>
        <w:t>建供热设施。</w:t>
      </w:r>
    </w:p>
    <w:p w14:paraId="0E0CB1F5">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7</w:t>
      </w:r>
      <w:r>
        <w:rPr>
          <w:rFonts w:hint="default" w:ascii="Times New Roman" w:hAnsi="Times New Roman" w:eastAsia="宋体" w:cs="Times New Roman"/>
          <w:b/>
          <w:bCs w:val="0"/>
          <w:kern w:val="2"/>
          <w:sz w:val="24"/>
          <w:szCs w:val="24"/>
          <w:highlight w:val="none"/>
          <w:lang w:val="en-US" w:eastAsia="zh-CN"/>
        </w:rPr>
        <w:t>.</w:t>
      </w:r>
      <w:r>
        <w:rPr>
          <w:rFonts w:hint="default" w:ascii="Times New Roman" w:hAnsi="Times New Roman" w:cs="Times New Roman"/>
          <w:b/>
          <w:bCs w:val="0"/>
          <w:kern w:val="2"/>
          <w:sz w:val="24"/>
          <w:szCs w:val="24"/>
          <w:highlight w:val="none"/>
          <w:lang w:val="en-US" w:eastAsia="zh-CN"/>
        </w:rPr>
        <w:t>4</w:t>
      </w:r>
      <w:r>
        <w:rPr>
          <w:rFonts w:hint="default" w:ascii="Times New Roman" w:hAnsi="Times New Roman" w:eastAsia="宋体" w:cs="Times New Roman"/>
          <w:b/>
          <w:bCs w:val="0"/>
          <w:kern w:val="2"/>
          <w:sz w:val="24"/>
          <w:szCs w:val="24"/>
          <w:highlight w:val="none"/>
          <w:lang w:val="en-US" w:eastAsia="zh-CN"/>
        </w:rPr>
        <w:t>分析化验室</w:t>
      </w:r>
    </w:p>
    <w:p w14:paraId="7B3B89F7">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项目</w:t>
      </w:r>
      <w:r>
        <w:rPr>
          <w:rFonts w:hint="default" w:ascii="Times New Roman" w:hAnsi="Times New Roman" w:eastAsia="宋体" w:cs="Times New Roman"/>
          <w:b w:val="0"/>
          <w:bCs w:val="0"/>
          <w:sz w:val="24"/>
          <w:szCs w:val="24"/>
          <w:highlight w:val="none"/>
          <w:lang w:val="en-US" w:eastAsia="zh-CN"/>
        </w:rPr>
        <w:t>依托水泥厂现有化验室，对化验室进行升级。</w:t>
      </w:r>
    </w:p>
    <w:p w14:paraId="74698014">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（1）本项目分析化验室必须具备以下检测能力：</w:t>
      </w:r>
    </w:p>
    <w:p w14:paraId="4B30FF37">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①</w:t>
      </w:r>
      <w:r>
        <w:rPr>
          <w:rFonts w:hint="default" w:ascii="Times New Roman" w:hAnsi="Times New Roman" w:eastAsia="宋体" w:cs="Times New Roman"/>
          <w:b w:val="0"/>
          <w:bCs w:val="0"/>
          <w:sz w:val="24"/>
          <w:szCs w:val="24"/>
          <w:highlight w:val="none"/>
          <w:lang w:val="en-US" w:eastAsia="zh-CN"/>
        </w:rPr>
        <w:t>具备HJ/T20要求的采样制样能力、工具和仪器。</w:t>
      </w:r>
    </w:p>
    <w:p w14:paraId="1587519F">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②</w:t>
      </w:r>
      <w:r>
        <w:rPr>
          <w:rFonts w:hint="default" w:ascii="Times New Roman" w:hAnsi="Times New Roman" w:eastAsia="宋体" w:cs="Times New Roman"/>
          <w:b w:val="0"/>
          <w:bCs w:val="0"/>
          <w:sz w:val="24"/>
          <w:szCs w:val="24"/>
          <w:highlight w:val="none"/>
          <w:lang w:val="en-US" w:eastAsia="zh-CN"/>
        </w:rPr>
        <w:t>具备危险废物、水泥生产常规原料和燃料中的重金属以及硫（S）、氯（Cl）、氟（F）含量的分析能力。</w:t>
      </w:r>
    </w:p>
    <w:p w14:paraId="668A8B79">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3）相容性测试，一般需要配备粘度仪、搅拌仪、温度计、压力计、pH计、反应气体收集装置等。</w:t>
      </w:r>
    </w:p>
    <w:p w14:paraId="0B15E5C2">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（2）下列分析项目如果不具备条件，可经当地环保部门许可后委托有资质的分析监测机构进行采样分析监测：</w:t>
      </w:r>
    </w:p>
    <w:p w14:paraId="35E61939">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①</w:t>
      </w:r>
      <w:r>
        <w:rPr>
          <w:rFonts w:hint="default" w:ascii="Times New Roman" w:hAnsi="Times New Roman" w:eastAsia="宋体" w:cs="Times New Roman"/>
          <w:b w:val="0"/>
          <w:bCs w:val="0"/>
          <w:sz w:val="24"/>
          <w:szCs w:val="24"/>
          <w:highlight w:val="none"/>
          <w:lang w:val="en-US" w:eastAsia="zh-CN"/>
        </w:rPr>
        <w:t>满足GB5085.1要求的腐蚀性检测；满足GB5085.4要求的易燃性检测；满足GB5085.5要求的反应性检测</w:t>
      </w:r>
      <w:r>
        <w:rPr>
          <w:rFonts w:hint="default" w:ascii="Times New Roman" w:hAnsi="Times New Roman" w:cs="Times New Roman"/>
          <w:b w:val="0"/>
          <w:bCs w:val="0"/>
          <w:sz w:val="24"/>
          <w:szCs w:val="24"/>
          <w:highlight w:val="none"/>
          <w:lang w:val="en-US" w:eastAsia="zh-CN"/>
        </w:rPr>
        <w:t>；</w:t>
      </w:r>
    </w:p>
    <w:p w14:paraId="2ED35258">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②</w:t>
      </w:r>
      <w:r>
        <w:rPr>
          <w:rFonts w:hint="default" w:ascii="Times New Roman" w:hAnsi="Times New Roman" w:eastAsia="宋体" w:cs="Times New Roman"/>
          <w:b w:val="0"/>
          <w:bCs w:val="0"/>
          <w:sz w:val="24"/>
          <w:szCs w:val="24"/>
          <w:highlight w:val="none"/>
          <w:lang w:val="en-US" w:eastAsia="zh-CN"/>
        </w:rPr>
        <w:t>满足GB4915和GB30485监测要求的烟气污染物检测</w:t>
      </w:r>
      <w:r>
        <w:rPr>
          <w:rFonts w:hint="default" w:ascii="Times New Roman" w:hAnsi="Times New Roman" w:cs="Times New Roman"/>
          <w:b w:val="0"/>
          <w:bCs w:val="0"/>
          <w:sz w:val="24"/>
          <w:szCs w:val="24"/>
          <w:highlight w:val="none"/>
          <w:lang w:val="en-US" w:eastAsia="zh-CN"/>
        </w:rPr>
        <w:t>；</w:t>
      </w:r>
    </w:p>
    <w:p w14:paraId="0F3E2C25">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③</w:t>
      </w:r>
      <w:r>
        <w:rPr>
          <w:rFonts w:hint="default" w:ascii="Times New Roman" w:hAnsi="Times New Roman" w:eastAsia="宋体" w:cs="Times New Roman"/>
          <w:b w:val="0"/>
          <w:bCs w:val="0"/>
          <w:sz w:val="24"/>
          <w:szCs w:val="24"/>
          <w:highlight w:val="none"/>
          <w:lang w:val="en-US" w:eastAsia="zh-CN"/>
        </w:rPr>
        <w:t>满足其他相关标准中要求的水泥产品环境安全性检测。</w:t>
      </w:r>
    </w:p>
    <w:p w14:paraId="776A2A24">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b w:val="0"/>
          <w:bCs w:val="0"/>
          <w:sz w:val="24"/>
          <w:szCs w:val="24"/>
          <w:highlight w:val="none"/>
          <w:lang w:val="en-US" w:eastAsia="zh-CN"/>
        </w:rPr>
        <w:t>（3）分析化验室应设有样品保存库，用于贮存备份样品；样品保存库应可以确保危险固体废物样品贮存2年而不使固体废物性质发生变化，并满足相应的消防要求。</w:t>
      </w:r>
    </w:p>
    <w:p w14:paraId="037FA5A8">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w:t>
      </w:r>
      <w:r>
        <w:rPr>
          <w:rFonts w:hint="default" w:ascii="Times New Roman" w:hAnsi="Times New Roman" w:cs="Times New Roman"/>
          <w:b/>
          <w:bCs w:val="0"/>
          <w:kern w:val="2"/>
          <w:sz w:val="24"/>
          <w:szCs w:val="24"/>
          <w:highlight w:val="none"/>
          <w:lang w:val="en-US" w:eastAsia="zh-CN"/>
        </w:rPr>
        <w:t>7</w:t>
      </w:r>
      <w:r>
        <w:rPr>
          <w:rFonts w:hint="default" w:ascii="Times New Roman" w:hAnsi="Times New Roman" w:eastAsia="宋体" w:cs="Times New Roman"/>
          <w:b/>
          <w:bCs w:val="0"/>
          <w:kern w:val="2"/>
          <w:sz w:val="24"/>
          <w:szCs w:val="24"/>
          <w:highlight w:val="none"/>
          <w:lang w:val="en-US" w:eastAsia="zh-CN"/>
        </w:rPr>
        <w:t>.</w:t>
      </w:r>
      <w:r>
        <w:rPr>
          <w:rFonts w:hint="default" w:ascii="Times New Roman" w:hAnsi="Times New Roman" w:cs="Times New Roman"/>
          <w:b/>
          <w:bCs w:val="0"/>
          <w:kern w:val="2"/>
          <w:sz w:val="24"/>
          <w:szCs w:val="24"/>
          <w:highlight w:val="none"/>
          <w:lang w:val="en-US" w:eastAsia="zh-CN"/>
        </w:rPr>
        <w:t>5危险废物贮存设施</w:t>
      </w:r>
    </w:p>
    <w:p w14:paraId="70606A81">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cs="Times New Roman"/>
          <w:b w:val="0"/>
          <w:bCs w:val="0"/>
          <w:sz w:val="24"/>
          <w:szCs w:val="24"/>
          <w:highlight w:val="none"/>
          <w:lang w:val="en-US" w:eastAsia="zh-CN"/>
        </w:rPr>
        <w:t>项目建成后仅处置新疆兴发化工有限公司产生的HW11精（蒸）馏残渣（900-013-11），企业与新疆兴发化工有限公司选址相邻，项目所处置所有危险废物均在新疆兴发化工有限公司内部存储，本项目水泥窑正常运行期间，由新疆兴发化工有限公司在有需求时送入本项目水泥窑内处置，因此本项目不设置危险废物贮存设施。</w:t>
      </w:r>
    </w:p>
    <w:p w14:paraId="65A5762B">
      <w:pPr>
        <w:pStyle w:val="3"/>
        <w:keepNext/>
        <w:keepLines/>
        <w:pageBreakBefore w:val="0"/>
        <w:widowControl/>
        <w:kinsoku/>
        <w:wordWrap/>
        <w:overflowPunct/>
        <w:topLinePunct w:val="0"/>
        <w:autoSpaceDE/>
        <w:autoSpaceDN/>
        <w:bidi w:val="0"/>
        <w:adjustRightInd/>
        <w:snapToGrid/>
        <w:spacing w:beforeLines="0" w:afterLines="0" w:line="360" w:lineRule="auto"/>
        <w:textAlignment w:val="auto"/>
        <w:rPr>
          <w:rFonts w:hint="default" w:ascii="Times New Roman" w:hAnsi="Times New Roman" w:eastAsia="宋体" w:cs="Times New Roman"/>
          <w:sz w:val="24"/>
          <w:szCs w:val="18"/>
          <w:highlight w:val="none"/>
        </w:rPr>
      </w:pPr>
      <w:bookmarkStart w:id="125" w:name="_Toc9299"/>
      <w:bookmarkStart w:id="126" w:name="_Toc23315"/>
      <w:bookmarkStart w:id="127" w:name="_Toc19878"/>
      <w:bookmarkStart w:id="128" w:name="_Toc9868251"/>
      <w:r>
        <w:rPr>
          <w:rFonts w:hint="default" w:ascii="Times New Roman" w:hAnsi="Times New Roman" w:eastAsia="宋体" w:cs="Times New Roman"/>
          <w:sz w:val="24"/>
          <w:szCs w:val="18"/>
          <w:highlight w:val="none"/>
        </w:rPr>
        <w:t>3.</w:t>
      </w:r>
      <w:r>
        <w:rPr>
          <w:rFonts w:hint="default" w:ascii="Times New Roman" w:hAnsi="Times New Roman" w:cs="Times New Roman"/>
          <w:sz w:val="24"/>
          <w:szCs w:val="18"/>
          <w:highlight w:val="none"/>
          <w:lang w:val="en-US" w:eastAsia="zh-CN"/>
        </w:rPr>
        <w:t>8</w:t>
      </w:r>
      <w:r>
        <w:rPr>
          <w:rFonts w:hint="default" w:ascii="Times New Roman" w:hAnsi="Times New Roman" w:eastAsia="宋体" w:cs="Times New Roman"/>
          <w:sz w:val="24"/>
          <w:szCs w:val="18"/>
          <w:highlight w:val="none"/>
        </w:rPr>
        <w:t>污染源分析</w:t>
      </w:r>
      <w:bookmarkEnd w:id="125"/>
      <w:bookmarkEnd w:id="126"/>
      <w:bookmarkEnd w:id="127"/>
      <w:bookmarkEnd w:id="128"/>
    </w:p>
    <w:p w14:paraId="360B3A0F">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color w:val="auto"/>
          <w:kern w:val="2"/>
          <w:sz w:val="24"/>
          <w:szCs w:val="24"/>
          <w:highlight w:val="none"/>
          <w:lang w:val="en-US" w:eastAsia="zh-CN"/>
        </w:rPr>
      </w:pPr>
      <w:r>
        <w:rPr>
          <w:rFonts w:hint="default" w:ascii="Times New Roman" w:hAnsi="Times New Roman" w:eastAsia="宋体" w:cs="Times New Roman"/>
          <w:b/>
          <w:bCs w:val="0"/>
          <w:color w:val="auto"/>
          <w:kern w:val="2"/>
          <w:sz w:val="24"/>
          <w:szCs w:val="24"/>
          <w:highlight w:val="none"/>
          <w:lang w:val="en-US" w:eastAsia="zh-CN"/>
        </w:rPr>
        <w:t>3.8.1工艺流程及产污环节分析</w:t>
      </w:r>
    </w:p>
    <w:p w14:paraId="11D5ECE9">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bCs w:val="0"/>
          <w:color w:val="auto"/>
          <w:kern w:val="2"/>
          <w:sz w:val="24"/>
          <w:szCs w:val="24"/>
          <w:highlight w:val="none"/>
          <w:lang w:val="en-US" w:eastAsia="zh-CN"/>
        </w:rPr>
      </w:pPr>
      <w:r>
        <w:rPr>
          <w:rFonts w:hint="eastAsia" w:ascii="Times New Roman" w:hAnsi="Times New Roman" w:cs="Times New Roman"/>
          <w:b/>
          <w:bCs w:val="0"/>
          <w:color w:val="auto"/>
          <w:kern w:val="2"/>
          <w:sz w:val="24"/>
          <w:szCs w:val="24"/>
          <w:highlight w:val="none"/>
          <w:lang w:val="en-US" w:eastAsia="zh-CN"/>
        </w:rPr>
        <w:t>3.8.1.1</w:t>
      </w:r>
      <w:r>
        <w:rPr>
          <w:rFonts w:hint="default" w:ascii="Times New Roman" w:hAnsi="Times New Roman" w:cs="Times New Roman"/>
          <w:b/>
          <w:bCs w:val="0"/>
          <w:color w:val="auto"/>
          <w:kern w:val="2"/>
          <w:sz w:val="24"/>
          <w:szCs w:val="24"/>
          <w:highlight w:val="none"/>
          <w:lang w:val="en-US" w:eastAsia="zh-CN"/>
        </w:rPr>
        <w:t>水泥窑协同处置生产工艺</w:t>
      </w:r>
    </w:p>
    <w:p w14:paraId="5670E823">
      <w:pPr>
        <w:pStyle w:val="6"/>
        <w:rPr>
          <w:rFonts w:hint="default" w:ascii="Times New Roman" w:hAnsi="Times New Roman" w:cs="Times New Roman"/>
        </w:rPr>
      </w:pPr>
      <w:r>
        <w:rPr>
          <w:rFonts w:hint="default" w:ascii="Times New Roman" w:hAnsi="Times New Roman" w:cs="Times New Roman"/>
        </w:rPr>
        <w:t>水泥窑协同处置工艺可分为入场检查检验、预处理系统、给料系统、焚烧系统。入厂的危险废物从形态上分类，包括固态危险废物和液态危险废物两种。根据不同类型的废物分别采取不同的处置方案。厂区不设置危险废物贮存库，直接依托临厂新疆兴发化工有限公司贮存设施，危险废物种类单一满足入窑要求</w:t>
      </w:r>
      <w:r>
        <w:rPr>
          <w:rFonts w:hint="default" w:ascii="Times New Roman" w:hAnsi="Times New Roman" w:cs="Times New Roman"/>
          <w:lang w:val="en-US" w:eastAsia="zh-CN"/>
        </w:rPr>
        <w:t>。</w:t>
      </w:r>
      <w:r>
        <w:rPr>
          <w:rFonts w:hint="default" w:ascii="Times New Roman" w:hAnsi="Times New Roman" w:cs="Times New Roman"/>
        </w:rPr>
        <w:t>危险废物在厂内处置工艺流程图见</w:t>
      </w:r>
      <w:r>
        <w:rPr>
          <w:rFonts w:hint="default" w:ascii="Times New Roman" w:hAnsi="Times New Roman" w:cs="Times New Roman"/>
        </w:rPr>
        <w:fldChar w:fldCharType="begin"/>
      </w:r>
      <w:r>
        <w:rPr>
          <w:rFonts w:hint="default" w:ascii="Times New Roman" w:hAnsi="Times New Roman" w:cs="Times New Roman"/>
        </w:rPr>
        <w:instrText xml:space="preserve"> REF _Ref127207892 \h  \* MERGEFORMAT </w:instrText>
      </w:r>
      <w:r>
        <w:rPr>
          <w:rFonts w:hint="default" w:ascii="Times New Roman" w:hAnsi="Times New Roman" w:cs="Times New Roman"/>
        </w:rPr>
        <w:fldChar w:fldCharType="separate"/>
      </w:r>
      <w:r>
        <w:rPr>
          <w:rFonts w:hint="default" w:ascii="Times New Roman" w:hAnsi="Times New Roman" w:cs="Times New Roman"/>
        </w:rPr>
        <w:t>图</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.8-1</w:t>
      </w:r>
      <w:r>
        <w:rPr>
          <w:rFonts w:hint="default" w:ascii="Times New Roman" w:hAnsi="Times New Roman" w:cs="Times New Roman"/>
        </w:rPr>
        <w:t>。</w:t>
      </w:r>
    </w:p>
    <w:p w14:paraId="4F3441A9">
      <w:pPr>
        <w:pStyle w:val="205"/>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eastAsia="黑体" w:cs="Times New Roman"/>
          <w:lang w:eastAsia="zh-CN"/>
        </w:rPr>
      </w:pPr>
      <w:r>
        <w:rPr>
          <w:rFonts w:hint="default" w:ascii="Times New Roman" w:hAnsi="Times New Roman" w:eastAsia="黑体" w:cs="Times New Roman"/>
          <w:lang w:eastAsia="zh-CN"/>
        </w:rPr>
        <w:drawing>
          <wp:inline distT="0" distB="0" distL="114300" distR="114300">
            <wp:extent cx="3629660" cy="4086225"/>
            <wp:effectExtent l="0" t="0" r="12700" b="13335"/>
            <wp:docPr id="29" name="ECB019B1-382A-4266-B25C-5B523AA43C14-1" descr="C:/Users/admin/AppData/Local/Temp/wps.JvrLnq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ECB019B1-382A-4266-B25C-5B523AA43C14-1" descr="C:/Users/admin/AppData/Local/Temp/wps.JvrLnqwps"/>
                    <pic:cNvPicPr>
                      <a:picLocks noChangeAspect="1"/>
                    </pic:cNvPicPr>
                  </pic:nvPicPr>
                  <pic:blipFill>
                    <a:blip r:embed="rId26"/>
                    <a:srcRect l="2885" t="3246" r="2899" b="2380"/>
                    <a:stretch>
                      <a:fillRect/>
                    </a:stretch>
                  </pic:blipFill>
                  <pic:spPr>
                    <a:xfrm>
                      <a:off x="0" y="0"/>
                      <a:ext cx="3629660" cy="4086225"/>
                    </a:xfrm>
                    <a:prstGeom prst="rect">
                      <a:avLst/>
                    </a:prstGeom>
                  </pic:spPr>
                </pic:pic>
              </a:graphicData>
            </a:graphic>
          </wp:inline>
        </w:drawing>
      </w:r>
    </w:p>
    <w:p w14:paraId="0A66B558">
      <w:pPr>
        <w:pStyle w:val="205"/>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textAlignment w:val="auto"/>
        <w:rPr>
          <w:rFonts w:hint="default" w:ascii="Times New Roman" w:hAnsi="Times New Roman" w:eastAsia="宋体" w:cs="Times New Roman"/>
          <w:b/>
          <w:bCs/>
        </w:rPr>
      </w:pPr>
      <w:bookmarkStart w:id="129" w:name="_Ref127207892"/>
      <w:r>
        <w:rPr>
          <w:rFonts w:hint="default" w:ascii="Times New Roman" w:hAnsi="Times New Roman" w:eastAsia="宋体" w:cs="Times New Roman"/>
          <w:b/>
          <w:bCs/>
        </w:rPr>
        <w:t>图</w:t>
      </w:r>
      <w:bookmarkEnd w:id="129"/>
      <w:r>
        <w:rPr>
          <w:rFonts w:hint="default" w:ascii="Times New Roman" w:hAnsi="Times New Roman" w:eastAsia="宋体" w:cs="Times New Roman"/>
          <w:b/>
          <w:bCs/>
          <w:lang w:val="en-US" w:eastAsia="zh-CN"/>
        </w:rPr>
        <w:t>3.8-1</w:t>
      </w:r>
      <w:r>
        <w:rPr>
          <w:rFonts w:hint="default" w:ascii="Times New Roman" w:hAnsi="Times New Roman" w:eastAsia="宋体" w:cs="Times New Roman"/>
          <w:b/>
          <w:bCs/>
        </w:rPr>
        <w:t xml:space="preserve"> 本项目工艺流程及产污环节图</w:t>
      </w:r>
    </w:p>
    <w:p w14:paraId="50E9BD3F">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bCs w:val="0"/>
          <w:color w:val="auto"/>
          <w:kern w:val="2"/>
          <w:sz w:val="24"/>
          <w:szCs w:val="24"/>
          <w:highlight w:val="none"/>
          <w:lang w:val="en-US" w:eastAsia="zh-CN"/>
        </w:rPr>
      </w:pPr>
      <w:r>
        <w:rPr>
          <w:rFonts w:hint="eastAsia" w:ascii="Times New Roman" w:hAnsi="Times New Roman" w:cs="Times New Roman"/>
          <w:b/>
          <w:bCs w:val="0"/>
          <w:color w:val="auto"/>
          <w:kern w:val="2"/>
          <w:sz w:val="24"/>
          <w:szCs w:val="24"/>
          <w:highlight w:val="none"/>
          <w:lang w:val="en-US" w:eastAsia="zh-CN"/>
        </w:rPr>
        <w:t>3.8.1.2</w:t>
      </w:r>
      <w:r>
        <w:rPr>
          <w:rFonts w:hint="default" w:ascii="Times New Roman" w:hAnsi="Times New Roman" w:cs="Times New Roman"/>
          <w:b/>
          <w:bCs w:val="0"/>
          <w:color w:val="auto"/>
          <w:kern w:val="2"/>
          <w:sz w:val="24"/>
          <w:szCs w:val="24"/>
          <w:highlight w:val="none"/>
          <w:lang w:val="en-US" w:eastAsia="zh-CN"/>
        </w:rPr>
        <w:t>入场检查</w:t>
      </w:r>
    </w:p>
    <w:p w14:paraId="3E47136C">
      <w:pPr>
        <w:pStyle w:val="6"/>
        <w:rPr>
          <w:rFonts w:hint="default" w:ascii="Times New Roman" w:hAnsi="Times New Roman" w:cs="Times New Roman"/>
        </w:rPr>
      </w:pPr>
      <w:r>
        <w:rPr>
          <w:rFonts w:hint="default" w:ascii="Times New Roman" w:hAnsi="Times New Roman" w:cs="Times New Roman"/>
          <w:lang w:val="en-US" w:eastAsia="zh-CN"/>
        </w:rPr>
        <w:t>本项目处置的危险废物均来自新疆兴发化工有限公司，新疆兴发化工有限公司紧邻本项目厂区，</w:t>
      </w:r>
      <w:r>
        <w:rPr>
          <w:rFonts w:hint="default" w:ascii="Times New Roman" w:hAnsi="Times New Roman" w:cs="Times New Roman"/>
        </w:rPr>
        <w:t>危险废物入厂</w:t>
      </w:r>
      <w:r>
        <w:rPr>
          <w:rFonts w:hint="default" w:ascii="Times New Roman" w:hAnsi="Times New Roman" w:cs="Times New Roman"/>
          <w:lang w:val="en-US" w:eastAsia="zh-CN"/>
        </w:rPr>
        <w:t>前从兴发化工</w:t>
      </w:r>
      <w:r>
        <w:rPr>
          <w:rFonts w:hint="default" w:ascii="Times New Roman" w:hAnsi="Times New Roman" w:cs="Times New Roman"/>
        </w:rPr>
        <w:t>及时进行取样分析，判断固废特性是</w:t>
      </w:r>
      <w:r>
        <w:rPr>
          <w:rFonts w:hint="default" w:ascii="Times New Roman" w:hAnsi="Times New Roman" w:cs="Times New Roman"/>
          <w:highlight w:val="none"/>
        </w:rPr>
        <w:t>否与合同注明的固</w:t>
      </w:r>
      <w:r>
        <w:rPr>
          <w:rFonts w:hint="default" w:ascii="Times New Roman" w:hAnsi="Times New Roman" w:cs="Times New Roman"/>
        </w:rPr>
        <w:t>废特性一致。危险废物采样和特性分析应符合《工业固体废物采样制样技术规范》（HJ/T20-1998）和《危险废物鉴别技术规范》（HJ/T298-2019）中有关要求，确保所采样品具有代表性。样品采集完成后，需针对《水泥窑协同处置固体废物环境保护技术规范》（HJ662-2013）第5章“固体废物特性要求”的内容开展分析测试。如果发现固废特性不一致，应按照以下方式处置：</w:t>
      </w:r>
    </w:p>
    <w:p w14:paraId="0FD88FAA">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①</w:t>
      </w:r>
      <w:r>
        <w:rPr>
          <w:rFonts w:hint="default" w:ascii="Times New Roman" w:hAnsi="Times New Roman" w:cs="Times New Roman"/>
        </w:rPr>
        <w:t>如果该废物在协同处置企业现有条件下可以进行协同处置，确保在固废分析、运输和协同处置过程中不会对生产安全和环境保护产生不利影响，可以进入协同处置企业</w:t>
      </w:r>
      <w:r>
        <w:rPr>
          <w:rFonts w:hint="default" w:ascii="Times New Roman" w:hAnsi="Times New Roman" w:cs="Times New Roman"/>
          <w:lang w:val="en-US" w:eastAsia="zh-CN"/>
        </w:rPr>
        <w:t>投料</w:t>
      </w:r>
      <w:r>
        <w:rPr>
          <w:rFonts w:hint="default" w:ascii="Times New Roman" w:hAnsi="Times New Roman" w:cs="Times New Roman"/>
        </w:rPr>
        <w:t>区域</w:t>
      </w:r>
      <w:r>
        <w:rPr>
          <w:rFonts w:hint="default" w:ascii="Times New Roman" w:hAnsi="Times New Roman" w:cs="Times New Roman"/>
          <w:lang w:val="en-US" w:eastAsia="zh-CN"/>
        </w:rPr>
        <w:t>或液态废物输送管道</w:t>
      </w:r>
      <w:r>
        <w:rPr>
          <w:rFonts w:hint="default" w:ascii="Times New Roman" w:hAnsi="Times New Roman" w:cs="Times New Roman"/>
        </w:rPr>
        <w:t>，经特性分析鉴别后按照常规程序进行协同处置</w:t>
      </w:r>
      <w:r>
        <w:rPr>
          <w:rFonts w:hint="default" w:ascii="Times New Roman" w:hAnsi="Times New Roman" w:cs="Times New Roman"/>
          <w:lang w:eastAsia="zh-CN"/>
        </w:rPr>
        <w:t>；</w:t>
      </w:r>
    </w:p>
    <w:p w14:paraId="7A124B37">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②</w:t>
      </w:r>
      <w:r>
        <w:rPr>
          <w:rFonts w:hint="default" w:ascii="Times New Roman" w:hAnsi="Times New Roman" w:cs="Times New Roman"/>
        </w:rPr>
        <w:t>如果无法确定废物特性，将该批次废物作为不明性质废物，</w:t>
      </w:r>
      <w:r>
        <w:rPr>
          <w:rFonts w:hint="eastAsia" w:cs="Times New Roman"/>
          <w:lang w:val="en-US" w:eastAsia="zh-CN"/>
        </w:rPr>
        <w:t>在确认其性质之前应单独储存，不明性质废物单独储存时间不得超过一周</w:t>
      </w:r>
      <w:r>
        <w:rPr>
          <w:rFonts w:hint="default" w:ascii="Times New Roman" w:hAnsi="Times New Roman" w:cs="Times New Roman"/>
          <w:lang w:eastAsia="zh-CN"/>
        </w:rPr>
        <w:t>；</w:t>
      </w:r>
    </w:p>
    <w:p w14:paraId="7231FA42">
      <w:pPr>
        <w:pStyle w:val="6"/>
        <w:rPr>
          <w:rFonts w:hint="default" w:ascii="Times New Roman" w:hAnsi="Times New Roman" w:cs="Times New Roman"/>
        </w:rPr>
      </w:pPr>
      <w:r>
        <w:rPr>
          <w:rFonts w:hint="default" w:ascii="Times New Roman" w:hAnsi="Times New Roman" w:cs="Times New Roman"/>
          <w:lang w:val="en-US" w:eastAsia="zh-CN"/>
        </w:rPr>
        <w:t>③</w:t>
      </w:r>
      <w:r>
        <w:rPr>
          <w:rFonts w:hint="default" w:ascii="Times New Roman" w:hAnsi="Times New Roman" w:cs="Times New Roman"/>
        </w:rPr>
        <w:t>如果确定协同处置企业无法处置该批次固体废物，应立即向当地生态环境主管部门报告，并退回到固废产生单位，或送至有关主管部门指定的专业处置单位。必要时应通知当地安全生产行政主管部门和公安部门。</w:t>
      </w:r>
    </w:p>
    <w:p w14:paraId="5A60AADA">
      <w:pPr>
        <w:pStyle w:val="6"/>
        <w:rPr>
          <w:rFonts w:hint="default" w:ascii="Times New Roman" w:hAnsi="Times New Roman" w:cs="Times New Roman"/>
        </w:rPr>
      </w:pPr>
      <w:r>
        <w:rPr>
          <w:rFonts w:hint="default" w:ascii="Times New Roman" w:hAnsi="Times New Roman" w:cs="Times New Roman"/>
        </w:rPr>
        <w:t>协同处置企业应对产废单位的相关信息进行定期的统计分析，评估其管理的能力和固废的稳定性，并根据评估情况可适当减少检验频次。</w:t>
      </w:r>
    </w:p>
    <w:p w14:paraId="540CBA45">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bCs w:val="0"/>
          <w:color w:val="auto"/>
          <w:kern w:val="2"/>
          <w:sz w:val="24"/>
          <w:szCs w:val="24"/>
          <w:highlight w:val="none"/>
          <w:lang w:val="en-US" w:eastAsia="zh-CN"/>
        </w:rPr>
      </w:pPr>
      <w:r>
        <w:rPr>
          <w:rFonts w:hint="eastAsia" w:ascii="Times New Roman" w:hAnsi="Times New Roman" w:cs="Times New Roman"/>
          <w:b/>
          <w:bCs w:val="0"/>
          <w:color w:val="auto"/>
          <w:kern w:val="2"/>
          <w:sz w:val="24"/>
          <w:szCs w:val="24"/>
          <w:highlight w:val="none"/>
          <w:lang w:val="en-US" w:eastAsia="zh-CN"/>
        </w:rPr>
        <w:t>3.8.1.2</w:t>
      </w:r>
      <w:r>
        <w:rPr>
          <w:rFonts w:hint="default" w:ascii="Times New Roman" w:hAnsi="Times New Roman" w:cs="Times New Roman"/>
          <w:b/>
          <w:bCs w:val="0"/>
          <w:color w:val="auto"/>
          <w:kern w:val="2"/>
          <w:sz w:val="24"/>
          <w:szCs w:val="24"/>
          <w:highlight w:val="none"/>
          <w:lang w:val="en-US" w:eastAsia="zh-CN"/>
        </w:rPr>
        <w:t>制定处置方案</w:t>
      </w:r>
    </w:p>
    <w:p w14:paraId="6B2856B5">
      <w:pPr>
        <w:pStyle w:val="6"/>
        <w:rPr>
          <w:rFonts w:hint="default" w:ascii="Times New Roman" w:hAnsi="Times New Roman" w:cs="Times New Roman"/>
        </w:rPr>
      </w:pPr>
      <w:r>
        <w:rPr>
          <w:rFonts w:hint="default" w:ascii="Times New Roman" w:hAnsi="Times New Roman" w:cs="Times New Roman"/>
        </w:rPr>
        <w:t>为保证生产安全，严禁固体废物混合加工</w:t>
      </w:r>
      <w:r>
        <w:rPr>
          <w:rFonts w:hint="default" w:ascii="Times New Roman" w:hAnsi="Times New Roman" w:cs="Times New Roman"/>
          <w:lang w:eastAsia="zh-CN"/>
        </w:rPr>
        <w:t>，</w:t>
      </w:r>
      <w:r>
        <w:rPr>
          <w:rFonts w:hint="default" w:ascii="Times New Roman" w:hAnsi="Times New Roman" w:cs="Times New Roman"/>
        </w:rPr>
        <w:t>本项目涉及的危险废物</w:t>
      </w:r>
      <w:r>
        <w:rPr>
          <w:rFonts w:hint="eastAsia" w:ascii="Times New Roman" w:hAnsi="Times New Roman" w:cs="Times New Roman"/>
          <w:lang w:val="en-US" w:eastAsia="zh-CN"/>
        </w:rPr>
        <w:t>类型</w:t>
      </w:r>
      <w:r>
        <w:rPr>
          <w:rFonts w:hint="default" w:ascii="Times New Roman" w:hAnsi="Times New Roman" w:cs="Times New Roman"/>
          <w:lang w:val="en-US" w:eastAsia="zh-CN"/>
        </w:rPr>
        <w:t>单一，</w:t>
      </w:r>
      <w:r>
        <w:rPr>
          <w:rFonts w:hint="default" w:ascii="Times New Roman" w:hAnsi="Times New Roman" w:cs="Times New Roman"/>
        </w:rPr>
        <w:t>危险废物性质较稳定，</w:t>
      </w:r>
      <w:r>
        <w:rPr>
          <w:rFonts w:hint="default" w:ascii="Times New Roman" w:hAnsi="Times New Roman" w:cs="Times New Roman"/>
          <w:lang w:val="en-US" w:eastAsia="zh-CN"/>
        </w:rPr>
        <w:t>不存在</w:t>
      </w:r>
      <w:r>
        <w:rPr>
          <w:rFonts w:hint="default" w:ascii="Times New Roman" w:hAnsi="Times New Roman" w:cs="Times New Roman"/>
        </w:rPr>
        <w:t>混合</w:t>
      </w:r>
      <w:r>
        <w:rPr>
          <w:rFonts w:hint="default" w:ascii="Times New Roman" w:hAnsi="Times New Roman" w:cs="Times New Roman"/>
          <w:lang w:val="en-US" w:eastAsia="zh-CN"/>
        </w:rPr>
        <w:t>物料的情况，固体废物和液体废物分析化验结果满足入窑要求后采取相应的处置方式入窑</w:t>
      </w:r>
      <w:r>
        <w:rPr>
          <w:rFonts w:hint="default" w:ascii="Times New Roman" w:hAnsi="Times New Roman" w:cs="Times New Roman"/>
        </w:rPr>
        <w:t>焚烧</w:t>
      </w:r>
      <w:r>
        <w:rPr>
          <w:rFonts w:hint="default" w:ascii="Times New Roman" w:hAnsi="Times New Roman" w:cs="Times New Roman"/>
          <w:lang w:val="en-US" w:eastAsia="zh-CN"/>
        </w:rPr>
        <w:t>，焚烧过程中</w:t>
      </w:r>
      <w:r>
        <w:rPr>
          <w:rFonts w:hint="default" w:ascii="Times New Roman" w:hAnsi="Times New Roman" w:cs="Times New Roman"/>
        </w:rPr>
        <w:t>不</w:t>
      </w:r>
      <w:r>
        <w:rPr>
          <w:rFonts w:hint="default" w:ascii="Times New Roman" w:hAnsi="Times New Roman" w:cs="Times New Roman"/>
          <w:lang w:val="en-US" w:eastAsia="zh-CN"/>
        </w:rPr>
        <w:t>会</w:t>
      </w:r>
      <w:r>
        <w:rPr>
          <w:rFonts w:hint="default" w:ascii="Times New Roman" w:hAnsi="Times New Roman" w:cs="Times New Roman"/>
        </w:rPr>
        <w:t>发生导致急剧增温、爆炸、燃烧的化学反应，不产生有害气体。危险废物在厂内运输和入窑焚烧过程中不对所接触材料造成腐蚀破坏。入窑危险废物中有害物质的含量和投加速率满足本标准相关要求，防止对水泥生产和水泥质量造成不利影响。危险废物入厂检查和检验结果应该记录备案，与危险废物协同处置方案共同入档保存。入厂检查和检验结果记录及危险废物协同处置方案的保存时间不应低于3年。</w:t>
      </w:r>
    </w:p>
    <w:p w14:paraId="0E8F73B8">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bCs w:val="0"/>
          <w:color w:val="auto"/>
          <w:kern w:val="2"/>
          <w:sz w:val="24"/>
          <w:szCs w:val="24"/>
          <w:highlight w:val="none"/>
          <w:lang w:val="en-US" w:eastAsia="zh-CN"/>
        </w:rPr>
      </w:pPr>
      <w:r>
        <w:rPr>
          <w:rFonts w:hint="eastAsia" w:ascii="Times New Roman" w:hAnsi="Times New Roman" w:cs="Times New Roman"/>
          <w:b/>
          <w:bCs w:val="0"/>
          <w:color w:val="auto"/>
          <w:kern w:val="2"/>
          <w:sz w:val="24"/>
          <w:szCs w:val="24"/>
          <w:highlight w:val="none"/>
          <w:lang w:val="en-US" w:eastAsia="zh-CN"/>
        </w:rPr>
        <w:t>3.8.1.3</w:t>
      </w:r>
      <w:r>
        <w:rPr>
          <w:rFonts w:hint="default" w:ascii="Times New Roman" w:hAnsi="Times New Roman" w:cs="Times New Roman"/>
          <w:b/>
          <w:bCs w:val="0"/>
          <w:color w:val="auto"/>
          <w:kern w:val="2"/>
          <w:sz w:val="24"/>
          <w:szCs w:val="24"/>
          <w:highlight w:val="none"/>
          <w:lang w:val="en-US" w:eastAsia="zh-CN"/>
        </w:rPr>
        <w:t>危险废物厂内输送</w:t>
      </w:r>
    </w:p>
    <w:p w14:paraId="6AF03970">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①</w:t>
      </w:r>
      <w:r>
        <w:rPr>
          <w:rFonts w:hint="default" w:ascii="Times New Roman" w:hAnsi="Times New Roman" w:cs="Times New Roman"/>
        </w:rPr>
        <w:t>在危险废物装卸场所、投加区域等各个区域之间，根据危险废物特性和设施要求配备必要的输送设备</w:t>
      </w:r>
      <w:r>
        <w:rPr>
          <w:rFonts w:hint="default" w:ascii="Times New Roman" w:hAnsi="Times New Roman" w:cs="Times New Roman"/>
          <w:lang w:eastAsia="zh-CN"/>
        </w:rPr>
        <w:t>；</w:t>
      </w:r>
    </w:p>
    <w:p w14:paraId="3F6D5942">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②</w:t>
      </w:r>
      <w:r>
        <w:rPr>
          <w:rFonts w:hint="default" w:ascii="Times New Roman" w:hAnsi="Times New Roman" w:cs="Times New Roman"/>
        </w:rPr>
        <w:t>危险废物的物流出入口以及转运、输送路线远离办公和生活服务设施</w:t>
      </w:r>
      <w:r>
        <w:rPr>
          <w:rFonts w:hint="default" w:ascii="Times New Roman" w:hAnsi="Times New Roman" w:cs="Times New Roman"/>
          <w:lang w:eastAsia="zh-CN"/>
        </w:rPr>
        <w:t>；</w:t>
      </w:r>
    </w:p>
    <w:p w14:paraId="42A495F9">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③</w:t>
      </w:r>
      <w:r>
        <w:rPr>
          <w:rFonts w:hint="default" w:ascii="Times New Roman" w:hAnsi="Times New Roman" w:cs="Times New Roman"/>
        </w:rPr>
        <w:t>输送设备所用材料适应危险废物特性，确保不被腐蚀和不与危险废物发生任何反应</w:t>
      </w:r>
      <w:r>
        <w:rPr>
          <w:rFonts w:hint="default" w:ascii="Times New Roman" w:hAnsi="Times New Roman" w:cs="Times New Roman"/>
          <w:lang w:eastAsia="zh-CN"/>
        </w:rPr>
        <w:t>；</w:t>
      </w:r>
    </w:p>
    <w:p w14:paraId="3B864F1F">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④</w:t>
      </w:r>
      <w:r>
        <w:rPr>
          <w:rFonts w:hint="default" w:ascii="Times New Roman" w:hAnsi="Times New Roman" w:cs="Times New Roman"/>
        </w:rPr>
        <w:t>管道输送设备保持良好的密闭性能，防止危险废物的滴漏和溢出</w:t>
      </w:r>
      <w:r>
        <w:rPr>
          <w:rFonts w:hint="default" w:ascii="Times New Roman" w:hAnsi="Times New Roman" w:cs="Times New Roman"/>
          <w:lang w:eastAsia="zh-CN"/>
        </w:rPr>
        <w:t>；</w:t>
      </w:r>
    </w:p>
    <w:p w14:paraId="4A47DD00">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⑤</w:t>
      </w:r>
      <w:r>
        <w:rPr>
          <w:rFonts w:hint="default" w:ascii="Times New Roman" w:hAnsi="Times New Roman" w:cs="Times New Roman"/>
        </w:rPr>
        <w:t>非密闭输送设备采取防护措施（如加设防护罩），防止粉尘飘散</w:t>
      </w:r>
      <w:r>
        <w:rPr>
          <w:rFonts w:hint="default" w:ascii="Times New Roman" w:hAnsi="Times New Roman" w:cs="Times New Roman"/>
          <w:lang w:eastAsia="zh-CN"/>
        </w:rPr>
        <w:t>；</w:t>
      </w:r>
    </w:p>
    <w:p w14:paraId="4F898D53">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⑥</w:t>
      </w:r>
      <w:r>
        <w:rPr>
          <w:rFonts w:hint="default" w:ascii="Times New Roman" w:hAnsi="Times New Roman" w:cs="Times New Roman"/>
        </w:rPr>
        <w:t>移动式输送设备，采取措施防止粉尘飘散和危险废物遗撒</w:t>
      </w:r>
      <w:r>
        <w:rPr>
          <w:rFonts w:hint="default" w:ascii="Times New Roman" w:hAnsi="Times New Roman" w:cs="Times New Roman"/>
          <w:lang w:eastAsia="zh-CN"/>
        </w:rPr>
        <w:t>；</w:t>
      </w:r>
    </w:p>
    <w:p w14:paraId="4ACC9AFD">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⑦</w:t>
      </w:r>
      <w:r>
        <w:rPr>
          <w:rFonts w:hint="default" w:ascii="Times New Roman" w:hAnsi="Times New Roman" w:cs="Times New Roman"/>
        </w:rPr>
        <w:t>厂内输送危险废物的管道、传送带在显眼处标有安全警告信息</w:t>
      </w:r>
      <w:r>
        <w:rPr>
          <w:rFonts w:hint="default" w:ascii="Times New Roman" w:hAnsi="Times New Roman" w:cs="Times New Roman"/>
          <w:lang w:eastAsia="zh-CN"/>
        </w:rPr>
        <w:t>；</w:t>
      </w:r>
    </w:p>
    <w:p w14:paraId="24125D1C">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⑧</w:t>
      </w:r>
      <w:r>
        <w:rPr>
          <w:rFonts w:hint="default" w:ascii="Times New Roman" w:hAnsi="Times New Roman" w:cs="Times New Roman"/>
        </w:rPr>
        <w:t>在进行危险废物的厂内输送时，采取必要的措施防止危险废物的扬尘、溢出和泄漏</w:t>
      </w:r>
      <w:r>
        <w:rPr>
          <w:rFonts w:hint="default" w:ascii="Times New Roman" w:hAnsi="Times New Roman" w:cs="Times New Roman"/>
          <w:lang w:eastAsia="zh-CN"/>
        </w:rPr>
        <w:t>；</w:t>
      </w:r>
    </w:p>
    <w:p w14:paraId="7F3FD634">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⑨</w:t>
      </w:r>
      <w:r>
        <w:rPr>
          <w:rFonts w:hint="default" w:ascii="Times New Roman" w:hAnsi="Times New Roman" w:cs="Times New Roman"/>
        </w:rPr>
        <w:t>危险废物运输车辆定期进行清洗</w:t>
      </w:r>
      <w:r>
        <w:rPr>
          <w:rFonts w:hint="default" w:ascii="Times New Roman" w:hAnsi="Times New Roman" w:cs="Times New Roman"/>
          <w:lang w:eastAsia="zh-CN"/>
        </w:rPr>
        <w:t>；</w:t>
      </w:r>
    </w:p>
    <w:p w14:paraId="248D42E5">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⑩</w:t>
      </w:r>
      <w:r>
        <w:rPr>
          <w:rFonts w:hint="default" w:ascii="Times New Roman" w:hAnsi="Times New Roman" w:cs="Times New Roman"/>
        </w:rPr>
        <w:t>采用车辆在厂内运输危险废物时，按照运输车辆的专用路线行驶</w:t>
      </w:r>
      <w:r>
        <w:rPr>
          <w:rFonts w:hint="default" w:ascii="Times New Roman" w:hAnsi="Times New Roman" w:cs="Times New Roman"/>
          <w:lang w:eastAsia="zh-CN"/>
        </w:rPr>
        <w:t>；</w:t>
      </w:r>
    </w:p>
    <w:p w14:paraId="3C720911">
      <w:pPr>
        <w:pStyle w:val="6"/>
        <w:rPr>
          <w:rFonts w:hint="default" w:ascii="Times New Roman" w:hAnsi="Times New Roman" w:cs="Times New Roman"/>
        </w:rPr>
      </w:pPr>
      <w:r>
        <w:rPr>
          <w:rFonts w:hint="default" w:ascii="Times New Roman" w:hAnsi="Times New Roman" w:cs="Times New Roman"/>
          <w:lang w:val="en-US" w:eastAsia="zh-CN"/>
        </w:rPr>
        <w:t>⑪厂</w:t>
      </w:r>
      <w:r>
        <w:rPr>
          <w:rFonts w:hint="default" w:ascii="Times New Roman" w:hAnsi="Times New Roman" w:cs="Times New Roman"/>
        </w:rPr>
        <w:t>内危险废物输送设施管理、维护产生的各种废物均应作为危险废物进行管理和处置。</w:t>
      </w:r>
    </w:p>
    <w:p w14:paraId="0B30C45D">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bCs w:val="0"/>
          <w:color w:val="auto"/>
          <w:kern w:val="2"/>
          <w:sz w:val="24"/>
          <w:szCs w:val="24"/>
          <w:highlight w:val="none"/>
          <w:lang w:val="en-US" w:eastAsia="zh-CN"/>
        </w:rPr>
      </w:pPr>
      <w:r>
        <w:rPr>
          <w:rFonts w:hint="eastAsia" w:ascii="Times New Roman" w:hAnsi="Times New Roman" w:cs="Times New Roman"/>
          <w:b/>
          <w:bCs w:val="0"/>
          <w:color w:val="auto"/>
          <w:kern w:val="2"/>
          <w:sz w:val="24"/>
          <w:szCs w:val="24"/>
          <w:highlight w:val="none"/>
          <w:lang w:val="en-US" w:eastAsia="zh-CN"/>
        </w:rPr>
        <w:t>3.8.1.4</w:t>
      </w:r>
      <w:r>
        <w:rPr>
          <w:rFonts w:hint="default" w:ascii="Times New Roman" w:hAnsi="Times New Roman" w:cs="Times New Roman"/>
          <w:b/>
          <w:bCs w:val="0"/>
          <w:color w:val="auto"/>
          <w:kern w:val="2"/>
          <w:sz w:val="24"/>
          <w:szCs w:val="24"/>
          <w:highlight w:val="none"/>
          <w:lang w:val="en-US" w:eastAsia="zh-CN"/>
        </w:rPr>
        <w:t>危险废物贮存</w:t>
      </w:r>
    </w:p>
    <w:p w14:paraId="6C42F250">
      <w:pPr>
        <w:pStyle w:val="6"/>
        <w:rPr>
          <w:rFonts w:hint="default" w:ascii="Times New Roman" w:hAnsi="Times New Roman" w:cs="Times New Roman"/>
        </w:rPr>
      </w:pPr>
      <w:r>
        <w:rPr>
          <w:rFonts w:hint="default" w:ascii="Times New Roman" w:hAnsi="Times New Roman" w:cs="Times New Roman"/>
        </w:rPr>
        <w:t>按照《水泥窑协同处置固体废物环境保护技术规范》（HJ662-2013）要求进行危险废物贮存。固体废物贮存设施专门建设，以保证固体废物不与水泥生产原料、燃料和产品混合贮存。</w:t>
      </w:r>
    </w:p>
    <w:p w14:paraId="3C7323F5">
      <w:pPr>
        <w:pStyle w:val="6"/>
        <w:numPr>
          <w:ilvl w:val="0"/>
          <w:numId w:val="0"/>
        </w:numPr>
        <w:ind w:firstLine="480" w:firstLineChars="200"/>
        <w:rPr>
          <w:rFonts w:hint="default" w:ascii="Times New Roman" w:hAnsi="Times New Roman" w:cs="Times New Roman"/>
          <w:lang w:eastAsia="zh-CN"/>
        </w:rPr>
      </w:pPr>
      <w:r>
        <w:rPr>
          <w:rFonts w:hint="default" w:ascii="Times New Roman" w:hAnsi="Times New Roman" w:cs="Times New Roman"/>
          <w:lang w:val="en-US" w:eastAsia="zh-CN"/>
        </w:rPr>
        <w:t>①</w:t>
      </w:r>
      <w:r>
        <w:rPr>
          <w:rFonts w:hint="default" w:ascii="Times New Roman" w:hAnsi="Times New Roman" w:cs="Times New Roman"/>
          <w:color w:val="auto"/>
        </w:rPr>
        <w:t>项目在厂区</w:t>
      </w:r>
      <w:r>
        <w:rPr>
          <w:rFonts w:hint="default" w:ascii="Times New Roman" w:hAnsi="Times New Roman" w:cs="Times New Roman"/>
          <w:color w:val="auto"/>
          <w:lang w:val="en-US" w:eastAsia="zh-CN"/>
        </w:rPr>
        <w:t>内不</w:t>
      </w:r>
      <w:r>
        <w:rPr>
          <w:rFonts w:hint="default" w:ascii="Times New Roman" w:hAnsi="Times New Roman" w:cs="Times New Roman"/>
          <w:color w:val="auto"/>
        </w:rPr>
        <w:t>设置危废贮存库</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新疆兴发化工有限公司紧邻本项目厂区，</w:t>
      </w:r>
      <w:r>
        <w:rPr>
          <w:rFonts w:hint="eastAsia" w:ascii="Times New Roman" w:hAnsi="Times New Roman" w:cs="Times New Roman"/>
          <w:color w:val="auto"/>
          <w:lang w:val="en-US" w:eastAsia="zh-CN"/>
        </w:rPr>
        <w:t>其中</w:t>
      </w:r>
      <w:r>
        <w:rPr>
          <w:rFonts w:hint="default" w:ascii="Times New Roman" w:hAnsi="Times New Roman" w:cs="Times New Roman"/>
          <w:color w:val="auto"/>
          <w:lang w:val="en-US" w:eastAsia="zh-CN"/>
        </w:rPr>
        <w:t>液态危险废物</w:t>
      </w:r>
      <w:r>
        <w:rPr>
          <w:rFonts w:hint="eastAsia" w:ascii="Times New Roman" w:hAnsi="Times New Roman" w:cs="Times New Roman"/>
          <w:color w:val="auto"/>
          <w:lang w:val="en-US" w:eastAsia="zh-CN"/>
        </w:rPr>
        <w:t>储存在</w:t>
      </w:r>
      <w:r>
        <w:rPr>
          <w:rFonts w:hint="default" w:ascii="Times New Roman" w:hAnsi="Times New Roman" w:cs="Times New Roman"/>
          <w:color w:val="auto"/>
          <w:lang w:val="en-US" w:eastAsia="zh-CN"/>
        </w:rPr>
        <w:t>新疆兴发化工有限公司废液暂存罐内</w:t>
      </w:r>
      <w:r>
        <w:rPr>
          <w:rFonts w:hint="eastAsia" w:ascii="Times New Roman" w:hAnsi="Times New Roman" w:cs="Times New Roman"/>
          <w:color w:val="auto"/>
          <w:lang w:val="en-US" w:eastAsia="zh-CN"/>
        </w:rPr>
        <w:t>，需处置时</w:t>
      </w:r>
      <w:r>
        <w:rPr>
          <w:rFonts w:hint="default" w:ascii="Times New Roman" w:hAnsi="Times New Roman" w:cs="Times New Roman"/>
          <w:color w:val="auto"/>
          <w:lang w:val="en-US" w:eastAsia="zh-CN"/>
        </w:rPr>
        <w:t>采用</w:t>
      </w:r>
      <w:r>
        <w:rPr>
          <w:rFonts w:hint="eastAsia" w:cs="Times New Roman"/>
          <w:color w:val="auto"/>
          <w:lang w:val="en-US" w:eastAsia="zh-CN"/>
        </w:rPr>
        <w:t>架空管道密闭输送进入项目厂区内</w:t>
      </w:r>
      <w:r>
        <w:rPr>
          <w:rFonts w:hint="default" w:ascii="Times New Roman" w:hAnsi="Times New Roman" w:cs="Times New Roman"/>
          <w:color w:val="auto"/>
          <w:lang w:val="en-US" w:eastAsia="zh-CN"/>
        </w:rPr>
        <w:t>，固态危险废物贮存在新疆兴发化工有限公司危废贮存库内，经取样化验符合要求的危险废物采用叉车</w:t>
      </w:r>
      <w:r>
        <w:rPr>
          <w:rFonts w:hint="eastAsia" w:cs="Times New Roman"/>
          <w:color w:val="auto"/>
          <w:lang w:val="en-US" w:eastAsia="zh-CN"/>
        </w:rPr>
        <w:t>沿设定</w:t>
      </w:r>
      <w:r>
        <w:rPr>
          <w:rFonts w:hint="default" w:ascii="Times New Roman" w:hAnsi="Times New Roman" w:cs="Times New Roman"/>
          <w:color w:val="auto"/>
          <w:lang w:val="en-US" w:eastAsia="zh-CN"/>
        </w:rPr>
        <w:t>路线运至</w:t>
      </w:r>
      <w:r>
        <w:rPr>
          <w:rFonts w:hint="eastAsia" w:cs="Times New Roman"/>
          <w:color w:val="auto"/>
          <w:lang w:val="en-US" w:eastAsia="zh-CN"/>
        </w:rPr>
        <w:t>投料车间</w:t>
      </w:r>
      <w:r>
        <w:rPr>
          <w:rFonts w:hint="default" w:ascii="Times New Roman" w:hAnsi="Times New Roman" w:cs="Times New Roman"/>
          <w:lang w:val="en-US" w:eastAsia="zh-CN"/>
        </w:rPr>
        <w:t>；</w:t>
      </w:r>
    </w:p>
    <w:p w14:paraId="530078D0">
      <w:pPr>
        <w:pStyle w:val="6"/>
        <w:numPr>
          <w:ilvl w:val="0"/>
          <w:numId w:val="0"/>
        </w:numPr>
        <w:ind w:firstLine="480" w:firstLineChars="200"/>
        <w:rPr>
          <w:rFonts w:hint="default" w:ascii="Times New Roman" w:hAnsi="Times New Roman" w:eastAsia="宋体" w:cs="Times New Roman"/>
          <w:lang w:eastAsia="zh-CN"/>
        </w:rPr>
      </w:pPr>
      <w:r>
        <w:rPr>
          <w:rFonts w:hint="default" w:ascii="Times New Roman" w:hAnsi="Times New Roman" w:cs="Times New Roman"/>
          <w:lang w:val="en-US" w:eastAsia="zh-CN"/>
        </w:rPr>
        <w:t>②本项目依托新疆兴发化工有限公司现有</w:t>
      </w:r>
      <w:r>
        <w:rPr>
          <w:rFonts w:hint="eastAsia" w:cs="Times New Roman"/>
          <w:lang w:val="en-US" w:eastAsia="zh-CN"/>
        </w:rPr>
        <w:t>危险废物贮存库</w:t>
      </w:r>
      <w:r>
        <w:rPr>
          <w:rFonts w:hint="default" w:ascii="Times New Roman" w:hAnsi="Times New Roman" w:cs="Times New Roman"/>
          <w:lang w:val="en-US" w:eastAsia="zh-CN"/>
        </w:rPr>
        <w:t>，</w:t>
      </w:r>
      <w:r>
        <w:rPr>
          <w:rFonts w:hint="default" w:ascii="Times New Roman" w:hAnsi="Times New Roman" w:cs="Times New Roman"/>
        </w:rPr>
        <w:t>专门用于贮存拟处置的危险废物，贮存吨箱、铁桶装的液态废物；吨袋、铁桶、铁箱或打包后的固态废物</w:t>
      </w:r>
      <w:r>
        <w:rPr>
          <w:rFonts w:hint="default" w:ascii="Times New Roman" w:hAnsi="Times New Roman" w:cs="Times New Roman"/>
          <w:lang w:eastAsia="zh-CN"/>
        </w:rPr>
        <w:t>；</w:t>
      </w:r>
    </w:p>
    <w:p w14:paraId="0E7F7C2B">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③依托的</w:t>
      </w:r>
      <w:r>
        <w:rPr>
          <w:rFonts w:hint="default" w:ascii="Times New Roman" w:hAnsi="Times New Roman" w:cs="Times New Roman"/>
        </w:rPr>
        <w:t>固体废物贮存设施符合GB50016等相关消防规范的要求。与水泥窑窑体、分解炉和预热器保持一定的安全距离；贮存设施内张贴严禁烟火的明显标识；根据固体废物特性、贮存和卸载区条件配置相应的消防警报设备和灭火器材；贮存设施中的电子设备接地，并装备抗静电设备；设置防爆通讯设备并保持通畅完好</w:t>
      </w:r>
      <w:r>
        <w:rPr>
          <w:rFonts w:hint="default" w:ascii="Times New Roman" w:hAnsi="Times New Roman" w:cs="Times New Roman"/>
          <w:lang w:eastAsia="zh-CN"/>
        </w:rPr>
        <w:t>；</w:t>
      </w:r>
    </w:p>
    <w:p w14:paraId="62D66FB0">
      <w:pPr>
        <w:pStyle w:val="6"/>
        <w:rPr>
          <w:rFonts w:hint="default" w:ascii="Times New Roman" w:hAnsi="Times New Roman" w:eastAsia="宋体" w:cs="Times New Roman"/>
          <w:sz w:val="21"/>
          <w:szCs w:val="21"/>
          <w:lang w:eastAsia="zh-CN"/>
        </w:rPr>
      </w:pPr>
      <w:r>
        <w:rPr>
          <w:rFonts w:hint="default" w:ascii="Times New Roman" w:hAnsi="Times New Roman" w:cs="Times New Roman"/>
          <w:lang w:val="en-US" w:eastAsia="zh-CN"/>
        </w:rPr>
        <w:t>④依托</w:t>
      </w:r>
      <w:r>
        <w:rPr>
          <w:rFonts w:hint="default" w:ascii="Times New Roman" w:hAnsi="Times New Roman" w:cs="Times New Roman"/>
        </w:rPr>
        <w:t>危险废物贮存设施的安全防护、污染防治等满足GB18597和HJT176中的相关要求；危险废物贮存区标有明确的安全警告和清晰的撤离路线；危险废物贮存区及附近配备紧急人体清洗冲淋设施，并标明用途</w:t>
      </w:r>
      <w:r>
        <w:rPr>
          <w:rFonts w:hint="default" w:ascii="Times New Roman" w:hAnsi="Times New Roman" w:cs="Times New Roman"/>
          <w:lang w:eastAsia="zh-CN"/>
        </w:rPr>
        <w:t>；</w:t>
      </w:r>
    </w:p>
    <w:p w14:paraId="6852DAD3">
      <w:pPr>
        <w:pStyle w:val="6"/>
        <w:rPr>
          <w:rFonts w:hint="default" w:ascii="Times New Roman" w:hAnsi="Times New Roman" w:cs="Times New Roman"/>
        </w:rPr>
      </w:pPr>
      <w:r>
        <w:rPr>
          <w:rFonts w:hint="default" w:ascii="Times New Roman" w:hAnsi="Times New Roman" w:cs="Times New Roman"/>
          <w:lang w:val="en-US" w:eastAsia="zh-CN"/>
        </w:rPr>
        <w:t>⑤</w:t>
      </w:r>
      <w:r>
        <w:rPr>
          <w:rFonts w:hint="default" w:ascii="Times New Roman" w:hAnsi="Times New Roman" w:cs="Times New Roman"/>
        </w:rPr>
        <w:t>除上述规定之外的其他固体废物贮存设施均有良好的防滲性能，以及必要的防雨、防尘功能。地沟和地面防渗，满足《环境影响评价技术导则 地下水环境》（HJ610-2016）中对基础层的防渗要求。</w:t>
      </w:r>
    </w:p>
    <w:p w14:paraId="44DD80A0">
      <w:pPr>
        <w:pStyle w:val="6"/>
        <w:rPr>
          <w:rFonts w:hint="default" w:ascii="Times New Roman" w:hAnsi="Times New Roman" w:cs="Times New Roman"/>
          <w:szCs w:val="24"/>
        </w:rPr>
      </w:pPr>
      <w:r>
        <w:rPr>
          <w:rFonts w:hint="default" w:ascii="Times New Roman" w:hAnsi="Times New Roman" w:cs="Times New Roman"/>
          <w:szCs w:val="24"/>
          <w:lang w:val="en-US"/>
        </w:rPr>
        <w:t>《水泥窑协同处置危险废物经营许可证审查指南（试行）》（环境保护部公告2017年第22号）</w:t>
      </w:r>
      <w:r>
        <w:rPr>
          <w:rFonts w:hint="default" w:ascii="Times New Roman" w:hAnsi="Times New Roman" w:cs="Times New Roman"/>
          <w:szCs w:val="24"/>
        </w:rPr>
        <w:t>规定：</w:t>
      </w:r>
      <w:r>
        <w:rPr>
          <w:rFonts w:hint="default" w:ascii="Times New Roman" w:hAnsi="Times New Roman" w:cs="Times New Roman"/>
          <w:szCs w:val="24"/>
          <w:lang w:val="en-US"/>
        </w:rPr>
        <w:t>采用集中经营模式时，对于仅有一条协同处置危险废物水泥生产线的水泥生产企业，危险废物贮存设施容量应不小于危险废物日协同处置能力的10倍</w:t>
      </w:r>
      <w:r>
        <w:rPr>
          <w:rFonts w:hint="default" w:ascii="Times New Roman" w:hAnsi="Times New Roman" w:cs="Times New Roman"/>
          <w:szCs w:val="24"/>
        </w:rPr>
        <w:t>。</w:t>
      </w:r>
      <w:r>
        <w:rPr>
          <w:rFonts w:hint="default" w:ascii="Times New Roman" w:hAnsi="Times New Roman" w:cs="Times New Roman"/>
          <w:lang w:val="en-US" w:eastAsia="zh-CN"/>
        </w:rPr>
        <w:t>本项目不设置危险废物贮存库，依托新疆兴发化工有限公司现有危废暂存设</w:t>
      </w:r>
      <w:r>
        <w:rPr>
          <w:rFonts w:hint="default" w:ascii="Times New Roman" w:hAnsi="Times New Roman" w:cs="Times New Roman"/>
          <w:highlight w:val="none"/>
          <w:lang w:val="en-US" w:eastAsia="zh-CN"/>
        </w:rPr>
        <w:t>施</w:t>
      </w:r>
      <w:r>
        <w:rPr>
          <w:rFonts w:hint="default" w:ascii="Times New Roman" w:hAnsi="Times New Roman" w:cs="Times New Roman"/>
          <w:szCs w:val="24"/>
          <w:highlight w:val="none"/>
        </w:rPr>
        <w:t>。根</w:t>
      </w:r>
      <w:r>
        <w:rPr>
          <w:rFonts w:hint="default" w:ascii="Times New Roman" w:hAnsi="Times New Roman" w:cs="Times New Roman"/>
          <w:szCs w:val="24"/>
        </w:rPr>
        <w:t>据《关于下达2024至2025年水泥错峰生产计划的通知》（新工信建材〔2024〕7号），有全年协同处置城市生活垃圾及有毒有害废弃物等任务的生产线可以不进行错峰生产，但要适当降低水泥生产负荷。企业应根据生产计划合理安排危险废物</w:t>
      </w:r>
      <w:r>
        <w:rPr>
          <w:rFonts w:hint="default" w:ascii="Times New Roman" w:hAnsi="Times New Roman" w:cs="Times New Roman"/>
          <w:szCs w:val="24"/>
          <w:lang w:val="en-US" w:eastAsia="zh-CN"/>
        </w:rPr>
        <w:t>处置工作</w:t>
      </w:r>
      <w:r>
        <w:rPr>
          <w:rFonts w:hint="default" w:ascii="Times New Roman" w:hAnsi="Times New Roman" w:cs="Times New Roman"/>
          <w:szCs w:val="24"/>
        </w:rPr>
        <w:t>，严禁超处置能力接收危险废物。</w:t>
      </w:r>
    </w:p>
    <w:p w14:paraId="7443A3B1">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eastAsia" w:ascii="Times New Roman" w:hAnsi="Times New Roman" w:cs="Times New Roman"/>
          <w:b/>
          <w:bCs w:val="0"/>
          <w:color w:val="auto"/>
          <w:kern w:val="2"/>
          <w:sz w:val="24"/>
          <w:szCs w:val="24"/>
          <w:highlight w:val="none"/>
          <w:lang w:val="en-US" w:eastAsia="zh-CN"/>
        </w:rPr>
      </w:pPr>
      <w:r>
        <w:rPr>
          <w:rFonts w:hint="eastAsia" w:ascii="Times New Roman" w:hAnsi="Times New Roman" w:cs="Times New Roman"/>
          <w:b/>
          <w:bCs w:val="0"/>
          <w:color w:val="auto"/>
          <w:kern w:val="2"/>
          <w:sz w:val="24"/>
          <w:szCs w:val="24"/>
          <w:highlight w:val="none"/>
          <w:lang w:val="en-US" w:eastAsia="zh-CN"/>
        </w:rPr>
        <w:t>3.8.1.5危险废物预处理</w:t>
      </w:r>
    </w:p>
    <w:p w14:paraId="5FC842B7">
      <w:pPr>
        <w:pStyle w:val="6"/>
        <w:rPr>
          <w:rFonts w:hint="eastAsia"/>
          <w:color w:val="auto"/>
          <w:lang w:val="en-US" w:eastAsia="zh-CN"/>
        </w:rPr>
      </w:pPr>
      <w:r>
        <w:rPr>
          <w:rFonts w:hint="eastAsia"/>
          <w:color w:val="auto"/>
          <w:lang w:val="en-US" w:eastAsia="zh-CN"/>
        </w:rPr>
        <w:t>本项目拟处置</w:t>
      </w:r>
      <w:r>
        <w:rPr>
          <w:color w:val="auto"/>
        </w:rPr>
        <w:t>危险废物从形态上分类，包括固态危险废物和液态危险废物</w:t>
      </w:r>
      <w:r>
        <w:rPr>
          <w:rFonts w:hint="eastAsia"/>
          <w:color w:val="auto"/>
          <w:lang w:val="en-US" w:eastAsia="zh-CN"/>
        </w:rPr>
        <w:t>两</w:t>
      </w:r>
      <w:r>
        <w:rPr>
          <w:color w:val="auto"/>
        </w:rPr>
        <w:t>种</w:t>
      </w:r>
      <w:r>
        <w:rPr>
          <w:rFonts w:hint="eastAsia"/>
          <w:color w:val="auto"/>
          <w:lang w:eastAsia="zh-CN"/>
        </w:rPr>
        <w:t>，</w:t>
      </w:r>
      <w:r>
        <w:rPr>
          <w:color w:val="auto"/>
        </w:rPr>
        <w:t>项目为</w:t>
      </w:r>
      <w:r>
        <w:rPr>
          <w:rFonts w:hint="eastAsia"/>
          <w:color w:val="auto"/>
          <w:lang w:eastAsia="zh-CN"/>
        </w:rPr>
        <w:t>“</w:t>
      </w:r>
      <w:r>
        <w:rPr>
          <w:rFonts w:hint="eastAsia"/>
          <w:color w:val="auto"/>
          <w:lang w:val="en-US" w:eastAsia="zh-CN"/>
        </w:rPr>
        <w:t>点对点</w:t>
      </w:r>
      <w:r>
        <w:rPr>
          <w:rFonts w:hint="eastAsia"/>
          <w:color w:val="auto"/>
          <w:lang w:eastAsia="zh-CN"/>
        </w:rPr>
        <w:t>”</w:t>
      </w:r>
      <w:r>
        <w:rPr>
          <w:rFonts w:hint="eastAsia"/>
          <w:color w:val="auto"/>
          <w:lang w:val="en-US" w:eastAsia="zh-CN"/>
        </w:rPr>
        <w:t>处置模式</w:t>
      </w:r>
      <w:r>
        <w:rPr>
          <w:rFonts w:hint="eastAsia"/>
          <w:color w:val="auto"/>
          <w:lang w:eastAsia="zh-CN"/>
        </w:rPr>
        <w:t>，</w:t>
      </w:r>
      <w:r>
        <w:rPr>
          <w:rFonts w:hint="eastAsia"/>
          <w:color w:val="auto"/>
          <w:lang w:val="en-US" w:eastAsia="zh-CN"/>
        </w:rPr>
        <w:t>处置的危险废物种类较为单一，且液态危险废物采用架空管道直接密闭输送进入窑内处置，故本项目仅固态废物需要预处理。</w:t>
      </w:r>
    </w:p>
    <w:p w14:paraId="323F2835">
      <w:pPr>
        <w:pStyle w:val="6"/>
        <w:rPr>
          <w:color w:val="auto"/>
        </w:rPr>
      </w:pPr>
      <w:r>
        <w:rPr>
          <w:color w:val="auto"/>
        </w:rPr>
        <w:t>固态危险废物经拆包后，</w:t>
      </w:r>
      <w:r>
        <w:rPr>
          <w:rFonts w:hint="eastAsia"/>
          <w:color w:val="auto"/>
          <w:lang w:val="en-US" w:eastAsia="zh-CN"/>
        </w:rPr>
        <w:t>通过板喂机投料</w:t>
      </w:r>
      <w:r>
        <w:rPr>
          <w:color w:val="auto"/>
        </w:rPr>
        <w:t>进入</w:t>
      </w:r>
      <w:r>
        <w:rPr>
          <w:rFonts w:hint="eastAsia"/>
          <w:color w:val="auto"/>
          <w:lang w:val="en-US" w:eastAsia="zh-CN"/>
        </w:rPr>
        <w:t>打散机内进行打散破碎</w:t>
      </w:r>
      <w:r>
        <w:rPr>
          <w:color w:val="auto"/>
        </w:rPr>
        <w:t>，</w:t>
      </w:r>
      <w:r>
        <w:rPr>
          <w:rFonts w:hint="eastAsia"/>
          <w:color w:val="auto"/>
          <w:lang w:val="en-US" w:eastAsia="zh-CN"/>
        </w:rPr>
        <w:t>打散</w:t>
      </w:r>
      <w:r>
        <w:rPr>
          <w:color w:val="auto"/>
        </w:rPr>
        <w:t>破碎后的物料再经大倾角皮带机</w:t>
      </w:r>
      <w:r>
        <w:rPr>
          <w:rFonts w:hint="eastAsia"/>
          <w:color w:val="auto"/>
          <w:lang w:val="en-US" w:eastAsia="zh-CN"/>
        </w:rPr>
        <w:t>送至缓冲料斗内，而后废物通过计量</w:t>
      </w:r>
      <w:r>
        <w:rPr>
          <w:color w:val="auto"/>
        </w:rPr>
        <w:t>秤</w:t>
      </w:r>
      <w:r>
        <w:rPr>
          <w:rFonts w:hint="eastAsia"/>
          <w:color w:val="auto"/>
          <w:lang w:val="en-US" w:eastAsia="zh-CN"/>
        </w:rPr>
        <w:t>进行计量</w:t>
      </w:r>
      <w:r>
        <w:rPr>
          <w:rFonts w:hint="eastAsia"/>
          <w:color w:val="auto"/>
          <w:lang w:eastAsia="zh-CN"/>
        </w:rPr>
        <w:t>，</w:t>
      </w:r>
      <w:r>
        <w:rPr>
          <w:rFonts w:hint="eastAsia"/>
          <w:color w:val="auto"/>
          <w:lang w:val="en-US" w:eastAsia="zh-CN"/>
        </w:rPr>
        <w:t>按需由</w:t>
      </w:r>
      <w:r>
        <w:rPr>
          <w:color w:val="auto"/>
        </w:rPr>
        <w:t>喂料皮带及喂料锁风装置送入分解炉高温焚烧处置。</w:t>
      </w:r>
    </w:p>
    <w:p w14:paraId="165D5406">
      <w:pPr>
        <w:pStyle w:val="6"/>
        <w:spacing w:line="240" w:lineRule="auto"/>
        <w:jc w:val="center"/>
        <w:rPr>
          <w:rFonts w:hint="eastAsia" w:eastAsia="宋体"/>
          <w:color w:val="FF0000"/>
          <w:lang w:eastAsia="zh-CN"/>
        </w:rPr>
      </w:pPr>
      <w:r>
        <w:rPr>
          <w:rFonts w:hint="eastAsia" w:eastAsia="宋体"/>
          <w:color w:val="FF0000"/>
          <w:lang w:eastAsia="zh-CN"/>
        </w:rPr>
        <w:drawing>
          <wp:inline distT="0" distB="0" distL="114300" distR="114300">
            <wp:extent cx="4524375" cy="1304925"/>
            <wp:effectExtent l="0" t="0" r="1905" b="5715"/>
            <wp:docPr id="57" name="图片 57" descr="0f18daac311a551152786f7d902f1b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0f18daac311a551152786f7d902f1b5e"/>
                    <pic:cNvPicPr>
                      <a:picLocks noChangeAspect="1"/>
                    </pic:cNvPicPr>
                  </pic:nvPicPr>
                  <pic:blipFill>
                    <a:blip r:embed="rId27"/>
                    <a:stretch>
                      <a:fillRect/>
                    </a:stretch>
                  </pic:blipFill>
                  <pic:spPr>
                    <a:xfrm>
                      <a:off x="0" y="0"/>
                      <a:ext cx="4524375" cy="1304925"/>
                    </a:xfrm>
                    <a:prstGeom prst="rect">
                      <a:avLst/>
                    </a:prstGeom>
                  </pic:spPr>
                </pic:pic>
              </a:graphicData>
            </a:graphic>
          </wp:inline>
        </w:drawing>
      </w:r>
    </w:p>
    <w:p w14:paraId="04F71C99">
      <w:pPr>
        <w:pStyle w:val="205"/>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textAlignment w:val="auto"/>
        <w:rPr>
          <w:rFonts w:hint="default" w:ascii="Times New Roman" w:hAnsi="Times New Roman" w:eastAsia="宋体" w:cs="Times New Roman"/>
          <w:b/>
          <w:bCs/>
          <w:color w:val="auto"/>
          <w:szCs w:val="24"/>
          <w:highlight w:val="none"/>
        </w:rPr>
      </w:pPr>
      <w:r>
        <w:rPr>
          <w:rFonts w:hint="default" w:ascii="Times New Roman" w:hAnsi="Times New Roman" w:eastAsia="宋体" w:cs="Times New Roman"/>
          <w:b/>
          <w:bCs/>
          <w:color w:val="auto"/>
          <w:highlight w:val="none"/>
        </w:rPr>
        <w:t>图</w:t>
      </w:r>
      <w:r>
        <w:rPr>
          <w:rFonts w:hint="eastAsia" w:ascii="Times New Roman" w:hAnsi="Times New Roman" w:eastAsia="宋体" w:cs="Times New Roman"/>
          <w:b/>
          <w:bCs/>
          <w:color w:val="auto"/>
          <w:highlight w:val="none"/>
          <w:lang w:val="en-US" w:eastAsia="zh-CN"/>
        </w:rPr>
        <w:t>3.8-2</w:t>
      </w:r>
      <w:r>
        <w:rPr>
          <w:rFonts w:hint="default" w:ascii="Times New Roman" w:hAnsi="Times New Roman" w:eastAsia="宋体" w:cs="Times New Roman"/>
          <w:b/>
          <w:bCs/>
          <w:color w:val="auto"/>
          <w:highlight w:val="none"/>
        </w:rPr>
        <w:t xml:space="preserve"> 固态危险废物预处理工艺流程图</w:t>
      </w:r>
    </w:p>
    <w:p w14:paraId="6E4B59F6">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bCs w:val="0"/>
          <w:color w:val="auto"/>
          <w:kern w:val="2"/>
          <w:sz w:val="24"/>
          <w:szCs w:val="24"/>
          <w:highlight w:val="none"/>
          <w:lang w:val="en-US" w:eastAsia="zh-CN"/>
        </w:rPr>
      </w:pPr>
      <w:r>
        <w:rPr>
          <w:rFonts w:hint="eastAsia" w:ascii="Times New Roman" w:hAnsi="Times New Roman" w:cs="Times New Roman"/>
          <w:b/>
          <w:bCs w:val="0"/>
          <w:color w:val="auto"/>
          <w:kern w:val="2"/>
          <w:sz w:val="24"/>
          <w:szCs w:val="24"/>
          <w:highlight w:val="none"/>
          <w:lang w:val="en-US" w:eastAsia="zh-CN"/>
        </w:rPr>
        <w:t>3.8.1.6</w:t>
      </w:r>
      <w:r>
        <w:rPr>
          <w:rFonts w:hint="default" w:ascii="Times New Roman" w:hAnsi="Times New Roman" w:cs="Times New Roman"/>
          <w:b/>
          <w:bCs w:val="0"/>
          <w:color w:val="auto"/>
          <w:kern w:val="2"/>
          <w:sz w:val="24"/>
          <w:szCs w:val="24"/>
          <w:highlight w:val="none"/>
          <w:lang w:val="en-US" w:eastAsia="zh-CN"/>
        </w:rPr>
        <w:t>危险废物入窑协同处置</w:t>
      </w:r>
    </w:p>
    <w:p w14:paraId="1FA31B4C">
      <w:pPr>
        <w:pStyle w:val="6"/>
        <w:rPr>
          <w:rFonts w:hint="default" w:ascii="Times New Roman" w:hAnsi="Times New Roman" w:cs="Times New Roman"/>
        </w:rPr>
      </w:pPr>
      <w:r>
        <w:rPr>
          <w:rFonts w:hint="eastAsia" w:ascii="Times New Roman" w:hAnsi="Times New Roman" w:cs="Times New Roman"/>
          <w:lang w:val="en-US" w:eastAsia="zh-CN"/>
        </w:rPr>
        <w:t>（1）</w:t>
      </w:r>
      <w:r>
        <w:rPr>
          <w:rFonts w:hint="default" w:ascii="Times New Roman" w:hAnsi="Times New Roman" w:cs="Times New Roman"/>
        </w:rPr>
        <w:t>回转窑协同处置危废投加位置</w:t>
      </w:r>
    </w:p>
    <w:p w14:paraId="02F558B9">
      <w:pPr>
        <w:pStyle w:val="6"/>
        <w:rPr>
          <w:rFonts w:hint="default" w:ascii="Times New Roman" w:hAnsi="Times New Roman" w:cs="Times New Roman"/>
        </w:rPr>
      </w:pPr>
      <w:r>
        <w:rPr>
          <w:rFonts w:hint="default" w:ascii="Times New Roman" w:hAnsi="Times New Roman" w:cs="Times New Roman"/>
        </w:rPr>
        <w:t>新型干法窑的废物投加位置包括以下三处投料点，详见</w:t>
      </w:r>
      <w:r>
        <w:rPr>
          <w:rFonts w:hint="default" w:ascii="Times New Roman" w:hAnsi="Times New Roman" w:cs="Times New Roman"/>
        </w:rPr>
        <w:fldChar w:fldCharType="begin"/>
      </w:r>
      <w:r>
        <w:rPr>
          <w:rFonts w:hint="default" w:ascii="Times New Roman" w:hAnsi="Times New Roman" w:cs="Times New Roman"/>
        </w:rPr>
        <w:instrText xml:space="preserve"> REF _Ref127284235 \h  \* MERGEFORMAT </w:instrText>
      </w:r>
      <w:r>
        <w:rPr>
          <w:rFonts w:hint="default" w:ascii="Times New Roman" w:hAnsi="Times New Roman" w:cs="Times New Roman"/>
        </w:rPr>
        <w:fldChar w:fldCharType="separate"/>
      </w:r>
      <w:r>
        <w:rPr>
          <w:rFonts w:hint="default" w:ascii="Times New Roman" w:hAnsi="Times New Roman" w:cs="Times New Roman"/>
        </w:rPr>
        <w:t>图</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.8-</w:t>
      </w:r>
      <w:r>
        <w:rPr>
          <w:rFonts w:hint="eastAsia" w:ascii="Times New Roman" w:hAnsi="Times New Roman" w:cs="Times New Roman"/>
          <w:lang w:val="en-US" w:eastAsia="zh-CN"/>
        </w:rPr>
        <w:t>3</w:t>
      </w:r>
      <w:r>
        <w:rPr>
          <w:rFonts w:hint="default" w:ascii="Times New Roman" w:hAnsi="Times New Roman" w:cs="Times New Roman"/>
        </w:rPr>
        <w:t>。</w:t>
      </w:r>
    </w:p>
    <w:p w14:paraId="1C81CC15">
      <w:pPr>
        <w:pStyle w:val="6"/>
        <w:ind w:left="0" w:leftChars="0" w:firstLine="480" w:firstLineChars="200"/>
        <w:rPr>
          <w:rFonts w:hint="default" w:ascii="Times New Roman" w:hAnsi="Times New Roman" w:cs="Times New Roman"/>
        </w:rPr>
      </w:pPr>
      <w:r>
        <w:rPr>
          <w:rFonts w:hint="eastAsia" w:ascii="Times New Roman" w:hAnsi="Times New Roman" w:cs="Times New Roman"/>
          <w:lang w:val="en-US" w:eastAsia="zh-CN"/>
        </w:rPr>
        <w:t>①</w:t>
      </w:r>
      <w:r>
        <w:rPr>
          <w:rFonts w:hint="default" w:ascii="Times New Roman" w:hAnsi="Times New Roman" w:cs="Times New Roman"/>
        </w:rPr>
        <w:t>窑头高温段，包括主燃烧器投加点和窑门罩投加点；</w:t>
      </w:r>
      <w:r>
        <w:rPr>
          <w:rFonts w:hint="eastAsia" w:ascii="Times New Roman" w:hAnsi="Times New Roman" w:cs="Times New Roman"/>
          <w:lang w:val="en-US" w:eastAsia="zh-CN"/>
        </w:rPr>
        <w:t>②</w:t>
      </w:r>
      <w:r>
        <w:rPr>
          <w:rFonts w:hint="default" w:ascii="Times New Roman" w:hAnsi="Times New Roman" w:cs="Times New Roman"/>
        </w:rPr>
        <w:t>窑尾高温段，包括预分解炉、窑尾烟室和上升管道投加点；</w:t>
      </w:r>
      <w:r>
        <w:rPr>
          <w:rFonts w:hint="eastAsia" w:ascii="Times New Roman" w:hAnsi="Times New Roman" w:cs="Times New Roman"/>
          <w:lang w:val="en-US" w:eastAsia="zh-CN"/>
        </w:rPr>
        <w:t>③</w:t>
      </w:r>
      <w:r>
        <w:rPr>
          <w:rFonts w:hint="default" w:ascii="Times New Roman" w:hAnsi="Times New Roman" w:cs="Times New Roman"/>
        </w:rPr>
        <w:t>生料配料系统（生料磨）。</w:t>
      </w:r>
    </w:p>
    <w:p w14:paraId="4AEBC339">
      <w:pPr>
        <w:widowControl/>
        <w:jc w:val="center"/>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mc:AlternateContent>
          <mc:Choice Requires="wps">
            <w:drawing>
              <wp:anchor distT="0" distB="0" distL="114300" distR="114300" simplePos="0" relativeHeight="251699200" behindDoc="0" locked="0" layoutInCell="1" allowOverlap="1">
                <wp:simplePos x="0" y="0"/>
                <wp:positionH relativeFrom="column">
                  <wp:posOffset>3992245</wp:posOffset>
                </wp:positionH>
                <wp:positionV relativeFrom="paragraph">
                  <wp:posOffset>2172335</wp:posOffset>
                </wp:positionV>
                <wp:extent cx="762000" cy="318135"/>
                <wp:effectExtent l="0" t="0" r="0" b="0"/>
                <wp:wrapNone/>
                <wp:docPr id="103" name="Text Box 883"/>
                <wp:cNvGraphicFramePr/>
                <a:graphic xmlns:a="http://schemas.openxmlformats.org/drawingml/2006/main">
                  <a:graphicData uri="http://schemas.microsoft.com/office/word/2010/wordprocessingShape">
                    <wps:wsp>
                      <wps:cNvSpPr>
                        <a:spLocks noChangeArrowheads="1"/>
                      </wps:cNvSpPr>
                      <wps:spPr bwMode="auto">
                        <a:xfrm>
                          <a:off x="0" y="0"/>
                          <a:ext cx="762000" cy="318135"/>
                        </a:xfrm>
                        <a:prstGeom prst="rect">
                          <a:avLst/>
                        </a:prstGeom>
                        <a:noFill/>
                        <a:ln>
                          <a:noFill/>
                        </a:ln>
                      </wps:spPr>
                      <wps:txbx>
                        <w:txbxContent>
                          <w:p w14:paraId="40DDC61F">
                            <w:pPr>
                              <w:rPr>
                                <w:rFonts w:hint="eastAsia" w:eastAsia="宋体"/>
                                <w:b/>
                                <w:color w:val="7030A0"/>
                                <w:sz w:val="18"/>
                                <w:szCs w:val="18"/>
                                <w:lang w:val="en-US" w:eastAsia="zh-CN"/>
                              </w:rPr>
                            </w:pPr>
                            <w:r>
                              <w:rPr>
                                <w:rFonts w:hint="eastAsia"/>
                                <w:b/>
                                <w:color w:val="7030A0"/>
                                <w:sz w:val="18"/>
                                <w:szCs w:val="18"/>
                                <w:lang w:val="en-US" w:eastAsia="zh-CN"/>
                              </w:rPr>
                              <w:t>废包装物</w:t>
                            </w:r>
                          </w:p>
                        </w:txbxContent>
                      </wps:txbx>
                      <wps:bodyPr rot="0" vert="horz" wrap="square" lIns="91440" tIns="45720" rIns="91440" bIns="45720" anchor="t" anchorCtr="0" upright="1">
                        <a:noAutofit/>
                      </wps:bodyPr>
                    </wps:wsp>
                  </a:graphicData>
                </a:graphic>
              </wp:anchor>
            </w:drawing>
          </mc:Choice>
          <mc:Fallback>
            <w:pict>
              <v:rect id="Text Box 883" o:spid="_x0000_s1026" o:spt="1" style="position:absolute;left:0pt;margin-left:314.35pt;margin-top:171.05pt;height:25.05pt;width:60pt;z-index:251699200;mso-width-relative:page;mso-height-relative:page;" filled="f" stroked="f" coordsize="21600,21600" o:gfxdata="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XKvbAAAACwEAAA8AAAAAAAAAAQAgAAAAIgAA&#10;AGRycy9kb3ducmV2LnhtbFBLAQIUABQAAAAIAIdO4kByo04yBQIAAA0EAAAOAAAAAAAAAAEAIAAA&#10;ACoBAABkcnMvZTJvRG9jLnhtbFBLBQYAAAAABgAGAFkBAAChBQAAAAA=&#10;">
                <v:fill on="f" focussize="0,0"/>
                <v:stroke on="f"/>
                <v:imagedata o:title=""/>
                <o:lock v:ext="edit" aspectratio="f"/>
                <v:textbox>
                  <w:txbxContent>
                    <w:p w14:paraId="40DDC61F">
                      <w:pPr>
                        <w:rPr>
                          <w:rFonts w:hint="eastAsia" w:eastAsia="宋体"/>
                          <w:b/>
                          <w:color w:val="7030A0"/>
                          <w:sz w:val="18"/>
                          <w:szCs w:val="18"/>
                          <w:lang w:val="en-US" w:eastAsia="zh-CN"/>
                        </w:rPr>
                      </w:pPr>
                      <w:r>
                        <w:rPr>
                          <w:rFonts w:hint="eastAsia"/>
                          <w:b/>
                          <w:color w:val="7030A0"/>
                          <w:sz w:val="18"/>
                          <w:szCs w:val="18"/>
                          <w:lang w:val="en-US" w:eastAsia="zh-CN"/>
                        </w:rPr>
                        <w:t>废包装物</w:t>
                      </w:r>
                    </w:p>
                  </w:txbxContent>
                </v:textbox>
              </v:rect>
            </w:pict>
          </mc:Fallback>
        </mc:AlternateContent>
      </w:r>
      <w:r>
        <w:rPr>
          <w:rFonts w:hint="default" w:ascii="Times New Roman" w:hAnsi="Times New Roman" w:cs="Times New Roman"/>
          <w:color w:val="000000" w:themeColor="text1"/>
          <w:kern w:val="0"/>
          <w:sz w:val="24"/>
          <w14:textFill>
            <w14:solidFill>
              <w14:schemeClr w14:val="tx1"/>
            </w14:solidFill>
          </w14:textFill>
        </w:rPr>
        <mc:AlternateContent>
          <mc:Choice Requires="wps">
            <w:drawing>
              <wp:anchor distT="0" distB="0" distL="114300" distR="114300" simplePos="0" relativeHeight="251698176" behindDoc="0" locked="0" layoutInCell="1" allowOverlap="1">
                <wp:simplePos x="0" y="0"/>
                <wp:positionH relativeFrom="column">
                  <wp:posOffset>1947545</wp:posOffset>
                </wp:positionH>
                <wp:positionV relativeFrom="paragraph">
                  <wp:posOffset>1278255</wp:posOffset>
                </wp:positionV>
                <wp:extent cx="1466215" cy="361950"/>
                <wp:effectExtent l="0" t="0" r="0" b="0"/>
                <wp:wrapNone/>
                <wp:docPr id="31" name="矩形 31"/>
                <wp:cNvGraphicFramePr/>
                <a:graphic xmlns:a="http://schemas.openxmlformats.org/drawingml/2006/main">
                  <a:graphicData uri="http://schemas.microsoft.com/office/word/2010/wordprocessingShape">
                    <wps:wsp>
                      <wps:cNvSpPr>
                        <a:spLocks noChangeArrowheads="1"/>
                      </wps:cNvSpPr>
                      <wps:spPr bwMode="auto">
                        <a:xfrm>
                          <a:off x="0" y="0"/>
                          <a:ext cx="1466215" cy="361950"/>
                        </a:xfrm>
                        <a:prstGeom prst="rect">
                          <a:avLst/>
                        </a:prstGeom>
                        <a:noFill/>
                        <a:ln>
                          <a:noFill/>
                        </a:ln>
                      </wps:spPr>
                      <wps:txbx>
                        <w:txbxContent>
                          <w:p w14:paraId="0CD92555">
                            <w:pPr>
                              <w:jc w:val="center"/>
                              <w:rPr>
                                <w:b/>
                                <w:color w:val="7030A0"/>
                                <w:sz w:val="18"/>
                                <w:szCs w:val="18"/>
                                <w:shd w:val="pct10" w:color="auto" w:fill="FFFFFF"/>
                              </w:rPr>
                            </w:pPr>
                            <w:r>
                              <w:rPr>
                                <w:rFonts w:hint="eastAsia"/>
                                <w:b/>
                                <w:color w:val="7030A0"/>
                                <w:sz w:val="18"/>
                                <w:szCs w:val="18"/>
                                <w:shd w:val="pct10" w:color="auto" w:fill="FFFFFF"/>
                              </w:rPr>
                              <w:t>液态/固态</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153.35pt;margin-top:100.65pt;height:28.5pt;width:115.45pt;z-index:251698176;mso-width-relative:page;mso-height-relative:page;" filled="f" stroked="f" coordsize="21600,21600" o:gfxdata="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BhW4fS3AAAAAsBAAAPAAAAAAAA&#10;AAEAIAAAACIAAABkcnMvZG93bnJldi54bWxQSwECFAAUAAAACACHTuJA+eEG2A4CAAAKBAAADgAA&#10;AAAAAAABACAAAAArAQAAZHJzL2Uyb0RvYy54bWxQSwUGAAAAAAYABgBZAQAAqwUAAAAA&#10;">
                <v:fill on="f" focussize="0,0"/>
                <v:stroke on="f"/>
                <v:imagedata o:title=""/>
                <o:lock v:ext="edit" aspectratio="f"/>
                <v:textbox>
                  <w:txbxContent>
                    <w:p w14:paraId="0CD92555">
                      <w:pPr>
                        <w:jc w:val="center"/>
                        <w:rPr>
                          <w:b/>
                          <w:color w:val="7030A0"/>
                          <w:sz w:val="18"/>
                          <w:szCs w:val="18"/>
                          <w:shd w:val="pct10" w:color="auto" w:fill="FFFFFF"/>
                        </w:rPr>
                      </w:pPr>
                      <w:r>
                        <w:rPr>
                          <w:rFonts w:hint="eastAsia"/>
                          <w:b/>
                          <w:color w:val="7030A0"/>
                          <w:sz w:val="18"/>
                          <w:szCs w:val="18"/>
                          <w:shd w:val="pct10" w:color="auto" w:fill="FFFFFF"/>
                        </w:rPr>
                        <w:t>液态/固态</w:t>
                      </w:r>
                    </w:p>
                  </w:txbxContent>
                </v:textbox>
              </v:rect>
            </w:pict>
          </mc:Fallback>
        </mc:AlternateContent>
      </w:r>
      <w:r>
        <w:rPr>
          <w:rFonts w:hint="default" w:ascii="Times New Roman" w:hAnsi="Times New Roman" w:cs="Times New Roman"/>
          <w:color w:val="000000" w:themeColor="text1"/>
          <w:kern w:val="0"/>
          <w:sz w:val="24"/>
          <w14:textFill>
            <w14:solidFill>
              <w14:schemeClr w14:val="tx1"/>
            </w14:solidFill>
          </w14:textFill>
        </w:rPr>
        <mc:AlternateContent>
          <mc:Choice Requires="wps">
            <w:drawing>
              <wp:anchor distT="0" distB="0" distL="114300" distR="114300" simplePos="0" relativeHeight="251697152" behindDoc="0" locked="0" layoutInCell="1" allowOverlap="1">
                <wp:simplePos x="0" y="0"/>
                <wp:positionH relativeFrom="column">
                  <wp:posOffset>633095</wp:posOffset>
                </wp:positionH>
                <wp:positionV relativeFrom="paragraph">
                  <wp:posOffset>1746885</wp:posOffset>
                </wp:positionV>
                <wp:extent cx="790575" cy="318135"/>
                <wp:effectExtent l="0" t="0" r="0" b="0"/>
                <wp:wrapNone/>
                <wp:docPr id="30" name="矩形 30"/>
                <wp:cNvGraphicFramePr/>
                <a:graphic xmlns:a="http://schemas.openxmlformats.org/drawingml/2006/main">
                  <a:graphicData uri="http://schemas.microsoft.com/office/word/2010/wordprocessingShape">
                    <wps:wsp>
                      <wps:cNvSpPr>
                        <a:spLocks noChangeArrowheads="1"/>
                      </wps:cNvSpPr>
                      <wps:spPr bwMode="auto">
                        <a:xfrm>
                          <a:off x="0" y="0"/>
                          <a:ext cx="790575" cy="318135"/>
                        </a:xfrm>
                        <a:prstGeom prst="rect">
                          <a:avLst/>
                        </a:prstGeom>
                        <a:noFill/>
                        <a:ln>
                          <a:noFill/>
                        </a:ln>
                      </wps:spPr>
                      <wps:txbx>
                        <w:txbxContent>
                          <w:p w14:paraId="2B7286B5">
                            <w:pPr>
                              <w:rPr>
                                <w:b/>
                                <w:color w:val="7030A0"/>
                                <w:sz w:val="18"/>
                                <w:szCs w:val="18"/>
                              </w:rPr>
                            </w:pP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49.85pt;margin-top:137.55pt;height:25.05pt;width:62.25pt;z-index:251697152;mso-width-relative:page;mso-height-relative:page;" filled="f" stroked="f" coordsize="21600,21600" o:gfxdata="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Ec4sFDbAAAACgEAAA8AAAAAAAAA&#10;AQAgAAAAIgAAAGRycy9kb3ducmV2LnhtbFBLAQIUABQAAAAIAIdO4kBKaynvDgIAAAkEAAAOAAAA&#10;AAAAAAEAIAAAACoBAABkcnMvZTJvRG9jLnhtbFBLBQYAAAAABgAGAFkBAACqBQAAAAA=&#10;">
                <v:fill on="f" focussize="0,0"/>
                <v:stroke on="f"/>
                <v:imagedata o:title=""/>
                <o:lock v:ext="edit" aspectratio="f"/>
                <v:textbox>
                  <w:txbxContent>
                    <w:p w14:paraId="2B7286B5">
                      <w:pPr>
                        <w:rPr>
                          <w:b/>
                          <w:color w:val="7030A0"/>
                          <w:sz w:val="18"/>
                          <w:szCs w:val="18"/>
                        </w:rPr>
                      </w:pPr>
                    </w:p>
                  </w:txbxContent>
                </v:textbox>
              </v:rect>
            </w:pict>
          </mc:Fallback>
        </mc:AlternateContent>
      </w:r>
      <w:r>
        <w:rPr>
          <w:rFonts w:hint="default" w:ascii="Times New Roman" w:hAnsi="Times New Roman" w:cs="Times New Roman"/>
          <w:color w:val="000000" w:themeColor="text1"/>
          <w:kern w:val="0"/>
          <w:sz w:val="24"/>
          <w14:textFill>
            <w14:solidFill>
              <w14:schemeClr w14:val="tx1"/>
            </w14:solidFill>
          </w14:textFill>
        </w:rPr>
        <mc:AlternateContent>
          <mc:Choice Requires="wps">
            <w:drawing>
              <wp:anchor distT="0" distB="0" distL="114300" distR="114300" simplePos="0" relativeHeight="251700224" behindDoc="0" locked="0" layoutInCell="1" allowOverlap="1">
                <wp:simplePos x="0" y="0"/>
                <wp:positionH relativeFrom="column">
                  <wp:posOffset>4081145</wp:posOffset>
                </wp:positionH>
                <wp:positionV relativeFrom="paragraph">
                  <wp:posOffset>1508125</wp:posOffset>
                </wp:positionV>
                <wp:extent cx="1400175" cy="238760"/>
                <wp:effectExtent l="0" t="0" r="0" b="0"/>
                <wp:wrapNone/>
                <wp:docPr id="104" name="Text Box 830"/>
                <wp:cNvGraphicFramePr/>
                <a:graphic xmlns:a="http://schemas.openxmlformats.org/drawingml/2006/main">
                  <a:graphicData uri="http://schemas.microsoft.com/office/word/2010/wordprocessingShape">
                    <wps:wsp>
                      <wps:cNvSpPr>
                        <a:spLocks noChangeArrowheads="1"/>
                      </wps:cNvSpPr>
                      <wps:spPr bwMode="auto">
                        <a:xfrm>
                          <a:off x="0" y="0"/>
                          <a:ext cx="1400175" cy="238760"/>
                        </a:xfrm>
                        <a:prstGeom prst="rect">
                          <a:avLst/>
                        </a:prstGeom>
                        <a:noFill/>
                        <a:ln>
                          <a:noFill/>
                        </a:ln>
                      </wps:spPr>
                      <wps:txbx>
                        <w:txbxContent>
                          <w:p w14:paraId="61EDF649">
                            <w:pPr>
                              <w:rPr>
                                <w:b/>
                                <w:color w:val="7030A0"/>
                                <w:sz w:val="18"/>
                                <w:szCs w:val="18"/>
                                <w:shd w:val="pct10" w:color="auto" w:fill="FFFFFF"/>
                              </w:rPr>
                            </w:pPr>
                          </w:p>
                        </w:txbxContent>
                      </wps:txbx>
                      <wps:bodyPr rot="0" vert="horz" wrap="square" lIns="91440" tIns="45720" rIns="91440" bIns="45720" anchor="t" anchorCtr="0" upright="1">
                        <a:noAutofit/>
                      </wps:bodyPr>
                    </wps:wsp>
                  </a:graphicData>
                </a:graphic>
              </wp:anchor>
            </w:drawing>
          </mc:Choice>
          <mc:Fallback>
            <w:pict>
              <v:rect id="Text Box 830" o:spid="_x0000_s1026" o:spt="1" style="position:absolute;left:0pt;margin-left:321.35pt;margin-top:118.75pt;height:18.8pt;width:110.25pt;z-index:251700224;mso-width-relative:page;mso-height-relative:page;" filled="f" stroked="f" coordsize="21600,21600" o:gfxdata="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M3LgdwAAAALAQAADwAAAAAAAAABACAAAAAi&#10;AAAAZHJzL2Rvd25yZXYueG1sUEsBAhQAFAAAAAgAh07iQJ9Ss3oGAgAADgQAAA4AAAAAAAAAAQAg&#10;AAAAKwEAAGRycy9lMm9Eb2MueG1sUEsFBgAAAAAGAAYAWQEAAKMFAAAAAA==&#10;">
                <v:fill on="f" focussize="0,0"/>
                <v:stroke on="f"/>
                <v:imagedata o:title=""/>
                <o:lock v:ext="edit" aspectratio="f"/>
                <v:textbox>
                  <w:txbxContent>
                    <w:p w14:paraId="61EDF649">
                      <w:pPr>
                        <w:rPr>
                          <w:b/>
                          <w:color w:val="7030A0"/>
                          <w:sz w:val="18"/>
                          <w:szCs w:val="18"/>
                          <w:shd w:val="pct10" w:color="auto" w:fill="FFFFFF"/>
                        </w:rPr>
                      </w:pPr>
                    </w:p>
                  </w:txbxContent>
                </v:textbox>
              </v:rect>
            </w:pict>
          </mc:Fallback>
        </mc:AlternateContent>
      </w:r>
      <w:r>
        <w:rPr>
          <w:rFonts w:hint="default" w:ascii="Times New Roman" w:hAnsi="Times New Roman" w:cs="Times New Roman"/>
          <w:color w:val="000000" w:themeColor="text1"/>
          <w:kern w:val="0"/>
          <w:sz w:val="24"/>
          <w14:textFill>
            <w14:solidFill>
              <w14:schemeClr w14:val="tx1"/>
            </w14:solidFill>
          </w14:textFill>
        </w:rPr>
        <w:drawing>
          <wp:inline distT="0" distB="0" distL="0" distR="0">
            <wp:extent cx="5219700" cy="2823210"/>
            <wp:effectExtent l="0" t="0" r="7620" b="1143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219700" cy="2823210"/>
                    </a:xfrm>
                    <a:prstGeom prst="rect">
                      <a:avLst/>
                    </a:prstGeom>
                    <a:noFill/>
                    <a:ln>
                      <a:noFill/>
                    </a:ln>
                  </pic:spPr>
                </pic:pic>
              </a:graphicData>
            </a:graphic>
          </wp:inline>
        </w:drawing>
      </w:r>
    </w:p>
    <w:p w14:paraId="51246686">
      <w:pPr>
        <w:pStyle w:val="205"/>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textAlignment w:val="auto"/>
        <w:rPr>
          <w:rFonts w:hint="default" w:ascii="Times New Roman" w:hAnsi="Times New Roman" w:eastAsia="宋体" w:cs="Times New Roman"/>
          <w:b/>
          <w:bCs/>
          <w:color w:val="auto"/>
        </w:rPr>
      </w:pPr>
      <w:bookmarkStart w:id="130" w:name="_Ref127284235"/>
      <w:bookmarkStart w:id="131" w:name="_Ref127273411"/>
      <w:r>
        <w:rPr>
          <w:rFonts w:hint="default" w:ascii="Times New Roman" w:hAnsi="Times New Roman" w:eastAsia="宋体" w:cs="Times New Roman"/>
          <w:b/>
          <w:bCs/>
          <w:color w:val="auto"/>
        </w:rPr>
        <w:t>图</w:t>
      </w:r>
      <w:bookmarkEnd w:id="130"/>
      <w:r>
        <w:rPr>
          <w:rFonts w:hint="default" w:ascii="Times New Roman" w:hAnsi="Times New Roman" w:eastAsia="宋体" w:cs="Times New Roman"/>
          <w:b/>
          <w:bCs/>
          <w:color w:val="auto"/>
          <w:lang w:val="en-US" w:eastAsia="zh-CN"/>
        </w:rPr>
        <w:t>3.8-</w:t>
      </w:r>
      <w:r>
        <w:rPr>
          <w:rFonts w:hint="eastAsia" w:ascii="Times New Roman" w:hAnsi="Times New Roman" w:eastAsia="宋体" w:cs="Times New Roman"/>
          <w:b/>
          <w:bCs/>
          <w:color w:val="auto"/>
          <w:lang w:val="en-US" w:eastAsia="zh-CN"/>
        </w:rPr>
        <w:t>3</w:t>
      </w:r>
      <w:r>
        <w:rPr>
          <w:rFonts w:hint="default" w:ascii="Times New Roman" w:hAnsi="Times New Roman" w:eastAsia="宋体" w:cs="Times New Roman"/>
          <w:b/>
          <w:bCs/>
          <w:color w:val="auto"/>
        </w:rPr>
        <w:t xml:space="preserve"> 新型干法窑的废物投加位置示意图</w:t>
      </w:r>
      <w:bookmarkEnd w:id="131"/>
    </w:p>
    <w:p w14:paraId="0F0C1B22">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r>
        <w:rPr>
          <w:rFonts w:hint="default" w:ascii="Times New Roman" w:hAnsi="Times New Roman" w:cs="Times New Roman"/>
          <w:b/>
          <w:bCs/>
        </w:rPr>
        <w:t>表</w:t>
      </w:r>
      <w:r>
        <w:rPr>
          <w:rFonts w:hint="default" w:ascii="Times New Roman" w:hAnsi="Times New Roman" w:cs="Times New Roman"/>
          <w:b/>
          <w:bCs/>
          <w:lang w:val="en-US" w:eastAsia="zh-CN"/>
        </w:rPr>
        <w:t>3.8-1</w:t>
      </w:r>
      <w:r>
        <w:rPr>
          <w:rFonts w:hint="default" w:ascii="Times New Roman" w:hAnsi="Times New Roman" w:cs="Times New Roman"/>
          <w:b/>
          <w:bCs/>
        </w:rPr>
        <w:t xml:space="preserve"> 不同投料点的特点及适合的废物特性</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26"/>
        <w:gridCol w:w="706"/>
        <w:gridCol w:w="2057"/>
        <w:gridCol w:w="2232"/>
        <w:gridCol w:w="2679"/>
      </w:tblGrid>
      <w:tr w14:paraId="78A6D9C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blHeader/>
          <w:jc w:val="center"/>
        </w:trPr>
        <w:tc>
          <w:tcPr>
            <w:tcW w:w="802" w:type="pct"/>
            <w:gridSpan w:val="2"/>
            <w:tcBorders>
              <w:tl2br w:val="nil"/>
              <w:tr2bl w:val="nil"/>
            </w:tcBorders>
            <w:vAlign w:val="center"/>
          </w:tcPr>
          <w:p w14:paraId="12C32D0F">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投料点</w:t>
            </w:r>
          </w:p>
        </w:tc>
        <w:tc>
          <w:tcPr>
            <w:tcW w:w="1239" w:type="pct"/>
            <w:tcBorders>
              <w:tl2br w:val="nil"/>
              <w:tr2bl w:val="nil"/>
            </w:tcBorders>
            <w:vAlign w:val="center"/>
          </w:tcPr>
          <w:p w14:paraId="605F9512">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加料点特性</w:t>
            </w:r>
          </w:p>
        </w:tc>
        <w:tc>
          <w:tcPr>
            <w:tcW w:w="1344" w:type="pct"/>
            <w:tcBorders>
              <w:tl2br w:val="nil"/>
              <w:tr2bl w:val="nil"/>
            </w:tcBorders>
            <w:vAlign w:val="center"/>
          </w:tcPr>
          <w:p w14:paraId="4A960548">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适合的废物特性</w:t>
            </w:r>
          </w:p>
        </w:tc>
        <w:tc>
          <w:tcPr>
            <w:tcW w:w="1613" w:type="pct"/>
            <w:tcBorders>
              <w:tl2br w:val="nil"/>
              <w:tr2bl w:val="nil"/>
            </w:tcBorders>
            <w:vAlign w:val="center"/>
          </w:tcPr>
          <w:p w14:paraId="2C19EDE5">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投加方式</w:t>
            </w:r>
          </w:p>
        </w:tc>
      </w:tr>
      <w:tr w14:paraId="1C22C80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77" w:type="pct"/>
            <w:vMerge w:val="restart"/>
            <w:tcBorders>
              <w:tl2br w:val="nil"/>
              <w:tr2bl w:val="nil"/>
            </w:tcBorders>
            <w:vAlign w:val="center"/>
          </w:tcPr>
          <w:p w14:paraId="1AE0D84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窑头高温段投料点</w:t>
            </w:r>
          </w:p>
        </w:tc>
        <w:tc>
          <w:tcPr>
            <w:tcW w:w="425" w:type="pct"/>
            <w:tcBorders>
              <w:tl2br w:val="nil"/>
              <w:tr2bl w:val="nil"/>
            </w:tcBorders>
            <w:vAlign w:val="center"/>
          </w:tcPr>
          <w:p w14:paraId="4EC5C0D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主燃烧器投料点</w:t>
            </w:r>
          </w:p>
        </w:tc>
        <w:tc>
          <w:tcPr>
            <w:tcW w:w="1239" w:type="pct"/>
            <w:tcBorders>
              <w:tl2br w:val="nil"/>
              <w:tr2bl w:val="nil"/>
            </w:tcBorders>
            <w:vAlign w:val="center"/>
          </w:tcPr>
          <w:p w14:paraId="7DCFBCF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优势：温度最高，气相停留时间最长，废物喷入距离可调整；</w:t>
            </w:r>
          </w:p>
          <w:p w14:paraId="3DB0FAC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劣势：物料停留时间短，火焰易受影响，对废物物理特性有较多限制</w:t>
            </w:r>
          </w:p>
        </w:tc>
        <w:tc>
          <w:tcPr>
            <w:tcW w:w="1344" w:type="pct"/>
            <w:tcBorders>
              <w:tl2br w:val="nil"/>
              <w:tr2bl w:val="nil"/>
            </w:tcBorders>
            <w:vAlign w:val="center"/>
          </w:tcPr>
          <w:p w14:paraId="52768C7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物理特性：液态废物；易于气力输送的粉状或小粒径废物。</w:t>
            </w:r>
          </w:p>
          <w:p w14:paraId="0115FF0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化学特性：含POPs和高氯、高毒、难降解有机物质的废物；热值高、含水率低的有机废液</w:t>
            </w:r>
          </w:p>
        </w:tc>
        <w:tc>
          <w:tcPr>
            <w:tcW w:w="1613" w:type="pct"/>
            <w:tcBorders>
              <w:tl2br w:val="nil"/>
              <w:tr2bl w:val="nil"/>
            </w:tcBorders>
            <w:vAlign w:val="center"/>
          </w:tcPr>
          <w:p w14:paraId="3092C73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通过泵力输送投加的液态废物不应含有沉淀物，以免堵塞燃烧器喷嘴；通过气力输送投加的粉状废物，从多通道燃烧器的不同通道喷入窑内，若废物灰分含量高，尽可能喷入窑内距离窑头更远的距离，尽量达到固相反应带，以保证喷入的废物与窑内物料有足够的反应时间</w:t>
            </w:r>
          </w:p>
        </w:tc>
      </w:tr>
      <w:tr w14:paraId="21A34CC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77" w:type="pct"/>
            <w:vMerge w:val="continue"/>
            <w:tcBorders>
              <w:tl2br w:val="nil"/>
              <w:tr2bl w:val="nil"/>
            </w:tcBorders>
            <w:vAlign w:val="center"/>
          </w:tcPr>
          <w:p w14:paraId="567040F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425" w:type="pct"/>
            <w:tcBorders>
              <w:tl2br w:val="nil"/>
              <w:tr2bl w:val="nil"/>
            </w:tcBorders>
            <w:vAlign w:val="center"/>
          </w:tcPr>
          <w:p w14:paraId="5A23BA9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窑门罩投料点</w:t>
            </w:r>
          </w:p>
        </w:tc>
        <w:tc>
          <w:tcPr>
            <w:tcW w:w="1239" w:type="pct"/>
            <w:tcBorders>
              <w:tl2br w:val="nil"/>
              <w:tr2bl w:val="nil"/>
            </w:tcBorders>
            <w:vAlign w:val="center"/>
          </w:tcPr>
          <w:p w14:paraId="6B0F0AD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优势：温度最高，气相停留时间最长，火焰不易受影响；</w:t>
            </w:r>
          </w:p>
          <w:p w14:paraId="6A855E2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劣势：废物喷入距离短，物料停留时间最短</w:t>
            </w:r>
          </w:p>
        </w:tc>
        <w:tc>
          <w:tcPr>
            <w:tcW w:w="1344" w:type="pct"/>
            <w:tcBorders>
              <w:tl2br w:val="nil"/>
              <w:tr2bl w:val="nil"/>
            </w:tcBorders>
            <w:vAlign w:val="center"/>
          </w:tcPr>
          <w:p w14:paraId="232F445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物理特性：通常为液态废物；少数情况下也可投加固态废物。</w:t>
            </w:r>
          </w:p>
          <w:p w14:paraId="3491EC1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化学特性：热值低、含水率高的有机废液和无机废液，尤其适合含POPs和高氯、高毒、难降解有机物的废液</w:t>
            </w:r>
          </w:p>
        </w:tc>
        <w:tc>
          <w:tcPr>
            <w:tcW w:w="1613" w:type="pct"/>
            <w:tcBorders>
              <w:tl2br w:val="nil"/>
              <w:tr2bl w:val="nil"/>
            </w:tcBorders>
            <w:vAlign w:val="center"/>
          </w:tcPr>
          <w:p w14:paraId="24E2302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投加固态废物时，可以采用特殊设计的投加设施，确保将固态废物投至距离窑头更远的距离，避免废物未充分燃烧或燃烧残渣未充分与物料反应即随熟料排出窑外而进入冷却机；投加的液态废物通过泵力输送至窑门罩喷入窑内</w:t>
            </w:r>
          </w:p>
        </w:tc>
      </w:tr>
      <w:tr w14:paraId="49CD203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998" w:hRule="atLeast"/>
          <w:jc w:val="center"/>
        </w:trPr>
        <w:tc>
          <w:tcPr>
            <w:tcW w:w="377" w:type="pct"/>
            <w:vMerge w:val="restart"/>
            <w:tcBorders>
              <w:tl2br w:val="nil"/>
              <w:tr2bl w:val="nil"/>
            </w:tcBorders>
            <w:vAlign w:val="center"/>
          </w:tcPr>
          <w:p w14:paraId="35A7E2B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窑尾高温段投料点</w:t>
            </w:r>
          </w:p>
        </w:tc>
        <w:tc>
          <w:tcPr>
            <w:tcW w:w="425" w:type="pct"/>
            <w:tcBorders>
              <w:tl2br w:val="nil"/>
              <w:tr2bl w:val="nil"/>
            </w:tcBorders>
            <w:vAlign w:val="center"/>
          </w:tcPr>
          <w:p w14:paraId="155070D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窑尾烟室投加点</w:t>
            </w:r>
          </w:p>
        </w:tc>
        <w:tc>
          <w:tcPr>
            <w:tcW w:w="1239" w:type="pct"/>
            <w:tcBorders>
              <w:tl2br w:val="nil"/>
              <w:tr2bl w:val="nil"/>
            </w:tcBorders>
            <w:vAlign w:val="center"/>
          </w:tcPr>
          <w:p w14:paraId="774D0E9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优势：温度较高，气相停留时间较长，物料停留时间长，分解炉燃烧工况不易受影响，物料适应性广；</w:t>
            </w:r>
          </w:p>
          <w:p w14:paraId="665359D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劣势：温度和气相停留时间均大大低于窑头高温区，窑尾温度易受影响且不易调节</w:t>
            </w:r>
          </w:p>
        </w:tc>
        <w:tc>
          <w:tcPr>
            <w:tcW w:w="1344" w:type="pct"/>
            <w:tcBorders>
              <w:tl2br w:val="nil"/>
              <w:tr2bl w:val="nil"/>
            </w:tcBorders>
            <w:vAlign w:val="center"/>
          </w:tcPr>
          <w:p w14:paraId="4B1AEA3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物理特性：各种物态废物，包括液态、粉状、浆状、小颗粒状、大块状。化学特性：有机废物；含有机物的废物；有机和无机废液；含POPs和高氯、高毒、难降解有机物质的废物因受物理特性限制不便从窑头投入时可从该处投入</w:t>
            </w:r>
          </w:p>
        </w:tc>
        <w:tc>
          <w:tcPr>
            <w:tcW w:w="1613" w:type="pct"/>
            <w:vMerge w:val="restart"/>
            <w:tcBorders>
              <w:tl2br w:val="nil"/>
              <w:tr2bl w:val="nil"/>
            </w:tcBorders>
            <w:vAlign w:val="center"/>
          </w:tcPr>
          <w:p w14:paraId="404C48F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投加的液态、浆状废物通过泵力输送，粉状废物通过密闭的机械传送带或气力输送，大块状废物通过机械传送带输送</w:t>
            </w:r>
          </w:p>
        </w:tc>
      </w:tr>
      <w:tr w14:paraId="20630DF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799" w:hRule="atLeast"/>
          <w:jc w:val="center"/>
        </w:trPr>
        <w:tc>
          <w:tcPr>
            <w:tcW w:w="377" w:type="pct"/>
            <w:vMerge w:val="continue"/>
            <w:tcBorders>
              <w:tl2br w:val="nil"/>
              <w:tr2bl w:val="nil"/>
            </w:tcBorders>
            <w:vAlign w:val="center"/>
          </w:tcPr>
          <w:p w14:paraId="6AD8346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425" w:type="pct"/>
            <w:tcBorders>
              <w:tl2br w:val="nil"/>
              <w:tr2bl w:val="nil"/>
            </w:tcBorders>
            <w:vAlign w:val="center"/>
          </w:tcPr>
          <w:p w14:paraId="247E318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分解炉和上升管道投加点</w:t>
            </w:r>
          </w:p>
        </w:tc>
        <w:tc>
          <w:tcPr>
            <w:tcW w:w="1239" w:type="pct"/>
            <w:tcBorders>
              <w:tl2br w:val="nil"/>
              <w:tr2bl w:val="nil"/>
            </w:tcBorders>
            <w:vAlign w:val="center"/>
          </w:tcPr>
          <w:p w14:paraId="01F197D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优势：温度较高，气相停留时间较长，物料停留时间长，有利于控制温度波动（通过调整常规燃料添加量）；</w:t>
            </w:r>
          </w:p>
          <w:p w14:paraId="25E7027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劣势：温度和气相停留时间均大大低于窑头，气流、压力和分解炉燃烧工况易受影响</w:t>
            </w:r>
          </w:p>
        </w:tc>
        <w:tc>
          <w:tcPr>
            <w:tcW w:w="1344" w:type="pct"/>
            <w:tcBorders>
              <w:tl2br w:val="nil"/>
              <w:tr2bl w:val="nil"/>
            </w:tcBorders>
            <w:vAlign w:val="center"/>
          </w:tcPr>
          <w:p w14:paraId="672165A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物理特性：粒径较小的固体废物。</w:t>
            </w:r>
          </w:p>
          <w:p w14:paraId="5EE4112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化学特性：与窑尾烟室类似，但为了避免影响分解炉内气流、压力和燃烧工况，含水率高的废物尽量不从此处投加</w:t>
            </w:r>
          </w:p>
        </w:tc>
        <w:tc>
          <w:tcPr>
            <w:tcW w:w="1613" w:type="pct"/>
            <w:vMerge w:val="continue"/>
            <w:tcBorders>
              <w:tl2br w:val="nil"/>
              <w:tr2bl w:val="nil"/>
            </w:tcBorders>
            <w:vAlign w:val="center"/>
          </w:tcPr>
          <w:p w14:paraId="3DCE1F3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7166F28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201" w:hRule="atLeast"/>
          <w:jc w:val="center"/>
        </w:trPr>
        <w:tc>
          <w:tcPr>
            <w:tcW w:w="802" w:type="pct"/>
            <w:gridSpan w:val="2"/>
            <w:tcBorders>
              <w:tl2br w:val="nil"/>
              <w:tr2bl w:val="nil"/>
            </w:tcBorders>
            <w:vAlign w:val="center"/>
          </w:tcPr>
          <w:p w14:paraId="30C5B7F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生料磨投料点</w:t>
            </w:r>
          </w:p>
        </w:tc>
        <w:tc>
          <w:tcPr>
            <w:tcW w:w="1239" w:type="pct"/>
            <w:tcBorders>
              <w:tl2br w:val="nil"/>
              <w:tr2bl w:val="nil"/>
            </w:tcBorders>
            <w:vAlign w:val="center"/>
          </w:tcPr>
          <w:p w14:paraId="28C824B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优势：物料停留时间最长，投料易于操作投料装置简单；</w:t>
            </w:r>
          </w:p>
          <w:p w14:paraId="5FDBE79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劣势：温度最低，气相停留时间最短，有害成分和元素易挥发进入大气</w:t>
            </w:r>
          </w:p>
        </w:tc>
        <w:tc>
          <w:tcPr>
            <w:tcW w:w="1344" w:type="pct"/>
            <w:tcBorders>
              <w:tl2br w:val="nil"/>
              <w:tr2bl w:val="nil"/>
            </w:tcBorders>
            <w:vAlign w:val="center"/>
          </w:tcPr>
          <w:p w14:paraId="1ABA8FB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物料特性：固态废物，粒径适应性广，块状粉状均可。</w:t>
            </w:r>
          </w:p>
          <w:p w14:paraId="5F84D73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化学特性：不含有机物和挥发半挥发性重金属的固态废物</w:t>
            </w:r>
          </w:p>
        </w:tc>
        <w:tc>
          <w:tcPr>
            <w:tcW w:w="1613" w:type="pct"/>
            <w:tcBorders>
              <w:tl2br w:val="nil"/>
              <w:tr2bl w:val="nil"/>
            </w:tcBorders>
            <w:vAlign w:val="center"/>
          </w:tcPr>
          <w:p w14:paraId="21FEFE4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采用与输送和投加常规生料相同的设施和方法</w:t>
            </w:r>
          </w:p>
        </w:tc>
      </w:tr>
    </w:tbl>
    <w:p w14:paraId="4FAB53E0">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rPr>
      </w:pPr>
      <w:r>
        <w:rPr>
          <w:rFonts w:hint="eastAsia" w:ascii="Times New Roman" w:hAnsi="Times New Roman" w:cs="Times New Roman"/>
          <w:lang w:val="en-US" w:eastAsia="zh-CN"/>
        </w:rPr>
        <w:t>（2）</w:t>
      </w:r>
      <w:r>
        <w:rPr>
          <w:rFonts w:hint="default" w:ascii="Times New Roman" w:hAnsi="Times New Roman" w:cs="Times New Roman"/>
        </w:rPr>
        <w:t>危险废物投加控制要求</w:t>
      </w:r>
    </w:p>
    <w:p w14:paraId="740A0E64">
      <w:pPr>
        <w:pStyle w:val="6"/>
        <w:rPr>
          <w:rFonts w:hint="default" w:ascii="Times New Roman" w:hAnsi="Times New Roman" w:cs="Times New Roman"/>
        </w:rPr>
      </w:pPr>
      <w:r>
        <w:rPr>
          <w:rFonts w:hint="eastAsia" w:ascii="Times New Roman" w:hAnsi="Times New Roman" w:cs="Times New Roman"/>
          <w:lang w:val="en-US" w:eastAsia="zh-CN"/>
        </w:rPr>
        <w:t>①</w:t>
      </w:r>
      <w:r>
        <w:rPr>
          <w:rFonts w:hint="default" w:ascii="Times New Roman" w:hAnsi="Times New Roman" w:cs="Times New Roman"/>
        </w:rPr>
        <w:t>窑头加入点</w:t>
      </w:r>
    </w:p>
    <w:p w14:paraId="59D46A78">
      <w:pPr>
        <w:pStyle w:val="6"/>
        <w:rPr>
          <w:rFonts w:hint="default" w:ascii="Times New Roman" w:hAnsi="Times New Roman" w:cs="Times New Roman"/>
        </w:rPr>
      </w:pPr>
      <w:r>
        <w:rPr>
          <w:rFonts w:hint="default" w:ascii="Times New Roman" w:hAnsi="Times New Roman" w:cs="Times New Roman"/>
          <w:lang w:val="en-US" w:eastAsia="zh-CN"/>
        </w:rPr>
        <w:t>a.</w:t>
      </w:r>
      <w:r>
        <w:rPr>
          <w:rFonts w:hint="default" w:ascii="Times New Roman" w:hAnsi="Times New Roman" w:cs="Times New Roman"/>
        </w:rPr>
        <w:t>主燃烧器投加点：1800~2000℃，火焰中心温度高达2500℃，而且火焰长度占整个回转窑长度的30%~40%左右。在整个回转窑内物料温度900-1450℃，停留时间20min左右；烟气温度1150-2000℃，停留时间10s左右。</w:t>
      </w:r>
    </w:p>
    <w:p w14:paraId="073A098E">
      <w:pPr>
        <w:pStyle w:val="6"/>
        <w:rPr>
          <w:rFonts w:hint="default" w:ascii="Times New Roman" w:hAnsi="Times New Roman" w:cs="Times New Roman"/>
        </w:rPr>
      </w:pPr>
      <w:r>
        <w:rPr>
          <w:rFonts w:hint="default" w:ascii="Times New Roman" w:hAnsi="Times New Roman" w:cs="Times New Roman"/>
          <w:lang w:val="en-US" w:eastAsia="zh-CN"/>
        </w:rPr>
        <w:t>b.</w:t>
      </w:r>
      <w:r>
        <w:rPr>
          <w:rFonts w:hint="default" w:ascii="Times New Roman" w:hAnsi="Times New Roman" w:cs="Times New Roman"/>
        </w:rPr>
        <w:t>窑头（窑门罩）投料点：750~850℃。整个回转窑内物料温度900-1450℃，停留时间20min左右；烟气温度1150-2000℃，停留时间10s左右。</w:t>
      </w:r>
    </w:p>
    <w:p w14:paraId="1675018B">
      <w:pPr>
        <w:pStyle w:val="6"/>
        <w:rPr>
          <w:rFonts w:hint="default" w:ascii="Times New Roman" w:hAnsi="Times New Roman" w:cs="Times New Roman"/>
        </w:rPr>
      </w:pPr>
      <w:r>
        <w:rPr>
          <w:rFonts w:hint="eastAsia" w:ascii="Times New Roman" w:hAnsi="Times New Roman" w:cs="Times New Roman"/>
          <w:lang w:val="en-US" w:eastAsia="zh-CN"/>
        </w:rPr>
        <w:t>②</w:t>
      </w:r>
      <w:r>
        <w:rPr>
          <w:rFonts w:hint="default" w:ascii="Times New Roman" w:hAnsi="Times New Roman" w:cs="Times New Roman"/>
        </w:rPr>
        <w:t>窑尾加入点</w:t>
      </w:r>
    </w:p>
    <w:p w14:paraId="29B0C6F1">
      <w:pPr>
        <w:pStyle w:val="6"/>
        <w:rPr>
          <w:rFonts w:hint="default" w:ascii="Times New Roman" w:hAnsi="Times New Roman" w:cs="Times New Roman"/>
        </w:rPr>
      </w:pPr>
      <w:r>
        <w:rPr>
          <w:rFonts w:hint="default" w:ascii="Times New Roman" w:hAnsi="Times New Roman" w:cs="Times New Roman"/>
          <w:lang w:val="en-US" w:eastAsia="zh-CN"/>
        </w:rPr>
        <w:t>a.</w:t>
      </w:r>
      <w:r>
        <w:rPr>
          <w:rFonts w:hint="default" w:ascii="Times New Roman" w:hAnsi="Times New Roman" w:cs="Times New Roman"/>
        </w:rPr>
        <w:t>分解炉及上升管道投料点：物料温度750-900℃，停留时间10s左右；气体温度850-1150℃，停留时间3s左右。在悬浮预热器内，物料温度100-750℃，停留时间50s左右；气体温度350-850℃，停留时间10s左右。</w:t>
      </w:r>
    </w:p>
    <w:p w14:paraId="1F8F5C98">
      <w:pPr>
        <w:pStyle w:val="6"/>
        <w:rPr>
          <w:rFonts w:hint="default" w:ascii="Times New Roman" w:hAnsi="Times New Roman" w:cs="Times New Roman"/>
        </w:rPr>
      </w:pPr>
      <w:r>
        <w:rPr>
          <w:rFonts w:hint="default" w:ascii="Times New Roman" w:hAnsi="Times New Roman" w:cs="Times New Roman"/>
          <w:lang w:val="en-US" w:eastAsia="zh-CN"/>
        </w:rPr>
        <w:t>b.</w:t>
      </w:r>
      <w:r>
        <w:rPr>
          <w:rFonts w:hint="default" w:ascii="Times New Roman" w:hAnsi="Times New Roman" w:cs="Times New Roman"/>
        </w:rPr>
        <w:t>窑尾烟室投加点：950~1050℃。</w:t>
      </w:r>
    </w:p>
    <w:p w14:paraId="522DE1EF">
      <w:pPr>
        <w:pStyle w:val="6"/>
        <w:rPr>
          <w:rFonts w:hint="default" w:ascii="Times New Roman" w:hAnsi="Times New Roman" w:cs="Times New Roman"/>
        </w:rPr>
      </w:pPr>
      <w:r>
        <w:rPr>
          <w:rFonts w:hint="default" w:ascii="Times New Roman" w:hAnsi="Times New Roman" w:cs="Times New Roman"/>
        </w:rPr>
        <w:t>窑尾烟室及分解炉区域温度为850~1050℃，且此区域主要燃烧空间大，抗干扰能力及处置量远大于窑头区域。因此本项目在窑尾主要加入固体半固体危险废物和半固体危险废物。结合危险废物种类的燃尽特性及物料粒度（50~100mm），认为物料进入窑尾后先向下掉落，随后水份蒸发，挥发性成分释放，因此加入点设置为分解炉底部区域。</w:t>
      </w:r>
    </w:p>
    <w:p w14:paraId="1174FA8D">
      <w:pPr>
        <w:pStyle w:val="6"/>
        <w:rPr>
          <w:rFonts w:hint="default" w:ascii="Times New Roman" w:hAnsi="Times New Roman" w:cs="Times New Roman"/>
        </w:rPr>
      </w:pPr>
      <w:r>
        <w:rPr>
          <w:rFonts w:hint="default" w:ascii="Times New Roman" w:hAnsi="Times New Roman" w:cs="Times New Roman"/>
        </w:rPr>
        <w:t>本项目根据接收废物类别选择窑尾高温段投料点-分解炉及上升管道投加口进行投加焚烧处置。</w:t>
      </w:r>
      <w:r>
        <w:rPr>
          <w:rFonts w:hint="default" w:ascii="Times New Roman" w:hAnsi="Times New Roman" w:cs="Times New Roman"/>
          <w:lang w:val="en-US" w:eastAsia="zh-CN"/>
        </w:rPr>
        <w:t>液态废物主要成分为二甲基硫醚，通常在200~300℃范围开始发生明显分解，若存在氧气，分解温度可能降低至150~200℃，伴随燃烧反应生成SO</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、CO</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等。</w:t>
      </w:r>
      <w:r>
        <w:rPr>
          <w:rFonts w:hint="default" w:ascii="Times New Roman" w:hAnsi="Times New Roman" w:cs="Times New Roman"/>
          <w:highlight w:val="none"/>
          <w:lang w:val="en-US" w:eastAsia="zh-CN"/>
        </w:rPr>
        <w:t>固态废物主要为</w:t>
      </w:r>
      <w:r>
        <w:rPr>
          <w:rFonts w:hint="eastAsia" w:cs="Times New Roman"/>
          <w:highlight w:val="none"/>
          <w:lang w:val="en-US" w:eastAsia="zh-CN"/>
        </w:rPr>
        <w:t>甲磺酸钠</w:t>
      </w:r>
      <w:r>
        <w:rPr>
          <w:rFonts w:hint="default" w:ascii="Times New Roman" w:hAnsi="Times New Roman" w:cs="Times New Roman"/>
          <w:highlight w:val="none"/>
          <w:lang w:val="en-US" w:eastAsia="zh-CN"/>
        </w:rPr>
        <w:t>，通常在</w:t>
      </w:r>
      <w:r>
        <w:rPr>
          <w:rFonts w:hint="eastAsia" w:cs="Times New Roman"/>
          <w:highlight w:val="none"/>
          <w:lang w:val="en-US" w:eastAsia="zh-CN"/>
        </w:rPr>
        <w:t>220</w:t>
      </w:r>
      <w:r>
        <w:rPr>
          <w:rFonts w:hint="default" w:ascii="Times New Roman" w:hAnsi="Times New Roman" w:cs="Times New Roman"/>
          <w:highlight w:val="none"/>
          <w:lang w:val="en-US" w:eastAsia="zh-CN"/>
        </w:rPr>
        <w:t>°C以上开始明显分解。</w:t>
      </w:r>
      <w:r>
        <w:rPr>
          <w:rFonts w:hint="default" w:ascii="Times New Roman" w:hAnsi="Times New Roman" w:cs="Times New Roman"/>
          <w:lang w:val="en-US" w:eastAsia="zh-CN"/>
        </w:rPr>
        <w:t>本项目焚烧物料分解温度在150~400℃范围内，本项目拟处置的固态物料、液态物料投加点选择在</w:t>
      </w:r>
      <w:r>
        <w:rPr>
          <w:rFonts w:hint="default" w:ascii="Times New Roman" w:hAnsi="Times New Roman" w:cs="Times New Roman"/>
          <w:color w:val="000000" w:themeColor="text1"/>
          <w14:textFill>
            <w14:solidFill>
              <w14:schemeClr w14:val="tx1"/>
            </w14:solidFill>
          </w14:textFill>
        </w:rPr>
        <w:t>窑尾高温段投料点</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cs="Times New Roman"/>
        </w:rPr>
        <w:t>分解炉及上升管道投加口</w:t>
      </w:r>
      <w:r>
        <w:rPr>
          <w:rFonts w:hint="default" w:ascii="Times New Roman" w:hAnsi="Times New Roman" w:cs="Times New Roman"/>
          <w:lang w:eastAsia="zh-CN"/>
        </w:rPr>
        <w:t>，</w:t>
      </w:r>
      <w:r>
        <w:rPr>
          <w:rFonts w:hint="default" w:ascii="Times New Roman" w:hAnsi="Times New Roman" w:cs="Times New Roman"/>
          <w:lang w:val="en-US" w:eastAsia="zh-CN"/>
        </w:rPr>
        <w:t>此处偷家口</w:t>
      </w:r>
      <w:r>
        <w:rPr>
          <w:rFonts w:hint="default" w:ascii="Times New Roman" w:hAnsi="Times New Roman" w:cs="Times New Roman"/>
          <w:color w:val="000000" w:themeColor="text1"/>
          <w14:textFill>
            <w14:solidFill>
              <w14:schemeClr w14:val="tx1"/>
            </w14:solidFill>
          </w14:textFill>
        </w:rPr>
        <w:t>温度较高，气相停留时间较长，物料停留时间长，有利于控制温度波动</w:t>
      </w:r>
      <w:r>
        <w:rPr>
          <w:rFonts w:hint="default" w:ascii="Times New Roman" w:hAnsi="Times New Roman" w:cs="Times New Roman"/>
          <w:color w:val="000000" w:themeColor="text1"/>
          <w:lang w:eastAsia="zh-CN"/>
          <w14:textFill>
            <w14:solidFill>
              <w14:schemeClr w14:val="tx1"/>
            </w14:solidFill>
          </w14:textFill>
        </w:rPr>
        <w:t>。</w:t>
      </w:r>
      <w:r>
        <w:rPr>
          <w:rFonts w:hint="eastAsia" w:cs="Times New Roman"/>
          <w:color w:val="auto"/>
          <w:lang w:val="en-US" w:eastAsia="zh-CN"/>
        </w:rPr>
        <w:t>固态包装物选择在窑尾高温段投料点-窑尾烟室投加点，该投加点温度较高，气相停留时间较长，物料停留时间长，分解炉燃烧工况不易受影响，物料适应性广，适合投加各种物态废物，包括液态、粉状、浆状、小颗粒状、大块状。在处理有机废物、含有机物的废物、有机和无机废液、含POPs和高氯、高毒、难降解有机物质的废物，或因受物理特性限制不便从窑头投入时可从该处投入。</w:t>
      </w:r>
      <w:r>
        <w:rPr>
          <w:rFonts w:hint="default" w:ascii="Times New Roman" w:hAnsi="Times New Roman" w:cs="Times New Roman"/>
        </w:rPr>
        <w:t>严格按照《水泥窑协同处置固体废物环境保护技术规范》（HJ662-2013）要求进行设置，根据危废不同理化性质分别进行投加。</w:t>
      </w:r>
    </w:p>
    <w:p w14:paraId="3CFEE4DF">
      <w:pPr>
        <w:pStyle w:val="6"/>
        <w:rPr>
          <w:rFonts w:hint="default" w:ascii="Times New Roman" w:hAnsi="Times New Roman" w:cs="Times New Roman"/>
        </w:rPr>
      </w:pPr>
      <w:r>
        <w:rPr>
          <w:rFonts w:hint="eastAsia" w:ascii="Times New Roman" w:hAnsi="Times New Roman" w:cs="Times New Roman"/>
          <w:lang w:val="en-US" w:eastAsia="zh-CN"/>
        </w:rPr>
        <w:t>（3）</w:t>
      </w:r>
      <w:r>
        <w:rPr>
          <w:rFonts w:hint="default" w:ascii="Times New Roman" w:hAnsi="Times New Roman" w:cs="Times New Roman"/>
        </w:rPr>
        <w:t>本项目危废投料点</w:t>
      </w:r>
    </w:p>
    <w:p w14:paraId="74058558">
      <w:pPr>
        <w:pStyle w:val="6"/>
        <w:rPr>
          <w:rFonts w:hint="default" w:ascii="Times New Roman" w:hAnsi="Times New Roman" w:cs="Times New Roman"/>
        </w:rPr>
      </w:pPr>
      <w:r>
        <w:rPr>
          <w:rFonts w:hint="default" w:ascii="Times New Roman" w:hAnsi="Times New Roman" w:cs="Times New Roman"/>
          <w:color w:val="auto"/>
        </w:rPr>
        <w:t>本项目采用的投料点共</w:t>
      </w:r>
      <w:r>
        <w:rPr>
          <w:rFonts w:hint="eastAsia" w:cs="Times New Roman"/>
          <w:color w:val="auto"/>
          <w:lang w:val="en-US" w:eastAsia="zh-CN"/>
        </w:rPr>
        <w:t>3</w:t>
      </w:r>
      <w:r>
        <w:rPr>
          <w:rFonts w:hint="default" w:ascii="Times New Roman" w:hAnsi="Times New Roman" w:cs="Times New Roman"/>
          <w:color w:val="auto"/>
        </w:rPr>
        <w:t>个位置（窑尾高温段投料点</w:t>
      </w:r>
      <w:r>
        <w:rPr>
          <w:rFonts w:hint="default" w:ascii="Times New Roman" w:hAnsi="Times New Roman" w:cs="Times New Roman"/>
          <w:color w:val="auto"/>
          <w:lang w:val="en-US" w:eastAsia="zh-CN"/>
        </w:rPr>
        <w:t>-</w:t>
      </w:r>
      <w:r>
        <w:rPr>
          <w:rFonts w:hint="default" w:ascii="Times New Roman" w:hAnsi="Times New Roman" w:cs="Times New Roman"/>
          <w:color w:val="auto"/>
        </w:rPr>
        <w:t>分解炉和上升管道投加点</w:t>
      </w:r>
      <w:r>
        <w:rPr>
          <w:rFonts w:hint="default" w:ascii="Times New Roman" w:hAnsi="Times New Roman" w:cs="Times New Roman"/>
          <w:color w:val="auto"/>
          <w:lang w:val="en-US" w:eastAsia="zh-CN"/>
        </w:rPr>
        <w:t>-分解炉下部</w:t>
      </w:r>
      <w:r>
        <w:rPr>
          <w:rFonts w:hint="eastAsia" w:cs="Times New Roman"/>
          <w:color w:val="auto"/>
          <w:lang w:eastAsia="zh-CN"/>
        </w:rPr>
        <w:t>、窑尾高温段投料点</w:t>
      </w:r>
      <w:r>
        <w:rPr>
          <w:rFonts w:hint="eastAsia" w:cs="Times New Roman"/>
          <w:color w:val="auto"/>
          <w:lang w:val="en-US" w:eastAsia="zh-CN"/>
        </w:rPr>
        <w:t>-</w:t>
      </w:r>
      <w:r>
        <w:rPr>
          <w:rFonts w:hint="eastAsia" w:cs="Times New Roman"/>
          <w:color w:val="auto"/>
          <w:lang w:eastAsia="zh-CN"/>
        </w:rPr>
        <w:t>分解炉和上升管道投加点</w:t>
      </w:r>
      <w:r>
        <w:rPr>
          <w:rFonts w:hint="eastAsia" w:cs="Times New Roman"/>
          <w:color w:val="auto"/>
          <w:lang w:val="en-US" w:eastAsia="zh-CN"/>
        </w:rPr>
        <w:t>-分解炉中部、</w:t>
      </w:r>
      <w:r>
        <w:rPr>
          <w:rFonts w:hint="eastAsia" w:cs="Times New Roman"/>
          <w:color w:val="auto"/>
          <w:lang w:eastAsia="zh-CN"/>
        </w:rPr>
        <w:t>窑尾高温段投料点</w:t>
      </w:r>
      <w:r>
        <w:rPr>
          <w:rFonts w:hint="eastAsia" w:cs="Times New Roman"/>
          <w:color w:val="auto"/>
          <w:lang w:val="en-US" w:eastAsia="zh-CN"/>
        </w:rPr>
        <w:t>-</w:t>
      </w:r>
      <w:r>
        <w:rPr>
          <w:rFonts w:hint="eastAsia" w:cs="Times New Roman"/>
          <w:color w:val="auto"/>
          <w:lang w:eastAsia="zh-CN"/>
        </w:rPr>
        <w:t>窑尾烟室投加点</w:t>
      </w:r>
      <w:r>
        <w:rPr>
          <w:rFonts w:hint="default" w:ascii="Times New Roman" w:hAnsi="Times New Roman" w:cs="Times New Roman"/>
          <w:color w:val="auto"/>
        </w:rPr>
        <w:t>），本项目危废入窑位置汇总情况见表</w:t>
      </w:r>
      <w:r>
        <w:rPr>
          <w:rFonts w:hint="default" w:ascii="Times New Roman" w:hAnsi="Times New Roman" w:cs="Times New Roman"/>
          <w:color w:val="auto"/>
          <w:lang w:val="en-US" w:eastAsia="zh-CN"/>
        </w:rPr>
        <w:t>3.8-2</w:t>
      </w:r>
      <w:r>
        <w:rPr>
          <w:rFonts w:hint="default" w:ascii="Times New Roman" w:hAnsi="Times New Roman" w:cs="Times New Roman"/>
          <w:color w:val="auto"/>
        </w:rPr>
        <w:t>。</w:t>
      </w:r>
    </w:p>
    <w:p w14:paraId="6F45013A">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32" w:name="_Ref127283426"/>
      <w:r>
        <w:rPr>
          <w:rFonts w:hint="default" w:ascii="Times New Roman" w:hAnsi="Times New Roman" w:cs="Times New Roman"/>
          <w:b/>
          <w:bCs/>
        </w:rPr>
        <w:t>表</w:t>
      </w:r>
      <w:bookmarkEnd w:id="132"/>
      <w:r>
        <w:rPr>
          <w:rFonts w:hint="default" w:ascii="Times New Roman" w:hAnsi="Times New Roman" w:cs="Times New Roman"/>
          <w:b/>
          <w:bCs/>
          <w:lang w:val="en-US" w:eastAsia="zh-CN"/>
        </w:rPr>
        <w:t>3.8-2</w:t>
      </w:r>
      <w:r>
        <w:rPr>
          <w:rFonts w:hint="default" w:ascii="Times New Roman" w:hAnsi="Times New Roman" w:cs="Times New Roman"/>
          <w:b/>
          <w:bCs/>
        </w:rPr>
        <w:t xml:space="preserve"> 本项目危废入窑位置</w:t>
      </w:r>
    </w:p>
    <w:tbl>
      <w:tblPr>
        <w:tblStyle w:val="39"/>
        <w:tblW w:w="503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80"/>
        <w:gridCol w:w="1896"/>
        <w:gridCol w:w="5674"/>
      </w:tblGrid>
      <w:tr w14:paraId="1D1FEA5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9" w:hRule="atLeast"/>
        </w:trPr>
        <w:tc>
          <w:tcPr>
            <w:tcW w:w="467" w:type="pct"/>
            <w:tcBorders>
              <w:tl2br w:val="nil"/>
              <w:tr2bl w:val="nil"/>
            </w:tcBorders>
            <w:vAlign w:val="center"/>
          </w:tcPr>
          <w:p w14:paraId="4B8EC598">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序号</w:t>
            </w:r>
          </w:p>
        </w:tc>
        <w:tc>
          <w:tcPr>
            <w:tcW w:w="1135" w:type="pct"/>
            <w:tcBorders>
              <w:tl2br w:val="nil"/>
              <w:tr2bl w:val="nil"/>
            </w:tcBorders>
            <w:vAlign w:val="center"/>
          </w:tcPr>
          <w:p w14:paraId="491540EE">
            <w:pPr>
              <w:pStyle w:val="52"/>
              <w:spacing w:before="0" w:after="0" w:line="240" w:lineRule="auto"/>
              <w:ind w:left="0" w:firstLine="0"/>
              <w:rPr>
                <w:rFonts w:hint="default" w:ascii="Times New Roman" w:hAnsi="Times New Roman" w:cs="Times New Roman"/>
                <w:b/>
                <w:bCs/>
                <w:color w:val="000000" w:themeColor="text1"/>
                <w:sz w:val="21"/>
                <w:szCs w:val="18"/>
                <w:highlight w:val="none"/>
                <w14:textFill>
                  <w14:solidFill>
                    <w14:schemeClr w14:val="tx1"/>
                  </w14:solidFill>
                </w14:textFill>
              </w:rPr>
            </w:pPr>
            <w:r>
              <w:rPr>
                <w:rFonts w:hint="default" w:ascii="Times New Roman" w:hAnsi="Times New Roman" w:cs="Times New Roman"/>
                <w:b/>
                <w:bCs/>
                <w:color w:val="000000" w:themeColor="text1"/>
                <w:sz w:val="21"/>
                <w:szCs w:val="18"/>
                <w:highlight w:val="none"/>
                <w14:textFill>
                  <w14:solidFill>
                    <w14:schemeClr w14:val="tx1"/>
                  </w14:solidFill>
                </w14:textFill>
              </w:rPr>
              <w:t>危险废物</w:t>
            </w:r>
          </w:p>
        </w:tc>
        <w:tc>
          <w:tcPr>
            <w:tcW w:w="3397" w:type="pct"/>
            <w:tcBorders>
              <w:tl2br w:val="nil"/>
              <w:tr2bl w:val="nil"/>
            </w:tcBorders>
            <w:vAlign w:val="center"/>
          </w:tcPr>
          <w:p w14:paraId="1B996E24">
            <w:pPr>
              <w:pStyle w:val="52"/>
              <w:spacing w:before="0" w:after="0" w:line="240" w:lineRule="auto"/>
              <w:ind w:left="0" w:firstLine="0"/>
              <w:rPr>
                <w:rFonts w:hint="default" w:ascii="Times New Roman" w:hAnsi="Times New Roman" w:cs="Times New Roman"/>
                <w:b/>
                <w:bCs/>
                <w:color w:val="000000" w:themeColor="text1"/>
                <w:sz w:val="21"/>
                <w:szCs w:val="18"/>
                <w:highlight w:val="none"/>
                <w14:textFill>
                  <w14:solidFill>
                    <w14:schemeClr w14:val="tx1"/>
                  </w14:solidFill>
                </w14:textFill>
              </w:rPr>
            </w:pPr>
            <w:r>
              <w:rPr>
                <w:rFonts w:hint="default" w:ascii="Times New Roman" w:hAnsi="Times New Roman" w:cs="Times New Roman"/>
                <w:b/>
                <w:bCs/>
                <w:color w:val="000000" w:themeColor="text1"/>
                <w:sz w:val="21"/>
                <w:szCs w:val="18"/>
                <w:highlight w:val="none"/>
                <w14:textFill>
                  <w14:solidFill>
                    <w14:schemeClr w14:val="tx1"/>
                  </w14:solidFill>
                </w14:textFill>
              </w:rPr>
              <w:t>入窑位置</w:t>
            </w:r>
          </w:p>
        </w:tc>
      </w:tr>
      <w:tr w14:paraId="6B0CA68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467" w:type="pct"/>
            <w:tcBorders>
              <w:tl2br w:val="nil"/>
              <w:tr2bl w:val="nil"/>
            </w:tcBorders>
            <w:vAlign w:val="center"/>
          </w:tcPr>
          <w:p w14:paraId="0F289CF5">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1</w:t>
            </w:r>
          </w:p>
        </w:tc>
        <w:tc>
          <w:tcPr>
            <w:tcW w:w="1135" w:type="pct"/>
            <w:tcBorders>
              <w:tl2br w:val="nil"/>
              <w:tr2bl w:val="nil"/>
            </w:tcBorders>
            <w:vAlign w:val="center"/>
          </w:tcPr>
          <w:p w14:paraId="33B54753">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固态危废</w:t>
            </w:r>
          </w:p>
        </w:tc>
        <w:tc>
          <w:tcPr>
            <w:tcW w:w="3397" w:type="pct"/>
            <w:tcBorders>
              <w:tl2br w:val="nil"/>
              <w:tr2bl w:val="nil"/>
            </w:tcBorders>
            <w:vAlign w:val="center"/>
          </w:tcPr>
          <w:p w14:paraId="3A07D352">
            <w:pPr>
              <w:pStyle w:val="52"/>
              <w:spacing w:before="0" w:after="0" w:line="240" w:lineRule="auto"/>
              <w:ind w:left="0" w:firstLine="0"/>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rPr>
              <w:t>窑尾高温段投料点</w:t>
            </w:r>
            <w:r>
              <w:rPr>
                <w:rFonts w:hint="default" w:ascii="Times New Roman" w:hAnsi="Times New Roman" w:cs="Times New Roman"/>
                <w:color w:val="auto"/>
                <w:sz w:val="21"/>
                <w:szCs w:val="18"/>
                <w:highlight w:val="none"/>
                <w:lang w:val="en-US" w:eastAsia="zh-CN"/>
              </w:rPr>
              <w:t>-</w:t>
            </w:r>
            <w:r>
              <w:rPr>
                <w:rFonts w:hint="default" w:ascii="Times New Roman" w:hAnsi="Times New Roman" w:cs="Times New Roman"/>
                <w:color w:val="auto"/>
                <w:sz w:val="21"/>
                <w:szCs w:val="18"/>
                <w:highlight w:val="none"/>
              </w:rPr>
              <w:t>分解炉和上升管道投加点</w:t>
            </w:r>
            <w:r>
              <w:rPr>
                <w:rFonts w:hint="eastAsia" w:cs="Times New Roman"/>
                <w:color w:val="auto"/>
                <w:sz w:val="21"/>
                <w:szCs w:val="18"/>
                <w:highlight w:val="none"/>
                <w:lang w:val="en-US" w:eastAsia="zh-CN"/>
              </w:rPr>
              <w:t>-分解炉下部</w:t>
            </w:r>
          </w:p>
        </w:tc>
      </w:tr>
      <w:tr w14:paraId="6FDCBB8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467" w:type="pct"/>
            <w:tcBorders>
              <w:tl2br w:val="nil"/>
              <w:tr2bl w:val="nil"/>
            </w:tcBorders>
            <w:vAlign w:val="center"/>
          </w:tcPr>
          <w:p w14:paraId="64D9D509">
            <w:pPr>
              <w:pStyle w:val="52"/>
              <w:spacing w:before="0" w:after="0" w:line="240" w:lineRule="auto"/>
              <w:ind w:left="0" w:firstLine="0"/>
              <w:rPr>
                <w:rFonts w:hint="eastAsia" w:ascii="Times New Roman" w:hAnsi="Times New Roman" w:eastAsia="宋体" w:cs="Times New Roman"/>
                <w:color w:val="auto"/>
                <w:sz w:val="21"/>
                <w:szCs w:val="18"/>
                <w:lang w:eastAsia="zh-CN"/>
              </w:rPr>
            </w:pPr>
            <w:r>
              <w:rPr>
                <w:rFonts w:hint="eastAsia" w:cs="Times New Roman"/>
                <w:color w:val="auto"/>
                <w:sz w:val="21"/>
                <w:szCs w:val="18"/>
                <w:lang w:val="en-US" w:eastAsia="zh-CN"/>
              </w:rPr>
              <w:t>2</w:t>
            </w:r>
          </w:p>
        </w:tc>
        <w:tc>
          <w:tcPr>
            <w:tcW w:w="1135" w:type="pct"/>
            <w:tcBorders>
              <w:tl2br w:val="nil"/>
              <w:tr2bl w:val="nil"/>
            </w:tcBorders>
            <w:vAlign w:val="center"/>
          </w:tcPr>
          <w:p w14:paraId="1F4D476E">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液态危废</w:t>
            </w:r>
          </w:p>
        </w:tc>
        <w:tc>
          <w:tcPr>
            <w:tcW w:w="3397" w:type="pct"/>
            <w:tcBorders>
              <w:tl2br w:val="nil"/>
              <w:tr2bl w:val="nil"/>
            </w:tcBorders>
            <w:vAlign w:val="center"/>
          </w:tcPr>
          <w:p w14:paraId="5F98A878">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窑尾高温段投料点</w:t>
            </w:r>
            <w:r>
              <w:rPr>
                <w:rFonts w:hint="default" w:ascii="Times New Roman" w:hAnsi="Times New Roman" w:cs="Times New Roman"/>
                <w:color w:val="auto"/>
                <w:sz w:val="21"/>
                <w:szCs w:val="18"/>
                <w:highlight w:val="none"/>
                <w:lang w:val="en-US" w:eastAsia="zh-CN"/>
              </w:rPr>
              <w:t>-</w:t>
            </w:r>
            <w:r>
              <w:rPr>
                <w:rFonts w:hint="default" w:ascii="Times New Roman" w:hAnsi="Times New Roman" w:cs="Times New Roman"/>
                <w:color w:val="auto"/>
                <w:sz w:val="21"/>
                <w:szCs w:val="18"/>
                <w:highlight w:val="none"/>
              </w:rPr>
              <w:t>分解炉和上升管道投加点</w:t>
            </w:r>
            <w:r>
              <w:rPr>
                <w:rFonts w:hint="eastAsia" w:cs="Times New Roman"/>
                <w:color w:val="auto"/>
                <w:sz w:val="21"/>
                <w:szCs w:val="18"/>
                <w:highlight w:val="none"/>
                <w:lang w:val="en-US" w:eastAsia="zh-CN"/>
              </w:rPr>
              <w:t>-分解炉中部</w:t>
            </w:r>
          </w:p>
        </w:tc>
      </w:tr>
      <w:tr w14:paraId="206BA94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35" w:hRule="atLeast"/>
        </w:trPr>
        <w:tc>
          <w:tcPr>
            <w:tcW w:w="467" w:type="pct"/>
            <w:tcBorders>
              <w:tl2br w:val="nil"/>
              <w:tr2bl w:val="nil"/>
            </w:tcBorders>
            <w:vAlign w:val="center"/>
          </w:tcPr>
          <w:p w14:paraId="6320F689">
            <w:pPr>
              <w:pStyle w:val="52"/>
              <w:spacing w:before="0" w:after="0" w:line="240" w:lineRule="auto"/>
              <w:ind w:left="0" w:firstLine="0"/>
              <w:rPr>
                <w:rFonts w:hint="eastAsia"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3</w:t>
            </w:r>
          </w:p>
        </w:tc>
        <w:tc>
          <w:tcPr>
            <w:tcW w:w="1135" w:type="pct"/>
            <w:tcBorders>
              <w:tl2br w:val="nil"/>
              <w:tr2bl w:val="nil"/>
            </w:tcBorders>
            <w:vAlign w:val="center"/>
          </w:tcPr>
          <w:p w14:paraId="653EF18C">
            <w:pPr>
              <w:pStyle w:val="52"/>
              <w:spacing w:before="0" w:after="0" w:line="240" w:lineRule="auto"/>
              <w:ind w:left="0" w:firstLine="0"/>
              <w:rPr>
                <w:rFonts w:hint="eastAsia" w:ascii="Times New Roman" w:hAnsi="Times New Roman" w:eastAsia="宋体" w:cs="Times New Roman"/>
                <w:color w:val="auto"/>
                <w:sz w:val="21"/>
                <w:szCs w:val="18"/>
                <w:highlight w:val="none"/>
                <w:lang w:val="en-US" w:eastAsia="zh-CN"/>
              </w:rPr>
            </w:pPr>
            <w:r>
              <w:rPr>
                <w:rFonts w:hint="eastAsia" w:cs="Times New Roman"/>
                <w:color w:val="auto"/>
                <w:sz w:val="21"/>
                <w:szCs w:val="18"/>
                <w:highlight w:val="none"/>
                <w:lang w:val="en-US" w:eastAsia="zh-CN"/>
              </w:rPr>
              <w:t>固态包装物</w:t>
            </w:r>
          </w:p>
        </w:tc>
        <w:tc>
          <w:tcPr>
            <w:tcW w:w="3397" w:type="pct"/>
            <w:tcBorders>
              <w:tl2br w:val="nil"/>
              <w:tr2bl w:val="nil"/>
            </w:tcBorders>
            <w:vAlign w:val="center"/>
          </w:tcPr>
          <w:p w14:paraId="448A6BF5">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窑尾高温段投料点</w:t>
            </w:r>
            <w:r>
              <w:rPr>
                <w:rFonts w:hint="default" w:ascii="Times New Roman" w:hAnsi="Times New Roman" w:cs="Times New Roman"/>
                <w:color w:val="auto"/>
                <w:sz w:val="21"/>
                <w:szCs w:val="18"/>
                <w:highlight w:val="none"/>
                <w:lang w:val="en-US" w:eastAsia="zh-CN"/>
              </w:rPr>
              <w:t>-</w:t>
            </w:r>
            <w:r>
              <w:rPr>
                <w:rFonts w:hint="default" w:ascii="Times New Roman" w:hAnsi="Times New Roman" w:cs="Times New Roman"/>
                <w:color w:val="auto"/>
                <w:sz w:val="21"/>
                <w:szCs w:val="18"/>
              </w:rPr>
              <w:t>窑尾烟室投加点</w:t>
            </w:r>
          </w:p>
        </w:tc>
      </w:tr>
    </w:tbl>
    <w:p w14:paraId="6F8E6C49">
      <w:pPr>
        <w:pStyle w:val="6"/>
        <w:spacing w:before="120" w:beforeLines="50"/>
        <w:rPr>
          <w:rFonts w:hint="default" w:ascii="Times New Roman" w:hAnsi="Times New Roman" w:cs="Times New Roman"/>
        </w:rPr>
      </w:pPr>
      <w:r>
        <w:rPr>
          <w:rFonts w:hint="eastAsia" w:ascii="Times New Roman" w:hAnsi="Times New Roman" w:cs="Times New Roman"/>
          <w:lang w:val="en-US" w:eastAsia="zh-CN"/>
        </w:rPr>
        <w:t>（4）</w:t>
      </w:r>
      <w:r>
        <w:rPr>
          <w:rFonts w:hint="default" w:ascii="Times New Roman" w:hAnsi="Times New Roman" w:cs="Times New Roman"/>
        </w:rPr>
        <w:t>危险废物投加工艺流程</w:t>
      </w:r>
    </w:p>
    <w:p w14:paraId="4EAF72A8">
      <w:pPr>
        <w:pStyle w:val="6"/>
        <w:rPr>
          <w:rFonts w:hint="default" w:ascii="Times New Roman" w:hAnsi="Times New Roman" w:cs="Times New Roman"/>
        </w:rPr>
      </w:pPr>
      <w:r>
        <w:rPr>
          <w:rFonts w:hint="default" w:ascii="Times New Roman" w:hAnsi="Times New Roman" w:cs="Times New Roman"/>
          <w:lang w:val="en-US" w:eastAsia="zh-CN"/>
        </w:rPr>
        <w:t>本项目</w:t>
      </w:r>
      <w:r>
        <w:rPr>
          <w:rFonts w:hint="default" w:ascii="Times New Roman" w:hAnsi="Times New Roman" w:cs="Times New Roman"/>
        </w:rPr>
        <w:t>液态</w:t>
      </w:r>
      <w:r>
        <w:rPr>
          <w:rFonts w:hint="default" w:ascii="Times New Roman" w:hAnsi="Times New Roman" w:cs="Times New Roman"/>
          <w:lang w:val="en-US" w:eastAsia="zh-CN"/>
        </w:rPr>
        <w:t>废物经管道</w:t>
      </w:r>
      <w:r>
        <w:rPr>
          <w:rFonts w:hint="default" w:ascii="Times New Roman" w:hAnsi="Times New Roman" w:cs="Times New Roman"/>
        </w:rPr>
        <w:t>输送通过喷枪射入</w:t>
      </w:r>
      <w:r>
        <w:rPr>
          <w:rFonts w:hint="default" w:ascii="Times New Roman" w:hAnsi="Times New Roman" w:cs="Times New Roman"/>
          <w:color w:val="000000" w:themeColor="text1"/>
          <w:highlight w:val="none"/>
          <w14:textFill>
            <w14:solidFill>
              <w14:schemeClr w14:val="tx1"/>
            </w14:solidFill>
          </w14:textFill>
        </w:rPr>
        <w:t>窑尾高温段投料点</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分解炉和上升管道投加点</w:t>
      </w:r>
      <w:r>
        <w:rPr>
          <w:rFonts w:hint="default" w:ascii="Times New Roman" w:hAnsi="Times New Roman" w:cs="Times New Roman"/>
          <w:color w:val="000000" w:themeColor="text1"/>
          <w:highlight w:val="none"/>
          <w:lang w:val="en-US" w:eastAsia="zh-CN"/>
          <w14:textFill>
            <w14:solidFill>
              <w14:schemeClr w14:val="tx1"/>
            </w14:solidFill>
          </w14:textFill>
        </w:rPr>
        <w:t>在</w:t>
      </w:r>
      <w:r>
        <w:rPr>
          <w:rFonts w:hint="default" w:ascii="Times New Roman" w:hAnsi="Times New Roman" w:cs="Times New Roman"/>
        </w:rPr>
        <w:t>新型干法水泥窑内进行焚烧</w:t>
      </w:r>
      <w:r>
        <w:rPr>
          <w:rFonts w:hint="default" w:ascii="Times New Roman" w:hAnsi="Times New Roman" w:cs="Times New Roman"/>
          <w:highlight w:val="none"/>
        </w:rPr>
        <w:t>；固态危险废物送至</w:t>
      </w:r>
      <w:r>
        <w:rPr>
          <w:rFonts w:hint="default" w:ascii="Times New Roman" w:hAnsi="Times New Roman" w:cs="Times New Roman"/>
          <w:color w:val="000000" w:themeColor="text1"/>
          <w:highlight w:val="none"/>
          <w14:textFill>
            <w14:solidFill>
              <w14:schemeClr w14:val="tx1"/>
            </w14:solidFill>
          </w14:textFill>
        </w:rPr>
        <w:t>窑尾高温段投料点</w:t>
      </w:r>
      <w:r>
        <w:rPr>
          <w:rFonts w:hint="default"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14:textFill>
            <w14:solidFill>
              <w14:schemeClr w14:val="tx1"/>
            </w14:solidFill>
          </w14:textFill>
        </w:rPr>
        <w:t>分解炉和上升管道投加点</w:t>
      </w:r>
      <w:r>
        <w:rPr>
          <w:rFonts w:hint="default" w:ascii="Times New Roman" w:hAnsi="Times New Roman" w:cs="Times New Roman"/>
          <w:highlight w:val="none"/>
        </w:rPr>
        <w:t>入窑焚烧处理。</w:t>
      </w:r>
    </w:p>
    <w:p w14:paraId="711872E7">
      <w:pPr>
        <w:pStyle w:val="6"/>
        <w:rPr>
          <w:rFonts w:hint="default" w:ascii="Times New Roman" w:hAnsi="Times New Roman" w:cs="Times New Roman"/>
          <w:highlight w:val="none"/>
        </w:rPr>
      </w:pPr>
      <w:r>
        <w:rPr>
          <w:rFonts w:hint="eastAsia" w:ascii="Times New Roman" w:hAnsi="Times New Roman" w:cs="Times New Roman"/>
          <w:highlight w:val="none"/>
          <w:lang w:val="en-US" w:eastAsia="zh-CN"/>
        </w:rPr>
        <w:t>①</w:t>
      </w:r>
      <w:r>
        <w:rPr>
          <w:rFonts w:hint="default" w:ascii="Times New Roman" w:hAnsi="Times New Roman" w:cs="Times New Roman"/>
          <w:highlight w:val="none"/>
        </w:rPr>
        <w:t>固态废物投料系统（分解炉投料口）</w:t>
      </w:r>
    </w:p>
    <w:p w14:paraId="5BF15D80">
      <w:pPr>
        <w:pStyle w:val="6"/>
        <w:rPr>
          <w:rFonts w:hint="default" w:ascii="Times New Roman" w:hAnsi="Times New Roman" w:cs="Times New Roman"/>
          <w:highlight w:val="none"/>
        </w:rPr>
      </w:pPr>
      <w:r>
        <w:rPr>
          <w:rFonts w:hint="default" w:ascii="Times New Roman" w:hAnsi="Times New Roman" w:cs="Times New Roman"/>
          <w:highlight w:val="none"/>
        </w:rPr>
        <w:t>固态废物经缓冲仓下计量秤计量后，由窑尾密封式皮带机转运卸入下料溜子喂入分解炉底部。固态危险废物投加流程示意图如下。</w:t>
      </w:r>
    </w:p>
    <w:p w14:paraId="53A6A39A">
      <w:pPr>
        <w:pStyle w:val="205"/>
        <w:rPr>
          <w:rFonts w:hint="default" w:ascii="Times New Roman" w:hAnsi="Times New Roman" w:cs="Times New Roman"/>
          <w:highlight w:val="none"/>
        </w:rPr>
      </w:pPr>
      <w:r>
        <w:rPr>
          <w:rFonts w:hint="default" w:ascii="Times New Roman" w:hAnsi="Times New Roman" w:cs="Times New Roman"/>
          <w:highlight w:val="none"/>
        </w:rPr>
        <w:drawing>
          <wp:inline distT="0" distB="0" distL="0" distR="0">
            <wp:extent cx="2879725" cy="747395"/>
            <wp:effectExtent l="0" t="0" r="635" b="1460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29">
                      <a:extLst>
                        <a:ext uri="{28A0092B-C50C-407E-A947-70E740481C1C}">
                          <a14:useLocalDpi xmlns:a14="http://schemas.microsoft.com/office/drawing/2010/main" val="0"/>
                        </a:ext>
                      </a:extLst>
                    </a:blip>
                    <a:srcRect r="20940"/>
                    <a:stretch>
                      <a:fillRect/>
                    </a:stretch>
                  </pic:blipFill>
                  <pic:spPr>
                    <a:xfrm>
                      <a:off x="0" y="0"/>
                      <a:ext cx="2879725" cy="747395"/>
                    </a:xfrm>
                    <a:prstGeom prst="rect">
                      <a:avLst/>
                    </a:prstGeom>
                    <a:noFill/>
                    <a:ln>
                      <a:noFill/>
                    </a:ln>
                  </pic:spPr>
                </pic:pic>
              </a:graphicData>
            </a:graphic>
          </wp:inline>
        </w:drawing>
      </w:r>
    </w:p>
    <w:p w14:paraId="4C47F9AE">
      <w:pPr>
        <w:pStyle w:val="203"/>
        <w:keepNext w:val="0"/>
        <w:keepLines w:val="0"/>
        <w:pageBreakBefore w:val="0"/>
        <w:widowControl w:val="0"/>
        <w:kinsoku/>
        <w:wordWrap/>
        <w:overflowPunct/>
        <w:topLinePunct w:val="0"/>
        <w:autoSpaceDE/>
        <w:autoSpaceDN/>
        <w:bidi w:val="0"/>
        <w:adjustRightInd w:val="0"/>
        <w:snapToGrid w:val="0"/>
        <w:spacing w:before="0" w:beforeLines="0" w:line="360" w:lineRule="auto"/>
        <w:textAlignment w:val="auto"/>
        <w:rPr>
          <w:rFonts w:hint="default" w:ascii="Times New Roman" w:hAnsi="Times New Roman" w:eastAsia="宋体" w:cs="Times New Roman"/>
          <w:b/>
          <w:bCs/>
        </w:rPr>
      </w:pPr>
      <w:r>
        <w:rPr>
          <w:rFonts w:hint="default" w:ascii="Times New Roman" w:hAnsi="Times New Roman" w:eastAsia="宋体" w:cs="Times New Roman"/>
          <w:b/>
          <w:bCs/>
        </w:rPr>
        <w:t>图</w:t>
      </w:r>
      <w:r>
        <w:rPr>
          <w:rFonts w:hint="default" w:ascii="Times New Roman" w:hAnsi="Times New Roman" w:eastAsia="宋体" w:cs="Times New Roman"/>
          <w:b/>
          <w:bCs/>
          <w:lang w:val="en-US" w:eastAsia="zh-CN"/>
        </w:rPr>
        <w:t>3.8-</w:t>
      </w:r>
      <w:r>
        <w:rPr>
          <w:rFonts w:hint="eastAsia" w:ascii="Times New Roman" w:hAnsi="Times New Roman" w:eastAsia="宋体" w:cs="Times New Roman"/>
          <w:b/>
          <w:bCs/>
          <w:lang w:val="en-US" w:eastAsia="zh-CN"/>
        </w:rPr>
        <w:t>4</w:t>
      </w:r>
      <w:r>
        <w:rPr>
          <w:rFonts w:hint="default" w:ascii="Times New Roman" w:hAnsi="Times New Roman" w:eastAsia="宋体" w:cs="Times New Roman"/>
          <w:b/>
          <w:bCs/>
        </w:rPr>
        <w:t xml:space="preserve"> 固态危废投料工艺示意图</w:t>
      </w:r>
    </w:p>
    <w:p w14:paraId="4FB7DAA7">
      <w:pPr>
        <w:pStyle w:val="6"/>
        <w:rPr>
          <w:rFonts w:hint="default" w:ascii="Times New Roman" w:hAnsi="Times New Roman" w:cs="Times New Roman"/>
          <w:highlight w:val="none"/>
        </w:rPr>
      </w:pPr>
      <w:r>
        <w:rPr>
          <w:rFonts w:hint="eastAsia" w:ascii="Times New Roman" w:hAnsi="Times New Roman" w:cs="Times New Roman"/>
          <w:highlight w:val="none"/>
          <w:lang w:val="en-US" w:eastAsia="zh-CN"/>
        </w:rPr>
        <w:t>②</w:t>
      </w:r>
      <w:r>
        <w:rPr>
          <w:rFonts w:hint="default" w:ascii="Times New Roman" w:hAnsi="Times New Roman" w:cs="Times New Roman"/>
          <w:highlight w:val="none"/>
        </w:rPr>
        <w:t>液态危废投料系统</w:t>
      </w:r>
    </w:p>
    <w:p w14:paraId="51471488">
      <w:pPr>
        <w:pStyle w:val="6"/>
        <w:rPr>
          <w:rFonts w:hint="default" w:ascii="Times New Roman" w:hAnsi="Times New Roman" w:cs="Times New Roman"/>
          <w:highlight w:val="none"/>
        </w:rPr>
      </w:pPr>
      <w:r>
        <w:rPr>
          <w:rFonts w:hint="default" w:ascii="Times New Roman" w:hAnsi="Times New Roman" w:cs="Times New Roman"/>
          <w:highlight w:val="none"/>
        </w:rPr>
        <w:t>液态危险废物</w:t>
      </w:r>
      <w:r>
        <w:rPr>
          <w:rFonts w:hint="eastAsia" w:cs="Times New Roman"/>
          <w:highlight w:val="none"/>
          <w:lang w:val="en-US" w:eastAsia="zh-CN"/>
        </w:rPr>
        <w:t>通过架空密闭管道输送进厂，</w:t>
      </w:r>
      <w:r>
        <w:rPr>
          <w:rFonts w:hint="default" w:ascii="Times New Roman" w:hAnsi="Times New Roman" w:cs="Times New Roman"/>
          <w:highlight w:val="none"/>
        </w:rPr>
        <w:t>由输送泵、喷枪射入水泥窑窑尾分解炉内进行焚烧。</w:t>
      </w:r>
    </w:p>
    <w:p w14:paraId="6FB35C3C">
      <w:pPr>
        <w:pStyle w:val="205"/>
        <w:rPr>
          <w:rFonts w:hint="default" w:ascii="Times New Roman" w:hAnsi="Times New Roman" w:cs="Times New Roman"/>
          <w:highlight w:val="none"/>
        </w:rPr>
      </w:pPr>
      <w:r>
        <w:rPr>
          <w:rFonts w:hint="default" w:ascii="Times New Roman" w:hAnsi="Times New Roman" w:cs="Times New Roman"/>
          <w:highlight w:val="none"/>
        </w:rPr>
        <w:object>
          <v:shape id="_x0000_i1029" o:spt="75" type="#_x0000_t75" style="height:56.7pt;width:294.9pt;" o:ole="t" filled="f" o:preferrelative="t" stroked="f" coordsize="21600,21600">
            <v:path/>
            <v:fill on="f" focussize="0,0"/>
            <v:stroke on="f"/>
            <v:imagedata r:id="rId31" o:title=""/>
            <o:lock v:ext="edit" aspectratio="t"/>
            <w10:wrap type="none"/>
            <w10:anchorlock/>
          </v:shape>
          <o:OLEObject Type="Embed" ProgID="Visio.Drawing.11" ShapeID="_x0000_i1029" DrawAspect="Content" ObjectID="_1468075729" r:id="rId30">
            <o:LockedField>false</o:LockedField>
          </o:OLEObject>
        </w:object>
      </w:r>
    </w:p>
    <w:p w14:paraId="42AA7D29">
      <w:pPr>
        <w:pStyle w:val="203"/>
        <w:keepNext w:val="0"/>
        <w:keepLines w:val="0"/>
        <w:pageBreakBefore w:val="0"/>
        <w:widowControl w:val="0"/>
        <w:kinsoku/>
        <w:wordWrap/>
        <w:overflowPunct/>
        <w:topLinePunct w:val="0"/>
        <w:autoSpaceDE/>
        <w:autoSpaceDN/>
        <w:bidi w:val="0"/>
        <w:adjustRightInd w:val="0"/>
        <w:snapToGrid w:val="0"/>
        <w:spacing w:before="0" w:beforeLines="0" w:line="360" w:lineRule="auto"/>
        <w:textAlignment w:val="auto"/>
        <w:rPr>
          <w:rFonts w:hint="default" w:ascii="Times New Roman" w:hAnsi="Times New Roman" w:eastAsia="宋体" w:cs="Times New Roman"/>
          <w:b/>
          <w:bCs/>
        </w:rPr>
      </w:pPr>
      <w:r>
        <w:rPr>
          <w:rFonts w:hint="default" w:ascii="Times New Roman" w:hAnsi="Times New Roman" w:eastAsia="宋体" w:cs="Times New Roman"/>
          <w:b/>
          <w:bCs/>
        </w:rPr>
        <w:t>图</w:t>
      </w:r>
      <w:r>
        <w:rPr>
          <w:rFonts w:hint="default" w:ascii="Times New Roman" w:hAnsi="Times New Roman" w:eastAsia="宋体" w:cs="Times New Roman"/>
          <w:b/>
          <w:bCs/>
          <w:lang w:val="en-US" w:eastAsia="zh-CN"/>
        </w:rPr>
        <w:t>3.8-</w:t>
      </w:r>
      <w:r>
        <w:rPr>
          <w:rFonts w:hint="eastAsia" w:ascii="Times New Roman" w:hAnsi="Times New Roman" w:eastAsia="宋体" w:cs="Times New Roman"/>
          <w:b/>
          <w:bCs/>
          <w:lang w:val="en-US" w:eastAsia="zh-CN"/>
        </w:rPr>
        <w:t>5</w:t>
      </w:r>
      <w:r>
        <w:rPr>
          <w:rFonts w:hint="default" w:ascii="Times New Roman" w:hAnsi="Times New Roman" w:eastAsia="宋体" w:cs="Times New Roman"/>
          <w:b/>
          <w:bCs/>
        </w:rPr>
        <w:t xml:space="preserve"> 液态危废投料工艺示意图</w:t>
      </w:r>
    </w:p>
    <w:p w14:paraId="685999D0">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cs="Times New Roman"/>
          <w:b/>
          <w:bCs w:val="0"/>
          <w:color w:val="auto"/>
          <w:kern w:val="2"/>
          <w:sz w:val="24"/>
          <w:szCs w:val="24"/>
          <w:highlight w:val="none"/>
          <w:lang w:val="en-US" w:eastAsia="zh-CN"/>
        </w:rPr>
      </w:pPr>
      <w:r>
        <w:rPr>
          <w:rFonts w:hint="eastAsia" w:ascii="Times New Roman" w:hAnsi="Times New Roman" w:cs="Times New Roman"/>
          <w:b/>
          <w:bCs w:val="0"/>
          <w:color w:val="auto"/>
          <w:kern w:val="2"/>
          <w:sz w:val="24"/>
          <w:szCs w:val="24"/>
          <w:highlight w:val="none"/>
          <w:lang w:val="en-US" w:eastAsia="zh-CN"/>
        </w:rPr>
        <w:t>3.8.1.7</w:t>
      </w:r>
      <w:r>
        <w:rPr>
          <w:rFonts w:hint="default" w:ascii="Times New Roman" w:hAnsi="Times New Roman" w:cs="Times New Roman"/>
          <w:b/>
          <w:bCs w:val="0"/>
          <w:color w:val="auto"/>
          <w:kern w:val="2"/>
          <w:sz w:val="24"/>
          <w:szCs w:val="24"/>
          <w:highlight w:val="none"/>
          <w:lang w:val="en-US" w:eastAsia="zh-CN"/>
        </w:rPr>
        <w:t>产污环节分析</w:t>
      </w:r>
    </w:p>
    <w:p w14:paraId="59449626">
      <w:pPr>
        <w:pStyle w:val="6"/>
        <w:rPr>
          <w:rFonts w:hint="default" w:ascii="Times New Roman" w:hAnsi="Times New Roman" w:cs="Times New Roman"/>
        </w:rPr>
      </w:pPr>
      <w:r>
        <w:rPr>
          <w:rFonts w:hint="default" w:ascii="Times New Roman" w:hAnsi="Times New Roman" w:cs="Times New Roman"/>
        </w:rPr>
        <w:t>本项目主要产污环节及排污特征详见</w:t>
      </w:r>
      <w:r>
        <w:rPr>
          <w:rFonts w:hint="default" w:ascii="Times New Roman" w:hAnsi="Times New Roman" w:cs="Times New Roman"/>
        </w:rPr>
        <w:fldChar w:fldCharType="begin"/>
      </w:r>
      <w:r>
        <w:rPr>
          <w:rFonts w:hint="default" w:ascii="Times New Roman" w:hAnsi="Times New Roman" w:cs="Times New Roman"/>
        </w:rPr>
        <w:instrText xml:space="preserve"> REF _Ref111401603 \h  \* MERGEFORMAT </w:instrText>
      </w:r>
      <w:r>
        <w:rPr>
          <w:rFonts w:hint="default" w:ascii="Times New Roman" w:hAnsi="Times New Roman" w:cs="Times New Roman"/>
        </w:rPr>
        <w:fldChar w:fldCharType="separate"/>
      </w:r>
      <w:r>
        <w:rPr>
          <w:rFonts w:hint="default" w:ascii="Times New Roman" w:hAnsi="Times New Roman" w:cs="Times New Roman"/>
        </w:rPr>
        <w:t>表</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.8-3</w:t>
      </w:r>
      <w:r>
        <w:rPr>
          <w:rFonts w:hint="default" w:ascii="Times New Roman" w:hAnsi="Times New Roman" w:cs="Times New Roman"/>
        </w:rPr>
        <w:t>。</w:t>
      </w:r>
    </w:p>
    <w:p w14:paraId="19178F23">
      <w:pPr>
        <w:pStyle w:val="203"/>
        <w:keepNext w:val="0"/>
        <w:keepLines w:val="0"/>
        <w:pageBreakBefore w:val="0"/>
        <w:widowControl w:val="0"/>
        <w:kinsoku/>
        <w:wordWrap/>
        <w:overflowPunct/>
        <w:topLinePunct w:val="0"/>
        <w:autoSpaceDE/>
        <w:autoSpaceDN/>
        <w:bidi w:val="0"/>
        <w:adjustRightInd w:val="0"/>
        <w:snapToGrid w:val="0"/>
        <w:spacing w:before="0" w:beforeLines="0" w:line="240" w:lineRule="auto"/>
        <w:textAlignment w:val="auto"/>
        <w:rPr>
          <w:rFonts w:hint="default" w:ascii="Times New Roman" w:hAnsi="Times New Roman" w:eastAsia="宋体" w:cs="Times New Roman"/>
          <w:b/>
          <w:bCs/>
        </w:rPr>
      </w:pPr>
      <w:bookmarkStart w:id="133" w:name="_Ref111401603"/>
      <w:bookmarkStart w:id="134" w:name="_Hlk150985107"/>
      <w:bookmarkStart w:id="135" w:name="_Hlk151318288"/>
      <w:r>
        <w:rPr>
          <w:rFonts w:hint="default" w:ascii="Times New Roman" w:hAnsi="Times New Roman" w:eastAsia="宋体" w:cs="Times New Roman"/>
          <w:b/>
          <w:bCs/>
        </w:rPr>
        <w:t>表</w:t>
      </w:r>
      <w:bookmarkEnd w:id="133"/>
      <w:r>
        <w:rPr>
          <w:rFonts w:hint="default" w:ascii="Times New Roman" w:hAnsi="Times New Roman" w:eastAsia="宋体" w:cs="Times New Roman"/>
          <w:b/>
          <w:bCs/>
          <w:lang w:val="en-US" w:eastAsia="zh-CN"/>
        </w:rPr>
        <w:t>3.8-3</w:t>
      </w:r>
      <w:r>
        <w:rPr>
          <w:rFonts w:hint="default" w:ascii="Times New Roman" w:hAnsi="Times New Roman" w:eastAsia="宋体" w:cs="Times New Roman"/>
          <w:b/>
          <w:bCs/>
        </w:rPr>
        <w:t xml:space="preserve"> 本项目主要产污节点及污染物一览表</w:t>
      </w:r>
      <w:bookmarkEnd w:id="134"/>
    </w:p>
    <w:tbl>
      <w:tblPr>
        <w:tblStyle w:val="39"/>
        <w:tblW w:w="4998"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35"/>
        <w:gridCol w:w="488"/>
        <w:gridCol w:w="1814"/>
        <w:gridCol w:w="1952"/>
        <w:gridCol w:w="2639"/>
        <w:gridCol w:w="969"/>
      </w:tblGrid>
      <w:tr w14:paraId="1F4A751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0" w:hRule="atLeast"/>
          <w:tblHeader/>
        </w:trPr>
        <w:tc>
          <w:tcPr>
            <w:tcW w:w="262" w:type="pct"/>
            <w:tcBorders>
              <w:tl2br w:val="nil"/>
              <w:tr2bl w:val="nil"/>
            </w:tcBorders>
            <w:vAlign w:val="center"/>
          </w:tcPr>
          <w:p w14:paraId="01A74FED">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项目</w:t>
            </w:r>
          </w:p>
        </w:tc>
        <w:tc>
          <w:tcPr>
            <w:tcW w:w="294" w:type="pct"/>
            <w:tcBorders>
              <w:tl2br w:val="nil"/>
              <w:tr2bl w:val="nil"/>
            </w:tcBorders>
            <w:vAlign w:val="center"/>
          </w:tcPr>
          <w:p w14:paraId="438A9578">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编号</w:t>
            </w:r>
          </w:p>
        </w:tc>
        <w:tc>
          <w:tcPr>
            <w:tcW w:w="1092" w:type="pct"/>
            <w:tcBorders>
              <w:tl2br w:val="nil"/>
              <w:tr2bl w:val="nil"/>
            </w:tcBorders>
            <w:vAlign w:val="center"/>
          </w:tcPr>
          <w:p w14:paraId="670A9F0E">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产污环节</w:t>
            </w:r>
          </w:p>
        </w:tc>
        <w:tc>
          <w:tcPr>
            <w:tcW w:w="1176" w:type="pct"/>
            <w:tcBorders>
              <w:tl2br w:val="nil"/>
              <w:tr2bl w:val="nil"/>
            </w:tcBorders>
            <w:vAlign w:val="center"/>
          </w:tcPr>
          <w:p w14:paraId="0D1C0A58">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污染物组成</w:t>
            </w:r>
          </w:p>
        </w:tc>
        <w:tc>
          <w:tcPr>
            <w:tcW w:w="1590" w:type="pct"/>
            <w:tcBorders>
              <w:tl2br w:val="nil"/>
              <w:tr2bl w:val="nil"/>
            </w:tcBorders>
            <w:vAlign w:val="center"/>
          </w:tcPr>
          <w:p w14:paraId="3265A5F4">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治理措施</w:t>
            </w:r>
          </w:p>
        </w:tc>
        <w:tc>
          <w:tcPr>
            <w:tcW w:w="583" w:type="pct"/>
            <w:tcBorders>
              <w:tl2br w:val="nil"/>
              <w:tr2bl w:val="nil"/>
            </w:tcBorders>
            <w:vAlign w:val="center"/>
          </w:tcPr>
          <w:p w14:paraId="4F865D4E">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排放方式</w:t>
            </w:r>
          </w:p>
        </w:tc>
      </w:tr>
      <w:tr w14:paraId="7F23FE1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62" w:type="pct"/>
            <w:vMerge w:val="restart"/>
            <w:tcBorders>
              <w:tl2br w:val="nil"/>
              <w:tr2bl w:val="nil"/>
            </w:tcBorders>
            <w:vAlign w:val="center"/>
          </w:tcPr>
          <w:p w14:paraId="2A90A4F5">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废气</w:t>
            </w:r>
          </w:p>
        </w:tc>
        <w:tc>
          <w:tcPr>
            <w:tcW w:w="294" w:type="pct"/>
            <w:tcBorders>
              <w:tl2br w:val="nil"/>
              <w:tr2bl w:val="nil"/>
            </w:tcBorders>
            <w:vAlign w:val="center"/>
          </w:tcPr>
          <w:p w14:paraId="656F21C7">
            <w:pPr>
              <w:pStyle w:val="52"/>
              <w:spacing w:before="0" w:after="0" w:line="240" w:lineRule="auto"/>
              <w:ind w:left="0" w:firstLine="0"/>
              <w:rPr>
                <w:rFonts w:hint="default" w:ascii="Times New Roman" w:hAnsi="Times New Roman" w:eastAsia="宋体" w:cs="Times New Roman"/>
                <w:color w:val="000000" w:themeColor="text1"/>
                <w:sz w:val="21"/>
                <w:szCs w:val="18"/>
                <w:highlight w:val="none"/>
                <w:lang w:val="en-US" w:eastAsia="zh-CN"/>
                <w14:textFill>
                  <w14:solidFill>
                    <w14:schemeClr w14:val="tx1"/>
                  </w14:solidFill>
                </w14:textFill>
              </w:rPr>
            </w:pPr>
            <w:r>
              <w:rPr>
                <w:rFonts w:hint="default" w:ascii="Times New Roman" w:hAnsi="Times New Roman" w:cs="Times New Roman"/>
                <w:color w:val="000000" w:themeColor="text1"/>
                <w:sz w:val="21"/>
                <w:szCs w:val="18"/>
                <w:highlight w:val="none"/>
                <w:lang w:val="en-US" w:eastAsia="zh-CN"/>
                <w14:textFill>
                  <w14:solidFill>
                    <w14:schemeClr w14:val="tx1"/>
                  </w14:solidFill>
                </w14:textFill>
              </w:rPr>
              <w:t>G1</w:t>
            </w:r>
          </w:p>
        </w:tc>
        <w:tc>
          <w:tcPr>
            <w:tcW w:w="1092" w:type="pct"/>
            <w:tcBorders>
              <w:tl2br w:val="nil"/>
              <w:tr2bl w:val="nil"/>
            </w:tcBorders>
            <w:shd w:val="clear" w:color="auto" w:fill="auto"/>
            <w:vAlign w:val="center"/>
          </w:tcPr>
          <w:p w14:paraId="39988890">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回转窑窑尾</w:t>
            </w:r>
          </w:p>
        </w:tc>
        <w:tc>
          <w:tcPr>
            <w:tcW w:w="1176" w:type="pct"/>
            <w:tcBorders>
              <w:tl2br w:val="nil"/>
              <w:tr2bl w:val="nil"/>
            </w:tcBorders>
            <w:shd w:val="clear" w:color="auto" w:fill="auto"/>
            <w:vAlign w:val="center"/>
          </w:tcPr>
          <w:p w14:paraId="21F851FB">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SO</w:t>
            </w:r>
            <w:r>
              <w:rPr>
                <w:rFonts w:hint="default" w:ascii="Times New Roman" w:hAnsi="Times New Roman" w:cs="Times New Roman"/>
                <w:color w:val="000000" w:themeColor="text1"/>
                <w:sz w:val="21"/>
                <w:szCs w:val="18"/>
                <w:highlight w:val="none"/>
                <w:vertAlign w:val="subscript"/>
                <w14:textFill>
                  <w14:solidFill>
                    <w14:schemeClr w14:val="tx1"/>
                  </w14:solidFill>
                </w14:textFill>
              </w:rPr>
              <w:t>2</w:t>
            </w:r>
            <w:r>
              <w:rPr>
                <w:rFonts w:hint="default" w:ascii="Times New Roman" w:hAnsi="Times New Roman" w:cs="Times New Roman"/>
                <w:color w:val="000000" w:themeColor="text1"/>
                <w:sz w:val="21"/>
                <w:szCs w:val="18"/>
                <w:highlight w:val="none"/>
                <w14:textFill>
                  <w14:solidFill>
                    <w14:schemeClr w14:val="tx1"/>
                  </w14:solidFill>
                </w14:textFill>
              </w:rPr>
              <w:t>、NO</w:t>
            </w:r>
            <w:r>
              <w:rPr>
                <w:rFonts w:hint="default" w:ascii="Times New Roman" w:hAnsi="Times New Roman" w:cs="Times New Roman"/>
                <w:color w:val="000000" w:themeColor="text1"/>
                <w:sz w:val="21"/>
                <w:szCs w:val="18"/>
                <w:highlight w:val="none"/>
                <w:vertAlign w:val="subscript"/>
                <w14:textFill>
                  <w14:solidFill>
                    <w14:schemeClr w14:val="tx1"/>
                  </w14:solidFill>
                </w14:textFill>
              </w:rPr>
              <w:t>x</w:t>
            </w:r>
            <w:r>
              <w:rPr>
                <w:rFonts w:hint="default" w:ascii="Times New Roman" w:hAnsi="Times New Roman" w:cs="Times New Roman"/>
                <w:color w:val="000000" w:themeColor="text1"/>
                <w:sz w:val="21"/>
                <w:szCs w:val="18"/>
                <w:highlight w:val="none"/>
                <w14:textFill>
                  <w14:solidFill>
                    <w14:schemeClr w14:val="tx1"/>
                  </w14:solidFill>
                </w14:textFill>
              </w:rPr>
              <w:t>、烟尘</w:t>
            </w:r>
            <w:r>
              <w:rPr>
                <w:rFonts w:hint="default" w:ascii="Times New Roman" w:hAnsi="Times New Roman" w:cs="Times New Roman"/>
                <w:color w:val="000000" w:themeColor="text1"/>
                <w:sz w:val="21"/>
                <w:szCs w:val="18"/>
                <w:highlight w:val="none"/>
                <w:lang w:eastAsia="zh-CN"/>
                <w14:textFill>
                  <w14:solidFill>
                    <w14:schemeClr w14:val="tx1"/>
                  </w14:solidFill>
                </w14:textFill>
              </w:rPr>
              <w:t>、</w:t>
            </w:r>
            <w:r>
              <w:rPr>
                <w:rFonts w:hint="default" w:ascii="Times New Roman" w:hAnsi="Times New Roman" w:cs="Times New Roman"/>
                <w:color w:val="000000" w:themeColor="text1"/>
                <w:sz w:val="21"/>
                <w:szCs w:val="18"/>
                <w:highlight w:val="none"/>
                <w14:textFill>
                  <w14:solidFill>
                    <w14:schemeClr w14:val="tx1"/>
                  </w14:solidFill>
                </w14:textFill>
              </w:rPr>
              <w:t>氨</w:t>
            </w:r>
          </w:p>
        </w:tc>
        <w:tc>
          <w:tcPr>
            <w:tcW w:w="1590" w:type="pct"/>
            <w:tcBorders>
              <w:tl2br w:val="nil"/>
              <w:tr2bl w:val="nil"/>
            </w:tcBorders>
            <w:shd w:val="clear" w:color="auto" w:fill="auto"/>
            <w:vAlign w:val="center"/>
          </w:tcPr>
          <w:p w14:paraId="31645DAB">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低氮燃烧+SNCR+增湿塔（急冷）+电除尘+布袋除尘+100m排气筒</w:t>
            </w:r>
          </w:p>
        </w:tc>
        <w:tc>
          <w:tcPr>
            <w:tcW w:w="583" w:type="pct"/>
            <w:tcBorders>
              <w:tl2br w:val="nil"/>
              <w:tr2bl w:val="nil"/>
            </w:tcBorders>
            <w:shd w:val="clear" w:color="auto" w:fill="auto"/>
            <w:vAlign w:val="center"/>
          </w:tcPr>
          <w:p w14:paraId="65D00AAF">
            <w:pPr>
              <w:pStyle w:val="52"/>
              <w:spacing w:before="0" w:after="0" w:line="240" w:lineRule="auto"/>
              <w:ind w:left="0" w:leftChars="0" w:firstLine="0" w:firstLineChars="0"/>
              <w:rPr>
                <w:rFonts w:hint="default" w:ascii="Times New Roman" w:hAnsi="Times New Roman" w:eastAsia="宋体" w:cs="Times New Roman"/>
                <w:color w:val="000000" w:themeColor="text1"/>
                <w:kern w:val="0"/>
                <w:sz w:val="21"/>
                <w:szCs w:val="18"/>
                <w:highlight w:val="none"/>
                <w:lang w:val="en-US" w:eastAsia="zh-CN" w:bidi="ar-SA"/>
                <w14:textFill>
                  <w14:solidFill>
                    <w14:schemeClr w14:val="tx1"/>
                  </w14:solidFill>
                </w14:textFill>
              </w:rPr>
            </w:pPr>
            <w:r>
              <w:rPr>
                <w:rFonts w:hint="default" w:ascii="Times New Roman" w:hAnsi="Times New Roman" w:cs="Times New Roman"/>
                <w:color w:val="000000" w:themeColor="text1"/>
                <w:sz w:val="21"/>
                <w:szCs w:val="18"/>
                <w:highlight w:val="none"/>
                <w14:textFill>
                  <w14:solidFill>
                    <w14:schemeClr w14:val="tx1"/>
                  </w14:solidFill>
                </w14:textFill>
              </w:rPr>
              <w:t>有组织</w:t>
            </w:r>
          </w:p>
        </w:tc>
      </w:tr>
      <w:tr w14:paraId="41CAAA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62" w:type="pct"/>
            <w:vMerge w:val="continue"/>
            <w:tcBorders>
              <w:tl2br w:val="nil"/>
              <w:tr2bl w:val="nil"/>
            </w:tcBorders>
            <w:vAlign w:val="center"/>
          </w:tcPr>
          <w:p w14:paraId="3FAEEFF1">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p>
        </w:tc>
        <w:tc>
          <w:tcPr>
            <w:tcW w:w="294" w:type="pct"/>
            <w:tcBorders>
              <w:tl2br w:val="nil"/>
              <w:tr2bl w:val="nil"/>
            </w:tcBorders>
            <w:vAlign w:val="center"/>
          </w:tcPr>
          <w:p w14:paraId="491DFA2A">
            <w:pPr>
              <w:pStyle w:val="52"/>
              <w:spacing w:before="0" w:after="0" w:line="240" w:lineRule="auto"/>
              <w:ind w:left="0" w:firstLine="0"/>
              <w:rPr>
                <w:rFonts w:hint="default" w:ascii="Times New Roman" w:hAnsi="Times New Roman"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G2</w:t>
            </w:r>
          </w:p>
        </w:tc>
        <w:tc>
          <w:tcPr>
            <w:tcW w:w="1092" w:type="pct"/>
            <w:tcBorders>
              <w:tl2br w:val="nil"/>
              <w:tr2bl w:val="nil"/>
            </w:tcBorders>
            <w:shd w:val="clear" w:color="auto" w:fill="auto"/>
            <w:vAlign w:val="center"/>
          </w:tcPr>
          <w:p w14:paraId="2F733DED">
            <w:pPr>
              <w:pStyle w:val="52"/>
              <w:spacing w:before="0" w:after="0" w:line="240" w:lineRule="auto"/>
              <w:ind w:left="0" w:leftChars="0" w:firstLine="0" w:firstLineChars="0"/>
              <w:rPr>
                <w:rFonts w:hint="default" w:ascii="Times New Roman" w:hAnsi="Times New Roman" w:eastAsia="宋体" w:cs="Times New Roman"/>
                <w:color w:val="auto"/>
                <w:sz w:val="21"/>
                <w:szCs w:val="18"/>
                <w:highlight w:val="none"/>
                <w:lang w:val="en-US" w:eastAsia="zh-CN"/>
              </w:rPr>
            </w:pPr>
            <w:r>
              <w:rPr>
                <w:rFonts w:hint="eastAsia" w:cs="Times New Roman"/>
                <w:color w:val="auto"/>
                <w:sz w:val="21"/>
                <w:szCs w:val="18"/>
                <w:highlight w:val="none"/>
                <w:lang w:val="en-US" w:eastAsia="zh-CN"/>
              </w:rPr>
              <w:t>预处理系统</w:t>
            </w:r>
            <w:r>
              <w:rPr>
                <w:rFonts w:hint="default" w:ascii="Times New Roman" w:hAnsi="Times New Roman" w:cs="Times New Roman"/>
                <w:color w:val="auto"/>
                <w:sz w:val="21"/>
                <w:szCs w:val="18"/>
                <w:highlight w:val="none"/>
                <w:lang w:val="en-US" w:eastAsia="zh-CN"/>
              </w:rPr>
              <w:t>废气</w:t>
            </w:r>
          </w:p>
        </w:tc>
        <w:tc>
          <w:tcPr>
            <w:tcW w:w="1176" w:type="pct"/>
            <w:tcBorders>
              <w:tl2br w:val="nil"/>
              <w:tr2bl w:val="nil"/>
            </w:tcBorders>
            <w:shd w:val="clear" w:color="auto" w:fill="auto"/>
            <w:vAlign w:val="center"/>
          </w:tcPr>
          <w:p w14:paraId="22106859">
            <w:pPr>
              <w:pStyle w:val="52"/>
              <w:spacing w:before="0" w:after="0" w:line="240" w:lineRule="auto"/>
              <w:ind w:left="0" w:leftChars="0" w:firstLine="0" w:firstLineChars="0"/>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颗粒物</w:t>
            </w:r>
          </w:p>
        </w:tc>
        <w:tc>
          <w:tcPr>
            <w:tcW w:w="1590" w:type="pct"/>
            <w:tcBorders>
              <w:tl2br w:val="nil"/>
              <w:tr2bl w:val="nil"/>
            </w:tcBorders>
            <w:shd w:val="clear" w:color="auto" w:fill="auto"/>
            <w:vAlign w:val="center"/>
          </w:tcPr>
          <w:p w14:paraId="1E86532E">
            <w:pPr>
              <w:pStyle w:val="52"/>
              <w:spacing w:before="0" w:after="0" w:line="240" w:lineRule="auto"/>
              <w:ind w:left="0" w:leftChars="0" w:right="0" w:rightChars="0" w:firstLine="0" w:firstLineChars="0"/>
              <w:jc w:val="center"/>
              <w:rPr>
                <w:rFonts w:hint="default" w:ascii="Times New Roman" w:hAnsi="Times New Roman" w:cs="Times New Roman"/>
                <w:color w:val="auto"/>
                <w:sz w:val="21"/>
                <w:szCs w:val="18"/>
                <w:highlight w:val="none"/>
                <w:lang w:val="en-US"/>
              </w:rPr>
            </w:pPr>
            <w:r>
              <w:rPr>
                <w:rFonts w:hint="eastAsia" w:cs="Times New Roman"/>
                <w:color w:val="auto"/>
                <w:sz w:val="21"/>
                <w:szCs w:val="18"/>
                <w:highlight w:val="none"/>
                <w:lang w:val="en-US" w:eastAsia="zh-CN"/>
              </w:rPr>
              <w:t>布袋除尘器+15m排气筒</w:t>
            </w:r>
          </w:p>
        </w:tc>
        <w:tc>
          <w:tcPr>
            <w:tcW w:w="583" w:type="pct"/>
            <w:tcBorders>
              <w:tl2br w:val="nil"/>
              <w:tr2bl w:val="nil"/>
            </w:tcBorders>
            <w:shd w:val="clear" w:color="auto" w:fill="auto"/>
            <w:vAlign w:val="center"/>
          </w:tcPr>
          <w:p w14:paraId="3EE67ABA">
            <w:pPr>
              <w:pStyle w:val="52"/>
              <w:spacing w:before="0" w:after="0" w:line="240" w:lineRule="auto"/>
              <w:ind w:left="0" w:leftChars="0" w:firstLine="0" w:firstLineChars="0"/>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rPr>
              <w:t>有组织</w:t>
            </w:r>
          </w:p>
        </w:tc>
      </w:tr>
      <w:tr w14:paraId="5618FF0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62" w:type="pct"/>
            <w:vMerge w:val="continue"/>
            <w:tcBorders>
              <w:tl2br w:val="nil"/>
              <w:tr2bl w:val="nil"/>
            </w:tcBorders>
            <w:vAlign w:val="center"/>
          </w:tcPr>
          <w:p w14:paraId="2D4F6B40">
            <w:pPr>
              <w:pStyle w:val="52"/>
              <w:spacing w:before="0" w:after="0" w:line="240" w:lineRule="auto"/>
              <w:ind w:left="0" w:firstLine="0"/>
              <w:rPr>
                <w:rFonts w:hint="default" w:ascii="Times New Roman" w:hAnsi="Times New Roman" w:cs="Times New Roman"/>
                <w:color w:val="000000" w:themeColor="text1"/>
                <w:sz w:val="21"/>
                <w:szCs w:val="18"/>
                <w:highlight w:val="none"/>
                <w14:textFill>
                  <w14:solidFill>
                    <w14:schemeClr w14:val="tx1"/>
                  </w14:solidFill>
                </w14:textFill>
              </w:rPr>
            </w:pPr>
          </w:p>
        </w:tc>
        <w:tc>
          <w:tcPr>
            <w:tcW w:w="294" w:type="pct"/>
            <w:tcBorders>
              <w:tl2br w:val="nil"/>
              <w:tr2bl w:val="nil"/>
            </w:tcBorders>
            <w:vAlign w:val="center"/>
          </w:tcPr>
          <w:p w14:paraId="65076A55">
            <w:pPr>
              <w:pStyle w:val="52"/>
              <w:spacing w:before="0" w:after="0" w:line="240" w:lineRule="auto"/>
              <w:ind w:left="0" w:firstLine="0"/>
              <w:rPr>
                <w:rFonts w:hint="default" w:ascii="Times New Roman" w:hAnsi="Times New Roman" w:cs="Times New Roman"/>
                <w:color w:val="auto"/>
                <w:sz w:val="21"/>
                <w:szCs w:val="18"/>
                <w:highlight w:val="none"/>
                <w:lang w:val="en-US" w:eastAsia="zh-CN"/>
              </w:rPr>
            </w:pPr>
            <w:r>
              <w:rPr>
                <w:rFonts w:hint="eastAsia" w:cs="Times New Roman"/>
                <w:color w:val="auto"/>
                <w:sz w:val="21"/>
                <w:szCs w:val="18"/>
                <w:highlight w:val="none"/>
                <w:lang w:val="en-US" w:eastAsia="zh-CN"/>
              </w:rPr>
              <w:t>G3</w:t>
            </w:r>
          </w:p>
        </w:tc>
        <w:tc>
          <w:tcPr>
            <w:tcW w:w="1092" w:type="pct"/>
            <w:tcBorders>
              <w:tl2br w:val="nil"/>
              <w:tr2bl w:val="nil"/>
            </w:tcBorders>
            <w:shd w:val="clear" w:color="auto" w:fill="auto"/>
            <w:vAlign w:val="center"/>
          </w:tcPr>
          <w:p w14:paraId="67F8208A">
            <w:pPr>
              <w:pStyle w:val="52"/>
              <w:spacing w:before="0" w:after="0" w:line="240" w:lineRule="auto"/>
              <w:ind w:left="0" w:leftChars="0" w:firstLine="0" w:firstLineChars="0"/>
              <w:rPr>
                <w:rFonts w:hint="default" w:cs="Times New Roman"/>
                <w:color w:val="auto"/>
                <w:sz w:val="21"/>
                <w:szCs w:val="18"/>
                <w:highlight w:val="none"/>
                <w:lang w:val="en-US" w:eastAsia="zh-CN"/>
              </w:rPr>
            </w:pPr>
            <w:r>
              <w:rPr>
                <w:rFonts w:hint="eastAsia" w:cs="Times New Roman"/>
                <w:color w:val="auto"/>
                <w:sz w:val="21"/>
                <w:szCs w:val="18"/>
                <w:highlight w:val="none"/>
                <w:lang w:val="en-US" w:eastAsia="zh-CN"/>
              </w:rPr>
              <w:t>输送系统废气</w:t>
            </w:r>
          </w:p>
        </w:tc>
        <w:tc>
          <w:tcPr>
            <w:tcW w:w="1176" w:type="pct"/>
            <w:tcBorders>
              <w:tl2br w:val="nil"/>
              <w:tr2bl w:val="nil"/>
            </w:tcBorders>
            <w:shd w:val="clear" w:color="auto" w:fill="auto"/>
            <w:vAlign w:val="center"/>
          </w:tcPr>
          <w:p w14:paraId="72735808">
            <w:pPr>
              <w:pStyle w:val="52"/>
              <w:spacing w:before="0" w:after="0" w:line="240" w:lineRule="auto"/>
              <w:ind w:left="0" w:leftChars="0" w:firstLine="0" w:firstLineChars="0"/>
              <w:rPr>
                <w:rFonts w:hint="default" w:ascii="Times New Roman" w:hAnsi="Times New Roman" w:cs="Times New Roman"/>
                <w:color w:val="auto"/>
                <w:sz w:val="21"/>
                <w:szCs w:val="18"/>
                <w:highlight w:val="none"/>
                <w:lang w:val="en-US" w:eastAsia="zh-CN"/>
              </w:rPr>
            </w:pPr>
            <w:r>
              <w:rPr>
                <w:rFonts w:hint="eastAsia" w:cs="Times New Roman"/>
                <w:color w:val="auto"/>
                <w:sz w:val="21"/>
                <w:szCs w:val="18"/>
                <w:highlight w:val="none"/>
                <w:lang w:val="en-US" w:eastAsia="zh-CN"/>
              </w:rPr>
              <w:t>颗粒物</w:t>
            </w:r>
          </w:p>
        </w:tc>
        <w:tc>
          <w:tcPr>
            <w:tcW w:w="1590" w:type="pct"/>
            <w:tcBorders>
              <w:tl2br w:val="nil"/>
              <w:tr2bl w:val="nil"/>
            </w:tcBorders>
            <w:shd w:val="clear" w:color="auto" w:fill="auto"/>
            <w:vAlign w:val="center"/>
          </w:tcPr>
          <w:p w14:paraId="145897E3">
            <w:pPr>
              <w:pStyle w:val="52"/>
              <w:spacing w:before="0" w:after="0" w:line="240" w:lineRule="auto"/>
              <w:ind w:left="0" w:leftChars="0" w:right="0" w:rightChars="0" w:firstLine="0" w:firstLineChars="0"/>
              <w:jc w:val="center"/>
              <w:rPr>
                <w:rFonts w:hint="eastAsia"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布袋除尘器+15m排气筒</w:t>
            </w:r>
          </w:p>
        </w:tc>
        <w:tc>
          <w:tcPr>
            <w:tcW w:w="583" w:type="pct"/>
            <w:tcBorders>
              <w:tl2br w:val="nil"/>
              <w:tr2bl w:val="nil"/>
            </w:tcBorders>
            <w:shd w:val="clear" w:color="auto" w:fill="auto"/>
            <w:vAlign w:val="center"/>
          </w:tcPr>
          <w:p w14:paraId="5BD50738">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sz w:val="21"/>
                <w:szCs w:val="18"/>
                <w:highlight w:val="none"/>
              </w:rPr>
              <w:t>有组织</w:t>
            </w:r>
          </w:p>
        </w:tc>
      </w:tr>
      <w:tr w14:paraId="1ACB7AC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6" w:hRule="atLeast"/>
        </w:trPr>
        <w:tc>
          <w:tcPr>
            <w:tcW w:w="262" w:type="pct"/>
            <w:vMerge w:val="restart"/>
            <w:tcBorders>
              <w:tl2br w:val="nil"/>
              <w:tr2bl w:val="nil"/>
            </w:tcBorders>
            <w:vAlign w:val="center"/>
          </w:tcPr>
          <w:p w14:paraId="0EF7977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固废</w:t>
            </w:r>
          </w:p>
        </w:tc>
        <w:tc>
          <w:tcPr>
            <w:tcW w:w="294" w:type="pct"/>
            <w:tcBorders>
              <w:tl2br w:val="nil"/>
              <w:tr2bl w:val="nil"/>
            </w:tcBorders>
            <w:vAlign w:val="center"/>
          </w:tcPr>
          <w:p w14:paraId="6E7E9F6F">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S1</w:t>
            </w:r>
          </w:p>
        </w:tc>
        <w:tc>
          <w:tcPr>
            <w:tcW w:w="1092" w:type="pct"/>
            <w:tcBorders>
              <w:tl2br w:val="nil"/>
              <w:tr2bl w:val="nil"/>
            </w:tcBorders>
            <w:shd w:val="clear" w:color="auto" w:fill="auto"/>
            <w:vAlign w:val="center"/>
          </w:tcPr>
          <w:p w14:paraId="6EDAB5B3">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rPr>
              <w:t>废物包装物</w:t>
            </w:r>
          </w:p>
        </w:tc>
        <w:tc>
          <w:tcPr>
            <w:tcW w:w="1176" w:type="pct"/>
            <w:tcBorders>
              <w:tl2br w:val="nil"/>
              <w:tr2bl w:val="nil"/>
            </w:tcBorders>
            <w:shd w:val="clear" w:color="auto" w:fill="auto"/>
            <w:vAlign w:val="center"/>
          </w:tcPr>
          <w:p w14:paraId="784EA83E">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lang w:val="en-US" w:eastAsia="zh-CN"/>
              </w:rPr>
              <w:t>沾染废物的</w:t>
            </w:r>
            <w:r>
              <w:rPr>
                <w:rFonts w:hint="default" w:ascii="Times New Roman" w:hAnsi="Times New Roman" w:cs="Times New Roman"/>
                <w:color w:val="auto"/>
                <w:sz w:val="21"/>
                <w:szCs w:val="18"/>
              </w:rPr>
              <w:t>包装袋</w:t>
            </w:r>
          </w:p>
        </w:tc>
        <w:tc>
          <w:tcPr>
            <w:tcW w:w="1590" w:type="pct"/>
            <w:tcBorders>
              <w:tl2br w:val="nil"/>
              <w:tr2bl w:val="nil"/>
            </w:tcBorders>
            <w:vAlign w:val="center"/>
          </w:tcPr>
          <w:p w14:paraId="5A0BCD9F">
            <w:pPr>
              <w:pStyle w:val="52"/>
              <w:spacing w:before="0" w:after="0" w:line="240" w:lineRule="auto"/>
              <w:ind w:left="0" w:leftChars="0" w:right="0" w:rightChars="0" w:firstLine="0" w:firstLineChars="0"/>
              <w:jc w:val="center"/>
              <w:rPr>
                <w:rFonts w:hint="default" w:ascii="Times New Roman" w:hAnsi="Times New Roman" w:cs="Times New Roman"/>
                <w:color w:val="auto"/>
                <w:sz w:val="21"/>
                <w:szCs w:val="18"/>
              </w:rPr>
            </w:pPr>
            <w:r>
              <w:rPr>
                <w:rFonts w:hint="default" w:ascii="Times New Roman" w:hAnsi="Times New Roman" w:cs="Times New Roman"/>
                <w:color w:val="auto"/>
                <w:sz w:val="21"/>
                <w:szCs w:val="18"/>
              </w:rPr>
              <w:t>水泥窑焚烧处置</w:t>
            </w:r>
          </w:p>
        </w:tc>
        <w:tc>
          <w:tcPr>
            <w:tcW w:w="583" w:type="pct"/>
            <w:vMerge w:val="restart"/>
            <w:tcBorders>
              <w:tl2br w:val="nil"/>
              <w:tr2bl w:val="nil"/>
            </w:tcBorders>
            <w:vAlign w:val="center"/>
          </w:tcPr>
          <w:p w14:paraId="74FF3246">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不外排</w:t>
            </w:r>
          </w:p>
        </w:tc>
      </w:tr>
      <w:tr w14:paraId="2882753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02" w:hRule="atLeast"/>
        </w:trPr>
        <w:tc>
          <w:tcPr>
            <w:tcW w:w="262" w:type="pct"/>
            <w:vMerge w:val="continue"/>
            <w:tcBorders>
              <w:tl2br w:val="nil"/>
              <w:tr2bl w:val="nil"/>
            </w:tcBorders>
            <w:vAlign w:val="center"/>
          </w:tcPr>
          <w:p w14:paraId="0DE605A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294" w:type="pct"/>
            <w:tcBorders>
              <w:tl2br w:val="nil"/>
              <w:tr2bl w:val="nil"/>
            </w:tcBorders>
            <w:vAlign w:val="center"/>
          </w:tcPr>
          <w:p w14:paraId="2968E35D">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S2</w:t>
            </w:r>
          </w:p>
        </w:tc>
        <w:tc>
          <w:tcPr>
            <w:tcW w:w="1092" w:type="pct"/>
            <w:tcBorders>
              <w:tl2br w:val="nil"/>
              <w:tr2bl w:val="nil"/>
            </w:tcBorders>
            <w:shd w:val="clear" w:color="auto" w:fill="auto"/>
            <w:vAlign w:val="center"/>
          </w:tcPr>
          <w:p w14:paraId="117CBE7E">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rPr>
              <w:t>化验</w:t>
            </w:r>
            <w:r>
              <w:rPr>
                <w:rFonts w:hint="default" w:ascii="Times New Roman" w:hAnsi="Times New Roman" w:cs="Times New Roman"/>
                <w:color w:val="auto"/>
                <w:sz w:val="21"/>
                <w:szCs w:val="18"/>
                <w:lang w:val="en-US" w:eastAsia="zh-CN"/>
              </w:rPr>
              <w:t>室</w:t>
            </w:r>
          </w:p>
        </w:tc>
        <w:tc>
          <w:tcPr>
            <w:tcW w:w="1176" w:type="pct"/>
            <w:tcBorders>
              <w:tl2br w:val="nil"/>
              <w:tr2bl w:val="nil"/>
            </w:tcBorders>
            <w:shd w:val="clear" w:color="auto" w:fill="auto"/>
            <w:vAlign w:val="center"/>
          </w:tcPr>
          <w:p w14:paraId="4F2281C9">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lang w:val="en-US" w:eastAsia="zh-CN" w:bidi="ar-SA"/>
              </w:rPr>
            </w:pPr>
            <w:r>
              <w:rPr>
                <w:rFonts w:hint="eastAsia" w:cs="Times New Roman"/>
                <w:color w:val="auto"/>
                <w:sz w:val="21"/>
                <w:szCs w:val="18"/>
                <w:lang w:val="en-US" w:eastAsia="zh-CN"/>
              </w:rPr>
              <w:t>化验室废液</w:t>
            </w:r>
          </w:p>
        </w:tc>
        <w:tc>
          <w:tcPr>
            <w:tcW w:w="1590" w:type="pct"/>
            <w:tcBorders>
              <w:tl2br w:val="nil"/>
              <w:tr2bl w:val="nil"/>
            </w:tcBorders>
            <w:vAlign w:val="center"/>
          </w:tcPr>
          <w:p w14:paraId="17888600">
            <w:pPr>
              <w:pStyle w:val="52"/>
              <w:spacing w:before="0" w:after="0" w:line="240" w:lineRule="auto"/>
              <w:ind w:left="0" w:firstLine="0"/>
              <w:jc w:val="center"/>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委托有资质单位处置</w:t>
            </w:r>
          </w:p>
        </w:tc>
        <w:tc>
          <w:tcPr>
            <w:tcW w:w="583" w:type="pct"/>
            <w:vMerge w:val="continue"/>
            <w:tcBorders>
              <w:tl2br w:val="nil"/>
              <w:tr2bl w:val="nil"/>
            </w:tcBorders>
            <w:vAlign w:val="center"/>
          </w:tcPr>
          <w:p w14:paraId="52EAA4F7">
            <w:pPr>
              <w:pStyle w:val="52"/>
              <w:spacing w:before="0" w:after="0" w:line="240" w:lineRule="auto"/>
              <w:ind w:left="0" w:firstLine="0"/>
              <w:rPr>
                <w:rFonts w:hint="default" w:ascii="Times New Roman" w:hAnsi="Times New Roman" w:cs="Times New Roman"/>
                <w:color w:val="auto"/>
                <w:sz w:val="21"/>
                <w:szCs w:val="18"/>
              </w:rPr>
            </w:pPr>
          </w:p>
        </w:tc>
      </w:tr>
      <w:tr w14:paraId="055A0E9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27" w:hRule="atLeast"/>
        </w:trPr>
        <w:tc>
          <w:tcPr>
            <w:tcW w:w="262" w:type="pct"/>
            <w:tcBorders>
              <w:tl2br w:val="nil"/>
              <w:tr2bl w:val="nil"/>
            </w:tcBorders>
            <w:vAlign w:val="center"/>
          </w:tcPr>
          <w:p w14:paraId="204953A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噪声</w:t>
            </w:r>
          </w:p>
        </w:tc>
        <w:tc>
          <w:tcPr>
            <w:tcW w:w="1387" w:type="pct"/>
            <w:gridSpan w:val="2"/>
            <w:tcBorders>
              <w:tl2br w:val="nil"/>
              <w:tr2bl w:val="nil"/>
            </w:tcBorders>
            <w:vAlign w:val="center"/>
          </w:tcPr>
          <w:p w14:paraId="45B6B171">
            <w:pPr>
              <w:pStyle w:val="52"/>
              <w:spacing w:before="0" w:after="0" w:line="240" w:lineRule="auto"/>
              <w:ind w:left="0" w:firstLine="0"/>
              <w:rPr>
                <w:rFonts w:hint="default" w:ascii="Times New Roman" w:hAnsi="Times New Roman" w:cs="Times New Roman"/>
                <w:color w:val="auto"/>
                <w:sz w:val="21"/>
                <w:szCs w:val="18"/>
              </w:rPr>
            </w:pPr>
            <w:r>
              <w:rPr>
                <w:rFonts w:hint="eastAsia" w:ascii="Times New Roman" w:hAnsi="Times New Roman" w:cs="Times New Roman"/>
                <w:color w:val="auto"/>
                <w:sz w:val="21"/>
                <w:szCs w:val="18"/>
                <w:lang w:val="en-US" w:eastAsia="zh-CN"/>
              </w:rPr>
              <w:t>板喂机</w:t>
            </w:r>
            <w:r>
              <w:rPr>
                <w:rFonts w:hint="default" w:ascii="Times New Roman" w:hAnsi="Times New Roman" w:cs="Times New Roman"/>
                <w:color w:val="auto"/>
                <w:sz w:val="21"/>
                <w:szCs w:val="18"/>
              </w:rPr>
              <w:t>、</w:t>
            </w:r>
            <w:r>
              <w:rPr>
                <w:rFonts w:hint="eastAsia" w:ascii="Times New Roman" w:hAnsi="Times New Roman" w:cs="Times New Roman"/>
                <w:color w:val="auto"/>
                <w:sz w:val="21"/>
                <w:szCs w:val="18"/>
                <w:lang w:val="en-US" w:eastAsia="zh-CN"/>
              </w:rPr>
              <w:t>打散机和</w:t>
            </w:r>
            <w:r>
              <w:rPr>
                <w:rFonts w:hint="default" w:ascii="Times New Roman" w:hAnsi="Times New Roman" w:cs="Times New Roman"/>
                <w:color w:val="auto"/>
                <w:sz w:val="21"/>
                <w:szCs w:val="18"/>
              </w:rPr>
              <w:t>输送装置</w:t>
            </w:r>
          </w:p>
        </w:tc>
        <w:tc>
          <w:tcPr>
            <w:tcW w:w="1176" w:type="pct"/>
            <w:tcBorders>
              <w:tl2br w:val="nil"/>
              <w:tr2bl w:val="nil"/>
            </w:tcBorders>
            <w:vAlign w:val="center"/>
          </w:tcPr>
          <w:p w14:paraId="48D0ACC5">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噪声</w:t>
            </w:r>
          </w:p>
        </w:tc>
        <w:tc>
          <w:tcPr>
            <w:tcW w:w="1590" w:type="pct"/>
            <w:tcBorders>
              <w:tl2br w:val="nil"/>
              <w:tr2bl w:val="nil"/>
            </w:tcBorders>
            <w:vAlign w:val="center"/>
          </w:tcPr>
          <w:p w14:paraId="3AE5278B">
            <w:pPr>
              <w:pStyle w:val="52"/>
              <w:spacing w:before="0" w:after="0" w:line="240" w:lineRule="auto"/>
              <w:ind w:left="0" w:leftChars="0" w:right="0" w:rightChars="0" w:firstLine="0" w:firstLineChars="0"/>
              <w:jc w:val="center"/>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厂房隔声、基础减振等</w:t>
            </w:r>
          </w:p>
        </w:tc>
        <w:tc>
          <w:tcPr>
            <w:tcW w:w="583" w:type="pct"/>
            <w:tcBorders>
              <w:tl2br w:val="nil"/>
              <w:tr2bl w:val="nil"/>
            </w:tcBorders>
            <w:vAlign w:val="center"/>
          </w:tcPr>
          <w:p w14:paraId="6F92D9F5">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间歇</w:t>
            </w:r>
          </w:p>
        </w:tc>
      </w:tr>
      <w:bookmarkEnd w:id="135"/>
    </w:tbl>
    <w:p w14:paraId="5D61A0D3">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3.8.2污染源源强核算</w:t>
      </w:r>
    </w:p>
    <w:p w14:paraId="20862FD1">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color w:val="auto"/>
          <w:kern w:val="2"/>
          <w:sz w:val="24"/>
          <w:szCs w:val="24"/>
          <w:highlight w:val="none"/>
          <w:lang w:val="en-US" w:eastAsia="zh-CN"/>
        </w:rPr>
      </w:pPr>
      <w:r>
        <w:rPr>
          <w:rFonts w:hint="default" w:ascii="Times New Roman" w:hAnsi="Times New Roman" w:cs="Times New Roman"/>
          <w:b/>
          <w:bCs w:val="0"/>
          <w:color w:val="auto"/>
          <w:kern w:val="2"/>
          <w:sz w:val="24"/>
          <w:szCs w:val="24"/>
          <w:highlight w:val="none"/>
          <w:lang w:val="en-US" w:eastAsia="zh-CN"/>
        </w:rPr>
        <w:t>3.8.2.1大气污染源分析</w:t>
      </w:r>
    </w:p>
    <w:p w14:paraId="73FC3C80">
      <w:pPr>
        <w:pStyle w:val="6"/>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（1）大气污染源分析</w:t>
      </w:r>
    </w:p>
    <w:p w14:paraId="3AF7AC74">
      <w:pPr>
        <w:pStyle w:val="6"/>
        <w:rPr>
          <w:rFonts w:hint="default" w:ascii="Times New Roman" w:hAnsi="Times New Roman" w:cs="Times New Roman"/>
          <w:lang w:val="en-US" w:eastAsia="zh-CN"/>
        </w:rPr>
      </w:pPr>
      <w:r>
        <w:rPr>
          <w:rFonts w:hint="default" w:ascii="Times New Roman" w:hAnsi="Times New Roman" w:cs="Times New Roman"/>
          <w:lang w:val="en-US" w:eastAsia="zh-CN"/>
        </w:rPr>
        <w:t>本项目利用水泥窑协同处置危险废物，作为协同处置危险废物的主要污染源项，其排放主要污染物包括烟尘、SO</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、NO</w:t>
      </w:r>
      <w:r>
        <w:rPr>
          <w:rFonts w:hint="default" w:ascii="Times New Roman" w:hAnsi="Times New Roman" w:cs="Times New Roman"/>
          <w:vertAlign w:val="subscript"/>
          <w:lang w:val="en-US" w:eastAsia="zh-CN"/>
        </w:rPr>
        <w:t>x</w:t>
      </w:r>
      <w:r>
        <w:rPr>
          <w:rFonts w:hint="default" w:ascii="Times New Roman" w:hAnsi="Times New Roman" w:cs="Times New Roman"/>
          <w:lang w:val="en-US" w:eastAsia="zh-CN"/>
        </w:rPr>
        <w:t>等。主要防治措施为低氮燃烧+SNCR+增湿塔（急冷）+电除尘+布袋除尘，最终通过100m排气筒高空排放。</w:t>
      </w:r>
    </w:p>
    <w:p w14:paraId="75BF3769">
      <w:pPr>
        <w:pStyle w:val="6"/>
        <w:rPr>
          <w:rFonts w:hint="default" w:ascii="Times New Roman" w:hAnsi="Times New Roman" w:cs="Times New Roman"/>
          <w:lang w:val="en-US"/>
        </w:rPr>
      </w:pPr>
      <w:r>
        <w:rPr>
          <w:rFonts w:hint="default" w:ascii="Times New Roman" w:hAnsi="Times New Roman" w:cs="Times New Roman"/>
          <w:lang w:val="en-US" w:eastAsia="zh-CN"/>
        </w:rPr>
        <w:t>投料车间预处理过程主要为</w:t>
      </w:r>
      <w:r>
        <w:rPr>
          <w:rFonts w:hint="eastAsia" w:cs="Times New Roman"/>
          <w:lang w:val="en-US" w:eastAsia="zh-CN"/>
        </w:rPr>
        <w:t>投料、打散破碎与</w:t>
      </w:r>
      <w:r>
        <w:rPr>
          <w:rFonts w:hint="default" w:ascii="Times New Roman" w:hAnsi="Times New Roman" w:cs="Times New Roman"/>
          <w:lang w:val="en-US" w:eastAsia="zh-CN"/>
        </w:rPr>
        <w:t>计量工序，此工序会产生颗粒物，投料车间预处理装置为全密闭装置，废气经集气系统收集后经布袋除尘器处理，通过不低于15m排气筒排放</w:t>
      </w:r>
      <w:r>
        <w:rPr>
          <w:rFonts w:hint="eastAsia" w:cs="Times New Roman"/>
          <w:lang w:val="en-US" w:eastAsia="zh-CN"/>
        </w:rPr>
        <w:t>；废物输送过程全密闭，输送废气</w:t>
      </w:r>
      <w:r>
        <w:rPr>
          <w:rFonts w:hint="default" w:ascii="Times New Roman" w:hAnsi="Times New Roman" w:cs="Times New Roman"/>
          <w:lang w:val="en-US" w:eastAsia="zh-CN"/>
        </w:rPr>
        <w:t>经集气系统收集后经布袋除尘器处理，通过不低于15m排气筒排放。</w:t>
      </w:r>
    </w:p>
    <w:p w14:paraId="6C2A6FE5">
      <w:pPr>
        <w:pStyle w:val="6"/>
        <w:rPr>
          <w:rFonts w:hint="default" w:ascii="Times New Roman" w:hAnsi="Times New Roman" w:eastAsia="宋体"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2</w:t>
      </w:r>
      <w:r>
        <w:rPr>
          <w:rFonts w:hint="default" w:ascii="Times New Roman" w:hAnsi="Times New Roman" w:cs="Times New Roman"/>
          <w:color w:val="auto"/>
          <w:lang w:eastAsia="zh-CN"/>
        </w:rPr>
        <w:t>）废气源强确定依据</w:t>
      </w:r>
    </w:p>
    <w:p w14:paraId="0D04C1AB">
      <w:pPr>
        <w:pStyle w:val="6"/>
        <w:rPr>
          <w:rFonts w:hint="default" w:ascii="Times New Roman" w:hAnsi="Times New Roman" w:cs="Times New Roman"/>
        </w:rPr>
      </w:pPr>
      <w:r>
        <w:rPr>
          <w:rFonts w:hint="default" w:ascii="Times New Roman" w:hAnsi="Times New Roman" w:cs="Times New Roman"/>
        </w:rPr>
        <w:t>拟建项目污染物产生及排放源强确定主要依据：</w:t>
      </w:r>
    </w:p>
    <w:p w14:paraId="3401373C">
      <w:pPr>
        <w:pStyle w:val="6"/>
        <w:rPr>
          <w:rFonts w:hint="default" w:ascii="Times New Roman" w:hAnsi="Times New Roman" w:cs="Times New Roman"/>
        </w:rPr>
      </w:pPr>
      <w:r>
        <w:rPr>
          <w:rFonts w:hint="default" w:ascii="Times New Roman" w:hAnsi="Times New Roman" w:cs="Times New Roman"/>
        </w:rPr>
        <w:t>①有关水泥窑协同处置固体废物标准及规范要求；</w:t>
      </w:r>
    </w:p>
    <w:p w14:paraId="54F02AE7">
      <w:pPr>
        <w:pStyle w:val="6"/>
        <w:rPr>
          <w:rFonts w:hint="default" w:ascii="Times New Roman" w:hAnsi="Times New Roman" w:cs="Times New Roman"/>
        </w:rPr>
      </w:pPr>
      <w:r>
        <w:rPr>
          <w:rFonts w:hint="default" w:ascii="Times New Roman" w:hAnsi="Times New Roman" w:cs="Times New Roman"/>
        </w:rPr>
        <w:t>②类比与拟建项目采用相同生产工艺、设备的水泥行业企业污染物产生及排放统计数据；</w:t>
      </w:r>
    </w:p>
    <w:p w14:paraId="75444BC0">
      <w:pPr>
        <w:pStyle w:val="6"/>
        <w:rPr>
          <w:rFonts w:hint="default" w:ascii="Times New Roman" w:hAnsi="Times New Roman" w:cs="Times New Roman"/>
        </w:rPr>
      </w:pPr>
      <w:r>
        <w:rPr>
          <w:rFonts w:hint="default" w:ascii="Times New Roman" w:hAnsi="Times New Roman" w:cs="Times New Roman"/>
        </w:rPr>
        <w:t>③</w:t>
      </w:r>
      <w:bookmarkStart w:id="136" w:name="_Hlk151319115"/>
      <w:r>
        <w:rPr>
          <w:rFonts w:hint="default" w:ascii="Times New Roman" w:hAnsi="Times New Roman" w:cs="Times New Roman"/>
          <w:highlight w:val="none"/>
        </w:rPr>
        <w:t>类比中建合资公司利用新疆中建西部建设水泥制造有限公司水泥窑协同处置危险废物项目现场监测数据</w:t>
      </w:r>
      <w:bookmarkEnd w:id="136"/>
      <w:r>
        <w:rPr>
          <w:rFonts w:hint="default" w:ascii="Times New Roman" w:hAnsi="Times New Roman" w:cs="Times New Roman"/>
        </w:rPr>
        <w:t>；</w:t>
      </w:r>
    </w:p>
    <w:p w14:paraId="581AF358">
      <w:pPr>
        <w:pStyle w:val="6"/>
        <w:rPr>
          <w:rFonts w:hint="default" w:ascii="Times New Roman" w:hAnsi="Times New Roman" w:cs="Times New Roman"/>
        </w:rPr>
      </w:pPr>
      <w:r>
        <w:rPr>
          <w:rFonts w:hint="default" w:ascii="Times New Roman" w:hAnsi="Times New Roman" w:cs="Times New Roman"/>
        </w:rPr>
        <w:t>④物料衡算</w:t>
      </w:r>
    </w:p>
    <w:p w14:paraId="1CF654B5">
      <w:pPr>
        <w:pStyle w:val="6"/>
        <w:rPr>
          <w:rFonts w:hint="default" w:ascii="Times New Roman" w:hAnsi="Times New Roman" w:cs="Times New Roman"/>
        </w:rPr>
      </w:pPr>
      <w:r>
        <w:rPr>
          <w:rFonts w:hint="default" w:ascii="Times New Roman" w:hAnsi="Times New Roman" w:cs="Times New Roman"/>
        </w:rPr>
        <w:t>其中类比企业情况如下：</w:t>
      </w:r>
    </w:p>
    <w:p w14:paraId="612B5C1F">
      <w:pPr>
        <w:pStyle w:val="6"/>
        <w:rPr>
          <w:rFonts w:hint="default" w:ascii="Times New Roman" w:hAnsi="Times New Roman" w:cs="Times New Roman"/>
        </w:rPr>
      </w:pPr>
      <w:bookmarkStart w:id="137" w:name="_Hlk151315351"/>
      <w:r>
        <w:rPr>
          <w:rFonts w:hint="default" w:ascii="Times New Roman" w:hAnsi="Times New Roman" w:cs="Times New Roman"/>
        </w:rPr>
        <w:t>中建合资公司利用新疆中建西部建设水泥制造有限公司现有3000t/d新型干法水泥生产线协同处置10万吨/年工业危险废物，其中液态工业危险废物2.0万吨/年；固态工业危险废物3.0万吨/年；半固态工业危险废物5.0万吨/年。主要处置包括HW02医药废物、HW03废药物、药品、HW04农药废物、HW05木材防腐剂废物、HW06废有机溶剂与含有机溶剂废物、HW07热处理含氰废物、HW08废矿物油与含矿物油废物、HW09油/水、烃/水混合物或乳化液、HW11精（蒸）馏残渣、HW12染料、涂料废物、HW13有机树脂类废物、HW14新化学物质废物、HW16感光材料废物、HW17表面处理废物、HW18焚烧处置残渣、HW19含金属羰基化合物废物、HW21含铬废物、HW22含铜废物、HW23含锌废物、HW24含砷废物、HW31含铅废物、HW32无机氟化物废物、HW33无机氰化物废物、HW34废酸、HW35废碱、HW37有机磷化合物废物、HW38有机氰化废物、HW39含酚废物、HW40含醚废物、HW45含有机卤化物废物、HW46含镍废物、HW47含钡废物、HW48有色金属采选和冶炼废物、HW49其他废物、HW50废催化剂等35类危险废物等35类危险废物。</w:t>
      </w:r>
    </w:p>
    <w:p w14:paraId="5A63D93A">
      <w:pPr>
        <w:pStyle w:val="6"/>
        <w:rPr>
          <w:rFonts w:hint="default" w:ascii="Times New Roman" w:hAnsi="Times New Roman" w:cs="Times New Roman"/>
        </w:rPr>
      </w:pPr>
      <w:r>
        <w:rPr>
          <w:rFonts w:hint="default" w:ascii="Times New Roman" w:hAnsi="Times New Roman" w:cs="Times New Roman"/>
        </w:rPr>
        <w:t>类比项目水泥窑为3000t/d新型干法水泥生产线，与本项目3200t/d新型干法水泥生产线相近，危险废物处置规模和类别</w:t>
      </w:r>
      <w:r>
        <w:rPr>
          <w:rFonts w:hint="default" w:ascii="Times New Roman" w:hAnsi="Times New Roman" w:cs="Times New Roman"/>
          <w:lang w:val="en-US" w:eastAsia="zh-CN"/>
        </w:rPr>
        <w:t>比</w:t>
      </w:r>
      <w:r>
        <w:rPr>
          <w:rFonts w:hint="default" w:ascii="Times New Roman" w:hAnsi="Times New Roman" w:cs="Times New Roman"/>
        </w:rPr>
        <w:t>本项目</w:t>
      </w:r>
      <w:r>
        <w:rPr>
          <w:rFonts w:hint="default" w:ascii="Times New Roman" w:hAnsi="Times New Roman" w:cs="Times New Roman"/>
          <w:lang w:val="en-US" w:eastAsia="zh-CN"/>
        </w:rPr>
        <w:t>更多</w:t>
      </w:r>
      <w:r>
        <w:rPr>
          <w:rFonts w:hint="default" w:ascii="Times New Roman" w:hAnsi="Times New Roman" w:cs="Times New Roman"/>
        </w:rPr>
        <w:t>；类比项目窑尾烟气采用SNCR+增湿塔+布袋除尘”净化后通过烟囱排放，和本项目窑尾烟气采用的“低氮燃烧+SNCR+增湿塔（急冷）+电除尘+布袋除尘”相近，本项目除尘措施更严。因此具有类比可行性。</w:t>
      </w:r>
      <w:bookmarkEnd w:id="137"/>
      <w:r>
        <w:rPr>
          <w:rFonts w:hint="default" w:ascii="Times New Roman" w:hAnsi="Times New Roman" w:cs="Times New Roman"/>
        </w:rPr>
        <w:t>类比项目废气监测结果见</w:t>
      </w:r>
      <w:r>
        <w:rPr>
          <w:rFonts w:hint="default" w:ascii="Times New Roman" w:hAnsi="Times New Roman" w:cs="Times New Roman"/>
          <w:lang w:val="en-US" w:eastAsia="zh-CN"/>
        </w:rPr>
        <w:t>3.8-4</w:t>
      </w:r>
      <w:r>
        <w:rPr>
          <w:rFonts w:hint="default" w:ascii="Times New Roman" w:hAnsi="Times New Roman" w:cs="Times New Roman"/>
        </w:rPr>
        <w:t>。</w:t>
      </w:r>
    </w:p>
    <w:p w14:paraId="78C0441C">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38" w:name="_Ref151299755"/>
      <w:bookmarkStart w:id="139" w:name="_Ref151299733"/>
      <w:r>
        <w:rPr>
          <w:rFonts w:hint="default" w:ascii="Times New Roman" w:hAnsi="Times New Roman" w:cs="Times New Roman"/>
          <w:b/>
          <w:bCs/>
        </w:rPr>
        <w:t>表</w:t>
      </w:r>
      <w:bookmarkEnd w:id="138"/>
      <w:r>
        <w:rPr>
          <w:rFonts w:hint="default" w:ascii="Times New Roman" w:hAnsi="Times New Roman" w:cs="Times New Roman"/>
          <w:b/>
          <w:bCs/>
          <w:lang w:val="en-US" w:eastAsia="zh-CN"/>
        </w:rPr>
        <w:t>3.8-4</w:t>
      </w:r>
      <w:r>
        <w:rPr>
          <w:rFonts w:hint="default" w:ascii="Times New Roman" w:hAnsi="Times New Roman" w:cs="Times New Roman"/>
          <w:b/>
          <w:bCs/>
        </w:rPr>
        <w:t xml:space="preserve"> 类比项目窑尾排气筒监测数据一览表</w:t>
      </w:r>
      <w:bookmarkEnd w:id="139"/>
    </w:p>
    <w:tbl>
      <w:tblPr>
        <w:tblStyle w:val="39"/>
        <w:tblW w:w="5005"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52"/>
        <w:gridCol w:w="1690"/>
        <w:gridCol w:w="1666"/>
        <w:gridCol w:w="2640"/>
        <w:gridCol w:w="1260"/>
      </w:tblGrid>
      <w:tr w14:paraId="183FC0F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1" w:hRule="atLeast"/>
        </w:trPr>
        <w:tc>
          <w:tcPr>
            <w:tcW w:w="1650" w:type="pct"/>
            <w:gridSpan w:val="2"/>
            <w:tcBorders>
              <w:tl2br w:val="nil"/>
              <w:tr2bl w:val="nil"/>
            </w:tcBorders>
            <w:vAlign w:val="center"/>
          </w:tcPr>
          <w:p w14:paraId="0301E88D">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监测时段</w:t>
            </w:r>
          </w:p>
        </w:tc>
        <w:tc>
          <w:tcPr>
            <w:tcW w:w="1002" w:type="pct"/>
            <w:tcBorders>
              <w:tl2br w:val="nil"/>
              <w:tr2bl w:val="nil"/>
            </w:tcBorders>
            <w:vAlign w:val="center"/>
          </w:tcPr>
          <w:p w14:paraId="7B431ECB">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监测因子</w:t>
            </w:r>
          </w:p>
        </w:tc>
        <w:tc>
          <w:tcPr>
            <w:tcW w:w="1588" w:type="pct"/>
            <w:tcBorders>
              <w:tl2br w:val="nil"/>
              <w:tr2bl w:val="nil"/>
            </w:tcBorders>
            <w:vAlign w:val="center"/>
          </w:tcPr>
          <w:p w14:paraId="59014D14">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监测值（mg/m</w:t>
            </w:r>
            <w:r>
              <w:rPr>
                <w:rFonts w:hint="default" w:ascii="Times New Roman" w:hAnsi="Times New Roman" w:cs="Times New Roman"/>
                <w:b/>
                <w:bCs/>
                <w:color w:val="000000" w:themeColor="text1"/>
                <w:sz w:val="21"/>
                <w:szCs w:val="21"/>
                <w:vertAlign w:val="superscript"/>
                <w14:textFill>
                  <w14:solidFill>
                    <w14:schemeClr w14:val="tx1"/>
                  </w14:solidFill>
                </w14:textFill>
              </w:rPr>
              <w:t>3</w:t>
            </w:r>
            <w:r>
              <w:rPr>
                <w:rFonts w:hint="default" w:ascii="Times New Roman" w:hAnsi="Times New Roman" w:cs="Times New Roman"/>
                <w:b/>
                <w:bCs/>
                <w:color w:val="000000" w:themeColor="text1"/>
                <w:sz w:val="21"/>
                <w:szCs w:val="21"/>
                <w14:textFill>
                  <w14:solidFill>
                    <w14:schemeClr w14:val="tx1"/>
                  </w14:solidFill>
                </w14:textFill>
              </w:rPr>
              <w:t>）</w:t>
            </w:r>
          </w:p>
        </w:tc>
        <w:tc>
          <w:tcPr>
            <w:tcW w:w="758" w:type="pct"/>
            <w:tcBorders>
              <w:tl2br w:val="nil"/>
              <w:tr2bl w:val="nil"/>
            </w:tcBorders>
            <w:vAlign w:val="center"/>
          </w:tcPr>
          <w:p w14:paraId="21F6E86F">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备注</w:t>
            </w:r>
          </w:p>
        </w:tc>
      </w:tr>
      <w:tr w14:paraId="38123AB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1" w:hRule="atLeast"/>
        </w:trPr>
        <w:tc>
          <w:tcPr>
            <w:tcW w:w="633" w:type="pct"/>
            <w:vMerge w:val="restart"/>
            <w:tcBorders>
              <w:tl2br w:val="nil"/>
              <w:tr2bl w:val="nil"/>
            </w:tcBorders>
            <w:vAlign w:val="center"/>
          </w:tcPr>
          <w:p w14:paraId="60D9B67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协同处置危废前</w:t>
            </w:r>
          </w:p>
        </w:tc>
        <w:tc>
          <w:tcPr>
            <w:tcW w:w="1017" w:type="pct"/>
            <w:vMerge w:val="restart"/>
            <w:tcBorders>
              <w:tl2br w:val="nil"/>
              <w:tr2bl w:val="nil"/>
            </w:tcBorders>
            <w:vAlign w:val="center"/>
          </w:tcPr>
          <w:p w14:paraId="397967B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2018、2019年例行监测及在线监测平均值</w:t>
            </w:r>
          </w:p>
        </w:tc>
        <w:tc>
          <w:tcPr>
            <w:tcW w:w="1002" w:type="pct"/>
            <w:tcBorders>
              <w:tl2br w:val="nil"/>
              <w:tr2bl w:val="nil"/>
            </w:tcBorders>
            <w:vAlign w:val="center"/>
          </w:tcPr>
          <w:p w14:paraId="018C2E2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烟尘浓度</w:t>
            </w:r>
          </w:p>
        </w:tc>
        <w:tc>
          <w:tcPr>
            <w:tcW w:w="1588" w:type="pct"/>
            <w:tcBorders>
              <w:tl2br w:val="nil"/>
              <w:tr2bl w:val="nil"/>
            </w:tcBorders>
            <w:vAlign w:val="center"/>
          </w:tcPr>
          <w:p w14:paraId="79D22AE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6.93~28.18</w:t>
            </w:r>
          </w:p>
        </w:tc>
        <w:tc>
          <w:tcPr>
            <w:tcW w:w="758" w:type="pct"/>
            <w:tcBorders>
              <w:tl2br w:val="nil"/>
              <w:tr2bl w:val="nil"/>
            </w:tcBorders>
            <w:vAlign w:val="center"/>
          </w:tcPr>
          <w:p w14:paraId="0EC509B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1D379D0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98" w:hRule="atLeast"/>
        </w:trPr>
        <w:tc>
          <w:tcPr>
            <w:tcW w:w="633" w:type="pct"/>
            <w:vMerge w:val="continue"/>
            <w:tcBorders>
              <w:tl2br w:val="nil"/>
              <w:tr2bl w:val="nil"/>
            </w:tcBorders>
            <w:vAlign w:val="center"/>
          </w:tcPr>
          <w:p w14:paraId="2E62A59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197867E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3B36EA0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SO</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浓度</w:t>
            </w:r>
          </w:p>
        </w:tc>
        <w:tc>
          <w:tcPr>
            <w:tcW w:w="1588" w:type="pct"/>
            <w:tcBorders>
              <w:tl2br w:val="nil"/>
              <w:tr2bl w:val="nil"/>
            </w:tcBorders>
            <w:vAlign w:val="center"/>
          </w:tcPr>
          <w:p w14:paraId="44BCD19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0.728~31.182</w:t>
            </w:r>
          </w:p>
        </w:tc>
        <w:tc>
          <w:tcPr>
            <w:tcW w:w="758" w:type="pct"/>
            <w:tcBorders>
              <w:tl2br w:val="nil"/>
              <w:tr2bl w:val="nil"/>
            </w:tcBorders>
            <w:vAlign w:val="center"/>
          </w:tcPr>
          <w:p w14:paraId="1AC1F09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49F907B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1" w:hRule="atLeast"/>
        </w:trPr>
        <w:tc>
          <w:tcPr>
            <w:tcW w:w="633" w:type="pct"/>
            <w:vMerge w:val="continue"/>
            <w:tcBorders>
              <w:tl2br w:val="nil"/>
              <w:tr2bl w:val="nil"/>
            </w:tcBorders>
            <w:vAlign w:val="center"/>
          </w:tcPr>
          <w:p w14:paraId="799117D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4E4DB48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16139C4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NOx浓度</w:t>
            </w:r>
          </w:p>
        </w:tc>
        <w:tc>
          <w:tcPr>
            <w:tcW w:w="1588" w:type="pct"/>
            <w:tcBorders>
              <w:tl2br w:val="nil"/>
              <w:tr2bl w:val="nil"/>
            </w:tcBorders>
            <w:vAlign w:val="center"/>
          </w:tcPr>
          <w:p w14:paraId="095E0AB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67.487~303.717</w:t>
            </w:r>
          </w:p>
        </w:tc>
        <w:tc>
          <w:tcPr>
            <w:tcW w:w="758" w:type="pct"/>
            <w:tcBorders>
              <w:tl2br w:val="nil"/>
              <w:tr2bl w:val="nil"/>
            </w:tcBorders>
            <w:vAlign w:val="center"/>
          </w:tcPr>
          <w:p w14:paraId="77CE8CB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2A1DD9F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1" w:hRule="atLeast"/>
        </w:trPr>
        <w:tc>
          <w:tcPr>
            <w:tcW w:w="633" w:type="pct"/>
            <w:vMerge w:val="continue"/>
            <w:tcBorders>
              <w:tl2br w:val="nil"/>
              <w:tr2bl w:val="nil"/>
            </w:tcBorders>
            <w:vAlign w:val="center"/>
          </w:tcPr>
          <w:p w14:paraId="2A2E444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4BFD544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5097A38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氟化物</w:t>
            </w:r>
          </w:p>
        </w:tc>
        <w:tc>
          <w:tcPr>
            <w:tcW w:w="1588" w:type="pct"/>
            <w:tcBorders>
              <w:tl2br w:val="nil"/>
              <w:tr2bl w:val="nil"/>
            </w:tcBorders>
            <w:vAlign w:val="center"/>
          </w:tcPr>
          <w:p w14:paraId="646A3E0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0.22～0.26</w:t>
            </w:r>
          </w:p>
        </w:tc>
        <w:tc>
          <w:tcPr>
            <w:tcW w:w="758" w:type="pct"/>
            <w:tcBorders>
              <w:tl2br w:val="nil"/>
              <w:tr2bl w:val="nil"/>
            </w:tcBorders>
            <w:vAlign w:val="center"/>
          </w:tcPr>
          <w:p w14:paraId="5ADB4CC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539DA2A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1" w:hRule="atLeast"/>
        </w:trPr>
        <w:tc>
          <w:tcPr>
            <w:tcW w:w="633" w:type="pct"/>
            <w:vMerge w:val="continue"/>
            <w:tcBorders>
              <w:tl2br w:val="nil"/>
              <w:tr2bl w:val="nil"/>
            </w:tcBorders>
            <w:vAlign w:val="center"/>
          </w:tcPr>
          <w:p w14:paraId="7C74F85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2E67D7A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60C813F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氨</w:t>
            </w:r>
          </w:p>
        </w:tc>
        <w:tc>
          <w:tcPr>
            <w:tcW w:w="1588" w:type="pct"/>
            <w:tcBorders>
              <w:tl2br w:val="nil"/>
              <w:tr2bl w:val="nil"/>
            </w:tcBorders>
            <w:vAlign w:val="center"/>
          </w:tcPr>
          <w:p w14:paraId="76B34B8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1.68～2.64</w:t>
            </w:r>
          </w:p>
        </w:tc>
        <w:tc>
          <w:tcPr>
            <w:tcW w:w="758" w:type="pct"/>
            <w:tcBorders>
              <w:tl2br w:val="nil"/>
              <w:tr2bl w:val="nil"/>
            </w:tcBorders>
            <w:vAlign w:val="center"/>
          </w:tcPr>
          <w:p w14:paraId="5764DDC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0E2C521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01" w:hRule="atLeast"/>
        </w:trPr>
        <w:tc>
          <w:tcPr>
            <w:tcW w:w="633" w:type="pct"/>
            <w:vMerge w:val="continue"/>
            <w:tcBorders>
              <w:tl2br w:val="nil"/>
              <w:tr2bl w:val="nil"/>
            </w:tcBorders>
            <w:vAlign w:val="center"/>
          </w:tcPr>
          <w:p w14:paraId="4FB6FE4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3A46311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31D6929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汞及其化合物</w:t>
            </w:r>
          </w:p>
        </w:tc>
        <w:tc>
          <w:tcPr>
            <w:tcW w:w="1588" w:type="pct"/>
            <w:tcBorders>
              <w:tl2br w:val="nil"/>
              <w:tr2bl w:val="nil"/>
            </w:tcBorders>
            <w:vAlign w:val="center"/>
          </w:tcPr>
          <w:p w14:paraId="0FC2135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未检出</w:t>
            </w:r>
          </w:p>
        </w:tc>
        <w:tc>
          <w:tcPr>
            <w:tcW w:w="758" w:type="pct"/>
            <w:tcBorders>
              <w:tl2br w:val="nil"/>
              <w:tr2bl w:val="nil"/>
            </w:tcBorders>
            <w:vAlign w:val="center"/>
          </w:tcPr>
          <w:p w14:paraId="236C560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567BEB9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91" w:hRule="atLeast"/>
        </w:trPr>
        <w:tc>
          <w:tcPr>
            <w:tcW w:w="633" w:type="pct"/>
            <w:vMerge w:val="restart"/>
            <w:tcBorders>
              <w:tl2br w:val="nil"/>
              <w:tr2bl w:val="nil"/>
            </w:tcBorders>
            <w:vAlign w:val="center"/>
          </w:tcPr>
          <w:p w14:paraId="71AA035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协同处置危废时</w:t>
            </w:r>
          </w:p>
        </w:tc>
        <w:tc>
          <w:tcPr>
            <w:tcW w:w="1017" w:type="pct"/>
            <w:vMerge w:val="restart"/>
            <w:tcBorders>
              <w:tl2br w:val="nil"/>
              <w:tr2bl w:val="nil"/>
            </w:tcBorders>
            <w:vAlign w:val="center"/>
          </w:tcPr>
          <w:p w14:paraId="2250321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2023年</w:t>
            </w:r>
          </w:p>
        </w:tc>
        <w:tc>
          <w:tcPr>
            <w:tcW w:w="1002" w:type="pct"/>
            <w:tcBorders>
              <w:tl2br w:val="nil"/>
              <w:tr2bl w:val="nil"/>
            </w:tcBorders>
            <w:vAlign w:val="center"/>
          </w:tcPr>
          <w:p w14:paraId="799DBF5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烟尘浓度</w:t>
            </w:r>
          </w:p>
        </w:tc>
        <w:tc>
          <w:tcPr>
            <w:tcW w:w="1588" w:type="pct"/>
            <w:tcBorders>
              <w:tl2br w:val="nil"/>
              <w:tr2bl w:val="nil"/>
            </w:tcBorders>
            <w:vAlign w:val="center"/>
          </w:tcPr>
          <w:p w14:paraId="33C3696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21~26</w:t>
            </w:r>
          </w:p>
        </w:tc>
        <w:tc>
          <w:tcPr>
            <w:tcW w:w="758" w:type="pct"/>
            <w:tcBorders>
              <w:tl2br w:val="nil"/>
              <w:tr2bl w:val="nil"/>
            </w:tcBorders>
            <w:vAlign w:val="center"/>
          </w:tcPr>
          <w:p w14:paraId="6AAEFF1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5181ECC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6" w:hRule="atLeast"/>
        </w:trPr>
        <w:tc>
          <w:tcPr>
            <w:tcW w:w="633" w:type="pct"/>
            <w:vMerge w:val="continue"/>
            <w:tcBorders>
              <w:tl2br w:val="nil"/>
              <w:tr2bl w:val="nil"/>
            </w:tcBorders>
            <w:vAlign w:val="center"/>
          </w:tcPr>
          <w:p w14:paraId="6B0902F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53C305F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7BC968F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SO</w:t>
            </w:r>
            <w:r>
              <w:rPr>
                <w:rFonts w:hint="default" w:ascii="Times New Roman" w:hAnsi="Times New Roman" w:cs="Times New Roman"/>
                <w:color w:val="000000" w:themeColor="text1"/>
                <w:sz w:val="21"/>
                <w:szCs w:val="21"/>
                <w:vertAlign w:val="subscript"/>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浓度</w:t>
            </w:r>
          </w:p>
        </w:tc>
        <w:tc>
          <w:tcPr>
            <w:tcW w:w="1588" w:type="pct"/>
            <w:tcBorders>
              <w:tl2br w:val="nil"/>
              <w:tr2bl w:val="nil"/>
            </w:tcBorders>
            <w:vAlign w:val="center"/>
          </w:tcPr>
          <w:p w14:paraId="78CDA6F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3~6</w:t>
            </w:r>
          </w:p>
        </w:tc>
        <w:tc>
          <w:tcPr>
            <w:tcW w:w="758" w:type="pct"/>
            <w:tcBorders>
              <w:tl2br w:val="nil"/>
              <w:tr2bl w:val="nil"/>
            </w:tcBorders>
            <w:vAlign w:val="center"/>
          </w:tcPr>
          <w:p w14:paraId="048A87A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7CB705C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5" w:hRule="atLeast"/>
        </w:trPr>
        <w:tc>
          <w:tcPr>
            <w:tcW w:w="633" w:type="pct"/>
            <w:vMerge w:val="continue"/>
            <w:tcBorders>
              <w:tl2br w:val="nil"/>
              <w:tr2bl w:val="nil"/>
            </w:tcBorders>
            <w:vAlign w:val="center"/>
          </w:tcPr>
          <w:p w14:paraId="0064639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264E13B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1C5633B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NOx浓度</w:t>
            </w:r>
          </w:p>
        </w:tc>
        <w:tc>
          <w:tcPr>
            <w:tcW w:w="1588" w:type="pct"/>
            <w:tcBorders>
              <w:tl2br w:val="nil"/>
              <w:tr2bl w:val="nil"/>
            </w:tcBorders>
            <w:vAlign w:val="center"/>
          </w:tcPr>
          <w:p w14:paraId="320B91A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32~54</w:t>
            </w:r>
          </w:p>
        </w:tc>
        <w:tc>
          <w:tcPr>
            <w:tcW w:w="758" w:type="pct"/>
            <w:tcBorders>
              <w:tl2br w:val="nil"/>
              <w:tr2bl w:val="nil"/>
            </w:tcBorders>
            <w:vAlign w:val="center"/>
          </w:tcPr>
          <w:p w14:paraId="00DEC1A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27195A0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3" w:hRule="atLeast"/>
        </w:trPr>
        <w:tc>
          <w:tcPr>
            <w:tcW w:w="633" w:type="pct"/>
            <w:vMerge w:val="continue"/>
            <w:tcBorders>
              <w:tl2br w:val="nil"/>
              <w:tr2bl w:val="nil"/>
            </w:tcBorders>
            <w:vAlign w:val="center"/>
          </w:tcPr>
          <w:p w14:paraId="1466217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2D1E22F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782FACE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NH</w:t>
            </w:r>
            <w:r>
              <w:rPr>
                <w:rFonts w:hint="default" w:ascii="Times New Roman" w:hAnsi="Times New Roman" w:cs="Times New Roman"/>
                <w:color w:val="000000" w:themeColor="text1"/>
                <w:sz w:val="21"/>
                <w:szCs w:val="21"/>
                <w:vertAlign w:val="subscript"/>
                <w14:textFill>
                  <w14:solidFill>
                    <w14:schemeClr w14:val="tx1"/>
                  </w14:solidFill>
                </w14:textFill>
              </w:rPr>
              <w:t>3</w:t>
            </w:r>
          </w:p>
        </w:tc>
        <w:tc>
          <w:tcPr>
            <w:tcW w:w="1588" w:type="pct"/>
            <w:tcBorders>
              <w:tl2br w:val="nil"/>
              <w:tr2bl w:val="nil"/>
            </w:tcBorders>
            <w:vAlign w:val="center"/>
          </w:tcPr>
          <w:p w14:paraId="5807FD1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1.86~2.58</w:t>
            </w:r>
          </w:p>
        </w:tc>
        <w:tc>
          <w:tcPr>
            <w:tcW w:w="758" w:type="pct"/>
            <w:tcBorders>
              <w:tl2br w:val="nil"/>
              <w:tr2bl w:val="nil"/>
            </w:tcBorders>
            <w:vAlign w:val="center"/>
          </w:tcPr>
          <w:p w14:paraId="458554F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163E5FE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6" w:hRule="atLeast"/>
        </w:trPr>
        <w:tc>
          <w:tcPr>
            <w:tcW w:w="633" w:type="pct"/>
            <w:vMerge w:val="continue"/>
            <w:tcBorders>
              <w:tl2br w:val="nil"/>
              <w:tr2bl w:val="nil"/>
            </w:tcBorders>
            <w:vAlign w:val="center"/>
          </w:tcPr>
          <w:p w14:paraId="129E9CC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69F12B8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64208EF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HF</w:t>
            </w:r>
          </w:p>
        </w:tc>
        <w:tc>
          <w:tcPr>
            <w:tcW w:w="1588" w:type="pct"/>
            <w:tcBorders>
              <w:tl2br w:val="nil"/>
              <w:tr2bl w:val="nil"/>
            </w:tcBorders>
            <w:vAlign w:val="center"/>
          </w:tcPr>
          <w:p w14:paraId="5019BCA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＜0.09</w:t>
            </w:r>
          </w:p>
        </w:tc>
        <w:tc>
          <w:tcPr>
            <w:tcW w:w="758" w:type="pct"/>
            <w:tcBorders>
              <w:tl2br w:val="nil"/>
              <w:tr2bl w:val="nil"/>
            </w:tcBorders>
            <w:vAlign w:val="center"/>
          </w:tcPr>
          <w:p w14:paraId="06661B9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61FFE26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3" w:hRule="atLeast"/>
        </w:trPr>
        <w:tc>
          <w:tcPr>
            <w:tcW w:w="633" w:type="pct"/>
            <w:vMerge w:val="continue"/>
            <w:tcBorders>
              <w:tl2br w:val="nil"/>
              <w:tr2bl w:val="nil"/>
            </w:tcBorders>
            <w:vAlign w:val="center"/>
          </w:tcPr>
          <w:p w14:paraId="71F2032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6C6FA7A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127FFD1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HCl</w:t>
            </w:r>
          </w:p>
        </w:tc>
        <w:tc>
          <w:tcPr>
            <w:tcW w:w="1588" w:type="pct"/>
            <w:tcBorders>
              <w:tl2br w:val="nil"/>
              <w:tr2bl w:val="nil"/>
            </w:tcBorders>
            <w:vAlign w:val="center"/>
          </w:tcPr>
          <w:p w14:paraId="531D87E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＜0.2</w:t>
            </w:r>
          </w:p>
        </w:tc>
        <w:tc>
          <w:tcPr>
            <w:tcW w:w="758" w:type="pct"/>
            <w:tcBorders>
              <w:tl2br w:val="nil"/>
              <w:tr2bl w:val="nil"/>
            </w:tcBorders>
            <w:vAlign w:val="center"/>
          </w:tcPr>
          <w:p w14:paraId="2EF4021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754C69A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6" w:hRule="atLeast"/>
        </w:trPr>
        <w:tc>
          <w:tcPr>
            <w:tcW w:w="633" w:type="pct"/>
            <w:vMerge w:val="continue"/>
            <w:tcBorders>
              <w:tl2br w:val="nil"/>
              <w:tr2bl w:val="nil"/>
            </w:tcBorders>
            <w:vAlign w:val="center"/>
          </w:tcPr>
          <w:p w14:paraId="309E356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4074A1E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5573750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汞及其化合物</w:t>
            </w:r>
          </w:p>
        </w:tc>
        <w:tc>
          <w:tcPr>
            <w:tcW w:w="1588" w:type="pct"/>
            <w:tcBorders>
              <w:tl2br w:val="nil"/>
              <w:tr2bl w:val="nil"/>
            </w:tcBorders>
            <w:vAlign w:val="center"/>
          </w:tcPr>
          <w:p w14:paraId="495C84A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＜2.7×10</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58" w:type="pct"/>
            <w:tcBorders>
              <w:tl2br w:val="nil"/>
              <w:tr2bl w:val="nil"/>
            </w:tcBorders>
            <w:vAlign w:val="center"/>
          </w:tcPr>
          <w:p w14:paraId="7D59B39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05084B1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5" w:hRule="atLeast"/>
        </w:trPr>
        <w:tc>
          <w:tcPr>
            <w:tcW w:w="633" w:type="pct"/>
            <w:vMerge w:val="continue"/>
            <w:tcBorders>
              <w:tl2br w:val="nil"/>
              <w:tr2bl w:val="nil"/>
            </w:tcBorders>
            <w:vAlign w:val="center"/>
          </w:tcPr>
          <w:p w14:paraId="0F7ECB0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0E3F491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2CE3119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铊+镉+铅+砷</w:t>
            </w:r>
          </w:p>
        </w:tc>
        <w:tc>
          <w:tcPr>
            <w:tcW w:w="1588" w:type="pct"/>
            <w:tcBorders>
              <w:tl2br w:val="nil"/>
              <w:tr2bl w:val="nil"/>
            </w:tcBorders>
            <w:vAlign w:val="center"/>
          </w:tcPr>
          <w:p w14:paraId="1E27278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0.0233</w:t>
            </w:r>
          </w:p>
        </w:tc>
        <w:tc>
          <w:tcPr>
            <w:tcW w:w="758" w:type="pct"/>
            <w:tcBorders>
              <w:tl2br w:val="nil"/>
              <w:tr2bl w:val="nil"/>
            </w:tcBorders>
            <w:vAlign w:val="center"/>
          </w:tcPr>
          <w:p w14:paraId="5F240CB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37CDCE7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3" w:hRule="atLeast"/>
        </w:trPr>
        <w:tc>
          <w:tcPr>
            <w:tcW w:w="633" w:type="pct"/>
            <w:vMerge w:val="continue"/>
            <w:tcBorders>
              <w:tl2br w:val="nil"/>
              <w:tr2bl w:val="nil"/>
            </w:tcBorders>
            <w:vAlign w:val="center"/>
          </w:tcPr>
          <w:p w14:paraId="2A360BF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7677108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7950DEE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铍+铬+锡+锑+铜</w:t>
            </w:r>
          </w:p>
          <w:p w14:paraId="50C1CB2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+钴+锰+镍</w:t>
            </w:r>
          </w:p>
        </w:tc>
        <w:tc>
          <w:tcPr>
            <w:tcW w:w="1588" w:type="pct"/>
            <w:tcBorders>
              <w:tl2br w:val="nil"/>
              <w:tr2bl w:val="nil"/>
            </w:tcBorders>
            <w:vAlign w:val="center"/>
          </w:tcPr>
          <w:p w14:paraId="359C902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0.0094</w:t>
            </w:r>
          </w:p>
        </w:tc>
        <w:tc>
          <w:tcPr>
            <w:tcW w:w="758" w:type="pct"/>
            <w:tcBorders>
              <w:tl2br w:val="nil"/>
              <w:tr2bl w:val="nil"/>
            </w:tcBorders>
            <w:vAlign w:val="center"/>
          </w:tcPr>
          <w:p w14:paraId="52523BD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00BD980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633" w:type="pct"/>
            <w:vMerge w:val="continue"/>
            <w:tcBorders>
              <w:tl2br w:val="nil"/>
              <w:tr2bl w:val="nil"/>
            </w:tcBorders>
            <w:vAlign w:val="center"/>
          </w:tcPr>
          <w:p w14:paraId="6D7689A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778B2D5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607BE14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二噁英类</w:t>
            </w:r>
          </w:p>
        </w:tc>
        <w:tc>
          <w:tcPr>
            <w:tcW w:w="1588" w:type="pct"/>
            <w:tcBorders>
              <w:tl2br w:val="nil"/>
              <w:tr2bl w:val="nil"/>
            </w:tcBorders>
            <w:vAlign w:val="center"/>
          </w:tcPr>
          <w:p w14:paraId="0B7DCBA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0.042~0.065 ngTEQ/m</w:t>
            </w:r>
            <w:r>
              <w:rPr>
                <w:rFonts w:hint="default" w:ascii="Times New Roman" w:hAnsi="Times New Roman" w:cs="Times New Roman"/>
                <w:color w:val="000000" w:themeColor="text1"/>
                <w:sz w:val="21"/>
                <w:szCs w:val="21"/>
                <w:vertAlign w:val="superscript"/>
                <w14:textFill>
                  <w14:solidFill>
                    <w14:schemeClr w14:val="tx1"/>
                  </w14:solidFill>
                </w14:textFill>
              </w:rPr>
              <w:t>3</w:t>
            </w:r>
          </w:p>
        </w:tc>
        <w:tc>
          <w:tcPr>
            <w:tcW w:w="758" w:type="pct"/>
            <w:tcBorders>
              <w:tl2br w:val="nil"/>
              <w:tr2bl w:val="nil"/>
            </w:tcBorders>
            <w:vAlign w:val="center"/>
          </w:tcPr>
          <w:p w14:paraId="73FB0A0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683C4BA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183" w:hRule="atLeast"/>
        </w:trPr>
        <w:tc>
          <w:tcPr>
            <w:tcW w:w="633" w:type="pct"/>
            <w:vMerge w:val="continue"/>
            <w:tcBorders>
              <w:tl2br w:val="nil"/>
              <w:tr2bl w:val="nil"/>
            </w:tcBorders>
            <w:vAlign w:val="center"/>
          </w:tcPr>
          <w:p w14:paraId="6D09B8A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17" w:type="pct"/>
            <w:vMerge w:val="continue"/>
            <w:tcBorders>
              <w:tl2br w:val="nil"/>
              <w:tr2bl w:val="nil"/>
            </w:tcBorders>
            <w:vAlign w:val="center"/>
          </w:tcPr>
          <w:p w14:paraId="28FDED2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1002" w:type="pct"/>
            <w:tcBorders>
              <w:tl2br w:val="nil"/>
              <w:tr2bl w:val="nil"/>
            </w:tcBorders>
            <w:vAlign w:val="center"/>
          </w:tcPr>
          <w:p w14:paraId="3080EA2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非甲烷总烃</w:t>
            </w:r>
          </w:p>
        </w:tc>
        <w:tc>
          <w:tcPr>
            <w:tcW w:w="1588" w:type="pct"/>
            <w:tcBorders>
              <w:tl2br w:val="nil"/>
              <w:tr2bl w:val="nil"/>
            </w:tcBorders>
            <w:vAlign w:val="center"/>
          </w:tcPr>
          <w:p w14:paraId="5CA2EDD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7.31~7.62</w:t>
            </w:r>
          </w:p>
        </w:tc>
        <w:tc>
          <w:tcPr>
            <w:tcW w:w="758" w:type="pct"/>
            <w:tcBorders>
              <w:tl2br w:val="nil"/>
              <w:tr2bl w:val="nil"/>
            </w:tcBorders>
            <w:vAlign w:val="center"/>
          </w:tcPr>
          <w:p w14:paraId="718A787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bl>
    <w:p w14:paraId="7C451A0F">
      <w:pPr>
        <w:pStyle w:val="6"/>
        <w:spacing w:before="120" w:beforeLines="50"/>
        <w:rPr>
          <w:rFonts w:hint="default" w:ascii="Times New Roman" w:hAnsi="Times New Roman" w:cs="Times New Roman"/>
        </w:rPr>
      </w:pPr>
      <w:r>
        <w:rPr>
          <w:rFonts w:hint="default" w:ascii="Times New Roman" w:hAnsi="Times New Roman" w:cs="Times New Roman"/>
        </w:rPr>
        <w:t>由类比项目监测数据可知，窑尾采用SNCR脱硝+增湿塔+布袋除尘处理措施后，协同处置危废前后排放常规的污染物颗粒物、SO</w:t>
      </w:r>
      <w:r>
        <w:rPr>
          <w:rFonts w:hint="default" w:ascii="Times New Roman" w:hAnsi="Times New Roman" w:cs="Times New Roman"/>
          <w:vertAlign w:val="subscript"/>
        </w:rPr>
        <w:t>2</w:t>
      </w:r>
      <w:r>
        <w:rPr>
          <w:rFonts w:hint="default" w:ascii="Times New Roman" w:hAnsi="Times New Roman" w:cs="Times New Roman"/>
        </w:rPr>
        <w:t>、NO</w:t>
      </w:r>
      <w:r>
        <w:rPr>
          <w:rFonts w:hint="default" w:ascii="Times New Roman" w:hAnsi="Times New Roman" w:cs="Times New Roman"/>
          <w:vertAlign w:val="subscript"/>
        </w:rPr>
        <w:t>x</w:t>
      </w:r>
      <w:r>
        <w:rPr>
          <w:rFonts w:hint="default" w:ascii="Times New Roman" w:hAnsi="Times New Roman" w:cs="Times New Roman"/>
        </w:rPr>
        <w:t>、氨</w:t>
      </w:r>
      <w:r>
        <w:rPr>
          <w:rFonts w:hint="default" w:ascii="Times New Roman" w:hAnsi="Times New Roman" w:cs="Times New Roman"/>
          <w:b w:val="0"/>
          <w:bCs w:val="0"/>
        </w:rPr>
        <w:t>浓度变化不大</w:t>
      </w:r>
      <w:r>
        <w:rPr>
          <w:rFonts w:hint="default" w:ascii="Times New Roman" w:hAnsi="Times New Roman" w:cs="Times New Roman"/>
        </w:rPr>
        <w:t>，属于正常波动范围，从而说明处置固体废物对于水泥窑排放烟尘、SO</w:t>
      </w:r>
      <w:r>
        <w:rPr>
          <w:rFonts w:hint="default" w:ascii="Times New Roman" w:hAnsi="Times New Roman" w:cs="Times New Roman"/>
          <w:vertAlign w:val="subscript"/>
        </w:rPr>
        <w:t>2</w:t>
      </w:r>
      <w:r>
        <w:rPr>
          <w:rFonts w:hint="default" w:ascii="Times New Roman" w:hAnsi="Times New Roman" w:cs="Times New Roman"/>
        </w:rPr>
        <w:t>、NO</w:t>
      </w:r>
      <w:r>
        <w:rPr>
          <w:rFonts w:hint="default" w:ascii="Times New Roman" w:hAnsi="Times New Roman" w:cs="Times New Roman"/>
          <w:vertAlign w:val="subscript"/>
        </w:rPr>
        <w:t>x</w:t>
      </w:r>
      <w:r>
        <w:rPr>
          <w:rFonts w:hint="default" w:ascii="Times New Roman" w:hAnsi="Times New Roman" w:cs="Times New Roman"/>
        </w:rPr>
        <w:t>、氨影响不大</w:t>
      </w:r>
      <w:r>
        <w:rPr>
          <w:rFonts w:hint="default" w:ascii="Times New Roman" w:hAnsi="Times New Roman" w:cs="Times New Roman"/>
          <w:lang w:eastAsia="zh-CN"/>
        </w:rPr>
        <w:t>，</w:t>
      </w:r>
      <w:r>
        <w:rPr>
          <w:rFonts w:hint="default" w:ascii="Times New Roman" w:hAnsi="Times New Roman" w:cs="Times New Roman"/>
        </w:rPr>
        <w:t>拟建项目建成后</w:t>
      </w:r>
      <w:r>
        <w:rPr>
          <w:rFonts w:hint="default" w:ascii="Times New Roman" w:hAnsi="Times New Roman" w:cs="Times New Roman"/>
          <w:lang w:val="en-US" w:eastAsia="zh-CN"/>
        </w:rPr>
        <w:t>固态废物</w:t>
      </w:r>
      <w:r>
        <w:rPr>
          <w:rFonts w:hint="eastAsia" w:cs="Times New Roman"/>
          <w:lang w:val="en-US" w:eastAsia="zh-CN"/>
        </w:rPr>
        <w:t>甲磺酸钠</w:t>
      </w:r>
      <w:r>
        <w:rPr>
          <w:rFonts w:hint="default" w:ascii="Times New Roman" w:hAnsi="Times New Roman" w:cs="Times New Roman"/>
          <w:lang w:val="en-US" w:eastAsia="zh-CN"/>
        </w:rPr>
        <w:t>及液态废物二甲基硫醚热分解后产生的污染物主要为</w:t>
      </w:r>
      <w:r>
        <w:rPr>
          <w:rFonts w:hint="default" w:ascii="Times New Roman" w:hAnsi="Times New Roman" w:cs="Times New Roman"/>
        </w:rPr>
        <w:t>SO</w:t>
      </w:r>
      <w:r>
        <w:rPr>
          <w:rFonts w:hint="default" w:ascii="Times New Roman" w:hAnsi="Times New Roman" w:cs="Times New Roman"/>
          <w:vertAlign w:val="subscript"/>
        </w:rPr>
        <w:t>2</w:t>
      </w:r>
      <w:r>
        <w:rPr>
          <w:rFonts w:hint="default" w:ascii="Times New Roman" w:hAnsi="Times New Roman" w:cs="Times New Roman"/>
        </w:rPr>
        <w:t>、NO</w:t>
      </w:r>
      <w:r>
        <w:rPr>
          <w:rFonts w:hint="default" w:ascii="Times New Roman" w:hAnsi="Times New Roman" w:cs="Times New Roman"/>
          <w:vertAlign w:val="subscript"/>
        </w:rPr>
        <w:t>x</w:t>
      </w:r>
      <w:r>
        <w:rPr>
          <w:rFonts w:hint="default" w:ascii="Times New Roman" w:hAnsi="Times New Roman" w:cs="Times New Roman"/>
          <w:lang w:eastAsia="zh-CN"/>
        </w:rPr>
        <w:t>、</w:t>
      </w:r>
      <w:r>
        <w:rPr>
          <w:rFonts w:hint="default" w:ascii="Times New Roman" w:hAnsi="Times New Roman" w:cs="Times New Roman"/>
          <w:lang w:val="en-US" w:eastAsia="zh-CN"/>
        </w:rPr>
        <w:t>水蒸气等</w:t>
      </w:r>
      <w:r>
        <w:rPr>
          <w:rFonts w:hint="default" w:ascii="Times New Roman" w:hAnsi="Times New Roman" w:cs="Times New Roman"/>
        </w:rPr>
        <w:t>，</w:t>
      </w:r>
      <w:r>
        <w:rPr>
          <w:rFonts w:hint="default" w:ascii="Times New Roman" w:hAnsi="Times New Roman" w:cs="Times New Roman"/>
          <w:lang w:val="en-US" w:eastAsia="zh-CN"/>
        </w:rPr>
        <w:t>因此</w:t>
      </w:r>
      <w:r>
        <w:rPr>
          <w:rFonts w:hint="default" w:ascii="Times New Roman" w:hAnsi="Times New Roman" w:cs="Times New Roman"/>
        </w:rPr>
        <w:t>回转窑排放的常规污染因子情况以依托工程现有监测数据为依据。</w:t>
      </w:r>
    </w:p>
    <w:p w14:paraId="67404816">
      <w:pPr>
        <w:pStyle w:val="6"/>
        <w:rPr>
          <w:rFonts w:hint="default" w:ascii="Times New Roman" w:hAnsi="Times New Roman" w:cs="Times New Roman"/>
        </w:rPr>
      </w:pPr>
      <w:r>
        <w:rPr>
          <w:rFonts w:hint="default" w:ascii="Times New Roman" w:hAnsi="Times New Roman" w:cs="Times New Roman"/>
        </w:rPr>
        <w:t>综上所述，根据同类项目运行经验以及《水泥窑协同处置固体废物污染控制标准编制说明》可知，协同处置危废前后，水泥窑窑尾的烟气量以及粉尘、SO</w:t>
      </w:r>
      <w:r>
        <w:rPr>
          <w:rFonts w:hint="default" w:ascii="Times New Roman" w:hAnsi="Times New Roman" w:cs="Times New Roman"/>
          <w:vertAlign w:val="subscript"/>
        </w:rPr>
        <w:t>2</w:t>
      </w:r>
      <w:r>
        <w:rPr>
          <w:rFonts w:hint="default" w:ascii="Times New Roman" w:hAnsi="Times New Roman" w:cs="Times New Roman"/>
        </w:rPr>
        <w:t>、NOx排放情况变化不大，属于正常波动范围，烟尘、SO</w:t>
      </w:r>
      <w:r>
        <w:rPr>
          <w:rFonts w:hint="default" w:ascii="Times New Roman" w:hAnsi="Times New Roman" w:cs="Times New Roman"/>
          <w:vertAlign w:val="subscript"/>
        </w:rPr>
        <w:t>2</w:t>
      </w:r>
      <w:r>
        <w:rPr>
          <w:rFonts w:hint="default" w:ascii="Times New Roman" w:hAnsi="Times New Roman" w:cs="Times New Roman"/>
        </w:rPr>
        <w:t>、NOx排放浓度基本与水泥窑的废物协同处置过程无关。主要原因是水泥窑有很强的热稳定性，焚烧少量废物不会改变水泥窑内部的燃烧工况。原料带入的易挥发性硫化物是造成SO</w:t>
      </w:r>
      <w:r>
        <w:rPr>
          <w:rFonts w:hint="default" w:ascii="Times New Roman" w:hAnsi="Times New Roman" w:cs="Times New Roman"/>
          <w:vertAlign w:val="subscript"/>
        </w:rPr>
        <w:t>2</w:t>
      </w:r>
      <w:r>
        <w:rPr>
          <w:rFonts w:hint="default" w:ascii="Times New Roman" w:hAnsi="Times New Roman" w:cs="Times New Roman"/>
        </w:rPr>
        <w:t>排放的主要根源，而从高温区投入水泥窑的废物中的S元素与烟气中SO</w:t>
      </w:r>
      <w:r>
        <w:rPr>
          <w:rFonts w:hint="default" w:ascii="Times New Roman" w:hAnsi="Times New Roman" w:cs="Times New Roman"/>
          <w:vertAlign w:val="subscript"/>
        </w:rPr>
        <w:t>2</w:t>
      </w:r>
      <w:r>
        <w:rPr>
          <w:rFonts w:hint="default" w:ascii="Times New Roman" w:hAnsi="Times New Roman" w:cs="Times New Roman"/>
        </w:rPr>
        <w:t>的排放无直接关系。烧成窑尾排放的SO</w:t>
      </w:r>
      <w:r>
        <w:rPr>
          <w:rFonts w:hint="default" w:ascii="Times New Roman" w:hAnsi="Times New Roman" w:cs="Times New Roman"/>
          <w:vertAlign w:val="subscript"/>
        </w:rPr>
        <w:t>2</w:t>
      </w:r>
      <w:r>
        <w:rPr>
          <w:rFonts w:hint="default" w:ascii="Times New Roman" w:hAnsi="Times New Roman" w:cs="Times New Roman"/>
        </w:rPr>
        <w:t>是由于煤粉在窑内燃烧及煅烧熟料时生料带入的硫产生的。由于水泥烧成过程中窑内存在大量的氧化钙和碱性氧化物，产生的SO</w:t>
      </w:r>
      <w:r>
        <w:rPr>
          <w:rFonts w:hint="default" w:ascii="Times New Roman" w:hAnsi="Times New Roman" w:cs="Times New Roman"/>
          <w:vertAlign w:val="subscript"/>
        </w:rPr>
        <w:t>2</w:t>
      </w:r>
      <w:r>
        <w:rPr>
          <w:rFonts w:hint="default" w:ascii="Times New Roman" w:hAnsi="Times New Roman" w:cs="Times New Roman"/>
        </w:rPr>
        <w:t>大部分将被吸收形成硫酸钙以及亚硫酸钙等中间物质，窑外分解窑由于物料与气体接触充分，则吸硫率约95%~100%，该股废气又经增湿塔装置后可去除50%以上，SO</w:t>
      </w:r>
      <w:r>
        <w:rPr>
          <w:rFonts w:hint="default" w:ascii="Times New Roman" w:hAnsi="Times New Roman" w:cs="Times New Roman"/>
          <w:vertAlign w:val="subscript"/>
        </w:rPr>
        <w:t>2</w:t>
      </w:r>
      <w:r>
        <w:rPr>
          <w:rFonts w:hint="default" w:ascii="Times New Roman" w:hAnsi="Times New Roman" w:cs="Times New Roman"/>
        </w:rPr>
        <w:t>的实际排放量甚微。通常情况下，水泥窑内为氧化气氛，排放烟气中NH</w:t>
      </w:r>
      <w:r>
        <w:rPr>
          <w:rFonts w:hint="default" w:ascii="Times New Roman" w:hAnsi="Times New Roman" w:cs="Times New Roman"/>
          <w:vertAlign w:val="subscript"/>
        </w:rPr>
        <w:t>3</w:t>
      </w:r>
      <w:r>
        <w:rPr>
          <w:rFonts w:hint="default" w:ascii="Times New Roman" w:hAnsi="Times New Roman" w:cs="Times New Roman"/>
        </w:rPr>
        <w:t>含量极少，欧盟、美国水泥窑协同处置标准中均未规定NH</w:t>
      </w:r>
      <w:r>
        <w:rPr>
          <w:rFonts w:hint="default" w:ascii="Times New Roman" w:hAnsi="Times New Roman" w:cs="Times New Roman"/>
          <w:vertAlign w:val="subscript"/>
        </w:rPr>
        <w:t>3</w:t>
      </w:r>
      <w:r>
        <w:rPr>
          <w:rFonts w:hint="default" w:ascii="Times New Roman" w:hAnsi="Times New Roman" w:cs="Times New Roman"/>
        </w:rPr>
        <w:t>的排放限值。排放烟气中NH</w:t>
      </w:r>
      <w:r>
        <w:rPr>
          <w:rFonts w:hint="default" w:ascii="Times New Roman" w:hAnsi="Times New Roman" w:cs="Times New Roman"/>
          <w:vertAlign w:val="subscript"/>
        </w:rPr>
        <w:t>3</w:t>
      </w:r>
      <w:r>
        <w:rPr>
          <w:rFonts w:hint="default" w:ascii="Times New Roman" w:hAnsi="Times New Roman" w:cs="Times New Roman"/>
        </w:rPr>
        <w:t>主要来源于使用氨水、尿素等含氨物质作为还原剂去除烟气中氮氧化物，和协同处置固体废物无关。因此，本项目实施后，现有工程窑尾烟囱中颗粒物、SO</w:t>
      </w:r>
      <w:r>
        <w:rPr>
          <w:rFonts w:hint="default" w:ascii="Times New Roman" w:hAnsi="Times New Roman" w:cs="Times New Roman"/>
          <w:vertAlign w:val="subscript"/>
        </w:rPr>
        <w:t>2</w:t>
      </w:r>
      <w:r>
        <w:rPr>
          <w:rFonts w:hint="default" w:ascii="Times New Roman" w:hAnsi="Times New Roman" w:cs="Times New Roman"/>
        </w:rPr>
        <w:t>、NO</w:t>
      </w:r>
      <w:r>
        <w:rPr>
          <w:rFonts w:hint="default" w:ascii="Times New Roman" w:hAnsi="Times New Roman" w:cs="Times New Roman"/>
          <w:vertAlign w:val="subscript"/>
        </w:rPr>
        <w:t>x</w:t>
      </w:r>
      <w:r>
        <w:rPr>
          <w:rFonts w:hint="default" w:ascii="Times New Roman" w:hAnsi="Times New Roman" w:cs="Times New Roman"/>
        </w:rPr>
        <w:t>、NH</w:t>
      </w:r>
      <w:r>
        <w:rPr>
          <w:rFonts w:hint="default" w:ascii="Times New Roman" w:hAnsi="Times New Roman" w:cs="Times New Roman"/>
          <w:vertAlign w:val="subscript"/>
        </w:rPr>
        <w:t>3</w:t>
      </w:r>
      <w:r>
        <w:rPr>
          <w:rFonts w:hint="default" w:ascii="Times New Roman" w:hAnsi="Times New Roman" w:cs="Times New Roman"/>
        </w:rPr>
        <w:t>等四项污染物排放量（包括排放方式、排放强度）不发生变化，本评价不再对窑尾烟气中颗粒物、SO</w:t>
      </w:r>
      <w:r>
        <w:rPr>
          <w:rFonts w:hint="default" w:ascii="Times New Roman" w:hAnsi="Times New Roman" w:cs="Times New Roman"/>
          <w:vertAlign w:val="subscript"/>
        </w:rPr>
        <w:t>2</w:t>
      </w:r>
      <w:r>
        <w:rPr>
          <w:rFonts w:hint="default" w:ascii="Times New Roman" w:hAnsi="Times New Roman" w:cs="Times New Roman"/>
        </w:rPr>
        <w:t>、NO</w:t>
      </w:r>
      <w:r>
        <w:rPr>
          <w:rFonts w:hint="default" w:ascii="Times New Roman" w:hAnsi="Times New Roman" w:cs="Times New Roman"/>
          <w:vertAlign w:val="subscript"/>
        </w:rPr>
        <w:t>x</w:t>
      </w:r>
      <w:r>
        <w:rPr>
          <w:rFonts w:hint="default" w:ascii="Times New Roman" w:hAnsi="Times New Roman" w:cs="Times New Roman"/>
        </w:rPr>
        <w:t>、NH</w:t>
      </w:r>
      <w:r>
        <w:rPr>
          <w:rFonts w:hint="default" w:ascii="Times New Roman" w:hAnsi="Times New Roman" w:cs="Times New Roman"/>
          <w:vertAlign w:val="subscript"/>
        </w:rPr>
        <w:t>3</w:t>
      </w:r>
      <w:r>
        <w:rPr>
          <w:rFonts w:hint="default" w:ascii="Times New Roman" w:hAnsi="Times New Roman" w:cs="Times New Roman"/>
        </w:rPr>
        <w:t>等四项污染物进行评价。</w:t>
      </w:r>
    </w:p>
    <w:p w14:paraId="6A00B8B5">
      <w:pPr>
        <w:pStyle w:val="6"/>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lang w:val="en-US" w:eastAsia="zh-CN"/>
        </w:rPr>
        <w:t>3</w:t>
      </w:r>
      <w:r>
        <w:rPr>
          <w:rFonts w:hint="default" w:ascii="Times New Roman" w:hAnsi="Times New Roman" w:eastAsia="宋体" w:cs="Times New Roman"/>
          <w:color w:val="auto"/>
          <w:lang w:eastAsia="zh-CN"/>
        </w:rPr>
        <w:t>）</w:t>
      </w:r>
      <w:r>
        <w:rPr>
          <w:rFonts w:hint="default" w:ascii="Times New Roman" w:hAnsi="Times New Roman" w:eastAsia="宋体" w:cs="Times New Roman"/>
          <w:color w:val="auto"/>
        </w:rPr>
        <w:t>大气污染源源强核算</w:t>
      </w:r>
    </w:p>
    <w:p w14:paraId="52DEB4CF">
      <w:pPr>
        <w:pStyle w:val="6"/>
        <w:rPr>
          <w:rFonts w:hint="default" w:ascii="Times New Roman" w:hAnsi="Times New Roman" w:cs="Times New Roman"/>
        </w:rPr>
      </w:pPr>
      <w:r>
        <w:rPr>
          <w:rFonts w:hint="default" w:ascii="Times New Roman" w:hAnsi="Times New Roman" w:cs="Times New Roman"/>
          <w:lang w:val="en-US" w:eastAsia="zh-CN"/>
        </w:rPr>
        <w:t>①</w:t>
      </w:r>
      <w:r>
        <w:rPr>
          <w:rFonts w:hint="default" w:ascii="Times New Roman" w:hAnsi="Times New Roman" w:cs="Times New Roman"/>
        </w:rPr>
        <w:t>窑尾烟气量</w:t>
      </w:r>
    </w:p>
    <w:p w14:paraId="43846428">
      <w:pPr>
        <w:pStyle w:val="6"/>
        <w:rPr>
          <w:rFonts w:hint="default" w:ascii="Times New Roman" w:hAnsi="Times New Roman" w:cs="Times New Roman"/>
          <w:highlight w:val="none"/>
        </w:rPr>
      </w:pPr>
      <w:r>
        <w:rPr>
          <w:rFonts w:hint="default" w:ascii="Times New Roman" w:hAnsi="Times New Roman" w:cs="Times New Roman"/>
        </w:rPr>
        <w:t>利用水泥窑协同处置危险废物，危险废物根据成分不同可作为原料、燃料等加入。但本项目协同处置的危险废物种类包括固态和液态等形态，估算危险废物中水分含量可</w:t>
      </w:r>
      <w:r>
        <w:rPr>
          <w:rFonts w:hint="default" w:ascii="Times New Roman" w:hAnsi="Times New Roman" w:cs="Times New Roman"/>
          <w:highlight w:val="none"/>
        </w:rPr>
        <w:t>达到5%~90%，废物在进入水泥窑系统之后，水分吸热激化，最终以气态形式由窑尾预热器排出系统。类比同类项目，</w:t>
      </w:r>
      <w:bookmarkStart w:id="140" w:name="_Hlk151227560"/>
      <w:r>
        <w:rPr>
          <w:rFonts w:hint="default" w:ascii="Times New Roman" w:hAnsi="Times New Roman" w:cs="Times New Roman"/>
          <w:highlight w:val="none"/>
        </w:rPr>
        <w:t>利用水泥窑对危险废物进行协同处置，干烟气量基本没有变化，增加的主要是湿烟气量中水汽。</w:t>
      </w:r>
      <w:bookmarkEnd w:id="140"/>
    </w:p>
    <w:p w14:paraId="5486934E">
      <w:pPr>
        <w:pStyle w:val="6"/>
        <w:rPr>
          <w:rFonts w:hint="default" w:ascii="Times New Roman" w:hAnsi="Times New Roman" w:cs="Times New Roman"/>
          <w:highlight w:val="none"/>
        </w:rPr>
      </w:pPr>
      <w:r>
        <w:rPr>
          <w:rFonts w:hint="default" w:ascii="Times New Roman" w:hAnsi="Times New Roman" w:cs="Times New Roman"/>
          <w:highlight w:val="none"/>
        </w:rPr>
        <w:t>结合现有3200t/d熟料生产线在线监测数据以及《排污许可证申请与核发技术规范 水泥工业》（HJ847-2017），取202</w:t>
      </w:r>
      <w:r>
        <w:rPr>
          <w:rFonts w:hint="default" w:ascii="Times New Roman" w:hAnsi="Times New Roman" w:cs="Times New Roman"/>
          <w:highlight w:val="none"/>
          <w:lang w:val="en-US" w:eastAsia="zh-CN"/>
        </w:rPr>
        <w:t>5</w:t>
      </w:r>
      <w:r>
        <w:rPr>
          <w:rFonts w:hint="default" w:ascii="Times New Roman" w:hAnsi="Times New Roman" w:cs="Times New Roman"/>
          <w:highlight w:val="none"/>
        </w:rPr>
        <w:t>年</w:t>
      </w:r>
      <w:r>
        <w:rPr>
          <w:rFonts w:hint="default" w:ascii="Times New Roman" w:hAnsi="Times New Roman" w:cs="Times New Roman"/>
          <w:highlight w:val="none"/>
          <w:lang w:val="en-US" w:eastAsia="zh-CN"/>
        </w:rPr>
        <w:t>4</w:t>
      </w:r>
      <w:r>
        <w:rPr>
          <w:rFonts w:hint="default" w:ascii="Times New Roman" w:hAnsi="Times New Roman" w:cs="Times New Roman"/>
          <w:highlight w:val="none"/>
        </w:rPr>
        <w:t>~</w:t>
      </w:r>
      <w:r>
        <w:rPr>
          <w:rFonts w:hint="default" w:ascii="Times New Roman" w:hAnsi="Times New Roman" w:cs="Times New Roman"/>
          <w:highlight w:val="none"/>
          <w:lang w:val="en-US" w:eastAsia="zh-CN"/>
        </w:rPr>
        <w:t>6</w:t>
      </w:r>
      <w:r>
        <w:rPr>
          <w:rFonts w:hint="default" w:ascii="Times New Roman" w:hAnsi="Times New Roman" w:cs="Times New Roman"/>
          <w:highlight w:val="none"/>
        </w:rPr>
        <w:t>月在线监测的平均值</w:t>
      </w:r>
      <w:r>
        <w:rPr>
          <w:rFonts w:hint="default" w:ascii="Times New Roman" w:hAnsi="Times New Roman" w:cs="Times New Roman"/>
          <w:highlight w:val="none"/>
          <w:lang w:val="en-US" w:eastAsia="zh-CN"/>
        </w:rPr>
        <w:t>485617</w:t>
      </w:r>
      <w:r>
        <w:rPr>
          <w:rFonts w:hint="default" w:ascii="Times New Roman" w:hAnsi="Times New Roman" w:cs="Times New Roman"/>
          <w:highlight w:val="none"/>
        </w:rPr>
        <w:t>Nm</w:t>
      </w:r>
      <w:r>
        <w:rPr>
          <w:rFonts w:hint="default" w:ascii="Times New Roman" w:hAnsi="Times New Roman" w:cs="Times New Roman"/>
          <w:highlight w:val="none"/>
          <w:vertAlign w:val="superscript"/>
        </w:rPr>
        <w:t>3</w:t>
      </w:r>
      <w:r>
        <w:rPr>
          <w:rFonts w:hint="default" w:ascii="Times New Roman" w:hAnsi="Times New Roman" w:cs="Times New Roman"/>
          <w:highlight w:val="none"/>
        </w:rPr>
        <w:t>/h作为本评价核算的基准烟气量。考虑入窑危险废物以及带入水分蒸发等影响，预计本项目运行后，窑尾废气量有所增加。</w:t>
      </w:r>
      <w:bookmarkStart w:id="141" w:name="_Hlk151227696"/>
      <w:r>
        <w:rPr>
          <w:rFonts w:hint="default" w:ascii="Times New Roman" w:hAnsi="Times New Roman" w:cs="Times New Roman"/>
          <w:highlight w:val="none"/>
        </w:rPr>
        <w:t>根据《排污许可证申请与核发技术规范 水泥工业》（HJ847-2017），协同处置固体废物的水泥（熟料）制造排污单位，窑尾基准排气量系数放大1.1倍</w:t>
      </w:r>
      <w:bookmarkEnd w:id="141"/>
      <w:r>
        <w:rPr>
          <w:rFonts w:hint="default" w:ascii="Times New Roman" w:hAnsi="Times New Roman" w:cs="Times New Roman"/>
          <w:highlight w:val="none"/>
        </w:rPr>
        <w:t>，故本项目运行后，预计通过窑尾烟囱外排烟气量为</w:t>
      </w:r>
      <w:r>
        <w:rPr>
          <w:rFonts w:hint="default" w:ascii="Times New Roman" w:hAnsi="Times New Roman" w:cs="Times New Roman"/>
          <w:highlight w:val="none"/>
          <w:lang w:val="en-US" w:eastAsia="zh-CN"/>
        </w:rPr>
        <w:t>534179</w:t>
      </w:r>
      <w:r>
        <w:rPr>
          <w:rFonts w:hint="default" w:ascii="Times New Roman" w:hAnsi="Times New Roman" w:cs="Times New Roman"/>
          <w:highlight w:val="none"/>
        </w:rPr>
        <w:t>Nm</w:t>
      </w:r>
      <w:r>
        <w:rPr>
          <w:rFonts w:hint="default" w:ascii="Times New Roman" w:hAnsi="Times New Roman" w:cs="Times New Roman"/>
          <w:highlight w:val="none"/>
          <w:vertAlign w:val="superscript"/>
        </w:rPr>
        <w:t>3</w:t>
      </w:r>
      <w:r>
        <w:rPr>
          <w:rFonts w:hint="default" w:ascii="Times New Roman" w:hAnsi="Times New Roman" w:cs="Times New Roman"/>
          <w:highlight w:val="none"/>
        </w:rPr>
        <w:t>/h。</w:t>
      </w:r>
    </w:p>
    <w:p w14:paraId="7BF229FD">
      <w:pPr>
        <w:pStyle w:val="6"/>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②</w:t>
      </w:r>
      <w:r>
        <w:rPr>
          <w:rFonts w:hint="eastAsia" w:cs="Times New Roman"/>
          <w:color w:val="auto"/>
          <w:lang w:val="en-US" w:eastAsia="zh-CN"/>
        </w:rPr>
        <w:t>预处理系统与输送系统废气</w:t>
      </w:r>
    </w:p>
    <w:p w14:paraId="41757391">
      <w:pPr>
        <w:pStyle w:val="6"/>
        <w:rPr>
          <w:rFonts w:hint="default" w:ascii="Times New Roman" w:hAnsi="Times New Roman" w:cs="Times New Roman"/>
          <w:color w:val="auto"/>
        </w:rPr>
      </w:pPr>
      <w:r>
        <w:rPr>
          <w:rFonts w:hint="default" w:ascii="Times New Roman" w:hAnsi="Times New Roman" w:cs="Times New Roman"/>
          <w:color w:val="auto"/>
          <w:lang w:val="en-US" w:eastAsia="zh-CN"/>
        </w:rPr>
        <w:t>拟建项目</w:t>
      </w:r>
      <w:r>
        <w:rPr>
          <w:rFonts w:hint="eastAsia" w:cs="Times New Roman"/>
          <w:color w:val="auto"/>
          <w:lang w:val="en-US" w:eastAsia="zh-CN"/>
        </w:rPr>
        <w:t>物料在</w:t>
      </w:r>
      <w:r>
        <w:rPr>
          <w:rFonts w:hint="default" w:ascii="Times New Roman" w:hAnsi="Times New Roman" w:cs="Times New Roman"/>
          <w:color w:val="auto"/>
          <w:lang w:val="en-US" w:eastAsia="zh-CN"/>
        </w:rPr>
        <w:t>投料</w:t>
      </w:r>
      <w:r>
        <w:rPr>
          <w:rFonts w:hint="eastAsia" w:cs="Times New Roman"/>
          <w:color w:val="auto"/>
          <w:lang w:val="en-US" w:eastAsia="zh-CN"/>
        </w:rPr>
        <w:t>车间内进行投料、打散破碎、计量，预处理装置为全密闭装置，设置</w:t>
      </w:r>
      <w:r>
        <w:rPr>
          <w:rFonts w:hint="default" w:ascii="Times New Roman" w:hAnsi="Times New Roman" w:cs="Times New Roman"/>
          <w:color w:val="auto"/>
        </w:rPr>
        <w:t>一套集气系统对产生的颗粒物进行收集，风量为5000m</w:t>
      </w:r>
      <w:r>
        <w:rPr>
          <w:rFonts w:hint="default" w:ascii="Times New Roman" w:hAnsi="Times New Roman" w:cs="Times New Roman"/>
          <w:color w:val="auto"/>
          <w:vertAlign w:val="superscript"/>
        </w:rPr>
        <w:t>3</w:t>
      </w:r>
      <w:r>
        <w:rPr>
          <w:rFonts w:hint="default" w:ascii="Times New Roman" w:hAnsi="Times New Roman" w:cs="Times New Roman"/>
          <w:color w:val="auto"/>
        </w:rPr>
        <w:t>/h。类比同类项目，颗粒物产生量为15kg/h</w:t>
      </w:r>
      <w:r>
        <w:rPr>
          <w:rFonts w:hint="eastAsia" w:cs="Times New Roman"/>
          <w:color w:val="auto"/>
          <w:lang w:eastAsia="zh-CN"/>
        </w:rPr>
        <w:t>（</w:t>
      </w:r>
      <w:r>
        <w:rPr>
          <w:rFonts w:hint="eastAsia" w:cs="Times New Roman"/>
          <w:color w:val="auto"/>
          <w:lang w:val="en-US" w:eastAsia="zh-CN"/>
        </w:rPr>
        <w:t>54t/a</w:t>
      </w:r>
      <w:r>
        <w:rPr>
          <w:rFonts w:hint="eastAsia" w:cs="Times New Roman"/>
          <w:color w:val="auto"/>
          <w:lang w:eastAsia="zh-CN"/>
        </w:rPr>
        <w:t>）</w:t>
      </w:r>
      <w:r>
        <w:rPr>
          <w:rFonts w:hint="default" w:ascii="Times New Roman" w:hAnsi="Times New Roman" w:cs="Times New Roman"/>
          <w:color w:val="auto"/>
        </w:rPr>
        <w:t>。</w:t>
      </w:r>
      <w:r>
        <w:rPr>
          <w:rFonts w:hint="eastAsia" w:cs="Times New Roman"/>
          <w:color w:val="auto"/>
          <w:highlight w:val="none"/>
          <w:lang w:val="en-US" w:eastAsia="zh-CN"/>
        </w:rPr>
        <w:t>经计量后的物料由密封输送带输送至窑尾高温段投加点，输送过程会产生少量颗粒物，</w:t>
      </w:r>
      <w:r>
        <w:rPr>
          <w:rFonts w:hint="eastAsia" w:cs="Times New Roman"/>
          <w:color w:val="auto"/>
          <w:lang w:val="en-US" w:eastAsia="zh-CN"/>
        </w:rPr>
        <w:t>设置</w:t>
      </w:r>
      <w:r>
        <w:rPr>
          <w:rFonts w:hint="default" w:ascii="Times New Roman" w:hAnsi="Times New Roman" w:cs="Times New Roman"/>
          <w:color w:val="auto"/>
        </w:rPr>
        <w:t>一套集气系统对产生的颗粒物进行收集，风量为5000m</w:t>
      </w:r>
      <w:r>
        <w:rPr>
          <w:rFonts w:hint="default" w:ascii="Times New Roman" w:hAnsi="Times New Roman" w:cs="Times New Roman"/>
          <w:color w:val="auto"/>
          <w:vertAlign w:val="superscript"/>
        </w:rPr>
        <w:t>3</w:t>
      </w:r>
      <w:r>
        <w:rPr>
          <w:rFonts w:hint="default" w:ascii="Times New Roman" w:hAnsi="Times New Roman" w:cs="Times New Roman"/>
          <w:color w:val="auto"/>
        </w:rPr>
        <w:t>/h。类比同类项目</w:t>
      </w:r>
      <w:r>
        <w:rPr>
          <w:rFonts w:hint="eastAsia" w:cs="Times New Roman"/>
          <w:color w:val="auto"/>
          <w:lang w:val="en-US" w:eastAsia="zh-CN"/>
        </w:rPr>
        <w:t>水泥行业输送过程</w:t>
      </w:r>
      <w:r>
        <w:rPr>
          <w:rFonts w:hint="default" w:ascii="Times New Roman" w:hAnsi="Times New Roman" w:cs="Times New Roman"/>
          <w:color w:val="auto"/>
        </w:rPr>
        <w:t>，颗粒物产生量为</w:t>
      </w:r>
      <w:r>
        <w:rPr>
          <w:rFonts w:hint="eastAsia" w:cs="Times New Roman"/>
          <w:color w:val="auto"/>
          <w:lang w:val="en-US" w:eastAsia="zh-CN"/>
        </w:rPr>
        <w:t>0.2</w:t>
      </w:r>
      <w:r>
        <w:rPr>
          <w:rFonts w:hint="default" w:ascii="Times New Roman" w:hAnsi="Times New Roman" w:cs="Times New Roman"/>
          <w:color w:val="auto"/>
        </w:rPr>
        <w:t>kg/</w:t>
      </w:r>
      <w:r>
        <w:rPr>
          <w:rFonts w:hint="eastAsia" w:cs="Times New Roman"/>
          <w:color w:val="auto"/>
          <w:lang w:val="en-US" w:eastAsia="zh-CN"/>
        </w:rPr>
        <w:t>t-物料</w:t>
      </w:r>
      <w:r>
        <w:rPr>
          <w:rFonts w:hint="eastAsia" w:cs="Times New Roman"/>
          <w:color w:val="auto"/>
          <w:lang w:eastAsia="zh-CN"/>
        </w:rPr>
        <w:t>（</w:t>
      </w:r>
      <w:r>
        <w:rPr>
          <w:rFonts w:hint="eastAsia" w:cs="Times New Roman"/>
          <w:color w:val="auto"/>
          <w:lang w:val="en-US" w:eastAsia="zh-CN"/>
        </w:rPr>
        <w:t>40kg/a</w:t>
      </w:r>
      <w:r>
        <w:rPr>
          <w:rFonts w:hint="eastAsia" w:cs="Times New Roman"/>
          <w:color w:val="auto"/>
          <w:lang w:eastAsia="zh-CN"/>
        </w:rPr>
        <w:t>）</w:t>
      </w:r>
      <w:r>
        <w:rPr>
          <w:rFonts w:hint="default" w:ascii="Times New Roman" w:hAnsi="Times New Roman" w:cs="Times New Roman"/>
          <w:color w:val="auto"/>
        </w:rPr>
        <w:t>。</w:t>
      </w:r>
    </w:p>
    <w:p w14:paraId="1405BC1A">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color w:val="auto"/>
        </w:rPr>
      </w:pPr>
      <w:r>
        <w:rPr>
          <w:rFonts w:hint="default" w:ascii="Times New Roman" w:hAnsi="Times New Roman" w:cs="Times New Roman"/>
          <w:b/>
          <w:bCs/>
          <w:color w:val="auto"/>
        </w:rPr>
        <w:t>表</w:t>
      </w:r>
      <w:r>
        <w:rPr>
          <w:rFonts w:hint="default" w:ascii="Times New Roman" w:hAnsi="Times New Roman" w:cs="Times New Roman"/>
          <w:b/>
          <w:bCs/>
          <w:color w:val="auto"/>
          <w:lang w:val="en-US" w:eastAsia="zh-CN"/>
        </w:rPr>
        <w:t>3.8-5</w:t>
      </w:r>
      <w:r>
        <w:rPr>
          <w:rFonts w:hint="default" w:ascii="Times New Roman" w:hAnsi="Times New Roman" w:cs="Times New Roman"/>
          <w:b/>
          <w:bCs/>
          <w:color w:val="auto"/>
        </w:rPr>
        <w:t xml:space="preserve"> </w:t>
      </w:r>
      <w:r>
        <w:rPr>
          <w:rFonts w:hint="default" w:ascii="Times New Roman" w:hAnsi="Times New Roman" w:cs="Times New Roman"/>
          <w:b/>
          <w:bCs/>
          <w:color w:val="auto"/>
          <w:lang w:val="en-US" w:eastAsia="zh-CN"/>
        </w:rPr>
        <w:t>固态废物上料</w:t>
      </w:r>
      <w:r>
        <w:rPr>
          <w:rFonts w:hint="default" w:ascii="Times New Roman" w:hAnsi="Times New Roman" w:cs="Times New Roman"/>
          <w:b/>
          <w:bCs/>
          <w:color w:val="auto"/>
        </w:rPr>
        <w:t>车间污染物产生情况</w:t>
      </w:r>
    </w:p>
    <w:tbl>
      <w:tblPr>
        <w:tblStyle w:val="40"/>
        <w:tblW w:w="4996"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07"/>
        <w:gridCol w:w="962"/>
        <w:gridCol w:w="1201"/>
        <w:gridCol w:w="1589"/>
        <w:gridCol w:w="1311"/>
        <w:gridCol w:w="1274"/>
        <w:gridCol w:w="1165"/>
      </w:tblGrid>
      <w:tr w14:paraId="34BB4AF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1" w:type="pct"/>
            <w:tcBorders>
              <w:tl2br w:val="nil"/>
              <w:tr2bl w:val="nil"/>
            </w:tcBorders>
            <w:shd w:val="clear" w:color="auto" w:fill="auto"/>
            <w:vAlign w:val="center"/>
          </w:tcPr>
          <w:p w14:paraId="7D51B41A">
            <w:pPr>
              <w:pStyle w:val="52"/>
              <w:rPr>
                <w:rFonts w:hint="eastAsia" w:ascii="Times New Roman" w:hAnsi="Times New Roman" w:eastAsia="宋体" w:cs="Times New Roman"/>
                <w:b/>
                <w:bCs/>
                <w:color w:val="auto"/>
                <w:sz w:val="21"/>
                <w:szCs w:val="18"/>
                <w:lang w:val="en-US" w:eastAsia="zh-CN"/>
              </w:rPr>
            </w:pPr>
            <w:r>
              <w:rPr>
                <w:rFonts w:hint="eastAsia" w:cs="Times New Roman"/>
                <w:b/>
                <w:bCs/>
                <w:color w:val="auto"/>
                <w:sz w:val="21"/>
                <w:szCs w:val="18"/>
                <w:lang w:val="en-US" w:eastAsia="zh-CN"/>
              </w:rPr>
              <w:t>排放口</w:t>
            </w:r>
          </w:p>
        </w:tc>
        <w:tc>
          <w:tcPr>
            <w:tcW w:w="565" w:type="pct"/>
            <w:tcBorders>
              <w:tl2br w:val="nil"/>
              <w:tr2bl w:val="nil"/>
            </w:tcBorders>
            <w:shd w:val="clear" w:color="auto" w:fill="auto"/>
            <w:vAlign w:val="center"/>
          </w:tcPr>
          <w:p w14:paraId="3C42C06E">
            <w:pPr>
              <w:pStyle w:val="52"/>
              <w:rPr>
                <w:rFonts w:hint="default" w:ascii="Times New Roman" w:hAnsi="Times New Roman" w:eastAsia="宋体" w:cs="Times New Roman"/>
                <w:b/>
                <w:bCs/>
                <w:color w:val="auto"/>
                <w:kern w:val="0"/>
                <w:sz w:val="21"/>
                <w:szCs w:val="18"/>
                <w:lang w:val="en-US" w:eastAsia="zh-CN" w:bidi="ar-SA"/>
              </w:rPr>
            </w:pPr>
            <w:r>
              <w:rPr>
                <w:rFonts w:hint="default" w:ascii="Times New Roman" w:hAnsi="Times New Roman" w:cs="Times New Roman"/>
                <w:b/>
                <w:bCs/>
                <w:color w:val="auto"/>
                <w:sz w:val="21"/>
                <w:szCs w:val="18"/>
              </w:rPr>
              <w:t>污染物</w:t>
            </w:r>
          </w:p>
        </w:tc>
        <w:tc>
          <w:tcPr>
            <w:tcW w:w="705" w:type="pct"/>
            <w:tcBorders>
              <w:tl2br w:val="nil"/>
              <w:tr2bl w:val="nil"/>
            </w:tcBorders>
            <w:shd w:val="clear" w:color="auto" w:fill="auto"/>
            <w:vAlign w:val="center"/>
          </w:tcPr>
          <w:p w14:paraId="148F0961">
            <w:pPr>
              <w:pStyle w:val="52"/>
              <w:rPr>
                <w:rFonts w:hint="default" w:ascii="Times New Roman" w:hAnsi="Times New Roman" w:eastAsia="宋体" w:cs="Times New Roman"/>
                <w:b/>
                <w:bCs/>
                <w:color w:val="auto"/>
                <w:kern w:val="0"/>
                <w:sz w:val="21"/>
                <w:szCs w:val="18"/>
                <w:lang w:val="en-US" w:eastAsia="zh-CN" w:bidi="ar-SA"/>
              </w:rPr>
            </w:pPr>
            <w:r>
              <w:rPr>
                <w:rFonts w:hint="default" w:ascii="Times New Roman" w:hAnsi="Times New Roman" w:cs="Times New Roman"/>
                <w:b/>
                <w:bCs/>
                <w:color w:val="auto"/>
                <w:sz w:val="21"/>
                <w:szCs w:val="18"/>
              </w:rPr>
              <w:t>产生量（kg/h）</w:t>
            </w:r>
          </w:p>
        </w:tc>
        <w:tc>
          <w:tcPr>
            <w:tcW w:w="933" w:type="pct"/>
            <w:tcBorders>
              <w:tl2br w:val="nil"/>
              <w:tr2bl w:val="nil"/>
            </w:tcBorders>
            <w:shd w:val="clear" w:color="auto" w:fill="auto"/>
            <w:vAlign w:val="center"/>
          </w:tcPr>
          <w:p w14:paraId="7496F5B0">
            <w:pPr>
              <w:pStyle w:val="52"/>
              <w:rPr>
                <w:rFonts w:hint="default" w:ascii="Times New Roman" w:hAnsi="Times New Roman" w:cs="Times New Roman"/>
                <w:b/>
                <w:bCs/>
                <w:color w:val="auto"/>
                <w:sz w:val="21"/>
                <w:szCs w:val="18"/>
              </w:rPr>
            </w:pPr>
            <w:r>
              <w:rPr>
                <w:rFonts w:hint="eastAsia" w:cs="Times New Roman"/>
                <w:b/>
                <w:bCs/>
                <w:color w:val="auto"/>
                <w:sz w:val="21"/>
                <w:szCs w:val="18"/>
                <w:lang w:val="en-US" w:eastAsia="zh-CN"/>
              </w:rPr>
              <w:t>处理</w:t>
            </w:r>
            <w:r>
              <w:rPr>
                <w:rFonts w:hint="default" w:ascii="Times New Roman" w:hAnsi="Times New Roman" w:cs="Times New Roman"/>
                <w:b/>
                <w:bCs/>
                <w:color w:val="auto"/>
                <w:sz w:val="21"/>
                <w:szCs w:val="18"/>
              </w:rPr>
              <w:t>效率</w:t>
            </w:r>
          </w:p>
          <w:p w14:paraId="1BFC2117">
            <w:pPr>
              <w:pStyle w:val="52"/>
              <w:rPr>
                <w:rFonts w:hint="default" w:ascii="Times New Roman" w:hAnsi="Times New Roman" w:eastAsia="宋体" w:cs="Times New Roman"/>
                <w:b/>
                <w:bCs/>
                <w:color w:val="auto"/>
                <w:kern w:val="0"/>
                <w:sz w:val="21"/>
                <w:szCs w:val="18"/>
                <w:lang w:val="en-US" w:eastAsia="zh-CN" w:bidi="ar-SA"/>
              </w:rPr>
            </w:pPr>
            <w:r>
              <w:rPr>
                <w:rFonts w:hint="default" w:ascii="Times New Roman" w:hAnsi="Times New Roman" w:cs="Times New Roman"/>
                <w:b/>
                <w:bCs/>
                <w:color w:val="auto"/>
                <w:sz w:val="21"/>
                <w:szCs w:val="18"/>
              </w:rPr>
              <w:t>（%）</w:t>
            </w:r>
          </w:p>
        </w:tc>
        <w:tc>
          <w:tcPr>
            <w:tcW w:w="770" w:type="pct"/>
            <w:tcBorders>
              <w:tl2br w:val="nil"/>
              <w:tr2bl w:val="nil"/>
            </w:tcBorders>
            <w:shd w:val="clear" w:color="auto" w:fill="auto"/>
            <w:vAlign w:val="center"/>
          </w:tcPr>
          <w:p w14:paraId="33DE5B3D">
            <w:pPr>
              <w:pStyle w:val="52"/>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排放量</w:t>
            </w:r>
          </w:p>
          <w:p w14:paraId="2F4088BD">
            <w:pPr>
              <w:pStyle w:val="52"/>
              <w:rPr>
                <w:rFonts w:hint="default" w:ascii="Times New Roman" w:hAnsi="Times New Roman" w:eastAsia="宋体" w:cs="Times New Roman"/>
                <w:b/>
                <w:bCs/>
                <w:color w:val="auto"/>
                <w:kern w:val="0"/>
                <w:sz w:val="21"/>
                <w:szCs w:val="18"/>
                <w:lang w:val="en-US" w:eastAsia="zh-CN" w:bidi="ar-SA"/>
              </w:rPr>
            </w:pPr>
            <w:r>
              <w:rPr>
                <w:rFonts w:hint="default" w:ascii="Times New Roman" w:hAnsi="Times New Roman" w:cs="Times New Roman"/>
                <w:b/>
                <w:bCs/>
                <w:color w:val="auto"/>
                <w:sz w:val="21"/>
                <w:szCs w:val="18"/>
              </w:rPr>
              <w:t>（</w:t>
            </w:r>
            <w:r>
              <w:rPr>
                <w:rFonts w:hint="eastAsia" w:ascii="Times New Roman" w:hAnsi="Times New Roman" w:cs="Times New Roman"/>
                <w:b/>
                <w:bCs/>
                <w:color w:val="auto"/>
                <w:sz w:val="21"/>
                <w:szCs w:val="18"/>
                <w:lang w:val="en-US" w:eastAsia="zh-CN"/>
              </w:rPr>
              <w:t>t/a</w:t>
            </w:r>
            <w:r>
              <w:rPr>
                <w:rFonts w:hint="default" w:ascii="Times New Roman" w:hAnsi="Times New Roman" w:cs="Times New Roman"/>
                <w:b/>
                <w:bCs/>
                <w:color w:val="auto"/>
                <w:sz w:val="21"/>
                <w:szCs w:val="18"/>
              </w:rPr>
              <w:t>）</w:t>
            </w:r>
          </w:p>
        </w:tc>
        <w:tc>
          <w:tcPr>
            <w:tcW w:w="748" w:type="pct"/>
            <w:tcBorders>
              <w:tl2br w:val="nil"/>
              <w:tr2bl w:val="nil"/>
            </w:tcBorders>
            <w:vAlign w:val="center"/>
          </w:tcPr>
          <w:p w14:paraId="4E0DB0D6">
            <w:pPr>
              <w:pStyle w:val="52"/>
              <w:rPr>
                <w:rFonts w:hint="default" w:ascii="Times New Roman" w:hAnsi="Times New Roman" w:cs="Times New Roman"/>
                <w:b/>
                <w:bCs/>
                <w:color w:val="auto"/>
                <w:sz w:val="21"/>
                <w:szCs w:val="18"/>
              </w:rPr>
            </w:pPr>
            <w:r>
              <w:rPr>
                <w:rFonts w:hint="eastAsia" w:ascii="Times New Roman" w:hAnsi="Times New Roman" w:cs="Times New Roman"/>
                <w:b/>
                <w:bCs/>
                <w:color w:val="auto"/>
                <w:kern w:val="0"/>
                <w:sz w:val="21"/>
                <w:szCs w:val="18"/>
                <w:lang w:val="en-US" w:eastAsia="zh-CN" w:bidi="ar-SA"/>
              </w:rPr>
              <w:t>排放速率（kg/h）</w:t>
            </w:r>
          </w:p>
        </w:tc>
        <w:tc>
          <w:tcPr>
            <w:tcW w:w="684" w:type="pct"/>
            <w:tcBorders>
              <w:tl2br w:val="nil"/>
              <w:tr2bl w:val="nil"/>
            </w:tcBorders>
            <w:vAlign w:val="center"/>
          </w:tcPr>
          <w:p w14:paraId="04821FBC">
            <w:pPr>
              <w:pStyle w:val="52"/>
              <w:rPr>
                <w:rFonts w:hint="default" w:ascii="Times New Roman" w:hAnsi="Times New Roman" w:cs="Times New Roman"/>
                <w:b/>
                <w:bCs/>
                <w:color w:val="auto"/>
                <w:kern w:val="0"/>
                <w:sz w:val="21"/>
                <w:szCs w:val="18"/>
                <w:lang w:val="en-US" w:eastAsia="zh-CN" w:bidi="ar-SA"/>
              </w:rPr>
            </w:pPr>
            <w:r>
              <w:rPr>
                <w:rFonts w:hint="eastAsia" w:cs="Times New Roman"/>
                <w:b/>
                <w:bCs/>
                <w:color w:val="auto"/>
                <w:kern w:val="0"/>
                <w:sz w:val="21"/>
                <w:szCs w:val="18"/>
                <w:lang w:val="en-US" w:eastAsia="zh-CN" w:bidi="ar-SA"/>
              </w:rPr>
              <w:t>排放浓度m</w:t>
            </w:r>
            <w:r>
              <w:rPr>
                <w:rFonts w:hint="eastAsia" w:cs="Times New Roman"/>
                <w:b/>
                <w:bCs/>
                <w:color w:val="auto"/>
                <w:kern w:val="0"/>
                <w:sz w:val="21"/>
                <w:szCs w:val="18"/>
                <w:vertAlign w:val="superscript"/>
                <w:lang w:val="en-US" w:eastAsia="zh-CN" w:bidi="ar-SA"/>
              </w:rPr>
              <w:t>3</w:t>
            </w:r>
            <w:r>
              <w:rPr>
                <w:rFonts w:hint="eastAsia" w:cs="Times New Roman"/>
                <w:b/>
                <w:bCs/>
                <w:color w:val="auto"/>
                <w:kern w:val="0"/>
                <w:sz w:val="21"/>
                <w:szCs w:val="18"/>
                <w:lang w:val="en-US" w:eastAsia="zh-CN" w:bidi="ar-SA"/>
              </w:rPr>
              <w:t>/mg</w:t>
            </w:r>
          </w:p>
        </w:tc>
      </w:tr>
      <w:tr w14:paraId="0520B3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1" w:type="pct"/>
            <w:tcBorders>
              <w:tl2br w:val="nil"/>
              <w:tr2bl w:val="nil"/>
            </w:tcBorders>
            <w:shd w:val="clear" w:color="auto" w:fill="auto"/>
            <w:vAlign w:val="center"/>
          </w:tcPr>
          <w:p w14:paraId="791A7207">
            <w:pPr>
              <w:pStyle w:val="52"/>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DA002</w:t>
            </w:r>
          </w:p>
        </w:tc>
        <w:tc>
          <w:tcPr>
            <w:tcW w:w="565" w:type="pct"/>
            <w:tcBorders>
              <w:tl2br w:val="nil"/>
              <w:tr2bl w:val="nil"/>
            </w:tcBorders>
            <w:shd w:val="clear" w:color="auto" w:fill="auto"/>
            <w:vAlign w:val="center"/>
          </w:tcPr>
          <w:p w14:paraId="10C1BF95">
            <w:pPr>
              <w:pStyle w:val="52"/>
              <w:rPr>
                <w:rFonts w:hint="eastAsia"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rPr>
              <w:t>颗粒物</w:t>
            </w:r>
          </w:p>
        </w:tc>
        <w:tc>
          <w:tcPr>
            <w:tcW w:w="705" w:type="pct"/>
            <w:tcBorders>
              <w:tl2br w:val="nil"/>
              <w:tr2bl w:val="nil"/>
            </w:tcBorders>
            <w:shd w:val="clear" w:color="auto" w:fill="auto"/>
            <w:vAlign w:val="center"/>
          </w:tcPr>
          <w:p w14:paraId="0D3B3138">
            <w:pPr>
              <w:pStyle w:val="52"/>
              <w:rPr>
                <w:rFonts w:hint="default" w:ascii="Times New Roman" w:hAnsi="Times New Roman" w:eastAsia="宋体" w:cs="Times New Roman"/>
                <w:color w:val="auto"/>
                <w:kern w:val="0"/>
                <w:sz w:val="21"/>
                <w:szCs w:val="18"/>
                <w:lang w:val="en-US" w:eastAsia="zh-CN" w:bidi="ar-SA"/>
              </w:rPr>
            </w:pPr>
            <w:r>
              <w:rPr>
                <w:rFonts w:hint="eastAsia" w:ascii="Times New Roman" w:hAnsi="Times New Roman" w:cs="Times New Roman"/>
                <w:color w:val="auto"/>
                <w:sz w:val="21"/>
                <w:szCs w:val="18"/>
                <w:lang w:val="en-US" w:eastAsia="zh-CN"/>
              </w:rPr>
              <w:t>15</w:t>
            </w:r>
          </w:p>
        </w:tc>
        <w:tc>
          <w:tcPr>
            <w:tcW w:w="933" w:type="pct"/>
            <w:tcBorders>
              <w:tl2br w:val="nil"/>
              <w:tr2bl w:val="nil"/>
            </w:tcBorders>
            <w:shd w:val="clear" w:color="auto" w:fill="auto"/>
            <w:vAlign w:val="center"/>
          </w:tcPr>
          <w:p w14:paraId="7FF5B58C">
            <w:pPr>
              <w:pStyle w:val="52"/>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rPr>
              <w:t>99</w:t>
            </w:r>
            <w:r>
              <w:rPr>
                <w:rFonts w:hint="eastAsia" w:cs="Times New Roman"/>
                <w:color w:val="auto"/>
                <w:sz w:val="21"/>
                <w:szCs w:val="18"/>
                <w:lang w:val="en-US" w:eastAsia="zh-CN"/>
              </w:rPr>
              <w:t>.7</w:t>
            </w:r>
          </w:p>
        </w:tc>
        <w:tc>
          <w:tcPr>
            <w:tcW w:w="770" w:type="pct"/>
            <w:tcBorders>
              <w:tl2br w:val="nil"/>
              <w:tr2bl w:val="nil"/>
            </w:tcBorders>
            <w:shd w:val="clear" w:color="auto" w:fill="auto"/>
            <w:vAlign w:val="center"/>
          </w:tcPr>
          <w:p w14:paraId="2FC2CDA3">
            <w:pPr>
              <w:pStyle w:val="52"/>
              <w:rPr>
                <w:rFonts w:hint="default" w:ascii="Times New Roman" w:hAnsi="Times New Roman" w:eastAsia="宋体" w:cs="Times New Roman"/>
                <w:color w:val="auto"/>
                <w:kern w:val="0"/>
                <w:sz w:val="21"/>
                <w:szCs w:val="18"/>
                <w:lang w:val="en-US" w:eastAsia="zh-CN" w:bidi="ar-SA"/>
              </w:rPr>
            </w:pPr>
            <w:r>
              <w:rPr>
                <w:rFonts w:hint="eastAsia" w:cs="Times New Roman"/>
                <w:color w:val="auto"/>
                <w:kern w:val="0"/>
                <w:sz w:val="21"/>
                <w:szCs w:val="18"/>
                <w:lang w:val="en-US" w:eastAsia="zh-CN" w:bidi="ar-SA"/>
              </w:rPr>
              <w:t>0.162</w:t>
            </w:r>
          </w:p>
        </w:tc>
        <w:tc>
          <w:tcPr>
            <w:tcW w:w="748" w:type="pct"/>
            <w:tcBorders>
              <w:tl2br w:val="nil"/>
              <w:tr2bl w:val="nil"/>
            </w:tcBorders>
            <w:vAlign w:val="center"/>
          </w:tcPr>
          <w:p w14:paraId="6A6E964B">
            <w:pPr>
              <w:pStyle w:val="52"/>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0.045</w:t>
            </w:r>
          </w:p>
        </w:tc>
        <w:tc>
          <w:tcPr>
            <w:tcW w:w="684" w:type="pct"/>
            <w:tcBorders>
              <w:tl2br w:val="nil"/>
              <w:tr2bl w:val="nil"/>
            </w:tcBorders>
            <w:vAlign w:val="center"/>
          </w:tcPr>
          <w:p w14:paraId="4CE12B1B">
            <w:pPr>
              <w:pStyle w:val="52"/>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9</w:t>
            </w:r>
          </w:p>
        </w:tc>
      </w:tr>
      <w:tr w14:paraId="19C4AC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91" w:type="pct"/>
            <w:tcBorders>
              <w:tl2br w:val="nil"/>
              <w:tr2bl w:val="nil"/>
            </w:tcBorders>
            <w:shd w:val="clear" w:color="auto" w:fill="auto"/>
            <w:vAlign w:val="center"/>
          </w:tcPr>
          <w:p w14:paraId="31F77680">
            <w:pPr>
              <w:pStyle w:val="52"/>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DA003</w:t>
            </w:r>
          </w:p>
        </w:tc>
        <w:tc>
          <w:tcPr>
            <w:tcW w:w="565" w:type="pct"/>
            <w:tcBorders>
              <w:tl2br w:val="nil"/>
              <w:tr2bl w:val="nil"/>
            </w:tcBorders>
            <w:shd w:val="clear" w:color="auto" w:fill="auto"/>
            <w:vAlign w:val="center"/>
          </w:tcPr>
          <w:p w14:paraId="3F4AA903">
            <w:pPr>
              <w:pStyle w:val="52"/>
              <w:rPr>
                <w:rFonts w:hint="default" w:ascii="Times New Roman" w:hAnsi="Times New Roman" w:cs="Times New Roman"/>
                <w:color w:val="auto"/>
                <w:sz w:val="21"/>
                <w:szCs w:val="18"/>
              </w:rPr>
            </w:pPr>
            <w:r>
              <w:rPr>
                <w:rFonts w:hint="default" w:ascii="Times New Roman" w:hAnsi="Times New Roman" w:cs="Times New Roman"/>
                <w:color w:val="auto"/>
                <w:sz w:val="21"/>
                <w:szCs w:val="18"/>
              </w:rPr>
              <w:t>颗粒物</w:t>
            </w:r>
          </w:p>
        </w:tc>
        <w:tc>
          <w:tcPr>
            <w:tcW w:w="705" w:type="pct"/>
            <w:tcBorders>
              <w:tl2br w:val="nil"/>
              <w:tr2bl w:val="nil"/>
            </w:tcBorders>
            <w:shd w:val="clear" w:color="auto" w:fill="auto"/>
            <w:vAlign w:val="center"/>
          </w:tcPr>
          <w:p w14:paraId="4C7EA23F">
            <w:pPr>
              <w:pStyle w:val="52"/>
              <w:rPr>
                <w:rFonts w:hint="default" w:ascii="Times New Roman" w:hAnsi="Times New Roman" w:cs="Times New Roman"/>
                <w:color w:val="auto"/>
                <w:sz w:val="21"/>
                <w:szCs w:val="18"/>
                <w:lang w:val="en-US" w:eastAsia="zh-CN"/>
              </w:rPr>
            </w:pPr>
            <w:r>
              <w:rPr>
                <w:rFonts w:hint="eastAsia" w:cs="Times New Roman"/>
                <w:color w:val="auto"/>
                <w:sz w:val="21"/>
                <w:szCs w:val="18"/>
                <w:lang w:val="en-US" w:eastAsia="zh-CN"/>
              </w:rPr>
              <w:t>0.011</w:t>
            </w:r>
          </w:p>
        </w:tc>
        <w:tc>
          <w:tcPr>
            <w:tcW w:w="933" w:type="pct"/>
            <w:tcBorders>
              <w:tl2br w:val="nil"/>
              <w:tr2bl w:val="nil"/>
            </w:tcBorders>
            <w:shd w:val="clear" w:color="auto" w:fill="auto"/>
            <w:vAlign w:val="center"/>
          </w:tcPr>
          <w:p w14:paraId="57796D22">
            <w:pPr>
              <w:pStyle w:val="52"/>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99.7</w:t>
            </w:r>
          </w:p>
        </w:tc>
        <w:tc>
          <w:tcPr>
            <w:tcW w:w="770" w:type="pct"/>
            <w:tcBorders>
              <w:tl2br w:val="nil"/>
              <w:tr2bl w:val="nil"/>
            </w:tcBorders>
            <w:shd w:val="clear" w:color="auto" w:fill="auto"/>
            <w:vAlign w:val="center"/>
          </w:tcPr>
          <w:p w14:paraId="1EA19EC5">
            <w:pPr>
              <w:pStyle w:val="52"/>
              <w:rPr>
                <w:rFonts w:hint="default" w:cs="Times New Roman"/>
                <w:color w:val="auto"/>
                <w:kern w:val="0"/>
                <w:sz w:val="21"/>
                <w:szCs w:val="18"/>
                <w:lang w:val="en-US" w:eastAsia="zh-CN" w:bidi="ar-SA"/>
              </w:rPr>
            </w:pPr>
            <w:r>
              <w:rPr>
                <w:rFonts w:hint="eastAsia" w:cs="Times New Roman"/>
                <w:color w:val="auto"/>
                <w:kern w:val="0"/>
                <w:sz w:val="21"/>
                <w:szCs w:val="18"/>
                <w:lang w:val="en-US" w:eastAsia="zh-CN" w:bidi="ar-SA"/>
              </w:rPr>
              <w:t>0.0003</w:t>
            </w:r>
          </w:p>
        </w:tc>
        <w:tc>
          <w:tcPr>
            <w:tcW w:w="748" w:type="pct"/>
            <w:tcBorders>
              <w:tl2br w:val="nil"/>
              <w:tr2bl w:val="nil"/>
            </w:tcBorders>
            <w:vAlign w:val="center"/>
          </w:tcPr>
          <w:p w14:paraId="36EEADCE">
            <w:pPr>
              <w:pStyle w:val="52"/>
              <w:rPr>
                <w:rFonts w:hint="default" w:cs="Times New Roman"/>
                <w:color w:val="auto"/>
                <w:sz w:val="21"/>
                <w:szCs w:val="18"/>
                <w:lang w:val="en-US" w:eastAsia="zh-CN"/>
              </w:rPr>
            </w:pPr>
            <w:r>
              <w:rPr>
                <w:rFonts w:hint="eastAsia" w:cs="Times New Roman"/>
                <w:color w:val="auto"/>
                <w:sz w:val="21"/>
                <w:szCs w:val="18"/>
                <w:lang w:val="en-US" w:eastAsia="zh-CN"/>
              </w:rPr>
              <w:t>0.00008</w:t>
            </w:r>
          </w:p>
        </w:tc>
        <w:tc>
          <w:tcPr>
            <w:tcW w:w="684" w:type="pct"/>
            <w:tcBorders>
              <w:tl2br w:val="nil"/>
              <w:tr2bl w:val="nil"/>
            </w:tcBorders>
            <w:vAlign w:val="center"/>
          </w:tcPr>
          <w:p w14:paraId="4C232B89">
            <w:pPr>
              <w:pStyle w:val="52"/>
              <w:rPr>
                <w:rFonts w:hint="default" w:cs="Times New Roman"/>
                <w:color w:val="auto"/>
                <w:sz w:val="21"/>
                <w:szCs w:val="18"/>
                <w:lang w:val="en-US" w:eastAsia="zh-CN"/>
              </w:rPr>
            </w:pPr>
            <w:r>
              <w:rPr>
                <w:rFonts w:hint="eastAsia" w:cs="Times New Roman"/>
                <w:color w:val="auto"/>
                <w:sz w:val="21"/>
                <w:szCs w:val="18"/>
                <w:lang w:val="en-US" w:eastAsia="zh-CN"/>
              </w:rPr>
              <w:t>0.015</w:t>
            </w:r>
          </w:p>
        </w:tc>
      </w:tr>
    </w:tbl>
    <w:p w14:paraId="3DEE4CF6">
      <w:pPr>
        <w:pStyle w:val="6"/>
        <w:rPr>
          <w:rFonts w:hint="default" w:ascii="Times New Roman" w:hAnsi="Times New Roman" w:eastAsia="宋体" w:cs="Times New Roman"/>
          <w:color w:val="auto"/>
          <w:highlight w:val="none"/>
        </w:rPr>
      </w:pPr>
      <w:r>
        <w:rPr>
          <w:rFonts w:hint="default" w:ascii="Times New Roman" w:hAnsi="Times New Roman" w:cs="Times New Roman"/>
          <w:color w:val="auto"/>
        </w:rPr>
        <w:t>正常运行期间，废气经集气后送入</w:t>
      </w:r>
      <w:r>
        <w:rPr>
          <w:rFonts w:hint="eastAsia" w:cs="Times New Roman"/>
          <w:color w:val="auto"/>
          <w:lang w:val="en-US" w:eastAsia="zh-CN"/>
        </w:rPr>
        <w:t>布袋除尘器</w:t>
      </w:r>
      <w:r>
        <w:rPr>
          <w:rFonts w:hint="default" w:ascii="Times New Roman" w:hAnsi="Times New Roman" w:cs="Times New Roman"/>
          <w:color w:val="auto"/>
        </w:rPr>
        <w:t>处置，通过</w:t>
      </w:r>
      <w:r>
        <w:rPr>
          <w:rFonts w:hint="eastAsia" w:cs="Times New Roman"/>
          <w:color w:val="auto"/>
          <w:lang w:val="en-US" w:eastAsia="zh-CN"/>
        </w:rPr>
        <w:t>不低于15m</w:t>
      </w:r>
      <w:r>
        <w:rPr>
          <w:rFonts w:hint="default" w:ascii="Times New Roman" w:hAnsi="Times New Roman" w:cs="Times New Roman"/>
          <w:color w:val="auto"/>
        </w:rPr>
        <w:t>排</w:t>
      </w:r>
      <w:r>
        <w:rPr>
          <w:rFonts w:hint="default" w:ascii="Times New Roman" w:hAnsi="Times New Roman" w:eastAsia="宋体" w:cs="Times New Roman"/>
          <w:color w:val="auto"/>
          <w:highlight w:val="none"/>
        </w:rPr>
        <w:t>气筒排放。</w:t>
      </w:r>
    </w:p>
    <w:p w14:paraId="7D7BB394">
      <w:pPr>
        <w:pStyle w:val="6"/>
        <w:rPr>
          <w:rFonts w:hint="default" w:ascii="Times New Roman" w:hAnsi="Times New Roman" w:cs="Times New Roman"/>
          <w:color w:val="auto"/>
        </w:rPr>
      </w:pPr>
      <w:r>
        <w:rPr>
          <w:rFonts w:hint="default" w:ascii="Times New Roman" w:hAnsi="Times New Roman" w:cs="Times New Roman"/>
          <w:color w:val="auto"/>
          <w:lang w:val="en-US" w:eastAsia="zh-CN"/>
        </w:rPr>
        <w:t>③</w:t>
      </w:r>
      <w:r>
        <w:rPr>
          <w:rFonts w:hint="default" w:ascii="Times New Roman" w:hAnsi="Times New Roman" w:cs="Times New Roman"/>
          <w:color w:val="auto"/>
        </w:rPr>
        <w:t>重金属</w:t>
      </w:r>
    </w:p>
    <w:p w14:paraId="671E374F">
      <w:pPr>
        <w:pStyle w:val="6"/>
        <w:rPr>
          <w:rFonts w:hint="default" w:ascii="Times New Roman" w:hAnsi="Times New Roman" w:cs="Times New Roman"/>
          <w:lang w:val="en-US"/>
        </w:rPr>
      </w:pPr>
      <w:r>
        <w:rPr>
          <w:rFonts w:hint="default" w:ascii="Times New Roman" w:hAnsi="Times New Roman" w:cs="Times New Roman"/>
        </w:rPr>
        <w:t>烟气中重金属浓度除了与废物中重金属含量有关外，还与废物的投加速率、水泥窑产量、常规原料和燃料中重金属含量等有关。</w:t>
      </w:r>
      <w:r>
        <w:rPr>
          <w:rFonts w:hint="default" w:ascii="Times New Roman" w:hAnsi="Times New Roman" w:eastAsia="宋体" w:cs="Times New Roman"/>
          <w:lang w:val="zh-CN" w:eastAsia="zh-CN"/>
        </w:rPr>
        <w:t>项目拟处置</w:t>
      </w:r>
      <w:r>
        <w:rPr>
          <w:rFonts w:hint="default" w:ascii="Times New Roman" w:hAnsi="Times New Roman" w:eastAsia="宋体" w:cs="Times New Roman"/>
          <w:lang w:val="en-US" w:eastAsia="zh-CN"/>
        </w:rPr>
        <w:t>的</w:t>
      </w:r>
      <w:r>
        <w:rPr>
          <w:rFonts w:hint="default" w:ascii="Times New Roman" w:hAnsi="Times New Roman" w:eastAsia="宋体" w:cs="Times New Roman"/>
          <w:lang w:val="zh-CN" w:eastAsia="zh-CN"/>
        </w:rPr>
        <w:t>危废</w:t>
      </w:r>
      <w:r>
        <w:rPr>
          <w:rFonts w:hint="default" w:ascii="Times New Roman" w:hAnsi="Times New Roman" w:eastAsia="宋体" w:cs="Times New Roman"/>
          <w:lang w:val="en-US" w:eastAsia="zh-CN"/>
        </w:rPr>
        <w:t>种类较少，主要为新疆新疆兴发化工有限公司年二甲基亚砜生产线</w:t>
      </w:r>
      <w:r>
        <w:rPr>
          <w:rFonts w:hint="default" w:ascii="Times New Roman" w:hAnsi="Times New Roman" w:eastAsia="宋体" w:cs="Times New Roman"/>
          <w:color w:val="auto"/>
          <w:lang w:val="en-US" w:eastAsia="zh-CN"/>
        </w:rPr>
        <w:t>生产过程年产生精馏残渣</w:t>
      </w:r>
      <w:r>
        <w:rPr>
          <w:rFonts w:hint="eastAsia" w:cs="Times New Roman"/>
          <w:color w:val="auto"/>
          <w:lang w:val="en-US" w:eastAsia="zh-CN"/>
        </w:rPr>
        <w:t>甲磺酸钠</w:t>
      </w:r>
      <w:r>
        <w:rPr>
          <w:rFonts w:hint="default" w:ascii="Times New Roman" w:hAnsi="Times New Roman" w:eastAsia="宋体" w:cs="Times New Roman"/>
          <w:color w:val="auto"/>
          <w:lang w:val="en-US" w:eastAsia="zh-CN"/>
        </w:rPr>
        <w:t>（CH</w:t>
      </w:r>
      <w:r>
        <w:rPr>
          <w:rFonts w:hint="default" w:ascii="Times New Roman" w:hAnsi="Times New Roman" w:eastAsia="宋体" w:cs="Times New Roman"/>
          <w:color w:val="auto"/>
          <w:vertAlign w:val="subscript"/>
          <w:lang w:val="en-US" w:eastAsia="zh-CN"/>
        </w:rPr>
        <w:t>3</w:t>
      </w:r>
      <w:r>
        <w:rPr>
          <w:rFonts w:hint="default" w:ascii="Times New Roman" w:hAnsi="Times New Roman" w:eastAsia="宋体" w:cs="Times New Roman"/>
          <w:color w:val="auto"/>
          <w:lang w:val="en-US" w:eastAsia="zh-CN"/>
        </w:rPr>
        <w:t>NaO</w:t>
      </w:r>
      <w:r>
        <w:rPr>
          <w:rFonts w:hint="default" w:ascii="Times New Roman" w:hAnsi="Times New Roman" w:eastAsia="宋体" w:cs="Times New Roman"/>
          <w:color w:val="auto"/>
          <w:vertAlign w:val="subscript"/>
          <w:lang w:val="en-US" w:eastAsia="zh-CN"/>
        </w:rPr>
        <w:t>2</w:t>
      </w:r>
      <w:r>
        <w:rPr>
          <w:rFonts w:hint="default" w:ascii="Times New Roman" w:hAnsi="Times New Roman" w:eastAsia="宋体" w:cs="Times New Roman"/>
          <w:color w:val="auto"/>
          <w:lang w:val="en-US" w:eastAsia="zh-CN"/>
        </w:rPr>
        <w:t>S，固态）以及</w:t>
      </w:r>
      <w:r>
        <w:rPr>
          <w:rFonts w:hint="default" w:ascii="Times New Roman" w:hAnsi="Times New Roman" w:cs="Times New Roman"/>
          <w:color w:val="auto"/>
          <w:lang w:val="en-US" w:eastAsia="zh-CN"/>
        </w:rPr>
        <w:t>二甲基硫醚（</w:t>
      </w:r>
      <w:r>
        <w:rPr>
          <w:rFonts w:hint="default" w:ascii="Times New Roman" w:hAnsi="Times New Roman" w:eastAsia="宋体" w:cs="Times New Roman"/>
          <w:color w:val="auto"/>
          <w:lang w:val="en-US" w:eastAsia="zh-CN"/>
        </w:rPr>
        <w:t>CH</w:t>
      </w:r>
      <w:r>
        <w:rPr>
          <w:rFonts w:hint="default" w:ascii="Times New Roman" w:hAnsi="Times New Roman" w:eastAsia="宋体" w:cs="Times New Roman"/>
          <w:color w:val="auto"/>
          <w:vertAlign w:val="subscript"/>
          <w:lang w:val="en-US" w:eastAsia="zh-CN"/>
        </w:rPr>
        <w:t>3</w:t>
      </w:r>
      <w:r>
        <w:rPr>
          <w:rFonts w:hint="default" w:ascii="Times New Roman" w:hAnsi="Times New Roman" w:eastAsia="宋体" w:cs="Times New Roman"/>
          <w:color w:val="auto"/>
          <w:lang w:val="en-US" w:eastAsia="zh-CN"/>
        </w:rPr>
        <w:t>SCH</w:t>
      </w:r>
      <w:r>
        <w:rPr>
          <w:rFonts w:hint="default" w:ascii="Times New Roman" w:hAnsi="Times New Roman" w:eastAsia="宋体" w:cs="Times New Roman"/>
          <w:color w:val="auto"/>
          <w:vertAlign w:val="subscript"/>
          <w:lang w:val="en-US" w:eastAsia="zh-CN"/>
        </w:rPr>
        <w:t>3</w:t>
      </w:r>
      <w:r>
        <w:rPr>
          <w:rFonts w:hint="default" w:ascii="Times New Roman" w:hAnsi="Times New Roman" w:cs="Times New Roman"/>
          <w:color w:val="auto"/>
          <w:lang w:val="en-US" w:eastAsia="zh-CN"/>
        </w:rPr>
        <w:t>，液态）</w:t>
      </w:r>
      <w:r>
        <w:rPr>
          <w:rFonts w:hint="default" w:ascii="Times New Roman" w:hAnsi="Times New Roman" w:eastAsia="宋体" w:cs="Times New Roman"/>
          <w:color w:val="auto"/>
          <w:lang w:val="en-US" w:eastAsia="zh-CN"/>
        </w:rPr>
        <w:t>，不含有重金属、氟、氯等。因此不</w:t>
      </w:r>
      <w:r>
        <w:rPr>
          <w:rFonts w:hint="eastAsia" w:cs="Times New Roman"/>
          <w:color w:val="auto"/>
          <w:lang w:val="en-US" w:eastAsia="zh-CN"/>
        </w:rPr>
        <w:t>再</w:t>
      </w:r>
      <w:r>
        <w:rPr>
          <w:rFonts w:hint="default" w:ascii="Times New Roman" w:hAnsi="Times New Roman" w:eastAsia="宋体" w:cs="Times New Roman"/>
          <w:color w:val="auto"/>
          <w:lang w:val="en-US" w:eastAsia="zh-CN"/>
        </w:rPr>
        <w:t>核算烟气中</w:t>
      </w:r>
      <w:r>
        <w:rPr>
          <w:rFonts w:hint="default" w:ascii="Times New Roman" w:hAnsi="Times New Roman" w:cs="Times New Roman"/>
          <w:color w:val="auto"/>
          <w:lang w:val="en-US" w:eastAsia="zh-CN"/>
        </w:rPr>
        <w:t>重金属的</w:t>
      </w:r>
      <w:r>
        <w:rPr>
          <w:rFonts w:hint="default" w:ascii="Times New Roman" w:hAnsi="Times New Roman" w:eastAsia="宋体" w:cs="Times New Roman"/>
          <w:color w:val="auto"/>
          <w:lang w:val="en-US" w:eastAsia="zh-CN"/>
        </w:rPr>
        <w:t>排放量。</w:t>
      </w:r>
    </w:p>
    <w:p w14:paraId="3A8A3545">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④</w:t>
      </w:r>
      <w:r>
        <w:rPr>
          <w:rFonts w:hint="default" w:ascii="Times New Roman" w:hAnsi="Times New Roman" w:cs="Times New Roman"/>
          <w:color w:val="auto"/>
          <w:highlight w:val="none"/>
        </w:rPr>
        <w:t>二噁英类</w:t>
      </w:r>
    </w:p>
    <w:p w14:paraId="2D8EEAA9">
      <w:pPr>
        <w:pStyle w:val="6"/>
        <w:rPr>
          <w:rFonts w:hint="default" w:ascii="Times New Roman" w:hAnsi="Times New Roman" w:cs="Times New Roman"/>
          <w:highlight w:val="none"/>
        </w:rPr>
      </w:pPr>
      <w:r>
        <w:rPr>
          <w:rFonts w:hint="default" w:ascii="Times New Roman" w:hAnsi="Times New Roman" w:cs="Times New Roman"/>
          <w:highlight w:val="none"/>
        </w:rPr>
        <w:t>根据《水泥窑协同处置固体废物污染物控制标准编制说明》，在水泥窑内的高温氧化气氛下，由燃料带入的二噁英会彻底分解，因此水泥窑内的二噁英主要来自在窑系统低温部位（预热器上部、增湿塔、磨机、除尘设备）发生的二噁英合成反应。</w:t>
      </w:r>
    </w:p>
    <w:p w14:paraId="233ED7F1">
      <w:pPr>
        <w:pStyle w:val="6"/>
        <w:rPr>
          <w:rFonts w:hint="default" w:ascii="Times New Roman" w:hAnsi="Times New Roman" w:cs="Times New Roman"/>
          <w:highlight w:val="none"/>
        </w:rPr>
      </w:pPr>
      <w:r>
        <w:rPr>
          <w:rFonts w:hint="default" w:ascii="Times New Roman" w:hAnsi="Times New Roman" w:cs="Times New Roman"/>
          <w:highlight w:val="none"/>
          <w:lang w:val="en-US" w:eastAsia="zh-CN"/>
        </w:rPr>
        <w:t>拟建项目处置的危险废物中不含</w:t>
      </w:r>
      <w:r>
        <w:rPr>
          <w:rFonts w:hint="default" w:ascii="Times New Roman" w:hAnsi="Times New Roman" w:cs="Times New Roman"/>
          <w:highlight w:val="none"/>
        </w:rPr>
        <w:t>二噁英产生源头所需的氯元素</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同时</w:t>
      </w:r>
      <w:r>
        <w:rPr>
          <w:rFonts w:hint="default" w:ascii="Times New Roman" w:hAnsi="Times New Roman" w:cs="Times New Roman"/>
          <w:highlight w:val="none"/>
        </w:rPr>
        <w:t>根据《危险废物焚烧污染控制标准》（GB18448-2020）中规定的焚烧炉技术要求，烟气温度大于1100℃，烟气停留时间大于2S，燃烧效率大于99.9%，焚毁去除率99.99%。本项目采用新型干法水泥回转窑窑型，水泥回转窑窑内温度高（最高可达1750℃），停留时间长（1300℃环境停留时间大于4S），在此条件下对二噁英物质及其前体物质焚烧焚毁率可达99.9999%，大大优于传统焚烧炉；泵入烧成系统的危险废物处于悬浮态，不存在不完全燃烧区域，高温下有机物和水分迅速蒸发和气化，随着烟气进入分解炉，在氧化条件下燃烧完毕。</w:t>
      </w:r>
    </w:p>
    <w:p w14:paraId="156F3EA9">
      <w:pPr>
        <w:pStyle w:val="6"/>
        <w:rPr>
          <w:rFonts w:hint="default" w:ascii="Times New Roman" w:hAnsi="Times New Roman" w:cs="Times New Roman"/>
          <w:highlight w:val="none"/>
        </w:rPr>
      </w:pPr>
      <w:r>
        <w:rPr>
          <w:rFonts w:hint="default" w:ascii="Times New Roman" w:hAnsi="Times New Roman" w:cs="Times New Roman"/>
          <w:highlight w:val="none"/>
        </w:rPr>
        <w:t>窑尾预热器系统的气体中含有大量的生料粉，主要成分为CaCO</w:t>
      </w:r>
      <w:r>
        <w:rPr>
          <w:rFonts w:hint="default" w:ascii="Times New Roman" w:hAnsi="Times New Roman" w:cs="Times New Roman"/>
          <w:highlight w:val="none"/>
          <w:vertAlign w:val="subscript"/>
        </w:rPr>
        <w:t>3</w:t>
      </w:r>
      <w:r>
        <w:rPr>
          <w:rFonts w:hint="default" w:ascii="Times New Roman" w:hAnsi="Times New Roman" w:cs="Times New Roman"/>
          <w:highlight w:val="none"/>
        </w:rPr>
        <w:t>、MgCO</w:t>
      </w:r>
      <w:r>
        <w:rPr>
          <w:rFonts w:hint="default" w:ascii="Times New Roman" w:hAnsi="Times New Roman" w:cs="Times New Roman"/>
          <w:highlight w:val="none"/>
          <w:vertAlign w:val="subscript"/>
        </w:rPr>
        <w:t>3</w:t>
      </w:r>
      <w:r>
        <w:rPr>
          <w:rFonts w:hint="default" w:ascii="Times New Roman" w:hAnsi="Times New Roman" w:cs="Times New Roman"/>
          <w:highlight w:val="none"/>
        </w:rPr>
        <w:t>、CaO和MgO，可与燃烧产生的Cl</w:t>
      </w:r>
      <w:r>
        <w:rPr>
          <w:rFonts w:hint="default" w:ascii="Times New Roman" w:hAnsi="Times New Roman" w:cs="Times New Roman"/>
          <w:highlight w:val="none"/>
          <w:vertAlign w:val="superscript"/>
        </w:rPr>
        <w:t>-</w:t>
      </w:r>
      <w:r>
        <w:rPr>
          <w:rFonts w:hint="default" w:ascii="Times New Roman" w:hAnsi="Times New Roman" w:cs="Times New Roman"/>
          <w:highlight w:val="none"/>
        </w:rPr>
        <w:t>迅速反应，从而消除二噁英产生所需的氯，抑制二噁英类物质产生。即使进入收尘器的烟气含有痕量的二噁英，也会被高浓度超细微粉吸附，被收尘器收下，随烟道气排出的残留二噁英完全能够满足0.1ng-TEQ/Nm</w:t>
      </w:r>
      <w:r>
        <w:rPr>
          <w:rFonts w:hint="default" w:ascii="Times New Roman" w:hAnsi="Times New Roman" w:cs="Times New Roman"/>
          <w:highlight w:val="none"/>
          <w:vertAlign w:val="superscript"/>
        </w:rPr>
        <w:t>3</w:t>
      </w:r>
      <w:r>
        <w:rPr>
          <w:rFonts w:hint="default" w:ascii="Times New Roman" w:hAnsi="Times New Roman" w:cs="Times New Roman"/>
          <w:highlight w:val="none"/>
        </w:rPr>
        <w:t>的控制要求。</w:t>
      </w:r>
    </w:p>
    <w:p w14:paraId="1CA30058">
      <w:pPr>
        <w:pStyle w:val="6"/>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因此本项目焚烧危险废物不会产生二噁英，故不再核算排放量。</w:t>
      </w:r>
    </w:p>
    <w:p w14:paraId="5452AF8C">
      <w:pPr>
        <w:pStyle w:val="6"/>
        <w:rPr>
          <w:rFonts w:hint="default" w:ascii="Times New Roman" w:hAnsi="Times New Roman" w:cs="Times New Roman"/>
          <w:color w:val="auto"/>
          <w:highlight w:val="none"/>
        </w:rPr>
      </w:pPr>
      <w:r>
        <w:rPr>
          <w:rFonts w:hint="default" w:ascii="Times New Roman" w:hAnsi="Times New Roman" w:eastAsia="宋体" w:cs="Times New Roman"/>
          <w:color w:val="auto"/>
          <w:highlight w:val="none"/>
          <w:lang w:val="en-US" w:eastAsia="zh-CN"/>
        </w:rPr>
        <w:t>⑤</w:t>
      </w:r>
      <w:r>
        <w:rPr>
          <w:rFonts w:hint="default" w:ascii="Times New Roman" w:hAnsi="Times New Roman" w:cs="Times New Roman"/>
          <w:color w:val="auto"/>
          <w:highlight w:val="none"/>
        </w:rPr>
        <w:t>HF和HCl</w:t>
      </w:r>
    </w:p>
    <w:p w14:paraId="20497B0D">
      <w:pPr>
        <w:pStyle w:val="6"/>
        <w:rPr>
          <w:rFonts w:hint="default" w:ascii="Times New Roman" w:hAnsi="Times New Roman" w:cs="Times New Roman"/>
          <w:highlight w:val="none"/>
        </w:rPr>
      </w:pPr>
      <w:r>
        <w:rPr>
          <w:rFonts w:hint="default" w:ascii="Times New Roman" w:hAnsi="Times New Roman" w:cs="Times New Roman"/>
          <w:highlight w:val="none"/>
        </w:rPr>
        <w:t>根据《水泥窑协同处置固体废物污染物控制标准编制说明》：“水泥窑产生烟气中的氟化物主要为HF，HF主要来自于原燃料，如黏土中的氟，以及含氟矿化剂（CaF</w:t>
      </w:r>
      <w:r>
        <w:rPr>
          <w:rFonts w:hint="default" w:ascii="Times New Roman" w:hAnsi="Times New Roman" w:cs="Times New Roman"/>
          <w:highlight w:val="none"/>
          <w:vertAlign w:val="subscript"/>
        </w:rPr>
        <w:t>2</w:t>
      </w:r>
      <w:r>
        <w:rPr>
          <w:rFonts w:hint="default" w:ascii="Times New Roman" w:hAnsi="Times New Roman" w:cs="Times New Roman"/>
          <w:highlight w:val="none"/>
        </w:rPr>
        <w:t>）。含氟原燃料在烧成过程形成的HF会与CaO、Al</w:t>
      </w:r>
      <w:r>
        <w:rPr>
          <w:rFonts w:hint="default" w:ascii="Times New Roman" w:hAnsi="Times New Roman" w:cs="Times New Roman"/>
          <w:highlight w:val="none"/>
          <w:vertAlign w:val="subscript"/>
        </w:rPr>
        <w:t>2</w:t>
      </w:r>
      <w:r>
        <w:rPr>
          <w:rFonts w:hint="default" w:ascii="Times New Roman" w:hAnsi="Times New Roman" w:cs="Times New Roman"/>
          <w:highlight w:val="none"/>
        </w:rPr>
        <w:t>O</w:t>
      </w:r>
      <w:r>
        <w:rPr>
          <w:rFonts w:hint="default" w:ascii="Times New Roman" w:hAnsi="Times New Roman" w:cs="Times New Roman"/>
          <w:highlight w:val="none"/>
          <w:vertAlign w:val="subscript"/>
        </w:rPr>
        <w:t>3</w:t>
      </w:r>
      <w:r>
        <w:rPr>
          <w:rFonts w:hint="default" w:ascii="Times New Roman" w:hAnsi="Times New Roman" w:cs="Times New Roman"/>
          <w:highlight w:val="none"/>
        </w:rPr>
        <w:t>形成氟铝酸钙固溶于熟料中带出窑外，90%-95%的F元素会随熟料带入窑外，剩余的F元素以CaF</w:t>
      </w:r>
      <w:r>
        <w:rPr>
          <w:rFonts w:hint="default" w:ascii="Times New Roman" w:hAnsi="Times New Roman" w:cs="Times New Roman"/>
          <w:highlight w:val="none"/>
          <w:vertAlign w:val="subscript"/>
        </w:rPr>
        <w:t>2</w:t>
      </w:r>
      <w:r>
        <w:rPr>
          <w:rFonts w:hint="default" w:ascii="Times New Roman" w:hAnsi="Times New Roman" w:cs="Times New Roman"/>
          <w:highlight w:val="none"/>
        </w:rPr>
        <w:t>的形式凝结在窑灰中在窑内进行循环，极少部分随尾气排放。控制HF的排放，最主要的方法是限制含氟原燃料的投加速率。由于F主要是在窑内形成内循环和随熟料排出窑外，随尾气排入大气的比例很小，因此对含F元素投加速率的限制主要是考虑F对熟料烧成和熟料质量的影响，以及碱金属F化物窑内内循环造成的结皮不影响工况运行。</w:t>
      </w:r>
    </w:p>
    <w:p w14:paraId="05430DBE">
      <w:pPr>
        <w:pStyle w:val="6"/>
        <w:rPr>
          <w:rFonts w:hint="default" w:ascii="Times New Roman" w:hAnsi="Times New Roman" w:cs="Times New Roman"/>
          <w:highlight w:val="none"/>
        </w:rPr>
      </w:pPr>
      <w:r>
        <w:rPr>
          <w:rFonts w:hint="default" w:ascii="Times New Roman" w:hAnsi="Times New Roman" w:cs="Times New Roman"/>
          <w:highlight w:val="none"/>
        </w:rPr>
        <w:t>水泥窑产生的HCl主要来自于含氯的原燃料在烧成过程中形成的HCl。由于水泥窑中具有强碱性环境，HCl在窑内与CaO反应生成CaCl</w:t>
      </w:r>
      <w:r>
        <w:rPr>
          <w:rFonts w:hint="default" w:ascii="Times New Roman" w:hAnsi="Times New Roman" w:cs="Times New Roman"/>
          <w:highlight w:val="none"/>
          <w:vertAlign w:val="subscript"/>
        </w:rPr>
        <w:t>2</w:t>
      </w:r>
      <w:r>
        <w:rPr>
          <w:rFonts w:hint="default" w:ascii="Times New Roman" w:hAnsi="Times New Roman" w:cs="Times New Roman"/>
          <w:highlight w:val="none"/>
        </w:rPr>
        <w:t>随着熟料带出窑外，或与碱金属氧化物反应生成NaCl、KCl在窑内形成内循环而不断积蓄。通常情况下，97%以上的HCl在窑内会被碱性物质吸收，随尾气排放至窑外的量很少，只有当原料中Cl元素添加速率过大，或窑内NaCl、KCl内循环累积到一定程度而达到原料带入量与随尾气和熟料排出量达到平衡后，随尾气排出的HCl可能会增加。”控制HCl的排放，最主要的方法是限制含Cl原燃料的投加速率。由于Cl主要是在窑内形成内循环和随熟料排出窑外，以HCl随尾气排入大气的比例很小，因此对含Cl元素投加速率的限制主要是考虑熟料中Cl含量满足标准，以及碱金属氯化物窑内内循环造成的结皮不影响工况运行。</w:t>
      </w:r>
    </w:p>
    <w:p w14:paraId="0AFEB291">
      <w:pPr>
        <w:pStyle w:val="6"/>
        <w:rPr>
          <w:rFonts w:hint="default" w:ascii="Times New Roman" w:hAnsi="Times New Roman" w:cs="Times New Roman"/>
          <w:color w:val="auto"/>
          <w:highlight w:val="none"/>
          <w:lang w:val="en-US" w:eastAsia="zh-CN"/>
        </w:rPr>
      </w:pPr>
      <w:r>
        <w:rPr>
          <w:rFonts w:hint="default" w:ascii="Times New Roman" w:hAnsi="Times New Roman" w:cs="Times New Roman"/>
          <w:highlight w:val="none"/>
        </w:rPr>
        <w:t>回转窑内的碱性环境可以中和绝大部分HF、HCl，废物中的Cl、F含量主要对系统结皮和水泥产品质量有影响，而与烟气中HF和HCl的排放无直接关系。</w:t>
      </w:r>
      <w:r>
        <w:rPr>
          <w:rFonts w:hint="default" w:ascii="Times New Roman" w:hAnsi="Times New Roman" w:cs="Times New Roman"/>
          <w:color w:val="auto"/>
          <w:highlight w:val="none"/>
          <w:lang w:val="en-US" w:eastAsia="zh-CN"/>
        </w:rPr>
        <w:t>本项目投加的危险废物中不含有F、Cl，故不再计算</w:t>
      </w:r>
      <w:r>
        <w:rPr>
          <w:rFonts w:hint="default" w:ascii="Times New Roman" w:hAnsi="Times New Roman" w:cs="Times New Roman"/>
          <w:color w:val="auto"/>
          <w:highlight w:val="none"/>
        </w:rPr>
        <w:t>HF和HCl</w:t>
      </w:r>
      <w:r>
        <w:rPr>
          <w:rFonts w:hint="default" w:ascii="Times New Roman" w:hAnsi="Times New Roman" w:cs="Times New Roman"/>
          <w:color w:val="auto"/>
          <w:highlight w:val="none"/>
          <w:lang w:val="en-US" w:eastAsia="zh-CN"/>
        </w:rPr>
        <w:t>的排放量。</w:t>
      </w:r>
    </w:p>
    <w:p w14:paraId="0B7BEF1D">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3.8.2.2非正常工况废气污染源强核算</w:t>
      </w:r>
    </w:p>
    <w:p w14:paraId="7E5EEC22">
      <w:pPr>
        <w:pStyle w:val="6"/>
        <w:rPr>
          <w:rFonts w:hint="default" w:ascii="Times New Roman" w:hAnsi="Times New Roman" w:cs="Times New Roman"/>
        </w:rPr>
      </w:pPr>
      <w:r>
        <w:rPr>
          <w:rFonts w:hint="default" w:ascii="Times New Roman" w:hAnsi="Times New Roman" w:cs="Times New Roman"/>
        </w:rPr>
        <w:t>非正常排放指生产过程中开停车、设备检修、工艺设备运转异常等非正常工况下的污染物排放，以及污染物排放控制措施达不到应有效率等情况下的排放。不包括事故排放。</w:t>
      </w:r>
    </w:p>
    <w:p w14:paraId="240ED948">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根</w:t>
      </w:r>
      <w:r>
        <w:rPr>
          <w:rFonts w:hint="default" w:ascii="Times New Roman" w:hAnsi="Times New Roman" w:cs="Times New Roman"/>
          <w:color w:val="auto"/>
          <w:highlight w:val="none"/>
        </w:rPr>
        <w:t>据《水泥工业大气污染物排放标准》（GB4915-2013）（含2025年修改单）：</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4.3.2 净化处理装置应与其对应的生产工艺设备同步运转。应保证在生产工艺设备运行波动情况下净化处理装置仍能正常运转，实现达标排放。因净化处理装置故障造成非正常排放，应停止运转对应的生产工艺设备，待检修完毕后共同投入使用。</w:t>
      </w:r>
      <w:r>
        <w:rPr>
          <w:rFonts w:hint="default" w:ascii="Times New Roman" w:hAnsi="Times New Roman" w:cs="Times New Roman"/>
          <w:color w:val="auto"/>
          <w:highlight w:val="none"/>
          <w:lang w:eastAsia="zh-CN"/>
        </w:rPr>
        <w:t>”</w:t>
      </w:r>
    </w:p>
    <w:p w14:paraId="45943583">
      <w:pPr>
        <w:pStyle w:val="6"/>
        <w:rPr>
          <w:rFonts w:hint="default" w:ascii="Times New Roman" w:hAnsi="Times New Roman" w:cs="Times New Roman"/>
          <w:color w:val="auto"/>
          <w:highlight w:val="none"/>
        </w:rPr>
      </w:pPr>
      <w:r>
        <w:rPr>
          <w:rFonts w:hint="default" w:ascii="Times New Roman" w:hAnsi="Times New Roman" w:cs="Times New Roman"/>
          <w:color w:val="auto"/>
          <w:highlight w:val="none"/>
        </w:rPr>
        <w:t>根据《水泥窑协同处置固体废物污染控制标准》（GB30485-2013）：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6.3在水泥窑达到正常生产工况并稳定运行至少4小时后，方可开始投加固体废物；因水泥窑维修、事故检修等原因停窑前至少4小时内禁止投加固体废物。6.4当水泥窑出现故障或事故造成运行工况不正常，如窑内温度明显下降、烟气中污染物浓度明显升高等情况时，必须立即停止投加固体废物，待查明原因并恢复正常运行后方可恢复投加。</w:t>
      </w:r>
      <w:r>
        <w:rPr>
          <w:rFonts w:hint="default" w:ascii="Times New Roman" w:hAnsi="Times New Roman" w:cs="Times New Roman"/>
          <w:color w:val="auto"/>
          <w:highlight w:val="none"/>
          <w:lang w:eastAsia="zh-CN"/>
        </w:rPr>
        <w:t>”</w:t>
      </w:r>
    </w:p>
    <w:p w14:paraId="36992101">
      <w:pPr>
        <w:pStyle w:val="6"/>
        <w:rPr>
          <w:rFonts w:hint="default" w:ascii="Times New Roman" w:hAnsi="Times New Roman" w:cs="Times New Roman"/>
        </w:rPr>
      </w:pPr>
      <w:r>
        <w:rPr>
          <w:rFonts w:hint="default" w:ascii="Times New Roman" w:hAnsi="Times New Roman" w:eastAsia="宋体" w:cs="Times New Roman"/>
          <w:color w:val="auto"/>
          <w:highlight w:val="none"/>
          <w:lang w:val="en-US" w:eastAsia="zh-CN"/>
        </w:rPr>
        <w:t>故本项目</w:t>
      </w:r>
      <w:r>
        <w:rPr>
          <w:rFonts w:hint="default" w:ascii="Times New Roman" w:hAnsi="Times New Roman" w:eastAsia="宋体" w:cs="Times New Roman"/>
          <w:color w:val="auto"/>
          <w:highlight w:val="none"/>
        </w:rPr>
        <w:t>回转窑检修停车等非正常工况时，检修停车</w:t>
      </w:r>
      <w:r>
        <w:rPr>
          <w:rFonts w:hint="default" w:ascii="Times New Roman" w:hAnsi="Times New Roman" w:eastAsia="宋体" w:cs="Times New Roman"/>
          <w:color w:val="auto"/>
          <w:highlight w:val="none"/>
          <w:lang w:val="en-US" w:eastAsia="zh-CN"/>
        </w:rPr>
        <w:t>前4小时停止投加危险废物，此时不再从新疆兴发化工有限公司拉运危险废物至项目区，因此停窑期间无废气污染物排放。</w:t>
      </w:r>
      <w:r>
        <w:rPr>
          <w:rFonts w:hint="default" w:ascii="Times New Roman" w:hAnsi="Times New Roman" w:cs="Times New Roman"/>
        </w:rPr>
        <w:t>本项目废气污染源源强核算结果统计见</w:t>
      </w:r>
      <w:r>
        <w:rPr>
          <w:rFonts w:hint="default" w:ascii="Times New Roman" w:hAnsi="Times New Roman" w:cs="Times New Roman"/>
        </w:rPr>
        <w:fldChar w:fldCharType="begin"/>
      </w:r>
      <w:r>
        <w:rPr>
          <w:rFonts w:hint="default" w:ascii="Times New Roman" w:hAnsi="Times New Roman" w:cs="Times New Roman"/>
        </w:rPr>
        <w:instrText xml:space="preserve"> REF _Ref132221321 \h  \* MERGEFORMAT </w:instrText>
      </w:r>
      <w:r>
        <w:rPr>
          <w:rFonts w:hint="default" w:ascii="Times New Roman" w:hAnsi="Times New Roman" w:cs="Times New Roman"/>
        </w:rPr>
        <w:fldChar w:fldCharType="separate"/>
      </w:r>
      <w:r>
        <w:rPr>
          <w:rFonts w:hint="default" w:ascii="Times New Roman" w:hAnsi="Times New Roman" w:cs="Times New Roman"/>
        </w:rPr>
        <w:t>表</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.8-6</w:t>
      </w:r>
      <w:r>
        <w:rPr>
          <w:rFonts w:hint="default" w:ascii="Times New Roman" w:hAnsi="Times New Roman" w:cs="Times New Roman"/>
        </w:rPr>
        <w:t>。</w:t>
      </w:r>
    </w:p>
    <w:p w14:paraId="10760D7D">
      <w:pPr>
        <w:pStyle w:val="6"/>
        <w:rPr>
          <w:rFonts w:hint="default" w:ascii="Times New Roman" w:hAnsi="Times New Roman" w:cs="Times New Roma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linePitch="312" w:charSpace="0"/>
        </w:sectPr>
      </w:pPr>
    </w:p>
    <w:p w14:paraId="4BF3CEDC">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color w:val="auto"/>
          <w:highlight w:val="none"/>
        </w:rPr>
      </w:pPr>
      <w:bookmarkStart w:id="142" w:name="_Ref132221321"/>
      <w:bookmarkStart w:id="143" w:name="_Ref127961514"/>
      <w:r>
        <w:rPr>
          <w:rFonts w:hint="default" w:ascii="Times New Roman" w:hAnsi="Times New Roman" w:cs="Times New Roman"/>
          <w:b/>
          <w:bCs/>
          <w:color w:val="auto"/>
          <w:highlight w:val="none"/>
        </w:rPr>
        <w:t>表</w:t>
      </w:r>
      <w:bookmarkEnd w:id="142"/>
      <w:r>
        <w:rPr>
          <w:rFonts w:hint="default" w:ascii="Times New Roman" w:hAnsi="Times New Roman" w:cs="Times New Roman"/>
          <w:b/>
          <w:bCs/>
          <w:color w:val="auto"/>
          <w:highlight w:val="none"/>
          <w:lang w:val="en-US" w:eastAsia="zh-CN"/>
        </w:rPr>
        <w:t>3.8-6</w:t>
      </w:r>
      <w:r>
        <w:rPr>
          <w:rFonts w:hint="default" w:ascii="Times New Roman" w:hAnsi="Times New Roman" w:cs="Times New Roman"/>
          <w:b/>
          <w:bCs/>
          <w:color w:val="auto"/>
          <w:highlight w:val="none"/>
        </w:rPr>
        <w:t xml:space="preserve"> 本项目正常工况下废气污染源源强核算结果及相关参数</w:t>
      </w:r>
    </w:p>
    <w:bookmarkEnd w:id="143"/>
    <w:tbl>
      <w:tblPr>
        <w:tblStyle w:val="39"/>
        <w:tblW w:w="0" w:type="auto"/>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14"/>
        <w:gridCol w:w="719"/>
        <w:gridCol w:w="709"/>
        <w:gridCol w:w="1701"/>
        <w:gridCol w:w="992"/>
        <w:gridCol w:w="1134"/>
        <w:gridCol w:w="1079"/>
        <w:gridCol w:w="956"/>
        <w:gridCol w:w="709"/>
        <w:gridCol w:w="742"/>
        <w:gridCol w:w="1384"/>
        <w:gridCol w:w="1134"/>
        <w:gridCol w:w="992"/>
        <w:gridCol w:w="834"/>
      </w:tblGrid>
      <w:tr w14:paraId="0B4A92C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blHeader/>
        </w:trPr>
        <w:tc>
          <w:tcPr>
            <w:tcW w:w="714" w:type="dxa"/>
            <w:vMerge w:val="restart"/>
            <w:tcBorders>
              <w:tl2br w:val="nil"/>
              <w:tr2bl w:val="nil"/>
            </w:tcBorders>
            <w:shd w:val="clear" w:color="auto" w:fill="auto"/>
            <w:tcMar>
              <w:top w:w="15" w:type="dxa"/>
              <w:left w:w="15" w:type="dxa"/>
              <w:bottom w:w="0" w:type="dxa"/>
              <w:right w:w="15" w:type="dxa"/>
            </w:tcMar>
            <w:vAlign w:val="center"/>
          </w:tcPr>
          <w:p w14:paraId="7180D395">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工序/生产线</w:t>
            </w:r>
          </w:p>
        </w:tc>
        <w:tc>
          <w:tcPr>
            <w:tcW w:w="719" w:type="dxa"/>
            <w:vMerge w:val="restart"/>
            <w:tcBorders>
              <w:tl2br w:val="nil"/>
              <w:tr2bl w:val="nil"/>
            </w:tcBorders>
            <w:shd w:val="clear" w:color="auto" w:fill="auto"/>
            <w:noWrap/>
            <w:tcMar>
              <w:top w:w="15" w:type="dxa"/>
              <w:left w:w="15" w:type="dxa"/>
              <w:bottom w:w="0" w:type="dxa"/>
              <w:right w:w="15" w:type="dxa"/>
            </w:tcMar>
            <w:vAlign w:val="center"/>
          </w:tcPr>
          <w:p w14:paraId="0D21129A">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装置</w:t>
            </w:r>
          </w:p>
        </w:tc>
        <w:tc>
          <w:tcPr>
            <w:tcW w:w="709" w:type="dxa"/>
            <w:vMerge w:val="restart"/>
            <w:tcBorders>
              <w:tl2br w:val="nil"/>
              <w:tr2bl w:val="nil"/>
            </w:tcBorders>
            <w:shd w:val="clear" w:color="auto" w:fill="auto"/>
            <w:noWrap/>
            <w:tcMar>
              <w:top w:w="15" w:type="dxa"/>
              <w:left w:w="15" w:type="dxa"/>
              <w:bottom w:w="0" w:type="dxa"/>
              <w:right w:w="15" w:type="dxa"/>
            </w:tcMar>
            <w:vAlign w:val="center"/>
          </w:tcPr>
          <w:p w14:paraId="58B9189D">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污染源</w:t>
            </w:r>
          </w:p>
        </w:tc>
        <w:tc>
          <w:tcPr>
            <w:tcW w:w="1701" w:type="dxa"/>
            <w:vMerge w:val="restart"/>
            <w:tcBorders>
              <w:tl2br w:val="nil"/>
              <w:tr2bl w:val="nil"/>
            </w:tcBorders>
            <w:shd w:val="clear" w:color="auto" w:fill="auto"/>
            <w:noWrap/>
            <w:tcMar>
              <w:top w:w="15" w:type="dxa"/>
              <w:left w:w="15" w:type="dxa"/>
              <w:bottom w:w="0" w:type="dxa"/>
              <w:right w:w="15" w:type="dxa"/>
            </w:tcMar>
            <w:vAlign w:val="center"/>
          </w:tcPr>
          <w:p w14:paraId="2AF3142D">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污染物</w:t>
            </w:r>
          </w:p>
        </w:tc>
        <w:tc>
          <w:tcPr>
            <w:tcW w:w="4161" w:type="dxa"/>
            <w:gridSpan w:val="4"/>
            <w:tcBorders>
              <w:tl2br w:val="nil"/>
              <w:tr2bl w:val="nil"/>
            </w:tcBorders>
            <w:shd w:val="clear" w:color="auto" w:fill="auto"/>
            <w:noWrap/>
            <w:tcMar>
              <w:top w:w="15" w:type="dxa"/>
              <w:left w:w="15" w:type="dxa"/>
              <w:bottom w:w="0" w:type="dxa"/>
              <w:right w:w="15" w:type="dxa"/>
            </w:tcMar>
            <w:vAlign w:val="center"/>
          </w:tcPr>
          <w:p w14:paraId="7F35562A">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污染物产生</w:t>
            </w:r>
          </w:p>
        </w:tc>
        <w:tc>
          <w:tcPr>
            <w:tcW w:w="1451" w:type="dxa"/>
            <w:gridSpan w:val="2"/>
            <w:tcBorders>
              <w:tl2br w:val="nil"/>
              <w:tr2bl w:val="nil"/>
            </w:tcBorders>
            <w:shd w:val="clear" w:color="auto" w:fill="auto"/>
            <w:noWrap/>
            <w:tcMar>
              <w:top w:w="15" w:type="dxa"/>
              <w:left w:w="15" w:type="dxa"/>
              <w:bottom w:w="0" w:type="dxa"/>
              <w:right w:w="15" w:type="dxa"/>
            </w:tcMar>
            <w:vAlign w:val="center"/>
          </w:tcPr>
          <w:p w14:paraId="3BE3E0DB">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治理措施</w:t>
            </w:r>
          </w:p>
        </w:tc>
        <w:tc>
          <w:tcPr>
            <w:tcW w:w="3510" w:type="dxa"/>
            <w:gridSpan w:val="3"/>
            <w:tcBorders>
              <w:tl2br w:val="nil"/>
              <w:tr2bl w:val="nil"/>
            </w:tcBorders>
            <w:shd w:val="clear" w:color="auto" w:fill="auto"/>
            <w:vAlign w:val="center"/>
          </w:tcPr>
          <w:p w14:paraId="3B1B973A">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污染物排放</w:t>
            </w:r>
          </w:p>
        </w:tc>
        <w:tc>
          <w:tcPr>
            <w:tcW w:w="834" w:type="dxa"/>
            <w:vMerge w:val="restart"/>
            <w:tcBorders>
              <w:tl2br w:val="nil"/>
              <w:tr2bl w:val="nil"/>
            </w:tcBorders>
            <w:shd w:val="clear" w:color="auto" w:fill="auto"/>
            <w:tcMar>
              <w:top w:w="15" w:type="dxa"/>
              <w:left w:w="15" w:type="dxa"/>
              <w:bottom w:w="0" w:type="dxa"/>
              <w:right w:w="15" w:type="dxa"/>
            </w:tcMar>
            <w:vAlign w:val="center"/>
          </w:tcPr>
          <w:p w14:paraId="1124AA4F">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排放时间/h</w:t>
            </w:r>
          </w:p>
        </w:tc>
      </w:tr>
      <w:tr w14:paraId="1742834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blHeader/>
        </w:trPr>
        <w:tc>
          <w:tcPr>
            <w:tcW w:w="714" w:type="dxa"/>
            <w:vMerge w:val="continue"/>
            <w:tcBorders>
              <w:tl2br w:val="nil"/>
              <w:tr2bl w:val="nil"/>
            </w:tcBorders>
            <w:vAlign w:val="center"/>
          </w:tcPr>
          <w:p w14:paraId="4373F82E">
            <w:pPr>
              <w:pStyle w:val="52"/>
              <w:spacing w:before="0" w:after="0" w:line="240" w:lineRule="auto"/>
              <w:ind w:left="0" w:firstLine="0"/>
              <w:rPr>
                <w:rFonts w:hint="default" w:ascii="Times New Roman" w:hAnsi="Times New Roman" w:cs="Times New Roman"/>
                <w:b/>
                <w:bCs/>
                <w:color w:val="auto"/>
                <w:sz w:val="21"/>
                <w:szCs w:val="18"/>
                <w:highlight w:val="none"/>
              </w:rPr>
            </w:pPr>
          </w:p>
        </w:tc>
        <w:tc>
          <w:tcPr>
            <w:tcW w:w="719" w:type="dxa"/>
            <w:vMerge w:val="continue"/>
            <w:tcBorders>
              <w:tl2br w:val="nil"/>
              <w:tr2bl w:val="nil"/>
            </w:tcBorders>
            <w:vAlign w:val="center"/>
          </w:tcPr>
          <w:p w14:paraId="21EB714C">
            <w:pPr>
              <w:pStyle w:val="52"/>
              <w:spacing w:before="0" w:after="0" w:line="240" w:lineRule="auto"/>
              <w:ind w:left="0" w:firstLine="0"/>
              <w:rPr>
                <w:rFonts w:hint="default" w:ascii="Times New Roman" w:hAnsi="Times New Roman" w:cs="Times New Roman"/>
                <w:b/>
                <w:bCs/>
                <w:color w:val="auto"/>
                <w:sz w:val="21"/>
                <w:szCs w:val="18"/>
                <w:highlight w:val="none"/>
              </w:rPr>
            </w:pPr>
          </w:p>
        </w:tc>
        <w:tc>
          <w:tcPr>
            <w:tcW w:w="709" w:type="dxa"/>
            <w:vMerge w:val="continue"/>
            <w:tcBorders>
              <w:tl2br w:val="nil"/>
              <w:tr2bl w:val="nil"/>
            </w:tcBorders>
            <w:vAlign w:val="center"/>
          </w:tcPr>
          <w:p w14:paraId="761DF26A">
            <w:pPr>
              <w:pStyle w:val="52"/>
              <w:spacing w:before="0" w:after="0" w:line="240" w:lineRule="auto"/>
              <w:ind w:left="0" w:firstLine="0"/>
              <w:rPr>
                <w:rFonts w:hint="default" w:ascii="Times New Roman" w:hAnsi="Times New Roman" w:cs="Times New Roman"/>
                <w:b/>
                <w:bCs/>
                <w:color w:val="auto"/>
                <w:sz w:val="21"/>
                <w:szCs w:val="18"/>
                <w:highlight w:val="none"/>
              </w:rPr>
            </w:pPr>
          </w:p>
        </w:tc>
        <w:tc>
          <w:tcPr>
            <w:tcW w:w="1701" w:type="dxa"/>
            <w:vMerge w:val="continue"/>
            <w:tcBorders>
              <w:tl2br w:val="nil"/>
              <w:tr2bl w:val="nil"/>
            </w:tcBorders>
            <w:vAlign w:val="center"/>
          </w:tcPr>
          <w:p w14:paraId="25B2EC1C">
            <w:pPr>
              <w:pStyle w:val="52"/>
              <w:spacing w:before="0" w:after="0" w:line="240" w:lineRule="auto"/>
              <w:ind w:left="0" w:firstLine="0"/>
              <w:rPr>
                <w:rFonts w:hint="default" w:ascii="Times New Roman" w:hAnsi="Times New Roman" w:cs="Times New Roman"/>
                <w:b/>
                <w:bCs/>
                <w:color w:val="auto"/>
                <w:sz w:val="21"/>
                <w:szCs w:val="18"/>
                <w:highlight w:val="none"/>
              </w:rPr>
            </w:pPr>
          </w:p>
        </w:tc>
        <w:tc>
          <w:tcPr>
            <w:tcW w:w="992" w:type="dxa"/>
            <w:tcBorders>
              <w:tl2br w:val="nil"/>
              <w:tr2bl w:val="nil"/>
            </w:tcBorders>
            <w:shd w:val="clear" w:color="auto" w:fill="auto"/>
            <w:tcMar>
              <w:top w:w="15" w:type="dxa"/>
              <w:left w:w="15" w:type="dxa"/>
              <w:bottom w:w="0" w:type="dxa"/>
              <w:right w:w="15" w:type="dxa"/>
            </w:tcMar>
            <w:vAlign w:val="center"/>
          </w:tcPr>
          <w:p w14:paraId="63CF17B9">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核算方法</w:t>
            </w:r>
          </w:p>
        </w:tc>
        <w:tc>
          <w:tcPr>
            <w:tcW w:w="1134" w:type="dxa"/>
            <w:tcBorders>
              <w:tl2br w:val="nil"/>
              <w:tr2bl w:val="nil"/>
            </w:tcBorders>
            <w:shd w:val="clear" w:color="auto" w:fill="auto"/>
            <w:tcMar>
              <w:top w:w="15" w:type="dxa"/>
              <w:left w:w="15" w:type="dxa"/>
              <w:bottom w:w="0" w:type="dxa"/>
              <w:right w:w="15" w:type="dxa"/>
            </w:tcMar>
            <w:vAlign w:val="center"/>
          </w:tcPr>
          <w:p w14:paraId="464DC04C">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废气产生量/（m</w:t>
            </w:r>
            <w:r>
              <w:rPr>
                <w:rFonts w:hint="default" w:ascii="Times New Roman" w:hAnsi="Times New Roman" w:cs="Times New Roman"/>
                <w:b/>
                <w:bCs/>
                <w:color w:val="auto"/>
                <w:sz w:val="21"/>
                <w:szCs w:val="18"/>
                <w:highlight w:val="none"/>
                <w:vertAlign w:val="superscript"/>
              </w:rPr>
              <w:t>3</w:t>
            </w:r>
            <w:r>
              <w:rPr>
                <w:rFonts w:hint="default" w:ascii="Times New Roman" w:hAnsi="Times New Roman" w:cs="Times New Roman"/>
                <w:b/>
                <w:bCs/>
                <w:color w:val="auto"/>
                <w:sz w:val="21"/>
                <w:szCs w:val="18"/>
                <w:highlight w:val="none"/>
              </w:rPr>
              <w:t>/h）</w:t>
            </w:r>
          </w:p>
        </w:tc>
        <w:tc>
          <w:tcPr>
            <w:tcW w:w="1079" w:type="dxa"/>
            <w:tcBorders>
              <w:tl2br w:val="nil"/>
              <w:tr2bl w:val="nil"/>
            </w:tcBorders>
            <w:shd w:val="clear" w:color="auto" w:fill="auto"/>
            <w:tcMar>
              <w:top w:w="15" w:type="dxa"/>
              <w:left w:w="15" w:type="dxa"/>
              <w:bottom w:w="0" w:type="dxa"/>
              <w:right w:w="15" w:type="dxa"/>
            </w:tcMar>
            <w:vAlign w:val="center"/>
          </w:tcPr>
          <w:p w14:paraId="11081B04">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产生浓度/（mg/m</w:t>
            </w:r>
            <w:r>
              <w:rPr>
                <w:rFonts w:hint="default" w:ascii="Times New Roman" w:hAnsi="Times New Roman" w:cs="Times New Roman"/>
                <w:b/>
                <w:bCs/>
                <w:color w:val="auto"/>
                <w:sz w:val="21"/>
                <w:szCs w:val="18"/>
                <w:highlight w:val="none"/>
                <w:vertAlign w:val="superscript"/>
              </w:rPr>
              <w:t>3</w:t>
            </w:r>
            <w:r>
              <w:rPr>
                <w:rFonts w:hint="default" w:ascii="Times New Roman" w:hAnsi="Times New Roman" w:cs="Times New Roman"/>
                <w:b/>
                <w:bCs/>
                <w:color w:val="auto"/>
                <w:sz w:val="21"/>
                <w:szCs w:val="18"/>
                <w:highlight w:val="none"/>
              </w:rPr>
              <w:t>）</w:t>
            </w:r>
          </w:p>
        </w:tc>
        <w:tc>
          <w:tcPr>
            <w:tcW w:w="956" w:type="dxa"/>
            <w:tcBorders>
              <w:tl2br w:val="nil"/>
              <w:tr2bl w:val="nil"/>
            </w:tcBorders>
            <w:shd w:val="clear" w:color="auto" w:fill="auto"/>
            <w:tcMar>
              <w:top w:w="15" w:type="dxa"/>
              <w:left w:w="15" w:type="dxa"/>
              <w:bottom w:w="0" w:type="dxa"/>
              <w:right w:w="15" w:type="dxa"/>
            </w:tcMar>
            <w:vAlign w:val="center"/>
          </w:tcPr>
          <w:p w14:paraId="0FBE8FD7">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产生量/（kg/h）</w:t>
            </w:r>
          </w:p>
        </w:tc>
        <w:tc>
          <w:tcPr>
            <w:tcW w:w="709" w:type="dxa"/>
            <w:tcBorders>
              <w:tl2br w:val="nil"/>
              <w:tr2bl w:val="nil"/>
            </w:tcBorders>
            <w:shd w:val="clear" w:color="auto" w:fill="auto"/>
            <w:noWrap/>
            <w:tcMar>
              <w:top w:w="15" w:type="dxa"/>
              <w:left w:w="15" w:type="dxa"/>
              <w:bottom w:w="0" w:type="dxa"/>
              <w:right w:w="15" w:type="dxa"/>
            </w:tcMar>
            <w:vAlign w:val="center"/>
          </w:tcPr>
          <w:p w14:paraId="3CFB1F7A">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工艺</w:t>
            </w:r>
          </w:p>
        </w:tc>
        <w:tc>
          <w:tcPr>
            <w:tcW w:w="742" w:type="dxa"/>
            <w:tcBorders>
              <w:tl2br w:val="nil"/>
              <w:tr2bl w:val="nil"/>
            </w:tcBorders>
            <w:shd w:val="clear" w:color="auto" w:fill="auto"/>
            <w:noWrap/>
            <w:tcMar>
              <w:top w:w="15" w:type="dxa"/>
              <w:left w:w="15" w:type="dxa"/>
              <w:bottom w:w="0" w:type="dxa"/>
              <w:right w:w="15" w:type="dxa"/>
            </w:tcMar>
            <w:vAlign w:val="center"/>
          </w:tcPr>
          <w:p w14:paraId="1946C77C">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效率/%</w:t>
            </w:r>
          </w:p>
        </w:tc>
        <w:tc>
          <w:tcPr>
            <w:tcW w:w="1384" w:type="dxa"/>
            <w:tcBorders>
              <w:tl2br w:val="nil"/>
              <w:tr2bl w:val="nil"/>
            </w:tcBorders>
            <w:shd w:val="clear" w:color="auto" w:fill="auto"/>
            <w:tcMar>
              <w:top w:w="15" w:type="dxa"/>
              <w:left w:w="15" w:type="dxa"/>
              <w:bottom w:w="0" w:type="dxa"/>
              <w:right w:w="15" w:type="dxa"/>
            </w:tcMar>
            <w:vAlign w:val="center"/>
          </w:tcPr>
          <w:p w14:paraId="57A4BAAA">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废气排放量/（m</w:t>
            </w:r>
            <w:r>
              <w:rPr>
                <w:rFonts w:hint="default" w:ascii="Times New Roman" w:hAnsi="Times New Roman" w:cs="Times New Roman"/>
                <w:b/>
                <w:bCs/>
                <w:color w:val="auto"/>
                <w:sz w:val="21"/>
                <w:szCs w:val="18"/>
                <w:highlight w:val="none"/>
                <w:vertAlign w:val="superscript"/>
              </w:rPr>
              <w:t>3</w:t>
            </w:r>
            <w:r>
              <w:rPr>
                <w:rFonts w:hint="default" w:ascii="Times New Roman" w:hAnsi="Times New Roman" w:cs="Times New Roman"/>
                <w:b/>
                <w:bCs/>
                <w:color w:val="auto"/>
                <w:sz w:val="21"/>
                <w:szCs w:val="18"/>
                <w:highlight w:val="none"/>
              </w:rPr>
              <w:t>/h））</w:t>
            </w:r>
          </w:p>
        </w:tc>
        <w:tc>
          <w:tcPr>
            <w:tcW w:w="1134" w:type="dxa"/>
            <w:tcBorders>
              <w:tl2br w:val="nil"/>
              <w:tr2bl w:val="nil"/>
            </w:tcBorders>
            <w:shd w:val="clear" w:color="auto" w:fill="auto"/>
            <w:tcMar>
              <w:top w:w="15" w:type="dxa"/>
              <w:left w:w="15" w:type="dxa"/>
              <w:bottom w:w="0" w:type="dxa"/>
              <w:right w:w="15" w:type="dxa"/>
            </w:tcMar>
            <w:vAlign w:val="center"/>
          </w:tcPr>
          <w:p w14:paraId="0D9A1227">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排放浓度/（mg/m</w:t>
            </w:r>
            <w:r>
              <w:rPr>
                <w:rFonts w:hint="default" w:ascii="Times New Roman" w:hAnsi="Times New Roman" w:cs="Times New Roman"/>
                <w:b/>
                <w:bCs/>
                <w:color w:val="auto"/>
                <w:sz w:val="21"/>
                <w:szCs w:val="18"/>
                <w:highlight w:val="none"/>
                <w:vertAlign w:val="superscript"/>
              </w:rPr>
              <w:t>3</w:t>
            </w:r>
            <w:r>
              <w:rPr>
                <w:rFonts w:hint="default" w:ascii="Times New Roman" w:hAnsi="Times New Roman" w:cs="Times New Roman"/>
                <w:b/>
                <w:bCs/>
                <w:color w:val="auto"/>
                <w:sz w:val="21"/>
                <w:szCs w:val="18"/>
                <w:highlight w:val="none"/>
              </w:rPr>
              <w:t>）</w:t>
            </w:r>
          </w:p>
        </w:tc>
        <w:tc>
          <w:tcPr>
            <w:tcW w:w="992" w:type="dxa"/>
            <w:tcBorders>
              <w:tl2br w:val="nil"/>
              <w:tr2bl w:val="nil"/>
            </w:tcBorders>
            <w:shd w:val="clear" w:color="auto" w:fill="auto"/>
            <w:tcMar>
              <w:top w:w="15" w:type="dxa"/>
              <w:left w:w="15" w:type="dxa"/>
              <w:bottom w:w="0" w:type="dxa"/>
              <w:right w:w="15" w:type="dxa"/>
            </w:tcMar>
            <w:vAlign w:val="center"/>
          </w:tcPr>
          <w:p w14:paraId="16AE5C42">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排放量/（kg/h）</w:t>
            </w:r>
          </w:p>
        </w:tc>
        <w:tc>
          <w:tcPr>
            <w:tcW w:w="834" w:type="dxa"/>
            <w:vMerge w:val="continue"/>
            <w:tcBorders>
              <w:tl2br w:val="nil"/>
              <w:tr2bl w:val="nil"/>
            </w:tcBorders>
            <w:vAlign w:val="center"/>
          </w:tcPr>
          <w:p w14:paraId="3C4A8D2F">
            <w:pPr>
              <w:pStyle w:val="52"/>
              <w:spacing w:before="0" w:after="0" w:line="240" w:lineRule="auto"/>
              <w:ind w:left="0" w:firstLine="0"/>
              <w:rPr>
                <w:rFonts w:hint="default" w:ascii="Times New Roman" w:hAnsi="Times New Roman" w:cs="Times New Roman"/>
                <w:b/>
                <w:bCs/>
                <w:color w:val="auto"/>
                <w:sz w:val="21"/>
                <w:szCs w:val="18"/>
                <w:highlight w:val="none"/>
              </w:rPr>
            </w:pPr>
          </w:p>
        </w:tc>
      </w:tr>
      <w:tr w14:paraId="26A5CFA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restart"/>
            <w:tcBorders>
              <w:tl2br w:val="nil"/>
              <w:tr2bl w:val="nil"/>
            </w:tcBorders>
            <w:shd w:val="clear" w:color="auto" w:fill="auto"/>
            <w:noWrap/>
            <w:tcMar>
              <w:top w:w="15" w:type="dxa"/>
              <w:left w:w="15" w:type="dxa"/>
              <w:bottom w:w="0" w:type="dxa"/>
              <w:right w:w="15" w:type="dxa"/>
            </w:tcMar>
            <w:vAlign w:val="center"/>
          </w:tcPr>
          <w:p w14:paraId="0AE3312D">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新型干法</w:t>
            </w:r>
          </w:p>
        </w:tc>
        <w:tc>
          <w:tcPr>
            <w:tcW w:w="719" w:type="dxa"/>
            <w:vMerge w:val="restart"/>
            <w:tcBorders>
              <w:tl2br w:val="nil"/>
              <w:tr2bl w:val="nil"/>
            </w:tcBorders>
            <w:shd w:val="clear" w:color="auto" w:fill="auto"/>
            <w:tcMar>
              <w:top w:w="15" w:type="dxa"/>
              <w:left w:w="15" w:type="dxa"/>
              <w:bottom w:w="0" w:type="dxa"/>
              <w:right w:w="15" w:type="dxa"/>
            </w:tcMar>
            <w:vAlign w:val="center"/>
          </w:tcPr>
          <w:p w14:paraId="2DD6ABB6">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水泥窑及窑尾余热利用系统</w:t>
            </w:r>
          </w:p>
        </w:tc>
        <w:tc>
          <w:tcPr>
            <w:tcW w:w="709" w:type="dxa"/>
            <w:vMerge w:val="restart"/>
            <w:tcBorders>
              <w:tl2br w:val="nil"/>
              <w:tr2bl w:val="nil"/>
            </w:tcBorders>
            <w:shd w:val="clear" w:color="auto" w:fill="auto"/>
            <w:noWrap/>
            <w:tcMar>
              <w:top w:w="15" w:type="dxa"/>
              <w:left w:w="15" w:type="dxa"/>
              <w:bottom w:w="0" w:type="dxa"/>
              <w:right w:w="15" w:type="dxa"/>
            </w:tcMar>
            <w:vAlign w:val="center"/>
          </w:tcPr>
          <w:p w14:paraId="6E8BF0E5">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窑尾烟囱DA001</w:t>
            </w:r>
          </w:p>
        </w:tc>
        <w:tc>
          <w:tcPr>
            <w:tcW w:w="1701" w:type="dxa"/>
            <w:tcBorders>
              <w:tl2br w:val="nil"/>
              <w:tr2bl w:val="nil"/>
            </w:tcBorders>
            <w:shd w:val="clear" w:color="auto" w:fill="auto"/>
            <w:noWrap/>
            <w:tcMar>
              <w:top w:w="15" w:type="dxa"/>
              <w:left w:w="15" w:type="dxa"/>
              <w:bottom w:w="0" w:type="dxa"/>
              <w:right w:w="15" w:type="dxa"/>
            </w:tcMar>
            <w:vAlign w:val="center"/>
          </w:tcPr>
          <w:p w14:paraId="0CA2CCAB">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HF</w:t>
            </w:r>
          </w:p>
        </w:tc>
        <w:tc>
          <w:tcPr>
            <w:tcW w:w="992" w:type="dxa"/>
            <w:tcBorders>
              <w:tl2br w:val="nil"/>
              <w:tr2bl w:val="nil"/>
            </w:tcBorders>
            <w:shd w:val="clear" w:color="auto" w:fill="auto"/>
            <w:noWrap/>
            <w:tcMar>
              <w:top w:w="15" w:type="dxa"/>
              <w:left w:w="15" w:type="dxa"/>
              <w:bottom w:w="0" w:type="dxa"/>
              <w:right w:w="15" w:type="dxa"/>
            </w:tcMar>
            <w:vAlign w:val="center"/>
          </w:tcPr>
          <w:p w14:paraId="0CA073F0">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1034042D">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24CF95A3">
            <w:pPr>
              <w:pStyle w:val="52"/>
              <w:spacing w:before="0" w:after="0" w:line="240" w:lineRule="auto"/>
              <w:ind w:left="0" w:leftChars="0" w:firstLine="0" w:firstLineChars="0"/>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52E6D031">
            <w:pPr>
              <w:pStyle w:val="52"/>
              <w:spacing w:before="0" w:after="0" w:line="240" w:lineRule="auto"/>
              <w:ind w:left="0" w:leftChars="0" w:firstLine="0" w:firstLineChars="0"/>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w:t>
            </w:r>
          </w:p>
        </w:tc>
        <w:tc>
          <w:tcPr>
            <w:tcW w:w="709" w:type="dxa"/>
            <w:vMerge w:val="restart"/>
            <w:tcBorders>
              <w:tl2br w:val="nil"/>
              <w:tr2bl w:val="nil"/>
            </w:tcBorders>
            <w:shd w:val="clear" w:color="auto" w:fill="auto"/>
            <w:noWrap/>
            <w:tcMar>
              <w:top w:w="15" w:type="dxa"/>
              <w:left w:w="15" w:type="dxa"/>
              <w:bottom w:w="0" w:type="dxa"/>
              <w:right w:w="15" w:type="dxa"/>
            </w:tcMar>
            <w:vAlign w:val="center"/>
          </w:tcPr>
          <w:p w14:paraId="3E1A37E3">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低氮燃烧+SNCR+增湿塔（急冷）+电除尘+布袋除尘</w:t>
            </w:r>
          </w:p>
        </w:tc>
        <w:tc>
          <w:tcPr>
            <w:tcW w:w="742" w:type="dxa"/>
            <w:tcBorders>
              <w:tl2br w:val="nil"/>
              <w:tr2bl w:val="nil"/>
            </w:tcBorders>
            <w:shd w:val="clear" w:color="auto" w:fill="auto"/>
            <w:noWrap/>
            <w:tcMar>
              <w:top w:w="15" w:type="dxa"/>
              <w:left w:w="15" w:type="dxa"/>
              <w:bottom w:w="0" w:type="dxa"/>
              <w:right w:w="15" w:type="dxa"/>
            </w:tcMar>
            <w:vAlign w:val="center"/>
          </w:tcPr>
          <w:p w14:paraId="0B5FCF89">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1A6F3ED0">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057C7EF9">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043D5A28">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2277D866">
            <w:pPr>
              <w:pStyle w:val="52"/>
              <w:spacing w:before="0" w:after="0" w:line="240" w:lineRule="auto"/>
              <w:ind w:left="0" w:firstLine="0"/>
              <w:rPr>
                <w:rFonts w:hint="default" w:ascii="Times New Roman" w:hAnsi="Times New Roman" w:eastAsia="宋体" w:cs="Times New Roman"/>
                <w:color w:val="auto"/>
                <w:sz w:val="21"/>
                <w:szCs w:val="18"/>
                <w:highlight w:val="none"/>
                <w:lang w:val="en-US" w:eastAsia="zh-CN"/>
              </w:rPr>
            </w:pPr>
            <w:r>
              <w:rPr>
                <w:rFonts w:hint="default" w:ascii="Times New Roman" w:hAnsi="Times New Roman" w:cs="Times New Roman"/>
                <w:color w:val="auto"/>
                <w:sz w:val="21"/>
                <w:szCs w:val="18"/>
                <w:highlight w:val="none"/>
                <w:lang w:val="en-US" w:eastAsia="zh-CN"/>
              </w:rPr>
              <w:t>6000</w:t>
            </w:r>
          </w:p>
        </w:tc>
      </w:tr>
      <w:tr w14:paraId="2B94BAA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58CC6F5C">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3F708F1B">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41420BBF">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1EAA55F8">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HCl</w:t>
            </w:r>
          </w:p>
        </w:tc>
        <w:tc>
          <w:tcPr>
            <w:tcW w:w="992" w:type="dxa"/>
            <w:tcBorders>
              <w:tl2br w:val="nil"/>
              <w:tr2bl w:val="nil"/>
            </w:tcBorders>
            <w:shd w:val="clear" w:color="auto" w:fill="auto"/>
            <w:noWrap/>
            <w:tcMar>
              <w:top w:w="15" w:type="dxa"/>
              <w:left w:w="15" w:type="dxa"/>
              <w:bottom w:w="0" w:type="dxa"/>
              <w:right w:w="15" w:type="dxa"/>
            </w:tcMar>
            <w:vAlign w:val="center"/>
          </w:tcPr>
          <w:p w14:paraId="4E29F577">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34A63256">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4E8264D4">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3FB5DD76">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5A6D87E3">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55924837">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2022A6E5">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67957ED7">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40FDB591">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1B156917">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7632A4F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5303E1C0">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673986B4">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299F1FBB">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4E38E3DA">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Cr</w:t>
            </w:r>
          </w:p>
        </w:tc>
        <w:tc>
          <w:tcPr>
            <w:tcW w:w="992" w:type="dxa"/>
            <w:tcBorders>
              <w:tl2br w:val="nil"/>
              <w:tr2bl w:val="nil"/>
            </w:tcBorders>
            <w:shd w:val="clear" w:color="auto" w:fill="auto"/>
            <w:noWrap/>
            <w:tcMar>
              <w:top w:w="15" w:type="dxa"/>
              <w:left w:w="15" w:type="dxa"/>
              <w:bottom w:w="0" w:type="dxa"/>
              <w:right w:w="15" w:type="dxa"/>
            </w:tcMar>
            <w:vAlign w:val="center"/>
          </w:tcPr>
          <w:p w14:paraId="2229EFAC">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1837BF86">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09C53CB3">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4FF1F3DE">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23229E96">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2076721B">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4CC76646">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73F6E936">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1519FEF7">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34D015CB">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44442A9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584DBB48">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04E197DC">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3402A321">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57EAAA31">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Cu</w:t>
            </w:r>
          </w:p>
        </w:tc>
        <w:tc>
          <w:tcPr>
            <w:tcW w:w="992" w:type="dxa"/>
            <w:tcBorders>
              <w:tl2br w:val="nil"/>
              <w:tr2bl w:val="nil"/>
            </w:tcBorders>
            <w:shd w:val="clear" w:color="auto" w:fill="auto"/>
            <w:noWrap/>
            <w:tcMar>
              <w:top w:w="15" w:type="dxa"/>
              <w:left w:w="15" w:type="dxa"/>
              <w:bottom w:w="0" w:type="dxa"/>
              <w:right w:w="15" w:type="dxa"/>
            </w:tcMar>
            <w:vAlign w:val="center"/>
          </w:tcPr>
          <w:p w14:paraId="5AE1A465">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150BBB06">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157001C0">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7F4F5A83">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6F1F075F">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09E2CFCF">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51AF7E59">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46719A9F">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6BC16F52">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0C9244CA">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455CF8A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081EC981">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76295F9D">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5B961A50">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74F1433D">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Cd</w:t>
            </w:r>
          </w:p>
        </w:tc>
        <w:tc>
          <w:tcPr>
            <w:tcW w:w="992" w:type="dxa"/>
            <w:tcBorders>
              <w:tl2br w:val="nil"/>
              <w:tr2bl w:val="nil"/>
            </w:tcBorders>
            <w:shd w:val="clear" w:color="auto" w:fill="auto"/>
            <w:noWrap/>
            <w:tcMar>
              <w:top w:w="15" w:type="dxa"/>
              <w:left w:w="15" w:type="dxa"/>
              <w:bottom w:w="0" w:type="dxa"/>
              <w:right w:w="15" w:type="dxa"/>
            </w:tcMar>
            <w:vAlign w:val="center"/>
          </w:tcPr>
          <w:p w14:paraId="270105BD">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186BA24B">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5C2F8E25">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45FE4A7C">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6168DDE5">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0B02622A">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3BBC21E0">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663A07AC">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2F590AF9">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05ADB614">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02C8224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53E1C66A">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193520C9">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3613F3DB">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2F6AE0E6">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Pb</w:t>
            </w:r>
          </w:p>
        </w:tc>
        <w:tc>
          <w:tcPr>
            <w:tcW w:w="992" w:type="dxa"/>
            <w:tcBorders>
              <w:tl2br w:val="nil"/>
              <w:tr2bl w:val="nil"/>
            </w:tcBorders>
            <w:shd w:val="clear" w:color="auto" w:fill="auto"/>
            <w:noWrap/>
            <w:tcMar>
              <w:top w:w="15" w:type="dxa"/>
              <w:left w:w="15" w:type="dxa"/>
              <w:bottom w:w="0" w:type="dxa"/>
              <w:right w:w="15" w:type="dxa"/>
            </w:tcMar>
            <w:vAlign w:val="center"/>
          </w:tcPr>
          <w:p w14:paraId="0B206E13">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0B083661">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4E895B0F">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0006D9B3">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6B0DBC6E">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2452D2DB">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1B18A0A7">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4333A291">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0C7104C8">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69BA5803">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2D31D52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678F29CB">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4D4E633F">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2BF465E6">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1F91A91B">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Ni</w:t>
            </w:r>
          </w:p>
        </w:tc>
        <w:tc>
          <w:tcPr>
            <w:tcW w:w="992" w:type="dxa"/>
            <w:tcBorders>
              <w:tl2br w:val="nil"/>
              <w:tr2bl w:val="nil"/>
            </w:tcBorders>
            <w:shd w:val="clear" w:color="auto" w:fill="auto"/>
            <w:noWrap/>
            <w:tcMar>
              <w:top w:w="15" w:type="dxa"/>
              <w:left w:w="15" w:type="dxa"/>
              <w:bottom w:w="0" w:type="dxa"/>
              <w:right w:w="15" w:type="dxa"/>
            </w:tcMar>
            <w:vAlign w:val="center"/>
          </w:tcPr>
          <w:p w14:paraId="15E17BD4">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38214D4B">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71FE10C6">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3DAFBCF6">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5B59319E">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139BF4A6">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3C653F92">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72A6A8AB">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11E65A26">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61DAECB6">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06FDED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6B6CD4BA">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525F590B">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62B3A4D0">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5DA51FBE">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Mn</w:t>
            </w:r>
          </w:p>
        </w:tc>
        <w:tc>
          <w:tcPr>
            <w:tcW w:w="992" w:type="dxa"/>
            <w:tcBorders>
              <w:tl2br w:val="nil"/>
              <w:tr2bl w:val="nil"/>
            </w:tcBorders>
            <w:shd w:val="clear" w:color="auto" w:fill="auto"/>
            <w:noWrap/>
            <w:tcMar>
              <w:top w:w="15" w:type="dxa"/>
              <w:left w:w="15" w:type="dxa"/>
              <w:bottom w:w="0" w:type="dxa"/>
              <w:right w:w="15" w:type="dxa"/>
            </w:tcMar>
            <w:vAlign w:val="center"/>
          </w:tcPr>
          <w:p w14:paraId="158B681E">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6D5B5042">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05E64729">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62504D90">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7B0EDEB4">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16A8C412">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10E57608">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045FAA8C">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62BEF758">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004CB0A0">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49E0160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163B8F60">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1B762E01">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25BEA600">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3024100B">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As</w:t>
            </w:r>
          </w:p>
        </w:tc>
        <w:tc>
          <w:tcPr>
            <w:tcW w:w="992" w:type="dxa"/>
            <w:tcBorders>
              <w:tl2br w:val="nil"/>
              <w:tr2bl w:val="nil"/>
            </w:tcBorders>
            <w:shd w:val="clear" w:color="auto" w:fill="auto"/>
            <w:noWrap/>
            <w:tcMar>
              <w:top w:w="15" w:type="dxa"/>
              <w:left w:w="15" w:type="dxa"/>
              <w:bottom w:w="0" w:type="dxa"/>
              <w:right w:w="15" w:type="dxa"/>
            </w:tcMar>
            <w:vAlign w:val="center"/>
          </w:tcPr>
          <w:p w14:paraId="3B2C9B89">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264C54C9">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3033DBF1">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42C0AA7D">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6C374390">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019CB3DB">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5F261DB2">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621D0663">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7A0F8CBB">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49D97BFD">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1F2CC0F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1111E97A">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5316DDDC">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472F2FDE">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31549446">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Hg</w:t>
            </w:r>
          </w:p>
        </w:tc>
        <w:tc>
          <w:tcPr>
            <w:tcW w:w="992" w:type="dxa"/>
            <w:tcBorders>
              <w:tl2br w:val="nil"/>
              <w:tr2bl w:val="nil"/>
            </w:tcBorders>
            <w:shd w:val="clear" w:color="auto" w:fill="auto"/>
            <w:noWrap/>
            <w:tcMar>
              <w:top w:w="15" w:type="dxa"/>
              <w:left w:w="15" w:type="dxa"/>
              <w:bottom w:w="0" w:type="dxa"/>
              <w:right w:w="15" w:type="dxa"/>
            </w:tcMar>
            <w:vAlign w:val="center"/>
          </w:tcPr>
          <w:p w14:paraId="34F6758D">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774A3EA3">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61C99C80">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63C206AD">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5BC59B64">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70CA33D0">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52A08453">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5276C966">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350327D9">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2AE4C924">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14B30DA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7D1FBFCC">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4FD47B8E">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62157E74">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noWrap/>
            <w:tcMar>
              <w:top w:w="15" w:type="dxa"/>
              <w:left w:w="15" w:type="dxa"/>
              <w:bottom w:w="0" w:type="dxa"/>
              <w:right w:w="15" w:type="dxa"/>
            </w:tcMar>
            <w:vAlign w:val="center"/>
          </w:tcPr>
          <w:p w14:paraId="31D946FB">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Tl+Cd+Pb+As</w:t>
            </w:r>
          </w:p>
        </w:tc>
        <w:tc>
          <w:tcPr>
            <w:tcW w:w="992" w:type="dxa"/>
            <w:tcBorders>
              <w:tl2br w:val="nil"/>
              <w:tr2bl w:val="nil"/>
            </w:tcBorders>
            <w:shd w:val="clear" w:color="auto" w:fill="auto"/>
            <w:noWrap/>
            <w:tcMar>
              <w:top w:w="15" w:type="dxa"/>
              <w:left w:w="15" w:type="dxa"/>
              <w:bottom w:w="0" w:type="dxa"/>
              <w:right w:w="15" w:type="dxa"/>
            </w:tcMar>
            <w:vAlign w:val="center"/>
          </w:tcPr>
          <w:p w14:paraId="493BE52C">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03D2D594">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34232F49">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0E5091E5">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5DE354C3">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4ED81991">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0C66662F">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266C8E19">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71395BDF">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019872D8">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082F47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0DB80535">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5AB5D75C">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13F09476">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tcMar>
              <w:top w:w="15" w:type="dxa"/>
              <w:left w:w="15" w:type="dxa"/>
              <w:bottom w:w="0" w:type="dxa"/>
              <w:right w:w="15" w:type="dxa"/>
            </w:tcMar>
            <w:vAlign w:val="center"/>
          </w:tcPr>
          <w:p w14:paraId="768E0C6B">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Be+Cr+Sn+Sb+Cu+Co+Mn+Ni+V</w:t>
            </w:r>
          </w:p>
        </w:tc>
        <w:tc>
          <w:tcPr>
            <w:tcW w:w="992" w:type="dxa"/>
            <w:tcBorders>
              <w:tl2br w:val="nil"/>
              <w:tr2bl w:val="nil"/>
            </w:tcBorders>
            <w:shd w:val="clear" w:color="auto" w:fill="auto"/>
            <w:noWrap/>
            <w:tcMar>
              <w:top w:w="15" w:type="dxa"/>
              <w:left w:w="15" w:type="dxa"/>
              <w:bottom w:w="0" w:type="dxa"/>
              <w:right w:w="15" w:type="dxa"/>
            </w:tcMar>
            <w:vAlign w:val="center"/>
          </w:tcPr>
          <w:p w14:paraId="50CE9511">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物料衡算</w:t>
            </w:r>
          </w:p>
        </w:tc>
        <w:tc>
          <w:tcPr>
            <w:tcW w:w="1134" w:type="dxa"/>
            <w:tcBorders>
              <w:tl2br w:val="nil"/>
              <w:tr2bl w:val="nil"/>
            </w:tcBorders>
            <w:shd w:val="clear" w:color="auto" w:fill="auto"/>
            <w:noWrap/>
            <w:tcMar>
              <w:top w:w="15" w:type="dxa"/>
              <w:left w:w="15" w:type="dxa"/>
              <w:bottom w:w="0" w:type="dxa"/>
              <w:right w:w="15" w:type="dxa"/>
            </w:tcMar>
            <w:vAlign w:val="center"/>
          </w:tcPr>
          <w:p w14:paraId="44DD3E33">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212D0DB9">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6E691087">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3FC91374">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4DC9AEF0">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6A69BA8B">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6AA411C1">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126E9911">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6B8CFCDD">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67C3A98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3F935A49">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vMerge w:val="continue"/>
            <w:tcBorders>
              <w:tl2br w:val="nil"/>
              <w:tr2bl w:val="nil"/>
            </w:tcBorders>
            <w:vAlign w:val="center"/>
          </w:tcPr>
          <w:p w14:paraId="3C3326E0">
            <w:pPr>
              <w:pStyle w:val="52"/>
              <w:spacing w:before="0" w:after="0" w:line="240" w:lineRule="auto"/>
              <w:ind w:left="0" w:firstLine="0"/>
              <w:rPr>
                <w:rFonts w:hint="default" w:ascii="Times New Roman" w:hAnsi="Times New Roman" w:cs="Times New Roman"/>
                <w:color w:val="auto"/>
                <w:sz w:val="21"/>
                <w:szCs w:val="18"/>
                <w:highlight w:val="none"/>
              </w:rPr>
            </w:pPr>
          </w:p>
        </w:tc>
        <w:tc>
          <w:tcPr>
            <w:tcW w:w="709" w:type="dxa"/>
            <w:vMerge w:val="continue"/>
            <w:tcBorders>
              <w:tl2br w:val="nil"/>
              <w:tr2bl w:val="nil"/>
            </w:tcBorders>
            <w:vAlign w:val="center"/>
          </w:tcPr>
          <w:p w14:paraId="5ED88720">
            <w:pPr>
              <w:pStyle w:val="52"/>
              <w:spacing w:before="0" w:after="0" w:line="240" w:lineRule="auto"/>
              <w:ind w:left="0" w:firstLine="0"/>
              <w:rPr>
                <w:rFonts w:hint="default" w:ascii="Times New Roman" w:hAnsi="Times New Roman" w:cs="Times New Roman"/>
                <w:color w:val="auto"/>
                <w:sz w:val="21"/>
                <w:szCs w:val="18"/>
                <w:highlight w:val="none"/>
              </w:rPr>
            </w:pPr>
          </w:p>
        </w:tc>
        <w:tc>
          <w:tcPr>
            <w:tcW w:w="1701" w:type="dxa"/>
            <w:tcBorders>
              <w:tl2br w:val="nil"/>
              <w:tr2bl w:val="nil"/>
            </w:tcBorders>
            <w:shd w:val="clear" w:color="auto" w:fill="auto"/>
            <w:tcMar>
              <w:top w:w="15" w:type="dxa"/>
              <w:left w:w="15" w:type="dxa"/>
              <w:bottom w:w="0" w:type="dxa"/>
              <w:right w:w="15" w:type="dxa"/>
            </w:tcMar>
            <w:vAlign w:val="center"/>
          </w:tcPr>
          <w:p w14:paraId="4669EC29">
            <w:pPr>
              <w:pStyle w:val="52"/>
              <w:spacing w:before="0" w:after="0" w:line="240" w:lineRule="auto"/>
              <w:ind w:left="0" w:firstLine="0"/>
              <w:rPr>
                <w:rFonts w:hint="default" w:ascii="Times New Roman" w:hAnsi="Times New Roman" w:cs="Times New Roman"/>
                <w:color w:val="auto"/>
                <w:spacing w:val="-10"/>
                <w:sz w:val="21"/>
                <w:szCs w:val="18"/>
                <w:highlight w:val="none"/>
              </w:rPr>
            </w:pPr>
            <w:r>
              <w:rPr>
                <w:rFonts w:hint="default" w:ascii="Times New Roman" w:hAnsi="Times New Roman" w:cs="Times New Roman"/>
                <w:color w:val="auto"/>
                <w:spacing w:val="-10"/>
                <w:sz w:val="21"/>
                <w:szCs w:val="18"/>
                <w:highlight w:val="none"/>
              </w:rPr>
              <w:t>二噁英类</w:t>
            </w:r>
          </w:p>
        </w:tc>
        <w:tc>
          <w:tcPr>
            <w:tcW w:w="992" w:type="dxa"/>
            <w:tcBorders>
              <w:tl2br w:val="nil"/>
              <w:tr2bl w:val="nil"/>
            </w:tcBorders>
            <w:shd w:val="clear" w:color="auto" w:fill="auto"/>
            <w:noWrap/>
            <w:tcMar>
              <w:top w:w="15" w:type="dxa"/>
              <w:left w:w="15" w:type="dxa"/>
              <w:bottom w:w="0" w:type="dxa"/>
              <w:right w:w="15" w:type="dxa"/>
            </w:tcMar>
            <w:vAlign w:val="center"/>
          </w:tcPr>
          <w:p w14:paraId="3A073940">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类比</w:t>
            </w:r>
          </w:p>
        </w:tc>
        <w:tc>
          <w:tcPr>
            <w:tcW w:w="1134" w:type="dxa"/>
            <w:tcBorders>
              <w:tl2br w:val="nil"/>
              <w:tr2bl w:val="nil"/>
            </w:tcBorders>
            <w:shd w:val="clear" w:color="auto" w:fill="auto"/>
            <w:noWrap/>
            <w:tcMar>
              <w:top w:w="15" w:type="dxa"/>
              <w:left w:w="15" w:type="dxa"/>
              <w:bottom w:w="0" w:type="dxa"/>
              <w:right w:w="15" w:type="dxa"/>
            </w:tcMar>
            <w:vAlign w:val="center"/>
          </w:tcPr>
          <w:p w14:paraId="2E242366">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079" w:type="dxa"/>
            <w:tcBorders>
              <w:tl2br w:val="nil"/>
              <w:tr2bl w:val="nil"/>
            </w:tcBorders>
            <w:shd w:val="clear" w:color="auto" w:fill="auto"/>
            <w:noWrap/>
            <w:tcMar>
              <w:top w:w="15" w:type="dxa"/>
              <w:left w:w="15" w:type="dxa"/>
              <w:bottom w:w="0" w:type="dxa"/>
              <w:right w:w="15" w:type="dxa"/>
            </w:tcMar>
            <w:vAlign w:val="center"/>
          </w:tcPr>
          <w:p w14:paraId="47EB027B">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56" w:type="dxa"/>
            <w:tcBorders>
              <w:tl2br w:val="nil"/>
              <w:tr2bl w:val="nil"/>
            </w:tcBorders>
            <w:shd w:val="clear" w:color="auto" w:fill="auto"/>
            <w:noWrap/>
            <w:tcMar>
              <w:top w:w="15" w:type="dxa"/>
              <w:left w:w="15" w:type="dxa"/>
              <w:bottom w:w="0" w:type="dxa"/>
              <w:right w:w="15" w:type="dxa"/>
            </w:tcMar>
            <w:vAlign w:val="center"/>
          </w:tcPr>
          <w:p w14:paraId="67D18C50">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709" w:type="dxa"/>
            <w:vMerge w:val="continue"/>
            <w:tcBorders>
              <w:tl2br w:val="nil"/>
              <w:tr2bl w:val="nil"/>
            </w:tcBorders>
            <w:shd w:val="clear" w:color="auto" w:fill="auto"/>
            <w:noWrap/>
            <w:tcMar>
              <w:top w:w="15" w:type="dxa"/>
              <w:left w:w="15" w:type="dxa"/>
              <w:bottom w:w="0" w:type="dxa"/>
              <w:right w:w="15" w:type="dxa"/>
            </w:tcMar>
            <w:vAlign w:val="center"/>
          </w:tcPr>
          <w:p w14:paraId="564D7E7C">
            <w:pPr>
              <w:pStyle w:val="52"/>
              <w:spacing w:before="0" w:after="0" w:line="240" w:lineRule="auto"/>
              <w:ind w:left="0" w:firstLine="0"/>
              <w:rPr>
                <w:rFonts w:hint="default" w:ascii="Times New Roman" w:hAnsi="Times New Roman" w:cs="Times New Roman"/>
                <w:color w:val="auto"/>
                <w:sz w:val="21"/>
                <w:szCs w:val="18"/>
                <w:highlight w:val="none"/>
              </w:rPr>
            </w:pPr>
          </w:p>
        </w:tc>
        <w:tc>
          <w:tcPr>
            <w:tcW w:w="742" w:type="dxa"/>
            <w:tcBorders>
              <w:tl2br w:val="nil"/>
              <w:tr2bl w:val="nil"/>
            </w:tcBorders>
            <w:shd w:val="clear" w:color="auto" w:fill="auto"/>
            <w:noWrap/>
            <w:tcMar>
              <w:top w:w="15" w:type="dxa"/>
              <w:left w:w="15" w:type="dxa"/>
              <w:bottom w:w="0" w:type="dxa"/>
              <w:right w:w="15" w:type="dxa"/>
            </w:tcMar>
            <w:vAlign w:val="center"/>
          </w:tcPr>
          <w:p w14:paraId="3F54A348">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0</w:t>
            </w:r>
          </w:p>
        </w:tc>
        <w:tc>
          <w:tcPr>
            <w:tcW w:w="1384" w:type="dxa"/>
            <w:tcBorders>
              <w:tl2br w:val="nil"/>
              <w:tr2bl w:val="nil"/>
            </w:tcBorders>
            <w:shd w:val="clear" w:color="auto" w:fill="auto"/>
            <w:noWrap/>
            <w:tcMar>
              <w:top w:w="15" w:type="dxa"/>
              <w:left w:w="15" w:type="dxa"/>
              <w:bottom w:w="0" w:type="dxa"/>
              <w:right w:w="15" w:type="dxa"/>
            </w:tcMar>
            <w:vAlign w:val="center"/>
          </w:tcPr>
          <w:p w14:paraId="05AA9B56">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534179</w:t>
            </w:r>
          </w:p>
        </w:tc>
        <w:tc>
          <w:tcPr>
            <w:tcW w:w="1134" w:type="dxa"/>
            <w:tcBorders>
              <w:tl2br w:val="nil"/>
              <w:tr2bl w:val="nil"/>
            </w:tcBorders>
            <w:shd w:val="clear" w:color="auto" w:fill="auto"/>
            <w:noWrap/>
            <w:tcMar>
              <w:top w:w="15" w:type="dxa"/>
              <w:left w:w="15" w:type="dxa"/>
              <w:bottom w:w="0" w:type="dxa"/>
              <w:right w:w="15" w:type="dxa"/>
            </w:tcMar>
            <w:vAlign w:val="center"/>
          </w:tcPr>
          <w:p w14:paraId="5A71CC7B">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992" w:type="dxa"/>
            <w:tcBorders>
              <w:tl2br w:val="nil"/>
              <w:tr2bl w:val="nil"/>
            </w:tcBorders>
            <w:shd w:val="clear" w:color="auto" w:fill="auto"/>
            <w:noWrap/>
            <w:tcMar>
              <w:top w:w="15" w:type="dxa"/>
              <w:left w:w="15" w:type="dxa"/>
              <w:bottom w:w="0" w:type="dxa"/>
              <w:right w:w="15" w:type="dxa"/>
            </w:tcMar>
            <w:vAlign w:val="center"/>
          </w:tcPr>
          <w:p w14:paraId="3FB40C14">
            <w:pPr>
              <w:pStyle w:val="52"/>
              <w:spacing w:before="0" w:after="0" w:line="240" w:lineRule="auto"/>
              <w:ind w:left="0" w:leftChars="0" w:firstLine="0" w:firstLineChars="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w:t>
            </w:r>
          </w:p>
        </w:tc>
        <w:tc>
          <w:tcPr>
            <w:tcW w:w="834" w:type="dxa"/>
            <w:tcBorders>
              <w:tl2br w:val="nil"/>
              <w:tr2bl w:val="nil"/>
            </w:tcBorders>
            <w:shd w:val="clear" w:color="auto" w:fill="auto"/>
            <w:noWrap/>
            <w:tcMar>
              <w:top w:w="15" w:type="dxa"/>
              <w:left w:w="15" w:type="dxa"/>
              <w:bottom w:w="0" w:type="dxa"/>
              <w:right w:w="15" w:type="dxa"/>
            </w:tcMar>
            <w:vAlign w:val="center"/>
          </w:tcPr>
          <w:p w14:paraId="785A32FD">
            <w:pPr>
              <w:autoSpaceDE/>
              <w:autoSpaceDN/>
              <w:spacing w:before="0" w:after="0" w:line="240" w:lineRule="auto"/>
              <w:ind w:left="0" w:firstLine="0"/>
              <w:jc w:val="center"/>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lang w:val="en-US" w:eastAsia="zh-CN"/>
              </w:rPr>
              <w:t>6000</w:t>
            </w:r>
          </w:p>
        </w:tc>
      </w:tr>
      <w:tr w14:paraId="0439595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restart"/>
            <w:tcBorders>
              <w:tl2br w:val="nil"/>
              <w:tr2bl w:val="nil"/>
            </w:tcBorders>
            <w:vAlign w:val="center"/>
          </w:tcPr>
          <w:p w14:paraId="539361B1">
            <w:pPr>
              <w:pStyle w:val="52"/>
              <w:spacing w:before="0" w:after="0" w:line="240" w:lineRule="auto"/>
              <w:ind w:left="0" w:firstLine="0"/>
              <w:rPr>
                <w:rFonts w:hint="default" w:ascii="Times New Roman" w:hAnsi="Times New Roman" w:cs="Times New Roman"/>
                <w:color w:val="auto"/>
                <w:sz w:val="21"/>
                <w:szCs w:val="18"/>
                <w:highlight w:val="none"/>
              </w:rPr>
            </w:pPr>
            <w:bookmarkStart w:id="144" w:name="_Ref151306550"/>
            <w:r>
              <w:rPr>
                <w:rFonts w:hint="eastAsia" w:cs="Times New Roman"/>
                <w:color w:val="auto"/>
                <w:sz w:val="21"/>
                <w:szCs w:val="18"/>
                <w:highlight w:val="none"/>
                <w:lang w:val="en-US" w:eastAsia="zh-CN"/>
              </w:rPr>
              <w:t>投料</w:t>
            </w:r>
            <w:r>
              <w:rPr>
                <w:rFonts w:hint="default" w:ascii="Times New Roman" w:hAnsi="Times New Roman" w:cs="Times New Roman"/>
                <w:color w:val="auto"/>
                <w:sz w:val="21"/>
                <w:szCs w:val="18"/>
                <w:highlight w:val="none"/>
              </w:rPr>
              <w:t>车间</w:t>
            </w:r>
          </w:p>
        </w:tc>
        <w:tc>
          <w:tcPr>
            <w:tcW w:w="719" w:type="dxa"/>
            <w:tcBorders>
              <w:tl2br w:val="nil"/>
              <w:tr2bl w:val="nil"/>
            </w:tcBorders>
            <w:shd w:val="clear" w:color="auto" w:fill="auto"/>
            <w:vAlign w:val="center"/>
          </w:tcPr>
          <w:p w14:paraId="083B868D">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预处理系统</w:t>
            </w:r>
          </w:p>
        </w:tc>
        <w:tc>
          <w:tcPr>
            <w:tcW w:w="709" w:type="dxa"/>
            <w:tcBorders>
              <w:tl2br w:val="nil"/>
              <w:tr2bl w:val="nil"/>
            </w:tcBorders>
            <w:shd w:val="clear" w:color="auto" w:fill="auto"/>
            <w:vAlign w:val="center"/>
          </w:tcPr>
          <w:p w14:paraId="55D14856">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打散粉尘</w:t>
            </w:r>
          </w:p>
        </w:tc>
        <w:tc>
          <w:tcPr>
            <w:tcW w:w="1701" w:type="dxa"/>
            <w:tcBorders>
              <w:tl2br w:val="nil"/>
              <w:tr2bl w:val="nil"/>
            </w:tcBorders>
            <w:shd w:val="clear" w:color="auto" w:fill="auto"/>
            <w:tcMar>
              <w:top w:w="15" w:type="dxa"/>
              <w:left w:w="15" w:type="dxa"/>
              <w:bottom w:w="0" w:type="dxa"/>
              <w:right w:w="15" w:type="dxa"/>
            </w:tcMar>
            <w:vAlign w:val="center"/>
          </w:tcPr>
          <w:p w14:paraId="68B757BE">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颗粒物</w:t>
            </w:r>
          </w:p>
        </w:tc>
        <w:tc>
          <w:tcPr>
            <w:tcW w:w="992" w:type="dxa"/>
            <w:tcBorders>
              <w:tl2br w:val="nil"/>
              <w:tr2bl w:val="nil"/>
            </w:tcBorders>
            <w:shd w:val="clear" w:color="auto" w:fill="auto"/>
            <w:noWrap/>
            <w:tcMar>
              <w:top w:w="15" w:type="dxa"/>
              <w:left w:w="15" w:type="dxa"/>
              <w:bottom w:w="0" w:type="dxa"/>
              <w:right w:w="15" w:type="dxa"/>
            </w:tcMar>
            <w:vAlign w:val="center"/>
          </w:tcPr>
          <w:p w14:paraId="6E0C1AA8">
            <w:pPr>
              <w:autoSpaceDE/>
              <w:autoSpaceDN/>
              <w:spacing w:before="0" w:after="0" w:line="240" w:lineRule="auto"/>
              <w:ind w:left="0" w:leftChars="0" w:firstLine="0" w:firstLineChars="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类比</w:t>
            </w:r>
          </w:p>
        </w:tc>
        <w:tc>
          <w:tcPr>
            <w:tcW w:w="1134" w:type="dxa"/>
            <w:tcBorders>
              <w:tl2br w:val="nil"/>
              <w:tr2bl w:val="nil"/>
            </w:tcBorders>
            <w:shd w:val="clear" w:color="auto" w:fill="auto"/>
            <w:noWrap/>
            <w:tcMar>
              <w:top w:w="15" w:type="dxa"/>
              <w:left w:w="15" w:type="dxa"/>
              <w:bottom w:w="0" w:type="dxa"/>
              <w:right w:w="15" w:type="dxa"/>
            </w:tcMar>
            <w:vAlign w:val="center"/>
          </w:tcPr>
          <w:p w14:paraId="1E66941D">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5000</w:t>
            </w:r>
          </w:p>
        </w:tc>
        <w:tc>
          <w:tcPr>
            <w:tcW w:w="1079" w:type="dxa"/>
            <w:tcBorders>
              <w:tl2br w:val="nil"/>
              <w:tr2bl w:val="nil"/>
            </w:tcBorders>
            <w:shd w:val="clear" w:color="auto" w:fill="auto"/>
            <w:noWrap/>
            <w:tcMar>
              <w:top w:w="15" w:type="dxa"/>
              <w:left w:w="15" w:type="dxa"/>
              <w:bottom w:w="0" w:type="dxa"/>
              <w:right w:w="15" w:type="dxa"/>
            </w:tcMar>
            <w:vAlign w:val="center"/>
          </w:tcPr>
          <w:p w14:paraId="086BB846">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30</w:t>
            </w:r>
          </w:p>
        </w:tc>
        <w:tc>
          <w:tcPr>
            <w:tcW w:w="956" w:type="dxa"/>
            <w:tcBorders>
              <w:tl2br w:val="nil"/>
              <w:tr2bl w:val="nil"/>
            </w:tcBorders>
            <w:shd w:val="clear" w:color="auto" w:fill="auto"/>
            <w:noWrap/>
            <w:tcMar>
              <w:top w:w="15" w:type="dxa"/>
              <w:left w:w="15" w:type="dxa"/>
              <w:bottom w:w="0" w:type="dxa"/>
              <w:right w:w="15" w:type="dxa"/>
            </w:tcMar>
            <w:vAlign w:val="center"/>
          </w:tcPr>
          <w:p w14:paraId="684A4EE9">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15</w:t>
            </w:r>
          </w:p>
        </w:tc>
        <w:tc>
          <w:tcPr>
            <w:tcW w:w="709" w:type="dxa"/>
            <w:tcBorders>
              <w:tl2br w:val="nil"/>
              <w:tr2bl w:val="nil"/>
            </w:tcBorders>
            <w:shd w:val="clear" w:color="auto" w:fill="auto"/>
            <w:noWrap/>
            <w:tcMar>
              <w:top w:w="15" w:type="dxa"/>
              <w:left w:w="15" w:type="dxa"/>
              <w:bottom w:w="0" w:type="dxa"/>
              <w:right w:w="15" w:type="dxa"/>
            </w:tcMar>
            <w:vAlign w:val="center"/>
          </w:tcPr>
          <w:p w14:paraId="4EA78DD7">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布袋除尘器</w:t>
            </w:r>
          </w:p>
        </w:tc>
        <w:tc>
          <w:tcPr>
            <w:tcW w:w="742" w:type="dxa"/>
            <w:tcBorders>
              <w:tl2br w:val="nil"/>
              <w:tr2bl w:val="nil"/>
            </w:tcBorders>
            <w:shd w:val="clear" w:color="auto" w:fill="auto"/>
            <w:noWrap/>
            <w:tcMar>
              <w:top w:w="15" w:type="dxa"/>
              <w:left w:w="15" w:type="dxa"/>
              <w:bottom w:w="0" w:type="dxa"/>
              <w:right w:w="15" w:type="dxa"/>
            </w:tcMar>
            <w:vAlign w:val="center"/>
          </w:tcPr>
          <w:p w14:paraId="002C49CA">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99.7</w:t>
            </w:r>
          </w:p>
        </w:tc>
        <w:tc>
          <w:tcPr>
            <w:tcW w:w="1384" w:type="dxa"/>
            <w:tcBorders>
              <w:tl2br w:val="nil"/>
              <w:tr2bl w:val="nil"/>
            </w:tcBorders>
            <w:shd w:val="clear" w:color="auto" w:fill="auto"/>
            <w:noWrap/>
            <w:tcMar>
              <w:top w:w="15" w:type="dxa"/>
              <w:left w:w="15" w:type="dxa"/>
              <w:bottom w:w="0" w:type="dxa"/>
              <w:right w:w="15" w:type="dxa"/>
            </w:tcMar>
            <w:vAlign w:val="center"/>
          </w:tcPr>
          <w:p w14:paraId="71A23687">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5000</w:t>
            </w:r>
          </w:p>
        </w:tc>
        <w:tc>
          <w:tcPr>
            <w:tcW w:w="1134" w:type="dxa"/>
            <w:tcBorders>
              <w:tl2br w:val="nil"/>
              <w:tr2bl w:val="nil"/>
            </w:tcBorders>
            <w:shd w:val="clear" w:color="auto" w:fill="auto"/>
            <w:noWrap/>
            <w:tcMar>
              <w:top w:w="15" w:type="dxa"/>
              <w:left w:w="15" w:type="dxa"/>
              <w:bottom w:w="0" w:type="dxa"/>
              <w:right w:w="15" w:type="dxa"/>
            </w:tcMar>
            <w:vAlign w:val="center"/>
          </w:tcPr>
          <w:p w14:paraId="78760624">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9</w:t>
            </w:r>
          </w:p>
        </w:tc>
        <w:tc>
          <w:tcPr>
            <w:tcW w:w="992" w:type="dxa"/>
            <w:tcBorders>
              <w:tl2br w:val="nil"/>
              <w:tr2bl w:val="nil"/>
            </w:tcBorders>
            <w:shd w:val="clear" w:color="auto" w:fill="auto"/>
            <w:noWrap/>
            <w:tcMar>
              <w:top w:w="15" w:type="dxa"/>
              <w:left w:w="15" w:type="dxa"/>
              <w:bottom w:w="0" w:type="dxa"/>
              <w:right w:w="15" w:type="dxa"/>
            </w:tcMar>
            <w:vAlign w:val="center"/>
          </w:tcPr>
          <w:p w14:paraId="45FC00E2">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0.162</w:t>
            </w:r>
          </w:p>
        </w:tc>
        <w:tc>
          <w:tcPr>
            <w:tcW w:w="834" w:type="dxa"/>
            <w:tcBorders>
              <w:tl2br w:val="nil"/>
              <w:tr2bl w:val="nil"/>
            </w:tcBorders>
            <w:shd w:val="clear" w:color="auto" w:fill="auto"/>
            <w:noWrap/>
            <w:tcMar>
              <w:top w:w="15" w:type="dxa"/>
              <w:left w:w="15" w:type="dxa"/>
              <w:bottom w:w="0" w:type="dxa"/>
              <w:right w:w="15" w:type="dxa"/>
            </w:tcMar>
            <w:vAlign w:val="center"/>
          </w:tcPr>
          <w:p w14:paraId="65A75ABD">
            <w:pPr>
              <w:autoSpaceDE/>
              <w:autoSpaceDN/>
              <w:spacing w:before="0" w:after="0" w:line="240" w:lineRule="auto"/>
              <w:ind w:left="0" w:leftChars="0" w:firstLine="0" w:firstLineChars="0"/>
              <w:jc w:val="center"/>
              <w:rPr>
                <w:rFonts w:hint="default" w:ascii="Times New Roman" w:hAnsi="Times New Roman" w:eastAsia="宋体" w:cs="Times New Roman"/>
                <w:color w:val="auto"/>
                <w:sz w:val="21"/>
                <w:szCs w:val="18"/>
                <w:highlight w:val="none"/>
                <w:lang w:val="en-US" w:eastAsia="zh-CN" w:bidi="ar-SA"/>
              </w:rPr>
            </w:pPr>
            <w:r>
              <w:rPr>
                <w:rFonts w:hint="eastAsia" w:cs="Times New Roman"/>
                <w:color w:val="auto"/>
                <w:sz w:val="21"/>
                <w:szCs w:val="18"/>
                <w:highlight w:val="none"/>
                <w:lang w:val="en-US" w:eastAsia="zh-CN"/>
              </w:rPr>
              <w:t>3600</w:t>
            </w:r>
          </w:p>
        </w:tc>
      </w:tr>
      <w:tr w14:paraId="6F16523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c>
          <w:tcPr>
            <w:tcW w:w="714" w:type="dxa"/>
            <w:vMerge w:val="continue"/>
            <w:tcBorders>
              <w:tl2br w:val="nil"/>
              <w:tr2bl w:val="nil"/>
            </w:tcBorders>
            <w:vAlign w:val="center"/>
          </w:tcPr>
          <w:p w14:paraId="7AD9617F">
            <w:pPr>
              <w:pStyle w:val="52"/>
              <w:spacing w:before="0" w:after="0" w:line="240" w:lineRule="auto"/>
              <w:ind w:left="0" w:firstLine="0"/>
              <w:rPr>
                <w:rFonts w:hint="default" w:ascii="Times New Roman" w:hAnsi="Times New Roman" w:cs="Times New Roman"/>
                <w:color w:val="auto"/>
                <w:sz w:val="21"/>
                <w:szCs w:val="18"/>
                <w:highlight w:val="none"/>
              </w:rPr>
            </w:pPr>
          </w:p>
        </w:tc>
        <w:tc>
          <w:tcPr>
            <w:tcW w:w="719" w:type="dxa"/>
            <w:tcBorders>
              <w:tl2br w:val="nil"/>
              <w:tr2bl w:val="nil"/>
            </w:tcBorders>
            <w:shd w:val="clear" w:color="auto" w:fill="auto"/>
            <w:vAlign w:val="center"/>
          </w:tcPr>
          <w:p w14:paraId="5629A4DE">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输送系统</w:t>
            </w:r>
          </w:p>
        </w:tc>
        <w:tc>
          <w:tcPr>
            <w:tcW w:w="709" w:type="dxa"/>
            <w:tcBorders>
              <w:tl2br w:val="nil"/>
              <w:tr2bl w:val="nil"/>
            </w:tcBorders>
            <w:shd w:val="clear" w:color="auto" w:fill="auto"/>
            <w:vAlign w:val="center"/>
          </w:tcPr>
          <w:p w14:paraId="69D1887C">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输送粉尘</w:t>
            </w:r>
          </w:p>
        </w:tc>
        <w:tc>
          <w:tcPr>
            <w:tcW w:w="1701" w:type="dxa"/>
            <w:tcBorders>
              <w:tl2br w:val="nil"/>
              <w:tr2bl w:val="nil"/>
            </w:tcBorders>
            <w:shd w:val="clear" w:color="auto" w:fill="auto"/>
            <w:tcMar>
              <w:top w:w="15" w:type="dxa"/>
              <w:left w:w="15" w:type="dxa"/>
              <w:bottom w:w="0" w:type="dxa"/>
              <w:right w:w="15" w:type="dxa"/>
            </w:tcMar>
            <w:vAlign w:val="center"/>
          </w:tcPr>
          <w:p w14:paraId="63CFDA38">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颗粒物</w:t>
            </w:r>
          </w:p>
        </w:tc>
        <w:tc>
          <w:tcPr>
            <w:tcW w:w="992" w:type="dxa"/>
            <w:tcBorders>
              <w:tl2br w:val="nil"/>
              <w:tr2bl w:val="nil"/>
            </w:tcBorders>
            <w:shd w:val="clear" w:color="auto" w:fill="auto"/>
            <w:noWrap/>
            <w:tcMar>
              <w:top w:w="15" w:type="dxa"/>
              <w:left w:w="15" w:type="dxa"/>
              <w:bottom w:w="0" w:type="dxa"/>
              <w:right w:w="15" w:type="dxa"/>
            </w:tcMar>
            <w:vAlign w:val="center"/>
          </w:tcPr>
          <w:p w14:paraId="4E40E62E">
            <w:pPr>
              <w:autoSpaceDE/>
              <w:autoSpaceDN/>
              <w:spacing w:before="0" w:after="0" w:line="240" w:lineRule="auto"/>
              <w:ind w:left="0" w:leftChars="0" w:firstLine="0" w:firstLineChars="0"/>
              <w:jc w:val="center"/>
              <w:rPr>
                <w:rFonts w:hint="default" w:ascii="Times New Roman" w:hAnsi="Times New Roman" w:eastAsia="宋体" w:cs="Times New Roman"/>
                <w:color w:val="auto"/>
                <w:sz w:val="21"/>
                <w:szCs w:val="18"/>
                <w:highlight w:val="none"/>
                <w:lang w:val="en-US" w:eastAsia="zh-CN" w:bidi="ar-SA"/>
              </w:rPr>
            </w:pPr>
            <w:r>
              <w:rPr>
                <w:rFonts w:hint="default" w:ascii="Times New Roman" w:hAnsi="Times New Roman" w:cs="Times New Roman"/>
                <w:color w:val="auto"/>
                <w:sz w:val="21"/>
                <w:szCs w:val="18"/>
                <w:highlight w:val="none"/>
              </w:rPr>
              <w:t>类比</w:t>
            </w:r>
          </w:p>
        </w:tc>
        <w:tc>
          <w:tcPr>
            <w:tcW w:w="1134" w:type="dxa"/>
            <w:tcBorders>
              <w:tl2br w:val="nil"/>
              <w:tr2bl w:val="nil"/>
            </w:tcBorders>
            <w:shd w:val="clear" w:color="auto" w:fill="auto"/>
            <w:noWrap/>
            <w:tcMar>
              <w:top w:w="15" w:type="dxa"/>
              <w:left w:w="15" w:type="dxa"/>
              <w:bottom w:w="0" w:type="dxa"/>
              <w:right w:w="15" w:type="dxa"/>
            </w:tcMar>
            <w:vAlign w:val="center"/>
          </w:tcPr>
          <w:p w14:paraId="25571CF7">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5000</w:t>
            </w:r>
          </w:p>
        </w:tc>
        <w:tc>
          <w:tcPr>
            <w:tcW w:w="1079" w:type="dxa"/>
            <w:tcBorders>
              <w:tl2br w:val="nil"/>
              <w:tr2bl w:val="nil"/>
            </w:tcBorders>
            <w:shd w:val="clear" w:color="auto" w:fill="auto"/>
            <w:noWrap/>
            <w:tcMar>
              <w:top w:w="15" w:type="dxa"/>
              <w:left w:w="15" w:type="dxa"/>
              <w:bottom w:w="0" w:type="dxa"/>
              <w:right w:w="15" w:type="dxa"/>
            </w:tcMar>
            <w:vAlign w:val="center"/>
          </w:tcPr>
          <w:p w14:paraId="77D43D52">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2.2</w:t>
            </w:r>
          </w:p>
        </w:tc>
        <w:tc>
          <w:tcPr>
            <w:tcW w:w="956" w:type="dxa"/>
            <w:tcBorders>
              <w:tl2br w:val="nil"/>
              <w:tr2bl w:val="nil"/>
            </w:tcBorders>
            <w:shd w:val="clear" w:color="auto" w:fill="auto"/>
            <w:noWrap/>
            <w:tcMar>
              <w:top w:w="15" w:type="dxa"/>
              <w:left w:w="15" w:type="dxa"/>
              <w:bottom w:w="0" w:type="dxa"/>
              <w:right w:w="15" w:type="dxa"/>
            </w:tcMar>
            <w:vAlign w:val="center"/>
          </w:tcPr>
          <w:p w14:paraId="3A75F65D">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0.011</w:t>
            </w:r>
          </w:p>
        </w:tc>
        <w:tc>
          <w:tcPr>
            <w:tcW w:w="709" w:type="dxa"/>
            <w:tcBorders>
              <w:tl2br w:val="nil"/>
              <w:tr2bl w:val="nil"/>
            </w:tcBorders>
            <w:shd w:val="clear" w:color="auto" w:fill="auto"/>
            <w:noWrap/>
            <w:tcMar>
              <w:top w:w="15" w:type="dxa"/>
              <w:left w:w="15" w:type="dxa"/>
              <w:bottom w:w="0" w:type="dxa"/>
              <w:right w:w="15" w:type="dxa"/>
            </w:tcMar>
            <w:vAlign w:val="center"/>
          </w:tcPr>
          <w:p w14:paraId="187E6909">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布袋除尘器</w:t>
            </w:r>
          </w:p>
        </w:tc>
        <w:tc>
          <w:tcPr>
            <w:tcW w:w="742" w:type="dxa"/>
            <w:tcBorders>
              <w:tl2br w:val="nil"/>
              <w:tr2bl w:val="nil"/>
            </w:tcBorders>
            <w:shd w:val="clear" w:color="auto" w:fill="auto"/>
            <w:noWrap/>
            <w:tcMar>
              <w:top w:w="15" w:type="dxa"/>
              <w:left w:w="15" w:type="dxa"/>
              <w:bottom w:w="0" w:type="dxa"/>
              <w:right w:w="15" w:type="dxa"/>
            </w:tcMar>
            <w:vAlign w:val="center"/>
          </w:tcPr>
          <w:p w14:paraId="206FA147">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99.7</w:t>
            </w:r>
          </w:p>
        </w:tc>
        <w:tc>
          <w:tcPr>
            <w:tcW w:w="1384" w:type="dxa"/>
            <w:tcBorders>
              <w:tl2br w:val="nil"/>
              <w:tr2bl w:val="nil"/>
            </w:tcBorders>
            <w:shd w:val="clear" w:color="auto" w:fill="auto"/>
            <w:noWrap/>
            <w:tcMar>
              <w:top w:w="15" w:type="dxa"/>
              <w:left w:w="15" w:type="dxa"/>
              <w:bottom w:w="0" w:type="dxa"/>
              <w:right w:w="15" w:type="dxa"/>
            </w:tcMar>
            <w:vAlign w:val="center"/>
          </w:tcPr>
          <w:p w14:paraId="3BCB95A5">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5000</w:t>
            </w:r>
          </w:p>
        </w:tc>
        <w:tc>
          <w:tcPr>
            <w:tcW w:w="1134" w:type="dxa"/>
            <w:tcBorders>
              <w:tl2br w:val="nil"/>
              <w:tr2bl w:val="nil"/>
            </w:tcBorders>
            <w:shd w:val="clear" w:color="auto" w:fill="auto"/>
            <w:noWrap/>
            <w:tcMar>
              <w:top w:w="15" w:type="dxa"/>
              <w:left w:w="15" w:type="dxa"/>
              <w:bottom w:w="0" w:type="dxa"/>
              <w:right w:w="15" w:type="dxa"/>
            </w:tcMar>
            <w:vAlign w:val="center"/>
          </w:tcPr>
          <w:p w14:paraId="2E3C279D">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0.015</w:t>
            </w:r>
          </w:p>
        </w:tc>
        <w:tc>
          <w:tcPr>
            <w:tcW w:w="992" w:type="dxa"/>
            <w:tcBorders>
              <w:tl2br w:val="nil"/>
              <w:tr2bl w:val="nil"/>
            </w:tcBorders>
            <w:shd w:val="clear" w:color="auto" w:fill="auto"/>
            <w:noWrap/>
            <w:tcMar>
              <w:top w:w="15" w:type="dxa"/>
              <w:left w:w="15" w:type="dxa"/>
              <w:bottom w:w="0" w:type="dxa"/>
              <w:right w:w="15" w:type="dxa"/>
            </w:tcMar>
            <w:vAlign w:val="center"/>
          </w:tcPr>
          <w:p w14:paraId="2CC18BC5">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0.0003</w:t>
            </w:r>
          </w:p>
        </w:tc>
        <w:tc>
          <w:tcPr>
            <w:tcW w:w="834" w:type="dxa"/>
            <w:tcBorders>
              <w:tl2br w:val="nil"/>
              <w:tr2bl w:val="nil"/>
            </w:tcBorders>
            <w:shd w:val="clear" w:color="auto" w:fill="auto"/>
            <w:noWrap/>
            <w:tcMar>
              <w:top w:w="15" w:type="dxa"/>
              <w:left w:w="15" w:type="dxa"/>
              <w:bottom w:w="0" w:type="dxa"/>
              <w:right w:w="15" w:type="dxa"/>
            </w:tcMar>
            <w:vAlign w:val="center"/>
          </w:tcPr>
          <w:p w14:paraId="4021F010">
            <w:pPr>
              <w:autoSpaceDE/>
              <w:autoSpaceDN/>
              <w:spacing w:before="0" w:after="0" w:line="240" w:lineRule="auto"/>
              <w:ind w:left="0" w:leftChars="0" w:firstLine="0" w:firstLineChars="0"/>
              <w:jc w:val="center"/>
              <w:rPr>
                <w:rFonts w:hint="default" w:ascii="Times New Roman" w:hAnsi="Times New Roman" w:eastAsia="宋体" w:cs="Times New Roman"/>
                <w:color w:val="auto"/>
                <w:sz w:val="21"/>
                <w:szCs w:val="18"/>
                <w:highlight w:val="none"/>
                <w:lang w:val="en-US" w:eastAsia="zh-CN" w:bidi="ar-SA"/>
              </w:rPr>
            </w:pPr>
            <w:r>
              <w:rPr>
                <w:rFonts w:hint="eastAsia" w:cs="Times New Roman"/>
                <w:color w:val="auto"/>
                <w:sz w:val="21"/>
                <w:szCs w:val="18"/>
                <w:highlight w:val="none"/>
                <w:lang w:val="en-US" w:eastAsia="zh-CN"/>
              </w:rPr>
              <w:t>3600</w:t>
            </w:r>
          </w:p>
        </w:tc>
      </w:tr>
      <w:bookmarkEnd w:id="144"/>
    </w:tbl>
    <w:p w14:paraId="4C34CEC3">
      <w:pPr>
        <w:pStyle w:val="6"/>
        <w:rPr>
          <w:rFonts w:hint="default" w:ascii="Times New Roman" w:hAnsi="Times New Roman" w:cs="Times New Roman"/>
        </w:rPr>
      </w:pPr>
    </w:p>
    <w:p w14:paraId="7B693841">
      <w:pPr>
        <w:pStyle w:val="6"/>
        <w:rPr>
          <w:rFonts w:hint="default" w:ascii="Times New Roman" w:hAnsi="Times New Roman" w:cs="Times New Roma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docGrid w:linePitch="312" w:charSpace="0"/>
        </w:sectPr>
      </w:pPr>
    </w:p>
    <w:p w14:paraId="674DCE18">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3.8.2.3废水污染源源强核算</w:t>
      </w:r>
    </w:p>
    <w:p w14:paraId="71FA1F24">
      <w:pPr>
        <w:pStyle w:val="6"/>
        <w:rPr>
          <w:rFonts w:hint="default" w:ascii="Times New Roman" w:hAnsi="Times New Roman" w:cs="Times New Roman"/>
        </w:rPr>
      </w:pPr>
      <w:r>
        <w:rPr>
          <w:rFonts w:hint="default" w:ascii="Times New Roman" w:hAnsi="Times New Roman" w:cs="Times New Roman"/>
        </w:rPr>
        <w:t>本项目生产过程不新增生产用水，故无生产废水排放，项目依托现水泥厂生活设施，运营期不新增劳动定员，因此无新增生活废水。</w:t>
      </w:r>
    </w:p>
    <w:p w14:paraId="15A47985">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3.8.2.4噪声污染源源强核算</w:t>
      </w:r>
    </w:p>
    <w:p w14:paraId="19AE5E12">
      <w:pPr>
        <w:pStyle w:val="6"/>
        <w:rPr>
          <w:rFonts w:hint="default" w:ascii="Times New Roman" w:hAnsi="Times New Roman" w:cs="Times New Roman"/>
        </w:rPr>
      </w:pPr>
      <w:r>
        <w:rPr>
          <w:rFonts w:hint="default" w:ascii="Times New Roman" w:hAnsi="Times New Roman" w:cs="Times New Roman"/>
        </w:rPr>
        <w:t>本项目实施后，新增噪声源主要包括危废</w:t>
      </w:r>
      <w:r>
        <w:rPr>
          <w:rFonts w:hint="eastAsia" w:cs="Times New Roman"/>
          <w:lang w:val="en-US" w:eastAsia="zh-CN"/>
        </w:rPr>
        <w:t>进料</w:t>
      </w:r>
      <w:r>
        <w:rPr>
          <w:rFonts w:hint="default" w:ascii="Times New Roman" w:hAnsi="Times New Roman" w:cs="Times New Roman"/>
        </w:rPr>
        <w:t>系统的</w:t>
      </w:r>
      <w:r>
        <w:rPr>
          <w:rFonts w:hint="eastAsia" w:cs="Times New Roman"/>
          <w:lang w:val="en-US" w:eastAsia="zh-CN"/>
        </w:rPr>
        <w:t>板喂机、打散机和输送装置</w:t>
      </w:r>
      <w:r>
        <w:rPr>
          <w:rFonts w:hint="default" w:ascii="Times New Roman" w:hAnsi="Times New Roman" w:cs="Times New Roman"/>
        </w:rPr>
        <w:t>等工作时产生噪声。各类声源的噪声级一般在75~90dB（A）之间，本项目噪声污染源源强核算结果见</w:t>
      </w:r>
      <w:r>
        <w:rPr>
          <w:rFonts w:hint="default" w:ascii="Times New Roman" w:hAnsi="Times New Roman" w:cs="Times New Roman"/>
        </w:rPr>
        <w:fldChar w:fldCharType="begin"/>
      </w:r>
      <w:r>
        <w:rPr>
          <w:rFonts w:hint="default" w:ascii="Times New Roman" w:hAnsi="Times New Roman" w:cs="Times New Roman"/>
        </w:rPr>
        <w:instrText xml:space="preserve"> REF _Ref112150239 \h  \* MERGEFORMAT </w:instrText>
      </w:r>
      <w:r>
        <w:rPr>
          <w:rFonts w:hint="default" w:ascii="Times New Roman" w:hAnsi="Times New Roman" w:cs="Times New Roman"/>
        </w:rPr>
        <w:fldChar w:fldCharType="separate"/>
      </w:r>
      <w:r>
        <w:rPr>
          <w:rFonts w:hint="default" w:ascii="Times New Roman" w:hAnsi="Times New Roman" w:cs="Times New Roman"/>
        </w:rPr>
        <w:t>表</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.8-</w:t>
      </w:r>
      <w:r>
        <w:rPr>
          <w:rFonts w:hint="eastAsia" w:cs="Times New Roman"/>
          <w:lang w:val="en-US" w:eastAsia="zh-CN"/>
        </w:rPr>
        <w:t>7</w:t>
      </w:r>
      <w:r>
        <w:rPr>
          <w:rFonts w:hint="default" w:ascii="Times New Roman" w:hAnsi="Times New Roman" w:cs="Times New Roman"/>
        </w:rPr>
        <w:t>。</w:t>
      </w:r>
    </w:p>
    <w:p w14:paraId="3D0C4AFA">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45" w:name="_Ref112150239"/>
      <w:r>
        <w:rPr>
          <w:rFonts w:hint="default" w:ascii="Times New Roman" w:hAnsi="Times New Roman" w:cs="Times New Roman"/>
          <w:b/>
          <w:bCs/>
        </w:rPr>
        <w:t>表</w:t>
      </w:r>
      <w:bookmarkEnd w:id="145"/>
      <w:r>
        <w:rPr>
          <w:rFonts w:hint="default" w:ascii="Times New Roman" w:hAnsi="Times New Roman" w:cs="Times New Roman"/>
          <w:b/>
          <w:bCs/>
          <w:lang w:val="en-US" w:eastAsia="zh-CN"/>
        </w:rPr>
        <w:t>3.8-</w:t>
      </w:r>
      <w:r>
        <w:rPr>
          <w:rFonts w:hint="eastAsia" w:cs="Times New Roman"/>
          <w:b/>
          <w:bCs/>
          <w:lang w:val="en-US" w:eastAsia="zh-CN"/>
        </w:rPr>
        <w:t>7</w:t>
      </w:r>
      <w:r>
        <w:rPr>
          <w:rFonts w:hint="default" w:ascii="Times New Roman" w:hAnsi="Times New Roman" w:cs="Times New Roman"/>
          <w:b/>
          <w:bCs/>
        </w:rPr>
        <w:t xml:space="preserve"> 本项目噪声污染源源强核算结果及相关参数</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15"/>
        <w:gridCol w:w="494"/>
        <w:gridCol w:w="863"/>
        <w:gridCol w:w="469"/>
        <w:gridCol w:w="646"/>
        <w:gridCol w:w="875"/>
        <w:gridCol w:w="888"/>
        <w:gridCol w:w="723"/>
        <w:gridCol w:w="1027"/>
        <w:gridCol w:w="540"/>
        <w:gridCol w:w="841"/>
        <w:gridCol w:w="449"/>
      </w:tblGrid>
      <w:tr w14:paraId="001C5B0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14" w:hRule="atLeast"/>
        </w:trPr>
        <w:tc>
          <w:tcPr>
            <w:tcW w:w="308" w:type="pct"/>
            <w:vMerge w:val="restart"/>
            <w:tcBorders>
              <w:tl2br w:val="nil"/>
              <w:tr2bl w:val="nil"/>
            </w:tcBorders>
            <w:shd w:val="clear" w:color="auto" w:fill="auto"/>
            <w:tcMar>
              <w:top w:w="15" w:type="dxa"/>
              <w:left w:w="15" w:type="dxa"/>
              <w:bottom w:w="0" w:type="dxa"/>
              <w:right w:w="15" w:type="dxa"/>
            </w:tcMar>
            <w:vAlign w:val="center"/>
          </w:tcPr>
          <w:p w14:paraId="0157B84C">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工序/生产线</w:t>
            </w:r>
          </w:p>
        </w:tc>
        <w:tc>
          <w:tcPr>
            <w:tcW w:w="296" w:type="pct"/>
            <w:vMerge w:val="restart"/>
            <w:tcBorders>
              <w:tl2br w:val="nil"/>
              <w:tr2bl w:val="nil"/>
            </w:tcBorders>
            <w:shd w:val="clear" w:color="auto" w:fill="auto"/>
            <w:noWrap/>
            <w:tcMar>
              <w:top w:w="15" w:type="dxa"/>
              <w:left w:w="15" w:type="dxa"/>
              <w:bottom w:w="0" w:type="dxa"/>
              <w:right w:w="15" w:type="dxa"/>
            </w:tcMar>
            <w:vAlign w:val="center"/>
          </w:tcPr>
          <w:p w14:paraId="6A47C14B">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装置</w:t>
            </w:r>
          </w:p>
        </w:tc>
        <w:tc>
          <w:tcPr>
            <w:tcW w:w="517" w:type="pct"/>
            <w:vMerge w:val="restart"/>
            <w:tcBorders>
              <w:tl2br w:val="nil"/>
              <w:tr2bl w:val="nil"/>
            </w:tcBorders>
            <w:shd w:val="clear" w:color="auto" w:fill="auto"/>
            <w:noWrap/>
            <w:tcMar>
              <w:top w:w="15" w:type="dxa"/>
              <w:left w:w="15" w:type="dxa"/>
              <w:bottom w:w="0" w:type="dxa"/>
              <w:right w:w="15" w:type="dxa"/>
            </w:tcMar>
            <w:vAlign w:val="center"/>
          </w:tcPr>
          <w:p w14:paraId="0E44B1A1">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噪声源</w:t>
            </w:r>
          </w:p>
        </w:tc>
        <w:tc>
          <w:tcPr>
            <w:tcW w:w="281" w:type="pct"/>
            <w:vMerge w:val="restart"/>
            <w:tcBorders>
              <w:tl2br w:val="nil"/>
              <w:tr2bl w:val="nil"/>
            </w:tcBorders>
            <w:shd w:val="clear" w:color="auto" w:fill="auto"/>
            <w:noWrap/>
            <w:tcMar>
              <w:top w:w="15" w:type="dxa"/>
              <w:left w:w="15" w:type="dxa"/>
              <w:bottom w:w="0" w:type="dxa"/>
              <w:right w:w="15" w:type="dxa"/>
            </w:tcMar>
            <w:vAlign w:val="center"/>
          </w:tcPr>
          <w:p w14:paraId="6697751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数量</w:t>
            </w:r>
          </w:p>
        </w:tc>
        <w:tc>
          <w:tcPr>
            <w:tcW w:w="388" w:type="pct"/>
            <w:vMerge w:val="restart"/>
            <w:tcBorders>
              <w:tl2br w:val="nil"/>
              <w:tr2bl w:val="nil"/>
            </w:tcBorders>
            <w:shd w:val="clear" w:color="auto" w:fill="auto"/>
            <w:tcMar>
              <w:top w:w="15" w:type="dxa"/>
              <w:left w:w="15" w:type="dxa"/>
              <w:bottom w:w="0" w:type="dxa"/>
              <w:right w:w="15" w:type="dxa"/>
            </w:tcMar>
            <w:vAlign w:val="center"/>
          </w:tcPr>
          <w:p w14:paraId="1273867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声源类型（频发、偶发等）</w:t>
            </w:r>
          </w:p>
        </w:tc>
        <w:tc>
          <w:tcPr>
            <w:tcW w:w="1058" w:type="pct"/>
            <w:gridSpan w:val="2"/>
            <w:tcBorders>
              <w:tl2br w:val="nil"/>
              <w:tr2bl w:val="nil"/>
            </w:tcBorders>
            <w:shd w:val="clear" w:color="auto" w:fill="auto"/>
            <w:noWrap/>
            <w:tcMar>
              <w:top w:w="15" w:type="dxa"/>
              <w:left w:w="15" w:type="dxa"/>
              <w:bottom w:w="0" w:type="dxa"/>
              <w:right w:w="15" w:type="dxa"/>
            </w:tcMar>
            <w:vAlign w:val="center"/>
          </w:tcPr>
          <w:p w14:paraId="31B6AE9F">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噪声源强</w:t>
            </w:r>
          </w:p>
        </w:tc>
        <w:tc>
          <w:tcPr>
            <w:tcW w:w="1050" w:type="pct"/>
            <w:gridSpan w:val="2"/>
            <w:tcBorders>
              <w:tl2br w:val="nil"/>
              <w:tr2bl w:val="nil"/>
            </w:tcBorders>
            <w:shd w:val="clear" w:color="auto" w:fill="auto"/>
            <w:noWrap/>
            <w:tcMar>
              <w:top w:w="15" w:type="dxa"/>
              <w:left w:w="15" w:type="dxa"/>
              <w:bottom w:w="0" w:type="dxa"/>
              <w:right w:w="15" w:type="dxa"/>
            </w:tcMar>
            <w:vAlign w:val="center"/>
          </w:tcPr>
          <w:p w14:paraId="1398500F">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降噪措施</w:t>
            </w:r>
          </w:p>
        </w:tc>
        <w:tc>
          <w:tcPr>
            <w:tcW w:w="829" w:type="pct"/>
            <w:gridSpan w:val="2"/>
            <w:tcBorders>
              <w:tl2br w:val="nil"/>
              <w:tr2bl w:val="nil"/>
            </w:tcBorders>
            <w:shd w:val="clear" w:color="auto" w:fill="auto"/>
            <w:noWrap/>
            <w:tcMar>
              <w:top w:w="15" w:type="dxa"/>
              <w:left w:w="15" w:type="dxa"/>
              <w:bottom w:w="0" w:type="dxa"/>
              <w:right w:w="15" w:type="dxa"/>
            </w:tcMar>
            <w:vAlign w:val="center"/>
          </w:tcPr>
          <w:p w14:paraId="49C70AFB">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噪声排放量</w:t>
            </w:r>
          </w:p>
        </w:tc>
        <w:tc>
          <w:tcPr>
            <w:tcW w:w="269" w:type="pct"/>
            <w:vMerge w:val="restart"/>
            <w:tcBorders>
              <w:tl2br w:val="nil"/>
              <w:tr2bl w:val="nil"/>
            </w:tcBorders>
            <w:shd w:val="clear" w:color="auto" w:fill="auto"/>
            <w:tcMar>
              <w:top w:w="15" w:type="dxa"/>
              <w:left w:w="15" w:type="dxa"/>
              <w:bottom w:w="0" w:type="dxa"/>
              <w:right w:w="15" w:type="dxa"/>
            </w:tcMar>
            <w:vAlign w:val="center"/>
          </w:tcPr>
          <w:p w14:paraId="3BFB7DB5">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持续时间/h</w:t>
            </w:r>
          </w:p>
        </w:tc>
      </w:tr>
      <w:tr w14:paraId="23FFB9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308" w:type="pct"/>
            <w:vMerge w:val="continue"/>
            <w:tcBorders>
              <w:tl2br w:val="nil"/>
              <w:tr2bl w:val="nil"/>
            </w:tcBorders>
            <w:vAlign w:val="center"/>
          </w:tcPr>
          <w:p w14:paraId="6DBB6C5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p>
        </w:tc>
        <w:tc>
          <w:tcPr>
            <w:tcW w:w="296" w:type="pct"/>
            <w:vMerge w:val="continue"/>
            <w:tcBorders>
              <w:tl2br w:val="nil"/>
              <w:tr2bl w:val="nil"/>
            </w:tcBorders>
            <w:vAlign w:val="center"/>
          </w:tcPr>
          <w:p w14:paraId="429FD68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p>
        </w:tc>
        <w:tc>
          <w:tcPr>
            <w:tcW w:w="517" w:type="pct"/>
            <w:vMerge w:val="continue"/>
            <w:tcBorders>
              <w:tl2br w:val="nil"/>
              <w:tr2bl w:val="nil"/>
            </w:tcBorders>
            <w:vAlign w:val="center"/>
          </w:tcPr>
          <w:p w14:paraId="5181E42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p>
        </w:tc>
        <w:tc>
          <w:tcPr>
            <w:tcW w:w="281" w:type="pct"/>
            <w:vMerge w:val="continue"/>
            <w:tcBorders>
              <w:tl2br w:val="nil"/>
              <w:tr2bl w:val="nil"/>
            </w:tcBorders>
            <w:vAlign w:val="center"/>
          </w:tcPr>
          <w:p w14:paraId="0B1FC69E">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p>
        </w:tc>
        <w:tc>
          <w:tcPr>
            <w:tcW w:w="388" w:type="pct"/>
            <w:vMerge w:val="continue"/>
            <w:tcBorders>
              <w:tl2br w:val="nil"/>
              <w:tr2bl w:val="nil"/>
            </w:tcBorders>
            <w:vAlign w:val="center"/>
          </w:tcPr>
          <w:p w14:paraId="5818D8DC">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p>
        </w:tc>
        <w:tc>
          <w:tcPr>
            <w:tcW w:w="525" w:type="pct"/>
            <w:tcBorders>
              <w:tl2br w:val="nil"/>
              <w:tr2bl w:val="nil"/>
            </w:tcBorders>
            <w:shd w:val="clear" w:color="auto" w:fill="auto"/>
            <w:noWrap/>
            <w:tcMar>
              <w:top w:w="15" w:type="dxa"/>
              <w:left w:w="15" w:type="dxa"/>
              <w:bottom w:w="0" w:type="dxa"/>
              <w:right w:w="15" w:type="dxa"/>
            </w:tcMar>
            <w:vAlign w:val="center"/>
          </w:tcPr>
          <w:p w14:paraId="099872D2">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核算方法</w:t>
            </w:r>
          </w:p>
        </w:tc>
        <w:tc>
          <w:tcPr>
            <w:tcW w:w="533" w:type="pct"/>
            <w:tcBorders>
              <w:tl2br w:val="nil"/>
              <w:tr2bl w:val="nil"/>
            </w:tcBorders>
            <w:shd w:val="clear" w:color="auto" w:fill="auto"/>
            <w:noWrap/>
            <w:tcMar>
              <w:top w:w="15" w:type="dxa"/>
              <w:left w:w="15" w:type="dxa"/>
              <w:bottom w:w="0" w:type="dxa"/>
              <w:right w:w="15" w:type="dxa"/>
            </w:tcMar>
            <w:vAlign w:val="center"/>
          </w:tcPr>
          <w:p w14:paraId="6E368A90">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噪声值/dB(A)</w:t>
            </w:r>
          </w:p>
        </w:tc>
        <w:tc>
          <w:tcPr>
            <w:tcW w:w="433" w:type="pct"/>
            <w:tcBorders>
              <w:tl2br w:val="nil"/>
              <w:tr2bl w:val="nil"/>
            </w:tcBorders>
            <w:shd w:val="clear" w:color="auto" w:fill="auto"/>
            <w:noWrap/>
            <w:tcMar>
              <w:top w:w="15" w:type="dxa"/>
              <w:left w:w="15" w:type="dxa"/>
              <w:bottom w:w="0" w:type="dxa"/>
              <w:right w:w="15" w:type="dxa"/>
            </w:tcMar>
            <w:vAlign w:val="center"/>
          </w:tcPr>
          <w:p w14:paraId="2B39693A">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工艺</w:t>
            </w:r>
          </w:p>
        </w:tc>
        <w:tc>
          <w:tcPr>
            <w:tcW w:w="616" w:type="pct"/>
            <w:tcBorders>
              <w:tl2br w:val="nil"/>
              <w:tr2bl w:val="nil"/>
            </w:tcBorders>
            <w:shd w:val="clear" w:color="auto" w:fill="auto"/>
            <w:noWrap/>
            <w:tcMar>
              <w:top w:w="15" w:type="dxa"/>
              <w:left w:w="15" w:type="dxa"/>
              <w:bottom w:w="0" w:type="dxa"/>
              <w:right w:w="15" w:type="dxa"/>
            </w:tcMar>
            <w:vAlign w:val="center"/>
          </w:tcPr>
          <w:p w14:paraId="60FA205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降噪效果/dB(A)</w:t>
            </w:r>
          </w:p>
        </w:tc>
        <w:tc>
          <w:tcPr>
            <w:tcW w:w="324" w:type="pct"/>
            <w:tcBorders>
              <w:tl2br w:val="nil"/>
              <w:tr2bl w:val="nil"/>
            </w:tcBorders>
            <w:shd w:val="clear" w:color="auto" w:fill="auto"/>
            <w:noWrap/>
            <w:tcMar>
              <w:top w:w="15" w:type="dxa"/>
              <w:left w:w="15" w:type="dxa"/>
              <w:bottom w:w="0" w:type="dxa"/>
              <w:right w:w="15" w:type="dxa"/>
            </w:tcMar>
            <w:vAlign w:val="center"/>
          </w:tcPr>
          <w:p w14:paraId="24A469D0">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核算方法</w:t>
            </w:r>
          </w:p>
        </w:tc>
        <w:tc>
          <w:tcPr>
            <w:tcW w:w="505" w:type="pct"/>
            <w:tcBorders>
              <w:tl2br w:val="nil"/>
              <w:tr2bl w:val="nil"/>
            </w:tcBorders>
            <w:shd w:val="clear" w:color="auto" w:fill="auto"/>
            <w:noWrap/>
            <w:tcMar>
              <w:top w:w="15" w:type="dxa"/>
              <w:left w:w="15" w:type="dxa"/>
              <w:bottom w:w="0" w:type="dxa"/>
              <w:right w:w="15" w:type="dxa"/>
            </w:tcMar>
            <w:vAlign w:val="center"/>
          </w:tcPr>
          <w:p w14:paraId="3AF66576">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噪声值/dB(A)</w:t>
            </w:r>
          </w:p>
        </w:tc>
        <w:tc>
          <w:tcPr>
            <w:tcW w:w="269" w:type="pct"/>
            <w:vMerge w:val="continue"/>
            <w:tcBorders>
              <w:tl2br w:val="nil"/>
              <w:tr2bl w:val="nil"/>
            </w:tcBorders>
            <w:vAlign w:val="center"/>
          </w:tcPr>
          <w:p w14:paraId="3D9BE4A0">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p>
        </w:tc>
      </w:tr>
      <w:tr w14:paraId="30AF364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308" w:type="pct"/>
            <w:vMerge w:val="restart"/>
            <w:tcBorders>
              <w:tl2br w:val="nil"/>
              <w:tr2bl w:val="nil"/>
            </w:tcBorders>
            <w:shd w:val="clear" w:color="auto" w:fill="auto"/>
            <w:tcMar>
              <w:top w:w="15" w:type="dxa"/>
              <w:left w:w="15" w:type="dxa"/>
              <w:bottom w:w="0" w:type="dxa"/>
              <w:right w:w="15" w:type="dxa"/>
            </w:tcMar>
            <w:vAlign w:val="center"/>
          </w:tcPr>
          <w:p w14:paraId="64E2AD06">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协同处置</w:t>
            </w:r>
          </w:p>
        </w:tc>
        <w:tc>
          <w:tcPr>
            <w:tcW w:w="296" w:type="pct"/>
            <w:vMerge w:val="restart"/>
            <w:tcBorders>
              <w:tl2br w:val="nil"/>
              <w:tr2bl w:val="nil"/>
            </w:tcBorders>
            <w:shd w:val="clear" w:color="auto" w:fill="auto"/>
            <w:tcMar>
              <w:top w:w="15" w:type="dxa"/>
              <w:left w:w="15" w:type="dxa"/>
              <w:bottom w:w="0" w:type="dxa"/>
              <w:right w:w="15" w:type="dxa"/>
            </w:tcMar>
            <w:vAlign w:val="center"/>
          </w:tcPr>
          <w:p w14:paraId="5758B85E">
            <w:pPr>
              <w:pStyle w:val="52"/>
              <w:spacing w:before="0" w:after="0" w:line="240" w:lineRule="auto"/>
              <w:ind w:left="0" w:firstLine="0"/>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进料系统</w:t>
            </w:r>
          </w:p>
        </w:tc>
        <w:tc>
          <w:tcPr>
            <w:tcW w:w="517" w:type="pct"/>
            <w:tcBorders>
              <w:tl2br w:val="nil"/>
              <w:tr2bl w:val="nil"/>
            </w:tcBorders>
            <w:shd w:val="clear" w:color="auto" w:fill="auto"/>
            <w:noWrap/>
            <w:tcMar>
              <w:top w:w="15" w:type="dxa"/>
              <w:left w:w="15" w:type="dxa"/>
              <w:bottom w:w="0" w:type="dxa"/>
              <w:right w:w="15" w:type="dxa"/>
            </w:tcMar>
            <w:vAlign w:val="bottom"/>
          </w:tcPr>
          <w:p w14:paraId="2910942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抓斗桥式起重机</w:t>
            </w:r>
          </w:p>
        </w:tc>
        <w:tc>
          <w:tcPr>
            <w:tcW w:w="281" w:type="pct"/>
            <w:tcBorders>
              <w:tl2br w:val="nil"/>
              <w:tr2bl w:val="nil"/>
            </w:tcBorders>
            <w:shd w:val="clear" w:color="auto" w:fill="auto"/>
            <w:noWrap/>
            <w:tcMar>
              <w:top w:w="15" w:type="dxa"/>
              <w:left w:w="15" w:type="dxa"/>
              <w:bottom w:w="0" w:type="dxa"/>
              <w:right w:w="15" w:type="dxa"/>
            </w:tcMar>
            <w:vAlign w:val="center"/>
          </w:tcPr>
          <w:p w14:paraId="43185BA8">
            <w:pPr>
              <w:pStyle w:val="52"/>
              <w:spacing w:before="0" w:after="0" w:line="240" w:lineRule="auto"/>
              <w:ind w:left="0" w:firstLine="0"/>
              <w:rPr>
                <w:rFonts w:hint="default" w:ascii="Times New Roman" w:hAnsi="Times New Roman" w:eastAsia="宋体" w:cs="Times New Roman"/>
                <w:color w:val="000000" w:themeColor="text1"/>
                <w:sz w:val="21"/>
                <w:szCs w:val="18"/>
                <w:lang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1</w:t>
            </w:r>
          </w:p>
        </w:tc>
        <w:tc>
          <w:tcPr>
            <w:tcW w:w="388" w:type="pct"/>
            <w:tcBorders>
              <w:tl2br w:val="nil"/>
              <w:tr2bl w:val="nil"/>
            </w:tcBorders>
            <w:shd w:val="clear" w:color="auto" w:fill="auto"/>
            <w:noWrap/>
            <w:tcMar>
              <w:top w:w="15" w:type="dxa"/>
              <w:left w:w="15" w:type="dxa"/>
              <w:bottom w:w="0" w:type="dxa"/>
              <w:right w:w="15" w:type="dxa"/>
            </w:tcMar>
            <w:vAlign w:val="center"/>
          </w:tcPr>
          <w:p w14:paraId="470DC53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频发</w:t>
            </w:r>
          </w:p>
        </w:tc>
        <w:tc>
          <w:tcPr>
            <w:tcW w:w="525" w:type="pct"/>
            <w:tcBorders>
              <w:tl2br w:val="nil"/>
              <w:tr2bl w:val="nil"/>
            </w:tcBorders>
            <w:shd w:val="clear" w:color="auto" w:fill="auto"/>
            <w:noWrap/>
            <w:tcMar>
              <w:top w:w="15" w:type="dxa"/>
              <w:left w:w="15" w:type="dxa"/>
              <w:bottom w:w="0" w:type="dxa"/>
              <w:right w:w="15" w:type="dxa"/>
            </w:tcMar>
            <w:vAlign w:val="center"/>
          </w:tcPr>
          <w:p w14:paraId="3F1A07E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类比</w:t>
            </w:r>
          </w:p>
        </w:tc>
        <w:tc>
          <w:tcPr>
            <w:tcW w:w="533" w:type="pct"/>
            <w:tcBorders>
              <w:tl2br w:val="nil"/>
              <w:tr2bl w:val="nil"/>
            </w:tcBorders>
            <w:shd w:val="clear" w:color="auto" w:fill="auto"/>
            <w:noWrap/>
            <w:tcMar>
              <w:top w:w="15" w:type="dxa"/>
              <w:left w:w="15" w:type="dxa"/>
              <w:bottom w:w="0" w:type="dxa"/>
              <w:right w:w="15" w:type="dxa"/>
            </w:tcMar>
            <w:vAlign w:val="center"/>
          </w:tcPr>
          <w:p w14:paraId="1809A1F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85</w:t>
            </w:r>
          </w:p>
        </w:tc>
        <w:tc>
          <w:tcPr>
            <w:tcW w:w="433" w:type="pct"/>
            <w:tcBorders>
              <w:tl2br w:val="nil"/>
              <w:tr2bl w:val="nil"/>
            </w:tcBorders>
            <w:shd w:val="clear" w:color="auto" w:fill="auto"/>
            <w:noWrap/>
            <w:tcMar>
              <w:top w:w="15" w:type="dxa"/>
              <w:left w:w="15" w:type="dxa"/>
              <w:bottom w:w="0" w:type="dxa"/>
              <w:right w:w="15" w:type="dxa"/>
            </w:tcMar>
            <w:vAlign w:val="center"/>
          </w:tcPr>
          <w:p w14:paraId="6C984F5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隔声、减振</w:t>
            </w:r>
          </w:p>
        </w:tc>
        <w:tc>
          <w:tcPr>
            <w:tcW w:w="616" w:type="pct"/>
            <w:tcBorders>
              <w:tl2br w:val="nil"/>
              <w:tr2bl w:val="nil"/>
            </w:tcBorders>
            <w:shd w:val="clear" w:color="auto" w:fill="auto"/>
            <w:noWrap/>
            <w:tcMar>
              <w:top w:w="15" w:type="dxa"/>
              <w:left w:w="15" w:type="dxa"/>
              <w:bottom w:w="0" w:type="dxa"/>
              <w:right w:w="15" w:type="dxa"/>
            </w:tcMar>
            <w:vAlign w:val="center"/>
          </w:tcPr>
          <w:p w14:paraId="085E76D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25</w:t>
            </w:r>
          </w:p>
        </w:tc>
        <w:tc>
          <w:tcPr>
            <w:tcW w:w="324" w:type="pct"/>
            <w:tcBorders>
              <w:tl2br w:val="nil"/>
              <w:tr2bl w:val="nil"/>
            </w:tcBorders>
            <w:shd w:val="clear" w:color="auto" w:fill="auto"/>
            <w:noWrap/>
            <w:tcMar>
              <w:top w:w="15" w:type="dxa"/>
              <w:left w:w="15" w:type="dxa"/>
              <w:bottom w:w="0" w:type="dxa"/>
              <w:right w:w="15" w:type="dxa"/>
            </w:tcMar>
            <w:vAlign w:val="center"/>
          </w:tcPr>
          <w:p w14:paraId="090DC0D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类比</w:t>
            </w:r>
          </w:p>
        </w:tc>
        <w:tc>
          <w:tcPr>
            <w:tcW w:w="505" w:type="pct"/>
            <w:tcBorders>
              <w:tl2br w:val="nil"/>
              <w:tr2bl w:val="nil"/>
            </w:tcBorders>
            <w:shd w:val="clear" w:color="auto" w:fill="auto"/>
            <w:noWrap/>
            <w:tcMar>
              <w:top w:w="15" w:type="dxa"/>
              <w:left w:w="15" w:type="dxa"/>
              <w:bottom w:w="0" w:type="dxa"/>
              <w:right w:w="15" w:type="dxa"/>
            </w:tcMar>
            <w:vAlign w:val="center"/>
          </w:tcPr>
          <w:p w14:paraId="397BB49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60</w:t>
            </w:r>
          </w:p>
        </w:tc>
        <w:tc>
          <w:tcPr>
            <w:tcW w:w="269" w:type="pct"/>
            <w:tcBorders>
              <w:tl2br w:val="nil"/>
              <w:tr2bl w:val="nil"/>
            </w:tcBorders>
            <w:shd w:val="clear" w:color="auto" w:fill="auto"/>
            <w:noWrap/>
            <w:tcMar>
              <w:top w:w="15" w:type="dxa"/>
              <w:left w:w="15" w:type="dxa"/>
              <w:bottom w:w="0" w:type="dxa"/>
              <w:right w:w="15" w:type="dxa"/>
            </w:tcMar>
            <w:vAlign w:val="center"/>
          </w:tcPr>
          <w:p w14:paraId="500C999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24</w:t>
            </w:r>
          </w:p>
        </w:tc>
      </w:tr>
      <w:tr w14:paraId="30E3E4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308" w:type="pct"/>
            <w:vMerge w:val="continue"/>
            <w:tcBorders>
              <w:tl2br w:val="nil"/>
              <w:tr2bl w:val="nil"/>
            </w:tcBorders>
            <w:vAlign w:val="center"/>
          </w:tcPr>
          <w:p w14:paraId="412F865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296" w:type="pct"/>
            <w:vMerge w:val="continue"/>
            <w:tcBorders>
              <w:tl2br w:val="nil"/>
              <w:tr2bl w:val="nil"/>
            </w:tcBorders>
            <w:vAlign w:val="center"/>
          </w:tcPr>
          <w:p w14:paraId="6BCFD11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517" w:type="pct"/>
            <w:tcBorders>
              <w:tl2br w:val="nil"/>
              <w:tr2bl w:val="nil"/>
            </w:tcBorders>
            <w:shd w:val="clear" w:color="auto" w:fill="auto"/>
            <w:tcMar>
              <w:top w:w="15" w:type="dxa"/>
              <w:left w:w="15" w:type="dxa"/>
              <w:bottom w:w="0" w:type="dxa"/>
              <w:right w:w="15" w:type="dxa"/>
            </w:tcMar>
            <w:vAlign w:val="center"/>
          </w:tcPr>
          <w:p w14:paraId="65E37F2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破碎机</w:t>
            </w:r>
          </w:p>
        </w:tc>
        <w:tc>
          <w:tcPr>
            <w:tcW w:w="281" w:type="pct"/>
            <w:tcBorders>
              <w:tl2br w:val="nil"/>
              <w:tr2bl w:val="nil"/>
            </w:tcBorders>
            <w:shd w:val="clear" w:color="auto" w:fill="auto"/>
            <w:tcMar>
              <w:top w:w="15" w:type="dxa"/>
              <w:left w:w="15" w:type="dxa"/>
              <w:bottom w:w="0" w:type="dxa"/>
              <w:right w:w="15" w:type="dxa"/>
            </w:tcMar>
            <w:vAlign w:val="center"/>
          </w:tcPr>
          <w:p w14:paraId="7F74B29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w:t>
            </w:r>
          </w:p>
        </w:tc>
        <w:tc>
          <w:tcPr>
            <w:tcW w:w="388" w:type="pct"/>
            <w:tcBorders>
              <w:tl2br w:val="nil"/>
              <w:tr2bl w:val="nil"/>
            </w:tcBorders>
            <w:shd w:val="clear" w:color="auto" w:fill="auto"/>
            <w:noWrap/>
            <w:tcMar>
              <w:top w:w="15" w:type="dxa"/>
              <w:left w:w="15" w:type="dxa"/>
              <w:bottom w:w="0" w:type="dxa"/>
              <w:right w:w="15" w:type="dxa"/>
            </w:tcMar>
            <w:vAlign w:val="center"/>
          </w:tcPr>
          <w:p w14:paraId="2A90E8D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频发</w:t>
            </w:r>
          </w:p>
        </w:tc>
        <w:tc>
          <w:tcPr>
            <w:tcW w:w="525" w:type="pct"/>
            <w:tcBorders>
              <w:tl2br w:val="nil"/>
              <w:tr2bl w:val="nil"/>
            </w:tcBorders>
            <w:shd w:val="clear" w:color="auto" w:fill="auto"/>
            <w:noWrap/>
            <w:tcMar>
              <w:top w:w="15" w:type="dxa"/>
              <w:left w:w="15" w:type="dxa"/>
              <w:bottom w:w="0" w:type="dxa"/>
              <w:right w:w="15" w:type="dxa"/>
            </w:tcMar>
            <w:vAlign w:val="center"/>
          </w:tcPr>
          <w:p w14:paraId="5361D82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类比</w:t>
            </w:r>
          </w:p>
        </w:tc>
        <w:tc>
          <w:tcPr>
            <w:tcW w:w="533" w:type="pct"/>
            <w:tcBorders>
              <w:tl2br w:val="nil"/>
              <w:tr2bl w:val="nil"/>
            </w:tcBorders>
            <w:shd w:val="clear" w:color="auto" w:fill="auto"/>
            <w:noWrap/>
            <w:tcMar>
              <w:top w:w="15" w:type="dxa"/>
              <w:left w:w="15" w:type="dxa"/>
              <w:bottom w:w="0" w:type="dxa"/>
              <w:right w:w="15" w:type="dxa"/>
            </w:tcMar>
            <w:vAlign w:val="center"/>
          </w:tcPr>
          <w:p w14:paraId="0462417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90</w:t>
            </w:r>
          </w:p>
        </w:tc>
        <w:tc>
          <w:tcPr>
            <w:tcW w:w="433" w:type="pct"/>
            <w:tcBorders>
              <w:tl2br w:val="nil"/>
              <w:tr2bl w:val="nil"/>
            </w:tcBorders>
            <w:shd w:val="clear" w:color="auto" w:fill="auto"/>
            <w:noWrap/>
            <w:tcMar>
              <w:top w:w="15" w:type="dxa"/>
              <w:left w:w="15" w:type="dxa"/>
              <w:bottom w:w="0" w:type="dxa"/>
              <w:right w:w="15" w:type="dxa"/>
            </w:tcMar>
            <w:vAlign w:val="center"/>
          </w:tcPr>
          <w:p w14:paraId="5EA5F9E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隔声、减振</w:t>
            </w:r>
          </w:p>
        </w:tc>
        <w:tc>
          <w:tcPr>
            <w:tcW w:w="616" w:type="pct"/>
            <w:tcBorders>
              <w:tl2br w:val="nil"/>
              <w:tr2bl w:val="nil"/>
            </w:tcBorders>
            <w:shd w:val="clear" w:color="auto" w:fill="auto"/>
            <w:noWrap/>
            <w:tcMar>
              <w:top w:w="15" w:type="dxa"/>
              <w:left w:w="15" w:type="dxa"/>
              <w:bottom w:w="0" w:type="dxa"/>
              <w:right w:w="15" w:type="dxa"/>
            </w:tcMar>
            <w:vAlign w:val="center"/>
          </w:tcPr>
          <w:p w14:paraId="073898C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25</w:t>
            </w:r>
          </w:p>
        </w:tc>
        <w:tc>
          <w:tcPr>
            <w:tcW w:w="324" w:type="pct"/>
            <w:tcBorders>
              <w:tl2br w:val="nil"/>
              <w:tr2bl w:val="nil"/>
            </w:tcBorders>
            <w:shd w:val="clear" w:color="auto" w:fill="auto"/>
            <w:noWrap/>
            <w:tcMar>
              <w:top w:w="15" w:type="dxa"/>
              <w:left w:w="15" w:type="dxa"/>
              <w:bottom w:w="0" w:type="dxa"/>
              <w:right w:w="15" w:type="dxa"/>
            </w:tcMar>
            <w:vAlign w:val="center"/>
          </w:tcPr>
          <w:p w14:paraId="1E6A1C7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类比</w:t>
            </w:r>
          </w:p>
        </w:tc>
        <w:tc>
          <w:tcPr>
            <w:tcW w:w="505" w:type="pct"/>
            <w:tcBorders>
              <w:tl2br w:val="nil"/>
              <w:tr2bl w:val="nil"/>
            </w:tcBorders>
            <w:shd w:val="clear" w:color="auto" w:fill="auto"/>
            <w:noWrap/>
            <w:tcMar>
              <w:top w:w="15" w:type="dxa"/>
              <w:left w:w="15" w:type="dxa"/>
              <w:bottom w:w="0" w:type="dxa"/>
              <w:right w:w="15" w:type="dxa"/>
            </w:tcMar>
            <w:vAlign w:val="center"/>
          </w:tcPr>
          <w:p w14:paraId="0786950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65</w:t>
            </w:r>
          </w:p>
        </w:tc>
        <w:tc>
          <w:tcPr>
            <w:tcW w:w="269" w:type="pct"/>
            <w:tcBorders>
              <w:tl2br w:val="nil"/>
              <w:tr2bl w:val="nil"/>
            </w:tcBorders>
            <w:shd w:val="clear" w:color="auto" w:fill="auto"/>
            <w:noWrap/>
            <w:tcMar>
              <w:top w:w="15" w:type="dxa"/>
              <w:left w:w="15" w:type="dxa"/>
              <w:bottom w:w="0" w:type="dxa"/>
              <w:right w:w="15" w:type="dxa"/>
            </w:tcMar>
            <w:vAlign w:val="center"/>
          </w:tcPr>
          <w:p w14:paraId="517898B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24</w:t>
            </w:r>
          </w:p>
        </w:tc>
      </w:tr>
      <w:tr w14:paraId="3A67F14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308" w:type="pct"/>
            <w:vMerge w:val="continue"/>
            <w:tcBorders>
              <w:tl2br w:val="nil"/>
              <w:tr2bl w:val="nil"/>
            </w:tcBorders>
            <w:vAlign w:val="center"/>
          </w:tcPr>
          <w:p w14:paraId="7756482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296" w:type="pct"/>
            <w:vMerge w:val="continue"/>
            <w:tcBorders>
              <w:tl2br w:val="nil"/>
              <w:tr2bl w:val="nil"/>
            </w:tcBorders>
            <w:vAlign w:val="center"/>
          </w:tcPr>
          <w:p w14:paraId="5DAB1D2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517" w:type="pct"/>
            <w:tcBorders>
              <w:tl2br w:val="nil"/>
              <w:tr2bl w:val="nil"/>
            </w:tcBorders>
            <w:shd w:val="clear" w:color="auto" w:fill="auto"/>
            <w:tcMar>
              <w:top w:w="15" w:type="dxa"/>
              <w:left w:w="15" w:type="dxa"/>
              <w:bottom w:w="0" w:type="dxa"/>
              <w:right w:w="15" w:type="dxa"/>
            </w:tcMar>
            <w:vAlign w:val="center"/>
          </w:tcPr>
          <w:p w14:paraId="22338BF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输送装置</w:t>
            </w:r>
          </w:p>
        </w:tc>
        <w:tc>
          <w:tcPr>
            <w:tcW w:w="281" w:type="pct"/>
            <w:tcBorders>
              <w:tl2br w:val="nil"/>
              <w:tr2bl w:val="nil"/>
            </w:tcBorders>
            <w:shd w:val="clear" w:color="auto" w:fill="auto"/>
            <w:tcMar>
              <w:top w:w="15" w:type="dxa"/>
              <w:left w:w="15" w:type="dxa"/>
              <w:bottom w:w="0" w:type="dxa"/>
              <w:right w:w="15" w:type="dxa"/>
            </w:tcMar>
            <w:vAlign w:val="center"/>
          </w:tcPr>
          <w:p w14:paraId="4B8FDC7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w:t>
            </w:r>
          </w:p>
        </w:tc>
        <w:tc>
          <w:tcPr>
            <w:tcW w:w="388" w:type="pct"/>
            <w:tcBorders>
              <w:tl2br w:val="nil"/>
              <w:tr2bl w:val="nil"/>
            </w:tcBorders>
            <w:shd w:val="clear" w:color="auto" w:fill="auto"/>
            <w:noWrap/>
            <w:tcMar>
              <w:top w:w="15" w:type="dxa"/>
              <w:left w:w="15" w:type="dxa"/>
              <w:bottom w:w="0" w:type="dxa"/>
              <w:right w:w="15" w:type="dxa"/>
            </w:tcMar>
            <w:vAlign w:val="center"/>
          </w:tcPr>
          <w:p w14:paraId="09E4022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频发</w:t>
            </w:r>
          </w:p>
        </w:tc>
        <w:tc>
          <w:tcPr>
            <w:tcW w:w="525" w:type="pct"/>
            <w:tcBorders>
              <w:tl2br w:val="nil"/>
              <w:tr2bl w:val="nil"/>
            </w:tcBorders>
            <w:shd w:val="clear" w:color="auto" w:fill="auto"/>
            <w:noWrap/>
            <w:tcMar>
              <w:top w:w="15" w:type="dxa"/>
              <w:left w:w="15" w:type="dxa"/>
              <w:bottom w:w="0" w:type="dxa"/>
              <w:right w:w="15" w:type="dxa"/>
            </w:tcMar>
            <w:vAlign w:val="center"/>
          </w:tcPr>
          <w:p w14:paraId="16D546C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类比</w:t>
            </w:r>
          </w:p>
        </w:tc>
        <w:tc>
          <w:tcPr>
            <w:tcW w:w="533" w:type="pct"/>
            <w:tcBorders>
              <w:tl2br w:val="nil"/>
              <w:tr2bl w:val="nil"/>
            </w:tcBorders>
            <w:shd w:val="clear" w:color="auto" w:fill="auto"/>
            <w:noWrap/>
            <w:tcMar>
              <w:top w:w="15" w:type="dxa"/>
              <w:left w:w="15" w:type="dxa"/>
              <w:bottom w:w="0" w:type="dxa"/>
              <w:right w:w="15" w:type="dxa"/>
            </w:tcMar>
            <w:vAlign w:val="center"/>
          </w:tcPr>
          <w:p w14:paraId="0DE2029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75</w:t>
            </w:r>
          </w:p>
        </w:tc>
        <w:tc>
          <w:tcPr>
            <w:tcW w:w="433" w:type="pct"/>
            <w:tcBorders>
              <w:tl2br w:val="nil"/>
              <w:tr2bl w:val="nil"/>
            </w:tcBorders>
            <w:shd w:val="clear" w:color="auto" w:fill="auto"/>
            <w:noWrap/>
            <w:tcMar>
              <w:top w:w="15" w:type="dxa"/>
              <w:left w:w="15" w:type="dxa"/>
              <w:bottom w:w="0" w:type="dxa"/>
              <w:right w:w="15" w:type="dxa"/>
            </w:tcMar>
            <w:vAlign w:val="center"/>
          </w:tcPr>
          <w:p w14:paraId="0D14364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隔声、减振</w:t>
            </w:r>
          </w:p>
        </w:tc>
        <w:tc>
          <w:tcPr>
            <w:tcW w:w="616" w:type="pct"/>
            <w:tcBorders>
              <w:tl2br w:val="nil"/>
              <w:tr2bl w:val="nil"/>
            </w:tcBorders>
            <w:shd w:val="clear" w:color="auto" w:fill="auto"/>
            <w:noWrap/>
            <w:tcMar>
              <w:top w:w="15" w:type="dxa"/>
              <w:left w:w="15" w:type="dxa"/>
              <w:bottom w:w="0" w:type="dxa"/>
              <w:right w:w="15" w:type="dxa"/>
            </w:tcMar>
            <w:vAlign w:val="center"/>
          </w:tcPr>
          <w:p w14:paraId="065010D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25</w:t>
            </w:r>
          </w:p>
        </w:tc>
        <w:tc>
          <w:tcPr>
            <w:tcW w:w="324" w:type="pct"/>
            <w:tcBorders>
              <w:tl2br w:val="nil"/>
              <w:tr2bl w:val="nil"/>
            </w:tcBorders>
            <w:shd w:val="clear" w:color="auto" w:fill="auto"/>
            <w:noWrap/>
            <w:tcMar>
              <w:top w:w="15" w:type="dxa"/>
              <w:left w:w="15" w:type="dxa"/>
              <w:bottom w:w="0" w:type="dxa"/>
              <w:right w:w="15" w:type="dxa"/>
            </w:tcMar>
            <w:vAlign w:val="center"/>
          </w:tcPr>
          <w:p w14:paraId="4E4B8F8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类比</w:t>
            </w:r>
          </w:p>
        </w:tc>
        <w:tc>
          <w:tcPr>
            <w:tcW w:w="505" w:type="pct"/>
            <w:tcBorders>
              <w:tl2br w:val="nil"/>
              <w:tr2bl w:val="nil"/>
            </w:tcBorders>
            <w:shd w:val="clear" w:color="auto" w:fill="auto"/>
            <w:noWrap/>
            <w:tcMar>
              <w:top w:w="15" w:type="dxa"/>
              <w:left w:w="15" w:type="dxa"/>
              <w:bottom w:w="0" w:type="dxa"/>
              <w:right w:w="15" w:type="dxa"/>
            </w:tcMar>
            <w:vAlign w:val="center"/>
          </w:tcPr>
          <w:p w14:paraId="1DCFEE2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50</w:t>
            </w:r>
          </w:p>
        </w:tc>
        <w:tc>
          <w:tcPr>
            <w:tcW w:w="269" w:type="pct"/>
            <w:tcBorders>
              <w:tl2br w:val="nil"/>
              <w:tr2bl w:val="nil"/>
            </w:tcBorders>
            <w:shd w:val="clear" w:color="auto" w:fill="auto"/>
            <w:noWrap/>
            <w:tcMar>
              <w:top w:w="15" w:type="dxa"/>
              <w:left w:w="15" w:type="dxa"/>
              <w:bottom w:w="0" w:type="dxa"/>
              <w:right w:w="15" w:type="dxa"/>
            </w:tcMar>
            <w:vAlign w:val="center"/>
          </w:tcPr>
          <w:p w14:paraId="795E2DC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24</w:t>
            </w:r>
          </w:p>
        </w:tc>
      </w:tr>
    </w:tbl>
    <w:p w14:paraId="05E417B8">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3.8.2.5固体废物污染源源强核算</w:t>
      </w:r>
    </w:p>
    <w:p w14:paraId="640AFAAA">
      <w:pPr>
        <w:pStyle w:val="6"/>
        <w:rPr>
          <w:rFonts w:hint="default" w:ascii="Times New Roman" w:hAnsi="Times New Roman" w:cs="Times New Roman"/>
          <w:color w:val="auto"/>
        </w:rPr>
      </w:pPr>
      <w:r>
        <w:rPr>
          <w:rFonts w:hint="default" w:ascii="Times New Roman" w:hAnsi="Times New Roman" w:cs="Times New Roman"/>
          <w:color w:val="auto"/>
        </w:rPr>
        <w:t>（1）废物包装物</w:t>
      </w:r>
    </w:p>
    <w:p w14:paraId="182EF194">
      <w:pPr>
        <w:pStyle w:val="6"/>
        <w:rPr>
          <w:rFonts w:hint="default" w:ascii="Times New Roman" w:hAnsi="Times New Roman" w:cs="Times New Roman"/>
          <w:color w:val="auto"/>
        </w:rPr>
      </w:pPr>
      <w:bookmarkStart w:id="146" w:name="_Hlk150983120"/>
      <w:r>
        <w:rPr>
          <w:rFonts w:hint="default" w:ascii="Times New Roman" w:hAnsi="Times New Roman" w:cs="Times New Roman"/>
          <w:color w:val="auto"/>
        </w:rPr>
        <w:t>本项目预计产生不可重复使用废包装物约</w:t>
      </w:r>
      <w:r>
        <w:rPr>
          <w:rFonts w:hint="default" w:ascii="Times New Roman" w:hAnsi="Times New Roman" w:cs="Times New Roman"/>
          <w:color w:val="auto"/>
          <w:lang w:val="en-US" w:eastAsia="zh-CN"/>
        </w:rPr>
        <w:t>2.5</w:t>
      </w:r>
      <w:r>
        <w:rPr>
          <w:rFonts w:hint="default" w:ascii="Times New Roman" w:hAnsi="Times New Roman" w:cs="Times New Roman"/>
          <w:color w:val="auto"/>
        </w:rPr>
        <w:t>t/a，对于各种盛装废物的包装物按照固态入窑废物的预处理方式处理后投入水泥窑高温区焚烧。</w:t>
      </w:r>
      <w:bookmarkEnd w:id="146"/>
    </w:p>
    <w:p w14:paraId="7703C6DF">
      <w:pPr>
        <w:pStyle w:val="6"/>
        <w:rPr>
          <w:rFonts w:hint="default" w:ascii="Times New Roman" w:hAnsi="Times New Roman" w:cs="Times New Roman"/>
          <w:color w:val="auto"/>
        </w:rPr>
      </w:pPr>
      <w:r>
        <w:rPr>
          <w:rFonts w:hint="default" w:ascii="Times New Roman" w:hAnsi="Times New Roman" w:cs="Times New Roman"/>
          <w:color w:val="auto"/>
        </w:rPr>
        <w:t>（</w:t>
      </w:r>
      <w:r>
        <w:rPr>
          <w:rFonts w:hint="eastAsia" w:cs="Times New Roman"/>
          <w:color w:val="auto"/>
          <w:lang w:val="en-US" w:eastAsia="zh-CN"/>
        </w:rPr>
        <w:t>2</w:t>
      </w:r>
      <w:r>
        <w:rPr>
          <w:rFonts w:hint="default" w:ascii="Times New Roman" w:hAnsi="Times New Roman" w:cs="Times New Roman"/>
          <w:color w:val="auto"/>
        </w:rPr>
        <w:t>）化验废物</w:t>
      </w:r>
    </w:p>
    <w:p w14:paraId="69DAC088">
      <w:pPr>
        <w:pStyle w:val="6"/>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本项目宇拓企业现有化验室进行危险废物入厂化验分析，</w:t>
      </w:r>
      <w:r>
        <w:rPr>
          <w:rFonts w:hint="default" w:ascii="Times New Roman" w:hAnsi="Times New Roman" w:cs="Times New Roman"/>
          <w:color w:val="auto"/>
        </w:rPr>
        <w:t>预计项目新增化验废物0.05t/a</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化验废物在企业既有危险</w:t>
      </w:r>
      <w:r>
        <w:rPr>
          <w:rFonts w:hint="eastAsia" w:cs="Times New Roman"/>
          <w:color w:val="auto"/>
          <w:lang w:val="en-US" w:eastAsia="zh-CN"/>
        </w:rPr>
        <w:t>废物</w:t>
      </w:r>
      <w:r>
        <w:rPr>
          <w:rFonts w:hint="eastAsia" w:ascii="Times New Roman" w:hAnsi="Times New Roman" w:cs="Times New Roman"/>
          <w:color w:val="auto"/>
          <w:lang w:val="en-US" w:eastAsia="zh-CN"/>
        </w:rPr>
        <w:t>贮存设施内储存，委托有资质单位处置。</w:t>
      </w:r>
    </w:p>
    <w:p w14:paraId="202B572A">
      <w:pPr>
        <w:pStyle w:val="6"/>
        <w:rPr>
          <w:rFonts w:hint="default" w:ascii="Times New Roman" w:hAnsi="Times New Roman" w:cs="Times New Roman"/>
        </w:rPr>
      </w:pPr>
      <w:r>
        <w:rPr>
          <w:rFonts w:hint="default" w:ascii="Times New Roman" w:hAnsi="Times New Roman" w:cs="Times New Roman"/>
        </w:rPr>
        <w:t>（3）除尘灰</w:t>
      </w:r>
    </w:p>
    <w:p w14:paraId="11A12422">
      <w:pPr>
        <w:pStyle w:val="6"/>
        <w:rPr>
          <w:rFonts w:hint="default" w:ascii="Times New Roman" w:hAnsi="Times New Roman" w:cs="Times New Roman"/>
        </w:rPr>
      </w:pPr>
      <w:r>
        <w:rPr>
          <w:rFonts w:hint="default" w:ascii="Times New Roman" w:hAnsi="Times New Roman" w:cs="Times New Roman"/>
        </w:rPr>
        <w:t>本项目固体废物预处理过程和输送过程会产生粉尘，此过程产生的颗粒物共计54.04t/a，经袋式除尘器处理后达标排放，根据上述废气污染物核算，废气排放量为0.1623t/a，产生的除尘灰53.8777t/a，除尘灰成分与固态废物成分一致，最终混入固态废物</w:t>
      </w:r>
      <w:r>
        <w:rPr>
          <w:rFonts w:hint="eastAsia" w:cs="Times New Roman"/>
          <w:lang w:val="en-US" w:eastAsia="zh-CN"/>
        </w:rPr>
        <w:t>一同</w:t>
      </w:r>
      <w:r>
        <w:rPr>
          <w:rFonts w:hint="default" w:ascii="Times New Roman" w:hAnsi="Times New Roman" w:cs="Times New Roman"/>
        </w:rPr>
        <w:t>送至分解炉高温焚烧处置。</w:t>
      </w:r>
    </w:p>
    <w:p w14:paraId="72B2204E">
      <w:pPr>
        <w:pStyle w:val="6"/>
        <w:rPr>
          <w:rFonts w:hint="default" w:ascii="Times New Roman" w:hAnsi="Times New Roman" w:cs="Times New Roman"/>
        </w:rPr>
      </w:pPr>
      <w:r>
        <w:rPr>
          <w:rFonts w:hint="default" w:ascii="Times New Roman" w:hAnsi="Times New Roman" w:cs="Times New Roman"/>
        </w:rPr>
        <w:t>本项目固体废物污染源源强核算结果见</w:t>
      </w:r>
      <w:r>
        <w:rPr>
          <w:rFonts w:hint="default" w:ascii="Times New Roman" w:hAnsi="Times New Roman" w:cs="Times New Roman"/>
        </w:rPr>
        <w:fldChar w:fldCharType="begin"/>
      </w:r>
      <w:r>
        <w:rPr>
          <w:rFonts w:hint="default" w:ascii="Times New Roman" w:hAnsi="Times New Roman" w:cs="Times New Roman"/>
        </w:rPr>
        <w:instrText xml:space="preserve"> REF _Ref111454151 \h  \* MERGEFORMAT </w:instrText>
      </w:r>
      <w:r>
        <w:rPr>
          <w:rFonts w:hint="default" w:ascii="Times New Roman" w:hAnsi="Times New Roman" w:cs="Times New Roman"/>
        </w:rPr>
        <w:fldChar w:fldCharType="separate"/>
      </w:r>
      <w:r>
        <w:rPr>
          <w:rFonts w:hint="default" w:ascii="Times New Roman" w:hAnsi="Times New Roman" w:cs="Times New Roman"/>
        </w:rPr>
        <w:t>表</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.8</w:t>
      </w:r>
      <w:r>
        <w:rPr>
          <w:rFonts w:hint="eastAsia" w:cs="Times New Roman"/>
          <w:lang w:val="en-US" w:eastAsia="zh-CN"/>
        </w:rPr>
        <w:t>-8</w:t>
      </w:r>
      <w:r>
        <w:rPr>
          <w:rFonts w:hint="default" w:ascii="Times New Roman" w:hAnsi="Times New Roman" w:cs="Times New Roman"/>
        </w:rPr>
        <w:t>。</w:t>
      </w:r>
    </w:p>
    <w:p w14:paraId="1E05942C">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47" w:name="_Ref111454151"/>
      <w:r>
        <w:rPr>
          <w:rFonts w:hint="default" w:ascii="Times New Roman" w:hAnsi="Times New Roman" w:cs="Times New Roman"/>
          <w:b/>
          <w:bCs/>
        </w:rPr>
        <w:t>表</w:t>
      </w:r>
      <w:bookmarkEnd w:id="147"/>
      <w:r>
        <w:rPr>
          <w:rFonts w:hint="default" w:ascii="Times New Roman" w:hAnsi="Times New Roman" w:cs="Times New Roman"/>
          <w:b/>
          <w:bCs/>
          <w:lang w:val="en-US" w:eastAsia="zh-CN"/>
        </w:rPr>
        <w:t>3.8-</w:t>
      </w:r>
      <w:r>
        <w:rPr>
          <w:rFonts w:hint="eastAsia" w:cs="Times New Roman"/>
          <w:b/>
          <w:bCs/>
          <w:lang w:val="en-US" w:eastAsia="zh-CN"/>
        </w:rPr>
        <w:t>8</w:t>
      </w:r>
      <w:r>
        <w:rPr>
          <w:rFonts w:hint="default" w:ascii="Times New Roman" w:hAnsi="Times New Roman" w:cs="Times New Roman"/>
          <w:b/>
          <w:bCs/>
        </w:rPr>
        <w:t xml:space="preserve"> 本项目固体废物污染源源强核算结果及相关参数</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728"/>
        <w:gridCol w:w="846"/>
        <w:gridCol w:w="846"/>
        <w:gridCol w:w="1196"/>
        <w:gridCol w:w="623"/>
        <w:gridCol w:w="899"/>
        <w:gridCol w:w="945"/>
        <w:gridCol w:w="899"/>
        <w:gridCol w:w="841"/>
      </w:tblGrid>
      <w:tr w14:paraId="3BCA9C8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9" w:type="pct"/>
            <w:vMerge w:val="restart"/>
            <w:tcBorders>
              <w:tl2br w:val="nil"/>
              <w:tr2bl w:val="nil"/>
            </w:tcBorders>
            <w:vAlign w:val="center"/>
          </w:tcPr>
          <w:p w14:paraId="562B4A14">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工序/生产线</w:t>
            </w:r>
          </w:p>
        </w:tc>
        <w:tc>
          <w:tcPr>
            <w:tcW w:w="439" w:type="pct"/>
            <w:vMerge w:val="restart"/>
            <w:tcBorders>
              <w:tl2br w:val="nil"/>
              <w:tr2bl w:val="nil"/>
            </w:tcBorders>
            <w:vAlign w:val="center"/>
          </w:tcPr>
          <w:p w14:paraId="0B9E67CE">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装置</w:t>
            </w:r>
          </w:p>
        </w:tc>
        <w:tc>
          <w:tcPr>
            <w:tcW w:w="508" w:type="pct"/>
            <w:vMerge w:val="restart"/>
            <w:tcBorders>
              <w:tl2br w:val="nil"/>
              <w:tr2bl w:val="nil"/>
            </w:tcBorders>
            <w:vAlign w:val="center"/>
          </w:tcPr>
          <w:p w14:paraId="0B4CE10A">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固体废物名称</w:t>
            </w:r>
          </w:p>
        </w:tc>
        <w:tc>
          <w:tcPr>
            <w:tcW w:w="508" w:type="pct"/>
            <w:vMerge w:val="restart"/>
            <w:tcBorders>
              <w:tl2br w:val="nil"/>
              <w:tr2bl w:val="nil"/>
            </w:tcBorders>
            <w:vAlign w:val="center"/>
          </w:tcPr>
          <w:p w14:paraId="44F10D3B">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固体废物属性</w:t>
            </w:r>
          </w:p>
        </w:tc>
        <w:tc>
          <w:tcPr>
            <w:tcW w:w="668" w:type="pct"/>
            <w:vMerge w:val="restart"/>
            <w:tcBorders>
              <w:tl2br w:val="nil"/>
              <w:tr2bl w:val="nil"/>
            </w:tcBorders>
            <w:vAlign w:val="center"/>
          </w:tcPr>
          <w:p w14:paraId="5C3B41B7">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废物代码</w:t>
            </w:r>
          </w:p>
        </w:tc>
        <w:tc>
          <w:tcPr>
            <w:tcW w:w="880" w:type="pct"/>
            <w:gridSpan w:val="2"/>
            <w:tcBorders>
              <w:tl2br w:val="nil"/>
              <w:tr2bl w:val="nil"/>
            </w:tcBorders>
            <w:vAlign w:val="center"/>
          </w:tcPr>
          <w:p w14:paraId="732A8375">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产生情况</w:t>
            </w:r>
          </w:p>
        </w:tc>
        <w:tc>
          <w:tcPr>
            <w:tcW w:w="1069" w:type="pct"/>
            <w:gridSpan w:val="2"/>
            <w:tcBorders>
              <w:tl2br w:val="nil"/>
              <w:tr2bl w:val="nil"/>
            </w:tcBorders>
            <w:vAlign w:val="center"/>
          </w:tcPr>
          <w:p w14:paraId="4E23D0F9">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处置措施</w:t>
            </w:r>
          </w:p>
        </w:tc>
        <w:tc>
          <w:tcPr>
            <w:tcW w:w="505" w:type="pct"/>
            <w:vMerge w:val="restart"/>
            <w:tcBorders>
              <w:tl2br w:val="nil"/>
              <w:tr2bl w:val="nil"/>
            </w:tcBorders>
            <w:vAlign w:val="center"/>
          </w:tcPr>
          <w:p w14:paraId="2195C4CD">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最终去向</w:t>
            </w:r>
          </w:p>
        </w:tc>
      </w:tr>
      <w:tr w14:paraId="2A31AC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9" w:type="pct"/>
            <w:vMerge w:val="continue"/>
            <w:tcBorders>
              <w:tl2br w:val="nil"/>
              <w:tr2bl w:val="nil"/>
            </w:tcBorders>
            <w:vAlign w:val="center"/>
          </w:tcPr>
          <w:p w14:paraId="7EFAA6D8">
            <w:pPr>
              <w:pStyle w:val="52"/>
              <w:spacing w:before="0" w:after="0" w:line="240" w:lineRule="auto"/>
              <w:ind w:left="0" w:firstLine="0"/>
              <w:rPr>
                <w:rFonts w:hint="default" w:ascii="Times New Roman" w:hAnsi="Times New Roman" w:cs="Times New Roman"/>
                <w:color w:val="auto"/>
                <w:sz w:val="21"/>
                <w:szCs w:val="18"/>
              </w:rPr>
            </w:pPr>
          </w:p>
        </w:tc>
        <w:tc>
          <w:tcPr>
            <w:tcW w:w="439" w:type="pct"/>
            <w:vMerge w:val="continue"/>
            <w:tcBorders>
              <w:tl2br w:val="nil"/>
              <w:tr2bl w:val="nil"/>
            </w:tcBorders>
            <w:vAlign w:val="center"/>
          </w:tcPr>
          <w:p w14:paraId="20B52D1C">
            <w:pPr>
              <w:pStyle w:val="52"/>
              <w:spacing w:before="0" w:after="0" w:line="240" w:lineRule="auto"/>
              <w:ind w:left="0" w:firstLine="0"/>
              <w:rPr>
                <w:rFonts w:hint="default" w:ascii="Times New Roman" w:hAnsi="Times New Roman" w:cs="Times New Roman"/>
                <w:color w:val="auto"/>
                <w:sz w:val="21"/>
                <w:szCs w:val="18"/>
              </w:rPr>
            </w:pPr>
          </w:p>
        </w:tc>
        <w:tc>
          <w:tcPr>
            <w:tcW w:w="508" w:type="pct"/>
            <w:vMerge w:val="continue"/>
            <w:tcBorders>
              <w:tl2br w:val="nil"/>
              <w:tr2bl w:val="nil"/>
            </w:tcBorders>
            <w:vAlign w:val="center"/>
          </w:tcPr>
          <w:p w14:paraId="446680F8">
            <w:pPr>
              <w:pStyle w:val="52"/>
              <w:spacing w:before="0" w:after="0" w:line="240" w:lineRule="auto"/>
              <w:ind w:left="0" w:firstLine="0"/>
              <w:rPr>
                <w:rFonts w:hint="default" w:ascii="Times New Roman" w:hAnsi="Times New Roman" w:cs="Times New Roman"/>
                <w:color w:val="auto"/>
                <w:sz w:val="21"/>
                <w:szCs w:val="18"/>
              </w:rPr>
            </w:pPr>
          </w:p>
        </w:tc>
        <w:tc>
          <w:tcPr>
            <w:tcW w:w="508" w:type="pct"/>
            <w:vMerge w:val="continue"/>
            <w:tcBorders>
              <w:tl2br w:val="nil"/>
              <w:tr2bl w:val="nil"/>
            </w:tcBorders>
            <w:vAlign w:val="center"/>
          </w:tcPr>
          <w:p w14:paraId="78BF9523">
            <w:pPr>
              <w:pStyle w:val="52"/>
              <w:spacing w:before="0" w:after="0" w:line="240" w:lineRule="auto"/>
              <w:ind w:left="0" w:firstLine="0"/>
              <w:rPr>
                <w:rFonts w:hint="default" w:ascii="Times New Roman" w:hAnsi="Times New Roman" w:cs="Times New Roman"/>
                <w:color w:val="auto"/>
                <w:sz w:val="21"/>
                <w:szCs w:val="18"/>
              </w:rPr>
            </w:pPr>
          </w:p>
        </w:tc>
        <w:tc>
          <w:tcPr>
            <w:tcW w:w="668" w:type="pct"/>
            <w:vMerge w:val="continue"/>
            <w:tcBorders>
              <w:tl2br w:val="nil"/>
              <w:tr2bl w:val="nil"/>
            </w:tcBorders>
            <w:vAlign w:val="center"/>
          </w:tcPr>
          <w:p w14:paraId="77463E55">
            <w:pPr>
              <w:pStyle w:val="52"/>
              <w:spacing w:before="0" w:after="0" w:line="240" w:lineRule="auto"/>
              <w:ind w:left="0" w:firstLine="0"/>
              <w:rPr>
                <w:rFonts w:hint="default" w:ascii="Times New Roman" w:hAnsi="Times New Roman" w:cs="Times New Roman"/>
                <w:color w:val="auto"/>
                <w:sz w:val="21"/>
                <w:szCs w:val="18"/>
              </w:rPr>
            </w:pPr>
          </w:p>
        </w:tc>
        <w:tc>
          <w:tcPr>
            <w:tcW w:w="377" w:type="pct"/>
            <w:tcBorders>
              <w:tl2br w:val="nil"/>
              <w:tr2bl w:val="nil"/>
            </w:tcBorders>
            <w:vAlign w:val="center"/>
          </w:tcPr>
          <w:p w14:paraId="3760018A">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核算方法</w:t>
            </w:r>
          </w:p>
        </w:tc>
        <w:tc>
          <w:tcPr>
            <w:tcW w:w="503" w:type="pct"/>
            <w:tcBorders>
              <w:tl2br w:val="nil"/>
              <w:tr2bl w:val="nil"/>
            </w:tcBorders>
            <w:vAlign w:val="center"/>
          </w:tcPr>
          <w:p w14:paraId="4FFDC9AB">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产生量/（t/a）</w:t>
            </w:r>
          </w:p>
        </w:tc>
        <w:tc>
          <w:tcPr>
            <w:tcW w:w="566" w:type="pct"/>
            <w:tcBorders>
              <w:tl2br w:val="nil"/>
              <w:tr2bl w:val="nil"/>
            </w:tcBorders>
            <w:vAlign w:val="center"/>
          </w:tcPr>
          <w:p w14:paraId="533C533F">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工艺</w:t>
            </w:r>
          </w:p>
        </w:tc>
        <w:tc>
          <w:tcPr>
            <w:tcW w:w="503" w:type="pct"/>
            <w:tcBorders>
              <w:tl2br w:val="nil"/>
              <w:tr2bl w:val="nil"/>
            </w:tcBorders>
            <w:vAlign w:val="center"/>
          </w:tcPr>
          <w:p w14:paraId="4FB1D8BE">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处置量/（t/a）</w:t>
            </w:r>
          </w:p>
        </w:tc>
        <w:tc>
          <w:tcPr>
            <w:tcW w:w="505" w:type="pct"/>
            <w:vMerge w:val="continue"/>
            <w:tcBorders>
              <w:tl2br w:val="nil"/>
              <w:tr2bl w:val="nil"/>
            </w:tcBorders>
            <w:vAlign w:val="center"/>
          </w:tcPr>
          <w:p w14:paraId="7F08FCC5">
            <w:pPr>
              <w:pStyle w:val="52"/>
              <w:spacing w:before="0" w:after="0" w:line="240" w:lineRule="auto"/>
              <w:ind w:left="0" w:firstLine="0"/>
              <w:rPr>
                <w:rFonts w:hint="default" w:ascii="Times New Roman" w:hAnsi="Times New Roman" w:cs="Times New Roman"/>
                <w:color w:val="auto"/>
                <w:sz w:val="21"/>
                <w:szCs w:val="18"/>
              </w:rPr>
            </w:pPr>
          </w:p>
        </w:tc>
      </w:tr>
      <w:tr w14:paraId="6689BEB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9" w:type="pct"/>
            <w:vMerge w:val="restart"/>
            <w:tcBorders>
              <w:tl2br w:val="nil"/>
              <w:tr2bl w:val="nil"/>
            </w:tcBorders>
            <w:vAlign w:val="center"/>
          </w:tcPr>
          <w:p w14:paraId="0363196E">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协同处置</w:t>
            </w:r>
          </w:p>
        </w:tc>
        <w:tc>
          <w:tcPr>
            <w:tcW w:w="439" w:type="pct"/>
            <w:tcBorders>
              <w:tl2br w:val="nil"/>
              <w:tr2bl w:val="nil"/>
            </w:tcBorders>
            <w:vAlign w:val="center"/>
          </w:tcPr>
          <w:p w14:paraId="463B9583">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盛装危废</w:t>
            </w:r>
          </w:p>
        </w:tc>
        <w:tc>
          <w:tcPr>
            <w:tcW w:w="508" w:type="pct"/>
            <w:tcBorders>
              <w:tl2br w:val="nil"/>
              <w:tr2bl w:val="nil"/>
            </w:tcBorders>
            <w:vAlign w:val="center"/>
          </w:tcPr>
          <w:p w14:paraId="6CBDE87D">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废包装物</w:t>
            </w:r>
          </w:p>
        </w:tc>
        <w:tc>
          <w:tcPr>
            <w:tcW w:w="508" w:type="pct"/>
            <w:tcBorders>
              <w:tl2br w:val="nil"/>
              <w:tr2bl w:val="nil"/>
            </w:tcBorders>
            <w:vAlign w:val="center"/>
          </w:tcPr>
          <w:p w14:paraId="5B9163E0">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危险</w:t>
            </w:r>
          </w:p>
          <w:p w14:paraId="77632399">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废物</w:t>
            </w:r>
          </w:p>
        </w:tc>
        <w:tc>
          <w:tcPr>
            <w:tcW w:w="668" w:type="pct"/>
            <w:tcBorders>
              <w:tl2br w:val="nil"/>
              <w:tr2bl w:val="nil"/>
            </w:tcBorders>
            <w:vAlign w:val="center"/>
          </w:tcPr>
          <w:p w14:paraId="0691CD17">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900-047-49</w:t>
            </w:r>
          </w:p>
        </w:tc>
        <w:tc>
          <w:tcPr>
            <w:tcW w:w="377" w:type="pct"/>
            <w:tcBorders>
              <w:tl2br w:val="nil"/>
              <w:tr2bl w:val="nil"/>
            </w:tcBorders>
            <w:vAlign w:val="center"/>
          </w:tcPr>
          <w:p w14:paraId="12A1F637">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类比法</w:t>
            </w:r>
          </w:p>
        </w:tc>
        <w:tc>
          <w:tcPr>
            <w:tcW w:w="503" w:type="pct"/>
            <w:tcBorders>
              <w:tl2br w:val="nil"/>
              <w:tr2bl w:val="nil"/>
            </w:tcBorders>
            <w:vAlign w:val="center"/>
          </w:tcPr>
          <w:p w14:paraId="7354356E">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2.5</w:t>
            </w:r>
          </w:p>
        </w:tc>
        <w:tc>
          <w:tcPr>
            <w:tcW w:w="566" w:type="pct"/>
            <w:tcBorders>
              <w:tl2br w:val="nil"/>
              <w:tr2bl w:val="nil"/>
            </w:tcBorders>
            <w:vAlign w:val="center"/>
          </w:tcPr>
          <w:p w14:paraId="6D61B4E2">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水泥窑协同处置</w:t>
            </w:r>
          </w:p>
        </w:tc>
        <w:tc>
          <w:tcPr>
            <w:tcW w:w="503" w:type="pct"/>
            <w:tcBorders>
              <w:tl2br w:val="nil"/>
              <w:tr2bl w:val="nil"/>
            </w:tcBorders>
            <w:vAlign w:val="center"/>
          </w:tcPr>
          <w:p w14:paraId="13C20B14">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2.5</w:t>
            </w:r>
          </w:p>
        </w:tc>
        <w:tc>
          <w:tcPr>
            <w:tcW w:w="505" w:type="pct"/>
            <w:tcBorders>
              <w:tl2br w:val="nil"/>
              <w:tr2bl w:val="nil"/>
            </w:tcBorders>
            <w:vAlign w:val="center"/>
          </w:tcPr>
          <w:p w14:paraId="28BC1E5A">
            <w:pPr>
              <w:pStyle w:val="52"/>
              <w:spacing w:before="0" w:after="0" w:line="240" w:lineRule="auto"/>
              <w:ind w:left="0" w:firstLine="0"/>
              <w:rPr>
                <w:rFonts w:hint="eastAsia"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rPr>
              <w:t>水泥窑</w:t>
            </w:r>
            <w:r>
              <w:rPr>
                <w:rFonts w:hint="eastAsia" w:ascii="Times New Roman" w:hAnsi="Times New Roman" w:cs="Times New Roman"/>
                <w:color w:val="auto"/>
                <w:sz w:val="21"/>
                <w:szCs w:val="18"/>
                <w:lang w:val="en-US" w:eastAsia="zh-CN"/>
              </w:rPr>
              <w:t>焚烧</w:t>
            </w:r>
          </w:p>
        </w:tc>
      </w:tr>
      <w:tr w14:paraId="10D2A6A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9" w:type="pct"/>
            <w:vMerge w:val="continue"/>
            <w:tcBorders>
              <w:tl2br w:val="nil"/>
              <w:tr2bl w:val="nil"/>
            </w:tcBorders>
            <w:vAlign w:val="center"/>
          </w:tcPr>
          <w:p w14:paraId="67715BA1">
            <w:pPr>
              <w:pStyle w:val="52"/>
              <w:spacing w:before="0" w:after="0" w:line="240" w:lineRule="auto"/>
              <w:ind w:left="0" w:firstLine="0"/>
              <w:rPr>
                <w:rFonts w:hint="default" w:ascii="Times New Roman" w:hAnsi="Times New Roman" w:cs="Times New Roman"/>
                <w:color w:val="auto"/>
                <w:sz w:val="21"/>
                <w:szCs w:val="18"/>
                <w:lang w:val="en-US" w:eastAsia="zh-CN"/>
              </w:rPr>
            </w:pPr>
          </w:p>
        </w:tc>
        <w:tc>
          <w:tcPr>
            <w:tcW w:w="439" w:type="pct"/>
            <w:tcBorders>
              <w:tl2br w:val="nil"/>
              <w:tr2bl w:val="nil"/>
            </w:tcBorders>
            <w:shd w:val="clear" w:color="auto" w:fill="auto"/>
            <w:vAlign w:val="center"/>
          </w:tcPr>
          <w:p w14:paraId="4DA1AFE9">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布袋除尘器</w:t>
            </w:r>
          </w:p>
        </w:tc>
        <w:tc>
          <w:tcPr>
            <w:tcW w:w="508" w:type="pct"/>
            <w:tcBorders>
              <w:tl2br w:val="nil"/>
              <w:tr2bl w:val="nil"/>
            </w:tcBorders>
            <w:shd w:val="clear" w:color="auto" w:fill="auto"/>
            <w:vAlign w:val="center"/>
          </w:tcPr>
          <w:p w14:paraId="1BE30F8A">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除尘灰</w:t>
            </w:r>
          </w:p>
        </w:tc>
        <w:tc>
          <w:tcPr>
            <w:tcW w:w="508" w:type="pct"/>
            <w:tcBorders>
              <w:tl2br w:val="nil"/>
              <w:tr2bl w:val="nil"/>
            </w:tcBorders>
            <w:shd w:val="clear" w:color="auto" w:fill="auto"/>
            <w:vAlign w:val="center"/>
          </w:tcPr>
          <w:p w14:paraId="18A2A03F">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危险废物</w:t>
            </w:r>
          </w:p>
        </w:tc>
        <w:tc>
          <w:tcPr>
            <w:tcW w:w="668" w:type="pct"/>
            <w:tcBorders>
              <w:tl2br w:val="nil"/>
              <w:tr2bl w:val="nil"/>
            </w:tcBorders>
            <w:shd w:val="clear" w:color="auto" w:fill="auto"/>
            <w:vAlign w:val="center"/>
          </w:tcPr>
          <w:p w14:paraId="75D2EB55">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900-047-49</w:t>
            </w:r>
          </w:p>
        </w:tc>
        <w:tc>
          <w:tcPr>
            <w:tcW w:w="377" w:type="pct"/>
            <w:tcBorders>
              <w:tl2br w:val="nil"/>
              <w:tr2bl w:val="nil"/>
            </w:tcBorders>
            <w:shd w:val="clear" w:color="auto" w:fill="auto"/>
            <w:vAlign w:val="center"/>
          </w:tcPr>
          <w:p w14:paraId="773D8226">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物料衡算</w:t>
            </w:r>
          </w:p>
        </w:tc>
        <w:tc>
          <w:tcPr>
            <w:tcW w:w="503" w:type="pct"/>
            <w:tcBorders>
              <w:tl2br w:val="nil"/>
              <w:tr2bl w:val="nil"/>
            </w:tcBorders>
            <w:shd w:val="clear" w:color="auto" w:fill="auto"/>
            <w:vAlign w:val="center"/>
          </w:tcPr>
          <w:p w14:paraId="51C64C3E">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sz w:val="21"/>
                <w:szCs w:val="18"/>
                <w:highlight w:val="none"/>
                <w:lang w:val="en-US" w:eastAsia="zh-CN"/>
              </w:rPr>
              <w:t>53.8777</w:t>
            </w:r>
          </w:p>
        </w:tc>
        <w:tc>
          <w:tcPr>
            <w:tcW w:w="566" w:type="pct"/>
            <w:tcBorders>
              <w:tl2br w:val="nil"/>
              <w:tr2bl w:val="nil"/>
            </w:tcBorders>
            <w:shd w:val="clear" w:color="auto" w:fill="auto"/>
            <w:vAlign w:val="center"/>
          </w:tcPr>
          <w:p w14:paraId="1F8BF111">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sz w:val="21"/>
                <w:szCs w:val="18"/>
                <w:highlight w:val="none"/>
              </w:rPr>
              <w:t>水泥窑协同处置</w:t>
            </w:r>
          </w:p>
        </w:tc>
        <w:tc>
          <w:tcPr>
            <w:tcW w:w="503" w:type="pct"/>
            <w:tcBorders>
              <w:tl2br w:val="nil"/>
              <w:tr2bl w:val="nil"/>
            </w:tcBorders>
            <w:shd w:val="clear" w:color="auto" w:fill="auto"/>
            <w:vAlign w:val="center"/>
          </w:tcPr>
          <w:p w14:paraId="72049060">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sz w:val="21"/>
                <w:szCs w:val="18"/>
                <w:highlight w:val="none"/>
                <w:lang w:val="en-US" w:eastAsia="zh-CN"/>
              </w:rPr>
              <w:t>53.8777</w:t>
            </w:r>
          </w:p>
        </w:tc>
        <w:tc>
          <w:tcPr>
            <w:tcW w:w="505" w:type="pct"/>
            <w:tcBorders>
              <w:tl2br w:val="nil"/>
              <w:tr2bl w:val="nil"/>
            </w:tcBorders>
            <w:shd w:val="clear" w:color="auto" w:fill="auto"/>
            <w:vAlign w:val="center"/>
          </w:tcPr>
          <w:p w14:paraId="26107676">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sz w:val="21"/>
                <w:szCs w:val="18"/>
                <w:highlight w:val="none"/>
              </w:rPr>
              <w:t>水泥窑</w:t>
            </w:r>
          </w:p>
        </w:tc>
      </w:tr>
      <w:tr w14:paraId="324B7AB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19" w:type="pct"/>
            <w:tcBorders>
              <w:tl2br w:val="nil"/>
              <w:tr2bl w:val="nil"/>
            </w:tcBorders>
            <w:vAlign w:val="center"/>
          </w:tcPr>
          <w:p w14:paraId="09D9777B">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lang w:val="en-US" w:eastAsia="zh-CN"/>
              </w:rPr>
              <w:t>化验系统</w:t>
            </w:r>
          </w:p>
        </w:tc>
        <w:tc>
          <w:tcPr>
            <w:tcW w:w="439" w:type="pct"/>
            <w:tcBorders>
              <w:tl2br w:val="nil"/>
              <w:tr2bl w:val="nil"/>
            </w:tcBorders>
            <w:vAlign w:val="center"/>
          </w:tcPr>
          <w:p w14:paraId="5E627A08">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化验室</w:t>
            </w:r>
          </w:p>
        </w:tc>
        <w:tc>
          <w:tcPr>
            <w:tcW w:w="508" w:type="pct"/>
            <w:tcBorders>
              <w:tl2br w:val="nil"/>
              <w:tr2bl w:val="nil"/>
            </w:tcBorders>
            <w:vAlign w:val="center"/>
          </w:tcPr>
          <w:p w14:paraId="6397E121">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化验废物</w:t>
            </w:r>
          </w:p>
        </w:tc>
        <w:tc>
          <w:tcPr>
            <w:tcW w:w="508" w:type="pct"/>
            <w:tcBorders>
              <w:tl2br w:val="nil"/>
              <w:tr2bl w:val="nil"/>
            </w:tcBorders>
            <w:vAlign w:val="center"/>
          </w:tcPr>
          <w:p w14:paraId="6D51E292">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危险废物</w:t>
            </w:r>
          </w:p>
        </w:tc>
        <w:tc>
          <w:tcPr>
            <w:tcW w:w="668" w:type="pct"/>
            <w:tcBorders>
              <w:tl2br w:val="nil"/>
              <w:tr2bl w:val="nil"/>
            </w:tcBorders>
            <w:vAlign w:val="center"/>
          </w:tcPr>
          <w:p w14:paraId="1633E0EA">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900-047-49</w:t>
            </w:r>
          </w:p>
        </w:tc>
        <w:tc>
          <w:tcPr>
            <w:tcW w:w="377" w:type="pct"/>
            <w:tcBorders>
              <w:tl2br w:val="nil"/>
              <w:tr2bl w:val="nil"/>
            </w:tcBorders>
            <w:vAlign w:val="center"/>
          </w:tcPr>
          <w:p w14:paraId="746A5A30">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类比法</w:t>
            </w:r>
          </w:p>
        </w:tc>
        <w:tc>
          <w:tcPr>
            <w:tcW w:w="503" w:type="pct"/>
            <w:tcBorders>
              <w:tl2br w:val="nil"/>
              <w:tr2bl w:val="nil"/>
            </w:tcBorders>
            <w:vAlign w:val="center"/>
          </w:tcPr>
          <w:p w14:paraId="6112DC3B">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0.05</w:t>
            </w:r>
          </w:p>
        </w:tc>
        <w:tc>
          <w:tcPr>
            <w:tcW w:w="566" w:type="pct"/>
            <w:tcBorders>
              <w:tl2br w:val="nil"/>
              <w:tr2bl w:val="nil"/>
            </w:tcBorders>
            <w:vAlign w:val="center"/>
          </w:tcPr>
          <w:p w14:paraId="19404D90">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委托有资质单位处置</w:t>
            </w:r>
          </w:p>
        </w:tc>
        <w:tc>
          <w:tcPr>
            <w:tcW w:w="503" w:type="pct"/>
            <w:tcBorders>
              <w:tl2br w:val="nil"/>
              <w:tr2bl w:val="nil"/>
            </w:tcBorders>
            <w:vAlign w:val="center"/>
          </w:tcPr>
          <w:p w14:paraId="643FD96A">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0.05</w:t>
            </w:r>
          </w:p>
        </w:tc>
        <w:tc>
          <w:tcPr>
            <w:tcW w:w="505" w:type="pct"/>
            <w:tcBorders>
              <w:tl2br w:val="nil"/>
              <w:tr2bl w:val="nil"/>
            </w:tcBorders>
            <w:vAlign w:val="center"/>
          </w:tcPr>
          <w:p w14:paraId="3F07B44D">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委托有资质单位处置</w:t>
            </w:r>
          </w:p>
        </w:tc>
      </w:tr>
    </w:tbl>
    <w:p w14:paraId="47A0D6A7">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3.8.2.6协同处置危险废物污染物排放汇总</w:t>
      </w:r>
    </w:p>
    <w:p w14:paraId="238230A9">
      <w:pPr>
        <w:pStyle w:val="6"/>
        <w:rPr>
          <w:rFonts w:hint="default" w:ascii="Times New Roman" w:hAnsi="Times New Roman" w:cs="Times New Roman"/>
        </w:rPr>
      </w:pPr>
      <w:r>
        <w:rPr>
          <w:rFonts w:hint="default" w:ascii="Times New Roman" w:hAnsi="Times New Roman" w:cs="Times New Roman"/>
        </w:rPr>
        <w:t>本项目污染物排放量统计见</w:t>
      </w:r>
      <w:r>
        <w:rPr>
          <w:rFonts w:hint="default" w:ascii="Times New Roman" w:hAnsi="Times New Roman" w:cs="Times New Roman"/>
        </w:rPr>
        <w:fldChar w:fldCharType="begin"/>
      </w:r>
      <w:r>
        <w:rPr>
          <w:rFonts w:hint="default" w:ascii="Times New Roman" w:hAnsi="Times New Roman" w:cs="Times New Roman"/>
        </w:rPr>
        <w:instrText xml:space="preserve"> REF _Ref111454505 \h  \* MERGEFORMAT </w:instrText>
      </w:r>
      <w:r>
        <w:rPr>
          <w:rFonts w:hint="default" w:ascii="Times New Roman" w:hAnsi="Times New Roman" w:cs="Times New Roman"/>
        </w:rPr>
        <w:fldChar w:fldCharType="separate"/>
      </w:r>
      <w:r>
        <w:rPr>
          <w:rFonts w:hint="default" w:ascii="Times New Roman" w:hAnsi="Times New Roman" w:cs="Times New Roman"/>
        </w:rPr>
        <w:t>表</w:t>
      </w:r>
      <w:r>
        <w:rPr>
          <w:rFonts w:hint="default" w:ascii="Times New Roman" w:hAnsi="Times New Roman" w:cs="Times New Roman"/>
          <w:lang w:val="en-US" w:eastAsia="zh-CN"/>
        </w:rPr>
        <w:t>3</w:t>
      </w:r>
      <w:r>
        <w:rPr>
          <w:rFonts w:hint="default" w:ascii="Times New Roman" w:hAnsi="Times New Roman" w:cs="Times New Roman"/>
        </w:rPr>
        <w:fldChar w:fldCharType="end"/>
      </w:r>
      <w:r>
        <w:rPr>
          <w:rFonts w:hint="default" w:ascii="Times New Roman" w:hAnsi="Times New Roman" w:cs="Times New Roman"/>
          <w:lang w:val="en-US" w:eastAsia="zh-CN"/>
        </w:rPr>
        <w:t>.8-</w:t>
      </w:r>
      <w:r>
        <w:rPr>
          <w:rFonts w:hint="eastAsia" w:cs="Times New Roman"/>
          <w:lang w:val="en-US" w:eastAsia="zh-CN"/>
        </w:rPr>
        <w:t>9</w:t>
      </w:r>
      <w:r>
        <w:rPr>
          <w:rFonts w:hint="default" w:ascii="Times New Roman" w:hAnsi="Times New Roman" w:cs="Times New Roman"/>
        </w:rPr>
        <w:t>。</w:t>
      </w:r>
    </w:p>
    <w:p w14:paraId="4F392E0A">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highlight w:val="none"/>
        </w:rPr>
      </w:pPr>
      <w:bookmarkStart w:id="148" w:name="_Ref111454505"/>
      <w:r>
        <w:rPr>
          <w:rFonts w:hint="default" w:ascii="Times New Roman" w:hAnsi="Times New Roman" w:cs="Times New Roman"/>
          <w:b/>
          <w:bCs/>
          <w:highlight w:val="none"/>
        </w:rPr>
        <w:t>表</w:t>
      </w:r>
      <w:bookmarkEnd w:id="148"/>
      <w:r>
        <w:rPr>
          <w:rFonts w:hint="default" w:ascii="Times New Roman" w:hAnsi="Times New Roman" w:cs="Times New Roman"/>
          <w:b/>
          <w:bCs/>
          <w:highlight w:val="none"/>
          <w:lang w:val="en-US" w:eastAsia="zh-CN"/>
        </w:rPr>
        <w:t>3.8-</w:t>
      </w:r>
      <w:r>
        <w:rPr>
          <w:rFonts w:hint="eastAsia" w:cs="Times New Roman"/>
          <w:b/>
          <w:bCs/>
          <w:highlight w:val="none"/>
          <w:lang w:val="en-US" w:eastAsia="zh-CN"/>
        </w:rPr>
        <w:t>9</w:t>
      </w:r>
      <w:r>
        <w:rPr>
          <w:rFonts w:hint="default" w:ascii="Times New Roman" w:hAnsi="Times New Roman" w:cs="Times New Roman"/>
          <w:b/>
          <w:bCs/>
          <w:highlight w:val="none"/>
        </w:rPr>
        <w:t xml:space="preserve"> 本项目污染物排放量统计</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474"/>
        <w:gridCol w:w="3267"/>
        <w:gridCol w:w="862"/>
        <w:gridCol w:w="862"/>
        <w:gridCol w:w="1058"/>
        <w:gridCol w:w="807"/>
      </w:tblGrid>
      <w:tr w14:paraId="63A4C61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blHeader/>
        </w:trPr>
        <w:tc>
          <w:tcPr>
            <w:tcW w:w="885" w:type="pct"/>
            <w:tcBorders>
              <w:tl2br w:val="nil"/>
              <w:tr2bl w:val="nil"/>
            </w:tcBorders>
            <w:shd w:val="clear" w:color="auto" w:fill="auto"/>
            <w:noWrap/>
            <w:tcMar>
              <w:top w:w="15" w:type="dxa"/>
              <w:left w:w="15" w:type="dxa"/>
              <w:bottom w:w="0" w:type="dxa"/>
              <w:right w:w="15" w:type="dxa"/>
            </w:tcMar>
            <w:vAlign w:val="center"/>
          </w:tcPr>
          <w:p w14:paraId="77837DB5">
            <w:pPr>
              <w:pStyle w:val="52"/>
              <w:spacing w:before="0" w:after="0" w:line="240" w:lineRule="auto"/>
              <w:ind w:left="0" w:leftChars="0" w:right="0" w:rightChars="0" w:firstLine="0" w:firstLineChars="0"/>
              <w:jc w:val="center"/>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类别</w:t>
            </w:r>
          </w:p>
        </w:tc>
        <w:tc>
          <w:tcPr>
            <w:tcW w:w="1960" w:type="pct"/>
            <w:tcBorders>
              <w:tl2br w:val="nil"/>
              <w:tr2bl w:val="nil"/>
            </w:tcBorders>
            <w:shd w:val="clear" w:color="auto" w:fill="auto"/>
            <w:noWrap/>
            <w:tcMar>
              <w:top w:w="15" w:type="dxa"/>
              <w:left w:w="15" w:type="dxa"/>
              <w:bottom w:w="0" w:type="dxa"/>
              <w:right w:w="15" w:type="dxa"/>
            </w:tcMar>
            <w:vAlign w:val="center"/>
          </w:tcPr>
          <w:p w14:paraId="376D9502">
            <w:pPr>
              <w:pStyle w:val="52"/>
              <w:spacing w:before="0" w:after="0" w:line="240" w:lineRule="auto"/>
              <w:ind w:left="0" w:leftChars="0" w:right="0" w:rightChars="0" w:firstLine="0" w:firstLineChars="0"/>
              <w:jc w:val="center"/>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污染物</w:t>
            </w:r>
          </w:p>
        </w:tc>
        <w:tc>
          <w:tcPr>
            <w:tcW w:w="517" w:type="pct"/>
            <w:tcBorders>
              <w:tl2br w:val="nil"/>
              <w:tr2bl w:val="nil"/>
            </w:tcBorders>
            <w:vAlign w:val="center"/>
          </w:tcPr>
          <w:p w14:paraId="271BBE7E">
            <w:pPr>
              <w:pStyle w:val="52"/>
              <w:spacing w:before="0" w:after="0" w:line="240" w:lineRule="auto"/>
              <w:ind w:left="0" w:leftChars="0" w:right="0" w:rightChars="0" w:firstLine="0" w:firstLineChars="0"/>
              <w:jc w:val="center"/>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单位</w:t>
            </w:r>
          </w:p>
        </w:tc>
        <w:tc>
          <w:tcPr>
            <w:tcW w:w="517" w:type="pct"/>
            <w:tcBorders>
              <w:tl2br w:val="nil"/>
              <w:tr2bl w:val="nil"/>
            </w:tcBorders>
            <w:shd w:val="clear" w:color="auto" w:fill="auto"/>
            <w:tcMar>
              <w:top w:w="15" w:type="dxa"/>
              <w:left w:w="15" w:type="dxa"/>
              <w:bottom w:w="0" w:type="dxa"/>
              <w:right w:w="15" w:type="dxa"/>
            </w:tcMar>
            <w:vAlign w:val="center"/>
          </w:tcPr>
          <w:p w14:paraId="4ECA4FF4">
            <w:pPr>
              <w:pStyle w:val="52"/>
              <w:spacing w:before="0" w:after="0" w:line="240" w:lineRule="auto"/>
              <w:ind w:left="0" w:leftChars="0" w:right="0" w:rightChars="0" w:firstLine="0" w:firstLineChars="0"/>
              <w:jc w:val="center"/>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产生量</w:t>
            </w:r>
          </w:p>
        </w:tc>
        <w:tc>
          <w:tcPr>
            <w:tcW w:w="635" w:type="pct"/>
            <w:tcBorders>
              <w:tl2br w:val="nil"/>
              <w:tr2bl w:val="nil"/>
            </w:tcBorders>
            <w:shd w:val="clear" w:color="auto" w:fill="auto"/>
            <w:tcMar>
              <w:top w:w="15" w:type="dxa"/>
              <w:left w:w="15" w:type="dxa"/>
              <w:bottom w:w="0" w:type="dxa"/>
              <w:right w:w="15" w:type="dxa"/>
            </w:tcMar>
            <w:vAlign w:val="center"/>
          </w:tcPr>
          <w:p w14:paraId="1B6A1BE4">
            <w:pPr>
              <w:pStyle w:val="52"/>
              <w:spacing w:before="0" w:after="0" w:line="240" w:lineRule="auto"/>
              <w:ind w:left="0" w:leftChars="0" w:right="0" w:rightChars="0" w:firstLine="0" w:firstLineChars="0"/>
              <w:jc w:val="center"/>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治理削减量</w:t>
            </w:r>
          </w:p>
        </w:tc>
        <w:tc>
          <w:tcPr>
            <w:tcW w:w="484" w:type="pct"/>
            <w:tcBorders>
              <w:tl2br w:val="nil"/>
              <w:tr2bl w:val="nil"/>
            </w:tcBorders>
            <w:shd w:val="clear" w:color="auto" w:fill="auto"/>
            <w:tcMar>
              <w:top w:w="15" w:type="dxa"/>
              <w:left w:w="15" w:type="dxa"/>
              <w:bottom w:w="0" w:type="dxa"/>
              <w:right w:w="15" w:type="dxa"/>
            </w:tcMar>
            <w:vAlign w:val="center"/>
          </w:tcPr>
          <w:p w14:paraId="2073DDA9">
            <w:pPr>
              <w:pStyle w:val="52"/>
              <w:spacing w:before="0" w:after="0" w:line="240" w:lineRule="auto"/>
              <w:ind w:left="0" w:leftChars="0" w:right="0" w:rightChars="0" w:firstLine="0" w:firstLineChars="0"/>
              <w:jc w:val="center"/>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排放量</w:t>
            </w:r>
          </w:p>
        </w:tc>
      </w:tr>
      <w:tr w14:paraId="567ED4A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85" w:type="pct"/>
            <w:vMerge w:val="restart"/>
            <w:tcBorders>
              <w:tl2br w:val="nil"/>
              <w:tr2bl w:val="nil"/>
            </w:tcBorders>
            <w:shd w:val="clear" w:color="auto" w:fill="auto"/>
            <w:noWrap/>
            <w:tcMar>
              <w:top w:w="15" w:type="dxa"/>
              <w:left w:w="15" w:type="dxa"/>
              <w:bottom w:w="0" w:type="dxa"/>
              <w:right w:w="15" w:type="dxa"/>
            </w:tcMar>
            <w:vAlign w:val="center"/>
          </w:tcPr>
          <w:p w14:paraId="2FDAC964">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废气</w:t>
            </w:r>
          </w:p>
        </w:tc>
        <w:tc>
          <w:tcPr>
            <w:tcW w:w="1960" w:type="pct"/>
            <w:tcBorders>
              <w:tl2br w:val="nil"/>
              <w:tr2bl w:val="nil"/>
            </w:tcBorders>
            <w:shd w:val="clear" w:color="auto" w:fill="auto"/>
            <w:noWrap/>
            <w:tcMar>
              <w:top w:w="15" w:type="dxa"/>
              <w:left w:w="15" w:type="dxa"/>
              <w:bottom w:w="0" w:type="dxa"/>
              <w:right w:w="15" w:type="dxa"/>
            </w:tcMar>
            <w:vAlign w:val="center"/>
          </w:tcPr>
          <w:p w14:paraId="284604DC">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rPr>
              <w:t>废气量</w:t>
            </w:r>
          </w:p>
        </w:tc>
        <w:tc>
          <w:tcPr>
            <w:tcW w:w="517" w:type="pct"/>
            <w:tcBorders>
              <w:tl2br w:val="nil"/>
              <w:tr2bl w:val="nil"/>
            </w:tcBorders>
            <w:shd w:val="clear" w:color="auto" w:fill="auto"/>
            <w:vAlign w:val="center"/>
          </w:tcPr>
          <w:p w14:paraId="5FEFED18">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rPr>
              <w:t>万m</w:t>
            </w:r>
            <w:r>
              <w:rPr>
                <w:rFonts w:hint="default" w:ascii="Times New Roman" w:hAnsi="Times New Roman" w:cs="Times New Roman"/>
                <w:color w:val="auto"/>
                <w:sz w:val="21"/>
                <w:szCs w:val="18"/>
                <w:vertAlign w:val="superscript"/>
              </w:rPr>
              <w:t>3</w:t>
            </w:r>
            <w:r>
              <w:rPr>
                <w:rFonts w:hint="default" w:ascii="Times New Roman" w:hAnsi="Times New Roman" w:cs="Times New Roman"/>
                <w:color w:val="auto"/>
                <w:sz w:val="21"/>
                <w:szCs w:val="18"/>
              </w:rPr>
              <w:t>/a</w:t>
            </w:r>
          </w:p>
        </w:tc>
        <w:tc>
          <w:tcPr>
            <w:tcW w:w="517" w:type="pct"/>
            <w:tcBorders>
              <w:tl2br w:val="nil"/>
              <w:tr2bl w:val="nil"/>
            </w:tcBorders>
            <w:shd w:val="clear" w:color="auto" w:fill="auto"/>
            <w:noWrap/>
            <w:tcMar>
              <w:top w:w="15" w:type="dxa"/>
              <w:left w:w="15" w:type="dxa"/>
              <w:bottom w:w="0" w:type="dxa"/>
              <w:right w:w="15" w:type="dxa"/>
            </w:tcMar>
            <w:vAlign w:val="center"/>
          </w:tcPr>
          <w:p w14:paraId="2EFBA4DF">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lang w:val="en-US" w:eastAsia="zh-CN"/>
              </w:rPr>
              <w:t>534179</w:t>
            </w:r>
          </w:p>
        </w:tc>
        <w:tc>
          <w:tcPr>
            <w:tcW w:w="635" w:type="pct"/>
            <w:tcBorders>
              <w:tl2br w:val="nil"/>
              <w:tr2bl w:val="nil"/>
            </w:tcBorders>
            <w:shd w:val="clear" w:color="auto" w:fill="auto"/>
            <w:noWrap/>
            <w:tcMar>
              <w:top w:w="15" w:type="dxa"/>
              <w:left w:w="15" w:type="dxa"/>
              <w:bottom w:w="0" w:type="dxa"/>
              <w:right w:w="15" w:type="dxa"/>
            </w:tcMar>
            <w:vAlign w:val="center"/>
          </w:tcPr>
          <w:p w14:paraId="23CE0B8D">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rPr>
              <w:t>0</w:t>
            </w:r>
          </w:p>
        </w:tc>
        <w:tc>
          <w:tcPr>
            <w:tcW w:w="484" w:type="pct"/>
            <w:tcBorders>
              <w:tl2br w:val="nil"/>
              <w:tr2bl w:val="nil"/>
            </w:tcBorders>
            <w:shd w:val="clear" w:color="auto" w:fill="auto"/>
            <w:noWrap/>
            <w:tcMar>
              <w:top w:w="15" w:type="dxa"/>
              <w:left w:w="15" w:type="dxa"/>
              <w:bottom w:w="0" w:type="dxa"/>
              <w:right w:w="15" w:type="dxa"/>
            </w:tcMar>
            <w:vAlign w:val="center"/>
          </w:tcPr>
          <w:p w14:paraId="16AF7BF3">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lang w:val="en-US" w:eastAsia="zh-CN"/>
              </w:rPr>
              <w:t>534179</w:t>
            </w:r>
          </w:p>
        </w:tc>
      </w:tr>
      <w:tr w14:paraId="1B7388B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85" w:type="pct"/>
            <w:vMerge w:val="continue"/>
            <w:tcBorders>
              <w:tl2br w:val="nil"/>
              <w:tr2bl w:val="nil"/>
            </w:tcBorders>
            <w:shd w:val="clear" w:color="auto" w:fill="auto"/>
            <w:noWrap/>
            <w:tcMar>
              <w:top w:w="15" w:type="dxa"/>
              <w:left w:w="15" w:type="dxa"/>
              <w:bottom w:w="0" w:type="dxa"/>
              <w:right w:w="15" w:type="dxa"/>
            </w:tcMar>
            <w:vAlign w:val="center"/>
          </w:tcPr>
          <w:p w14:paraId="5C69078E">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p>
        </w:tc>
        <w:tc>
          <w:tcPr>
            <w:tcW w:w="1960" w:type="pct"/>
            <w:tcBorders>
              <w:tl2br w:val="nil"/>
              <w:tr2bl w:val="nil"/>
            </w:tcBorders>
            <w:shd w:val="clear" w:color="auto" w:fill="auto"/>
            <w:noWrap/>
            <w:tcMar>
              <w:top w:w="15" w:type="dxa"/>
              <w:left w:w="15" w:type="dxa"/>
              <w:bottom w:w="0" w:type="dxa"/>
              <w:right w:w="15" w:type="dxa"/>
            </w:tcMar>
            <w:vAlign w:val="center"/>
          </w:tcPr>
          <w:p w14:paraId="40105EE7">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lang w:val="en-US" w:eastAsia="zh-CN"/>
              </w:rPr>
              <w:t>颗粒物</w:t>
            </w:r>
          </w:p>
        </w:tc>
        <w:tc>
          <w:tcPr>
            <w:tcW w:w="517" w:type="pct"/>
            <w:tcBorders>
              <w:tl2br w:val="nil"/>
              <w:tr2bl w:val="nil"/>
            </w:tcBorders>
            <w:shd w:val="clear" w:color="auto" w:fill="auto"/>
            <w:vAlign w:val="center"/>
          </w:tcPr>
          <w:p w14:paraId="55B7A519">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lang w:val="en-US" w:eastAsia="zh-CN"/>
              </w:rPr>
              <w:t>t/a</w:t>
            </w:r>
          </w:p>
        </w:tc>
        <w:tc>
          <w:tcPr>
            <w:tcW w:w="517" w:type="pct"/>
            <w:tcBorders>
              <w:tl2br w:val="nil"/>
              <w:tr2bl w:val="nil"/>
            </w:tcBorders>
            <w:shd w:val="clear" w:color="auto" w:fill="auto"/>
            <w:noWrap/>
            <w:tcMar>
              <w:top w:w="15" w:type="dxa"/>
              <w:left w:w="15" w:type="dxa"/>
              <w:bottom w:w="0" w:type="dxa"/>
              <w:right w:w="15" w:type="dxa"/>
            </w:tcMar>
            <w:vAlign w:val="center"/>
          </w:tcPr>
          <w:p w14:paraId="4E6590FC">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eastAsia" w:cs="Times New Roman"/>
                <w:color w:val="auto"/>
                <w:sz w:val="21"/>
                <w:szCs w:val="18"/>
                <w:lang w:val="en-US" w:eastAsia="zh-CN"/>
              </w:rPr>
              <w:t>54.04</w:t>
            </w:r>
          </w:p>
        </w:tc>
        <w:tc>
          <w:tcPr>
            <w:tcW w:w="635" w:type="pct"/>
            <w:tcBorders>
              <w:tl2br w:val="nil"/>
              <w:tr2bl w:val="nil"/>
            </w:tcBorders>
            <w:shd w:val="clear" w:color="auto" w:fill="auto"/>
            <w:noWrap/>
            <w:tcMar>
              <w:top w:w="15" w:type="dxa"/>
              <w:left w:w="15" w:type="dxa"/>
              <w:bottom w:w="0" w:type="dxa"/>
              <w:right w:w="15" w:type="dxa"/>
            </w:tcMar>
            <w:vAlign w:val="center"/>
          </w:tcPr>
          <w:p w14:paraId="11A10702">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default" w:ascii="Times New Roman" w:hAnsi="Times New Roman" w:cs="Times New Roman"/>
                <w:color w:val="auto"/>
                <w:sz w:val="21"/>
                <w:szCs w:val="18"/>
                <w:lang w:val="en-US" w:eastAsia="zh-CN"/>
              </w:rPr>
              <w:t>0</w:t>
            </w:r>
          </w:p>
        </w:tc>
        <w:tc>
          <w:tcPr>
            <w:tcW w:w="484" w:type="pct"/>
            <w:tcBorders>
              <w:tl2br w:val="nil"/>
              <w:tr2bl w:val="nil"/>
            </w:tcBorders>
            <w:shd w:val="clear" w:color="auto" w:fill="auto"/>
            <w:noWrap/>
            <w:tcMar>
              <w:top w:w="15" w:type="dxa"/>
              <w:left w:w="15" w:type="dxa"/>
              <w:bottom w:w="0" w:type="dxa"/>
              <w:right w:w="15" w:type="dxa"/>
            </w:tcMar>
            <w:vAlign w:val="center"/>
          </w:tcPr>
          <w:p w14:paraId="4ECD9EBB">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lang w:val="en-US" w:eastAsia="zh-CN" w:bidi="ar-SA"/>
              </w:rPr>
            </w:pPr>
            <w:r>
              <w:rPr>
                <w:rFonts w:hint="eastAsia" w:cs="Times New Roman"/>
                <w:color w:val="auto"/>
                <w:sz w:val="21"/>
                <w:szCs w:val="18"/>
                <w:lang w:val="en-US" w:eastAsia="zh-CN"/>
              </w:rPr>
              <w:t>0.1623</w:t>
            </w:r>
          </w:p>
        </w:tc>
      </w:tr>
      <w:tr w14:paraId="29CCFF0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85" w:type="pct"/>
            <w:vMerge w:val="restart"/>
            <w:tcBorders>
              <w:tl2br w:val="nil"/>
              <w:tr2bl w:val="nil"/>
            </w:tcBorders>
            <w:shd w:val="clear" w:color="auto" w:fill="auto"/>
            <w:noWrap/>
            <w:tcMar>
              <w:top w:w="15" w:type="dxa"/>
              <w:left w:w="15" w:type="dxa"/>
              <w:bottom w:w="0" w:type="dxa"/>
              <w:right w:w="15" w:type="dxa"/>
            </w:tcMar>
            <w:vAlign w:val="center"/>
          </w:tcPr>
          <w:p w14:paraId="19E01538">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固体废物</w:t>
            </w:r>
          </w:p>
        </w:tc>
        <w:tc>
          <w:tcPr>
            <w:tcW w:w="1960" w:type="pct"/>
            <w:tcBorders>
              <w:tl2br w:val="nil"/>
              <w:tr2bl w:val="nil"/>
            </w:tcBorders>
            <w:shd w:val="clear" w:color="auto" w:fill="auto"/>
            <w:noWrap/>
            <w:tcMar>
              <w:top w:w="15" w:type="dxa"/>
              <w:left w:w="15" w:type="dxa"/>
              <w:bottom w:w="0" w:type="dxa"/>
              <w:right w:w="15" w:type="dxa"/>
            </w:tcMar>
            <w:vAlign w:val="center"/>
          </w:tcPr>
          <w:p w14:paraId="3BE5DEDF">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废包装物</w:t>
            </w:r>
          </w:p>
        </w:tc>
        <w:tc>
          <w:tcPr>
            <w:tcW w:w="517" w:type="pct"/>
            <w:tcBorders>
              <w:tl2br w:val="nil"/>
              <w:tr2bl w:val="nil"/>
            </w:tcBorders>
            <w:vAlign w:val="center"/>
          </w:tcPr>
          <w:p w14:paraId="68618406">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t/a</w:t>
            </w:r>
          </w:p>
        </w:tc>
        <w:tc>
          <w:tcPr>
            <w:tcW w:w="517" w:type="pct"/>
            <w:tcBorders>
              <w:tl2br w:val="nil"/>
              <w:tr2bl w:val="nil"/>
            </w:tcBorders>
            <w:shd w:val="clear" w:color="auto" w:fill="auto"/>
            <w:noWrap/>
            <w:tcMar>
              <w:top w:w="15" w:type="dxa"/>
              <w:left w:w="15" w:type="dxa"/>
              <w:bottom w:w="0" w:type="dxa"/>
              <w:right w:w="15" w:type="dxa"/>
            </w:tcMar>
            <w:vAlign w:val="center"/>
          </w:tcPr>
          <w:p w14:paraId="56AF9D83">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2.5</w:t>
            </w:r>
          </w:p>
        </w:tc>
        <w:tc>
          <w:tcPr>
            <w:tcW w:w="635" w:type="pct"/>
            <w:tcBorders>
              <w:tl2br w:val="nil"/>
              <w:tr2bl w:val="nil"/>
            </w:tcBorders>
            <w:shd w:val="clear" w:color="auto" w:fill="auto"/>
            <w:noWrap/>
            <w:tcMar>
              <w:top w:w="15" w:type="dxa"/>
              <w:left w:w="15" w:type="dxa"/>
              <w:bottom w:w="0" w:type="dxa"/>
              <w:right w:w="15" w:type="dxa"/>
            </w:tcMar>
            <w:vAlign w:val="center"/>
          </w:tcPr>
          <w:p w14:paraId="5E275B84">
            <w:pPr>
              <w:pStyle w:val="52"/>
              <w:spacing w:before="0" w:after="0" w:line="240" w:lineRule="auto"/>
              <w:ind w:left="0" w:leftChars="0" w:right="0" w:rightChars="0" w:firstLine="0" w:firstLineChars="0"/>
              <w:jc w:val="center"/>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lang w:val="en-US" w:eastAsia="zh-CN"/>
                <w14:textFill>
                  <w14:solidFill>
                    <w14:schemeClr w14:val="tx1"/>
                  </w14:solidFill>
                </w14:textFill>
              </w:rPr>
              <w:t>2.5</w:t>
            </w:r>
          </w:p>
        </w:tc>
        <w:tc>
          <w:tcPr>
            <w:tcW w:w="484" w:type="pct"/>
            <w:tcBorders>
              <w:tl2br w:val="nil"/>
              <w:tr2bl w:val="nil"/>
            </w:tcBorders>
            <w:shd w:val="clear" w:color="auto" w:fill="auto"/>
            <w:noWrap/>
            <w:tcMar>
              <w:top w:w="15" w:type="dxa"/>
              <w:left w:w="15" w:type="dxa"/>
              <w:bottom w:w="0" w:type="dxa"/>
              <w:right w:w="15" w:type="dxa"/>
            </w:tcMar>
            <w:vAlign w:val="center"/>
          </w:tcPr>
          <w:p w14:paraId="4E6ECC82">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w:t>
            </w:r>
          </w:p>
        </w:tc>
      </w:tr>
      <w:tr w14:paraId="79AC771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85" w:type="pct"/>
            <w:vMerge w:val="continue"/>
            <w:tcBorders>
              <w:tl2br w:val="nil"/>
              <w:tr2bl w:val="nil"/>
            </w:tcBorders>
            <w:shd w:val="clear" w:color="auto" w:fill="auto"/>
            <w:noWrap/>
            <w:tcMar>
              <w:top w:w="15" w:type="dxa"/>
              <w:left w:w="15" w:type="dxa"/>
              <w:bottom w:w="0" w:type="dxa"/>
              <w:right w:w="15" w:type="dxa"/>
            </w:tcMar>
            <w:vAlign w:val="center"/>
          </w:tcPr>
          <w:p w14:paraId="1E0BAB69">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p>
        </w:tc>
        <w:tc>
          <w:tcPr>
            <w:tcW w:w="1960" w:type="pct"/>
            <w:tcBorders>
              <w:tl2br w:val="nil"/>
              <w:tr2bl w:val="nil"/>
            </w:tcBorders>
            <w:shd w:val="clear" w:color="auto" w:fill="auto"/>
            <w:noWrap/>
            <w:tcMar>
              <w:top w:w="15" w:type="dxa"/>
              <w:left w:w="15" w:type="dxa"/>
              <w:bottom w:w="0" w:type="dxa"/>
              <w:right w:w="15" w:type="dxa"/>
            </w:tcMar>
            <w:vAlign w:val="center"/>
          </w:tcPr>
          <w:p w14:paraId="60C3D204">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除尘灰</w:t>
            </w:r>
          </w:p>
        </w:tc>
        <w:tc>
          <w:tcPr>
            <w:tcW w:w="517" w:type="pct"/>
            <w:tcBorders>
              <w:tl2br w:val="nil"/>
              <w:tr2bl w:val="nil"/>
            </w:tcBorders>
            <w:shd w:val="clear" w:color="auto" w:fill="auto"/>
            <w:vAlign w:val="center"/>
          </w:tcPr>
          <w:p w14:paraId="5AC77CD0">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sz w:val="21"/>
                <w:szCs w:val="18"/>
                <w:highlight w:val="none"/>
              </w:rPr>
              <w:t>t/a</w:t>
            </w:r>
          </w:p>
        </w:tc>
        <w:tc>
          <w:tcPr>
            <w:tcW w:w="517" w:type="pct"/>
            <w:tcBorders>
              <w:tl2br w:val="nil"/>
              <w:tr2bl w:val="nil"/>
            </w:tcBorders>
            <w:shd w:val="clear" w:color="auto" w:fill="auto"/>
            <w:noWrap/>
            <w:tcMar>
              <w:top w:w="15" w:type="dxa"/>
              <w:left w:w="15" w:type="dxa"/>
              <w:bottom w:w="0" w:type="dxa"/>
              <w:right w:w="15" w:type="dxa"/>
            </w:tcMar>
            <w:vAlign w:val="center"/>
          </w:tcPr>
          <w:p w14:paraId="71234AE6">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sz w:val="21"/>
                <w:szCs w:val="18"/>
                <w:highlight w:val="none"/>
                <w:lang w:val="en-US" w:eastAsia="zh-CN"/>
              </w:rPr>
              <w:t>53.8777</w:t>
            </w:r>
          </w:p>
        </w:tc>
        <w:tc>
          <w:tcPr>
            <w:tcW w:w="635" w:type="pct"/>
            <w:tcBorders>
              <w:tl2br w:val="nil"/>
              <w:tr2bl w:val="nil"/>
            </w:tcBorders>
            <w:shd w:val="clear" w:color="auto" w:fill="auto"/>
            <w:noWrap/>
            <w:tcMar>
              <w:top w:w="15" w:type="dxa"/>
              <w:left w:w="15" w:type="dxa"/>
              <w:bottom w:w="0" w:type="dxa"/>
              <w:right w:w="15" w:type="dxa"/>
            </w:tcMar>
            <w:vAlign w:val="center"/>
          </w:tcPr>
          <w:p w14:paraId="261FD6DA">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default" w:ascii="Times New Roman" w:hAnsi="Times New Roman" w:cs="Times New Roman"/>
                <w:color w:val="auto"/>
                <w:sz w:val="21"/>
                <w:szCs w:val="18"/>
                <w:highlight w:val="none"/>
                <w:lang w:val="en-US" w:eastAsia="zh-CN"/>
              </w:rPr>
              <w:t>53.8777</w:t>
            </w:r>
          </w:p>
        </w:tc>
        <w:tc>
          <w:tcPr>
            <w:tcW w:w="484" w:type="pct"/>
            <w:tcBorders>
              <w:tl2br w:val="nil"/>
              <w:tr2bl w:val="nil"/>
            </w:tcBorders>
            <w:shd w:val="clear" w:color="auto" w:fill="auto"/>
            <w:noWrap/>
            <w:tcMar>
              <w:top w:w="15" w:type="dxa"/>
              <w:left w:w="15" w:type="dxa"/>
              <w:bottom w:w="0" w:type="dxa"/>
              <w:right w:w="15" w:type="dxa"/>
            </w:tcMar>
            <w:vAlign w:val="center"/>
          </w:tcPr>
          <w:p w14:paraId="431373C8">
            <w:pPr>
              <w:pStyle w:val="52"/>
              <w:spacing w:before="0" w:after="0" w:line="240" w:lineRule="auto"/>
              <w:ind w:left="0" w:leftChars="0" w:right="0" w:rightChars="0" w:firstLine="0" w:firstLineChars="0"/>
              <w:jc w:val="center"/>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0</w:t>
            </w:r>
          </w:p>
        </w:tc>
      </w:tr>
      <w:tr w14:paraId="4DB7824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885" w:type="pct"/>
            <w:vMerge w:val="continue"/>
            <w:tcBorders>
              <w:tl2br w:val="nil"/>
              <w:tr2bl w:val="nil"/>
            </w:tcBorders>
            <w:vAlign w:val="center"/>
          </w:tcPr>
          <w:p w14:paraId="71B86A07">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p>
        </w:tc>
        <w:tc>
          <w:tcPr>
            <w:tcW w:w="1960" w:type="pct"/>
            <w:tcBorders>
              <w:tl2br w:val="nil"/>
              <w:tr2bl w:val="nil"/>
            </w:tcBorders>
            <w:shd w:val="clear" w:color="auto" w:fill="auto"/>
            <w:noWrap/>
            <w:tcMar>
              <w:top w:w="15" w:type="dxa"/>
              <w:left w:w="15" w:type="dxa"/>
              <w:bottom w:w="0" w:type="dxa"/>
              <w:right w:w="15" w:type="dxa"/>
            </w:tcMar>
            <w:vAlign w:val="center"/>
          </w:tcPr>
          <w:p w14:paraId="5981FD57">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化验废物</w:t>
            </w:r>
          </w:p>
        </w:tc>
        <w:tc>
          <w:tcPr>
            <w:tcW w:w="517" w:type="pct"/>
            <w:tcBorders>
              <w:tl2br w:val="nil"/>
              <w:tr2bl w:val="nil"/>
            </w:tcBorders>
            <w:vAlign w:val="center"/>
          </w:tcPr>
          <w:p w14:paraId="442EA251">
            <w:pPr>
              <w:pStyle w:val="52"/>
              <w:spacing w:before="0" w:after="0" w:line="240" w:lineRule="auto"/>
              <w:ind w:left="0" w:leftChars="0" w:right="0" w:rightChars="0" w:firstLine="0" w:firstLineChars="0"/>
              <w:jc w:val="center"/>
              <w:rPr>
                <w:rFonts w:hint="default" w:ascii="Times New Roman" w:hAnsi="Times New Roman" w:eastAsia="等线"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t/a</w:t>
            </w:r>
          </w:p>
        </w:tc>
        <w:tc>
          <w:tcPr>
            <w:tcW w:w="517" w:type="pct"/>
            <w:tcBorders>
              <w:tl2br w:val="nil"/>
              <w:tr2bl w:val="nil"/>
            </w:tcBorders>
            <w:shd w:val="clear" w:color="auto" w:fill="auto"/>
            <w:noWrap/>
            <w:tcMar>
              <w:top w:w="15" w:type="dxa"/>
              <w:left w:w="15" w:type="dxa"/>
              <w:bottom w:w="0" w:type="dxa"/>
              <w:right w:w="15" w:type="dxa"/>
            </w:tcMar>
            <w:vAlign w:val="center"/>
          </w:tcPr>
          <w:p w14:paraId="39DB27F1">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0.05</w:t>
            </w:r>
          </w:p>
        </w:tc>
        <w:tc>
          <w:tcPr>
            <w:tcW w:w="635" w:type="pct"/>
            <w:tcBorders>
              <w:tl2br w:val="nil"/>
              <w:tr2bl w:val="nil"/>
            </w:tcBorders>
            <w:shd w:val="clear" w:color="auto" w:fill="auto"/>
            <w:noWrap/>
            <w:tcMar>
              <w:top w:w="15" w:type="dxa"/>
              <w:left w:w="15" w:type="dxa"/>
              <w:bottom w:w="0" w:type="dxa"/>
              <w:right w:w="15" w:type="dxa"/>
            </w:tcMar>
            <w:vAlign w:val="center"/>
          </w:tcPr>
          <w:p w14:paraId="5B5B8CE0">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0.05</w:t>
            </w:r>
          </w:p>
        </w:tc>
        <w:tc>
          <w:tcPr>
            <w:tcW w:w="484" w:type="pct"/>
            <w:tcBorders>
              <w:tl2br w:val="nil"/>
              <w:tr2bl w:val="nil"/>
            </w:tcBorders>
            <w:shd w:val="clear" w:color="auto" w:fill="auto"/>
            <w:noWrap/>
            <w:tcMar>
              <w:top w:w="15" w:type="dxa"/>
              <w:left w:w="15" w:type="dxa"/>
              <w:bottom w:w="0" w:type="dxa"/>
              <w:right w:w="15" w:type="dxa"/>
            </w:tcMar>
            <w:vAlign w:val="center"/>
          </w:tcPr>
          <w:p w14:paraId="749DC64C">
            <w:pPr>
              <w:pStyle w:val="52"/>
              <w:spacing w:before="0" w:after="0" w:line="240" w:lineRule="auto"/>
              <w:ind w:left="0" w:leftChars="0" w:right="0" w:rightChars="0" w:firstLine="0" w:firstLineChars="0"/>
              <w:jc w:val="center"/>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0</w:t>
            </w:r>
          </w:p>
        </w:tc>
      </w:tr>
    </w:tbl>
    <w:p w14:paraId="62D91835">
      <w:pPr>
        <w:pStyle w:val="52"/>
        <w:spacing w:line="360" w:lineRule="auto"/>
        <w:jc w:val="left"/>
        <w:rPr>
          <w:rFonts w:hint="default" w:ascii="Times New Roman" w:hAnsi="Times New Roman" w:cs="Times New Roman"/>
          <w:color w:val="000000" w:themeColor="text1"/>
          <w:sz w:val="18"/>
          <w:szCs w:val="15"/>
          <w14:textFill>
            <w14:solidFill>
              <w14:schemeClr w14:val="tx1"/>
            </w14:solidFill>
          </w14:textFill>
        </w:rPr>
      </w:pPr>
      <w:r>
        <w:rPr>
          <w:rFonts w:hint="default" w:ascii="Times New Roman" w:hAnsi="Times New Roman" w:cs="Times New Roman"/>
          <w:color w:val="000000" w:themeColor="text1"/>
          <w:sz w:val="18"/>
          <w:szCs w:val="15"/>
          <w14:textFill>
            <w14:solidFill>
              <w14:schemeClr w14:val="tx1"/>
            </w14:solidFill>
          </w14:textFill>
        </w:rPr>
        <w:t>注：水泥窑协同处置危险废物不会导致窑尾烟气中颗粒物、NO</w:t>
      </w:r>
      <w:r>
        <w:rPr>
          <w:rFonts w:hint="default" w:ascii="Times New Roman" w:hAnsi="Times New Roman" w:cs="Times New Roman"/>
          <w:color w:val="000000" w:themeColor="text1"/>
          <w:sz w:val="18"/>
          <w:szCs w:val="15"/>
          <w:vertAlign w:val="subscript"/>
          <w14:textFill>
            <w14:solidFill>
              <w14:schemeClr w14:val="tx1"/>
            </w14:solidFill>
          </w14:textFill>
        </w:rPr>
        <w:t>x</w:t>
      </w:r>
      <w:r>
        <w:rPr>
          <w:rFonts w:hint="default" w:ascii="Times New Roman" w:hAnsi="Times New Roman" w:cs="Times New Roman"/>
          <w:color w:val="000000" w:themeColor="text1"/>
          <w:sz w:val="18"/>
          <w:szCs w:val="15"/>
          <w14:textFill>
            <w14:solidFill>
              <w14:schemeClr w14:val="tx1"/>
            </w14:solidFill>
          </w14:textFill>
        </w:rPr>
        <w:t>、SO</w:t>
      </w:r>
      <w:r>
        <w:rPr>
          <w:rFonts w:hint="default" w:ascii="Times New Roman" w:hAnsi="Times New Roman" w:cs="Times New Roman"/>
          <w:color w:val="000000" w:themeColor="text1"/>
          <w:sz w:val="18"/>
          <w:szCs w:val="15"/>
          <w:vertAlign w:val="subscript"/>
          <w14:textFill>
            <w14:solidFill>
              <w14:schemeClr w14:val="tx1"/>
            </w14:solidFill>
          </w14:textFill>
        </w:rPr>
        <w:t>2</w:t>
      </w:r>
      <w:r>
        <w:rPr>
          <w:rFonts w:hint="default" w:ascii="Times New Roman" w:hAnsi="Times New Roman" w:cs="Times New Roman"/>
          <w:color w:val="000000" w:themeColor="text1"/>
          <w:sz w:val="18"/>
          <w:szCs w:val="15"/>
          <w14:textFill>
            <w14:solidFill>
              <w14:schemeClr w14:val="tx1"/>
            </w14:solidFill>
          </w14:textFill>
        </w:rPr>
        <w:t>、NH</w:t>
      </w:r>
      <w:r>
        <w:rPr>
          <w:rFonts w:hint="default" w:ascii="Times New Roman" w:hAnsi="Times New Roman" w:cs="Times New Roman"/>
          <w:color w:val="000000" w:themeColor="text1"/>
          <w:sz w:val="18"/>
          <w:szCs w:val="15"/>
          <w:vertAlign w:val="subscript"/>
          <w14:textFill>
            <w14:solidFill>
              <w14:schemeClr w14:val="tx1"/>
            </w14:solidFill>
          </w14:textFill>
        </w:rPr>
        <w:t>3</w:t>
      </w:r>
      <w:r>
        <w:rPr>
          <w:rFonts w:hint="default" w:ascii="Times New Roman" w:hAnsi="Times New Roman" w:cs="Times New Roman"/>
          <w:color w:val="000000" w:themeColor="text1"/>
          <w:sz w:val="18"/>
          <w:szCs w:val="15"/>
          <w14:textFill>
            <w14:solidFill>
              <w14:schemeClr w14:val="tx1"/>
            </w14:solidFill>
          </w14:textFill>
        </w:rPr>
        <w:t>等四项污染物排放量增加。</w:t>
      </w:r>
    </w:p>
    <w:p w14:paraId="643D81C9">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3.8.2.7本项目实施后污染物“三本账”汇总</w:t>
      </w:r>
    </w:p>
    <w:p w14:paraId="02831D77">
      <w:pPr>
        <w:pStyle w:val="6"/>
        <w:rPr>
          <w:rFonts w:hint="default" w:ascii="Times New Roman" w:hAnsi="Times New Roman" w:cs="Times New Roman"/>
          <w:highlight w:val="none"/>
        </w:rPr>
      </w:pPr>
      <w:r>
        <w:rPr>
          <w:rFonts w:hint="default" w:ascii="Times New Roman" w:hAnsi="Times New Roman" w:cs="Times New Roman"/>
          <w:highlight w:val="none"/>
        </w:rPr>
        <w:t>本项目实施后，在保持现水泥熟料生产线产能不变情况下，利用现有3200t/d熟料新型干法水泥生产线协同处置</w:t>
      </w:r>
      <w:r>
        <w:rPr>
          <w:rFonts w:hint="eastAsia" w:cs="Times New Roman"/>
          <w:highlight w:val="none"/>
          <w:lang w:val="en-US" w:eastAsia="zh-CN"/>
        </w:rPr>
        <w:t>由新疆兴发化工有限公司产生的</w:t>
      </w:r>
      <w:r>
        <w:rPr>
          <w:rFonts w:hint="default" w:ascii="Times New Roman" w:hAnsi="Times New Roman" w:cs="Times New Roman"/>
          <w:highlight w:val="none"/>
        </w:rPr>
        <w:t>250t/a</w:t>
      </w:r>
      <w:r>
        <w:rPr>
          <w:rFonts w:hint="eastAsia" w:cs="Times New Roman"/>
          <w:highlight w:val="none"/>
          <w:lang w:val="en-US" w:eastAsia="zh-CN"/>
        </w:rPr>
        <w:t>精蒸馏残渣（危废代码900-013-11）</w:t>
      </w:r>
      <w:r>
        <w:rPr>
          <w:rFonts w:hint="default" w:ascii="Times New Roman" w:hAnsi="Times New Roman" w:cs="Times New Roman"/>
          <w:highlight w:val="none"/>
        </w:rPr>
        <w:t>。现有工程排放量根据2025年自动监测平均值核算至满负荷工况。本项目实施后水泥窑污染物排放量统计见表3.8-1</w:t>
      </w:r>
      <w:r>
        <w:rPr>
          <w:rFonts w:hint="eastAsia" w:cs="Times New Roman"/>
          <w:highlight w:val="none"/>
          <w:lang w:val="en-US" w:eastAsia="zh-CN"/>
        </w:rPr>
        <w:t>0</w:t>
      </w:r>
      <w:r>
        <w:rPr>
          <w:rFonts w:hint="default" w:ascii="Times New Roman" w:hAnsi="Times New Roman" w:cs="Times New Roman"/>
          <w:highlight w:val="none"/>
        </w:rPr>
        <w:t>。</w:t>
      </w:r>
    </w:p>
    <w:p w14:paraId="1449D51D">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sz w:val="24"/>
          <w:szCs w:val="20"/>
          <w:highlight w:val="none"/>
        </w:rPr>
      </w:pPr>
      <w:bookmarkStart w:id="149" w:name="_Ref129691207"/>
      <w:bookmarkStart w:id="150" w:name="_Hlk151212590"/>
      <w:r>
        <w:rPr>
          <w:rFonts w:hint="default" w:ascii="Times New Roman" w:hAnsi="Times New Roman" w:cs="Times New Roman"/>
          <w:b/>
          <w:bCs/>
          <w:sz w:val="24"/>
          <w:szCs w:val="20"/>
          <w:highlight w:val="none"/>
        </w:rPr>
        <w:t>表</w:t>
      </w:r>
      <w:bookmarkEnd w:id="149"/>
      <w:r>
        <w:rPr>
          <w:rFonts w:hint="default" w:ascii="Times New Roman" w:hAnsi="Times New Roman" w:cs="Times New Roman"/>
          <w:b/>
          <w:bCs/>
          <w:sz w:val="24"/>
          <w:szCs w:val="20"/>
          <w:highlight w:val="none"/>
          <w:lang w:val="en-US" w:eastAsia="zh-CN"/>
        </w:rPr>
        <w:t>3.8-1</w:t>
      </w:r>
      <w:r>
        <w:rPr>
          <w:rFonts w:hint="eastAsia" w:cs="Times New Roman"/>
          <w:b/>
          <w:bCs/>
          <w:sz w:val="24"/>
          <w:szCs w:val="20"/>
          <w:highlight w:val="none"/>
          <w:lang w:val="en-US" w:eastAsia="zh-CN"/>
        </w:rPr>
        <w:t>0</w:t>
      </w:r>
      <w:r>
        <w:rPr>
          <w:rFonts w:hint="default" w:ascii="Times New Roman" w:hAnsi="Times New Roman" w:cs="Times New Roman"/>
          <w:b/>
          <w:bCs/>
          <w:sz w:val="24"/>
          <w:szCs w:val="20"/>
          <w:highlight w:val="none"/>
        </w:rPr>
        <w:t xml:space="preserve"> 本项目实施后水泥窑污染物排放量统计（三本帐）</w:t>
      </w:r>
    </w:p>
    <w:bookmarkEnd w:id="150"/>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24"/>
        <w:gridCol w:w="1393"/>
        <w:gridCol w:w="1152"/>
        <w:gridCol w:w="1211"/>
        <w:gridCol w:w="996"/>
        <w:gridCol w:w="1556"/>
        <w:gridCol w:w="1698"/>
      </w:tblGrid>
      <w:tr w14:paraId="66DDD77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194" w:type="pct"/>
            <w:tcBorders>
              <w:tl2br w:val="nil"/>
              <w:tr2bl w:val="nil"/>
            </w:tcBorders>
            <w:shd w:val="clear" w:color="auto" w:fill="auto"/>
            <w:noWrap/>
            <w:tcMar>
              <w:top w:w="15" w:type="dxa"/>
              <w:left w:w="15" w:type="dxa"/>
              <w:bottom w:w="0" w:type="dxa"/>
              <w:right w:w="15" w:type="dxa"/>
            </w:tcMar>
            <w:vAlign w:val="center"/>
          </w:tcPr>
          <w:p w14:paraId="0249040F">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类型</w:t>
            </w:r>
          </w:p>
        </w:tc>
        <w:tc>
          <w:tcPr>
            <w:tcW w:w="836" w:type="pct"/>
            <w:tcBorders>
              <w:tl2br w:val="nil"/>
              <w:tr2bl w:val="nil"/>
            </w:tcBorders>
            <w:shd w:val="clear" w:color="auto" w:fill="auto"/>
            <w:noWrap/>
            <w:tcMar>
              <w:top w:w="15" w:type="dxa"/>
              <w:left w:w="15" w:type="dxa"/>
              <w:bottom w:w="0" w:type="dxa"/>
              <w:right w:w="15" w:type="dxa"/>
            </w:tcMar>
            <w:vAlign w:val="center"/>
          </w:tcPr>
          <w:p w14:paraId="7B4C9F19">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污染物</w:t>
            </w:r>
          </w:p>
        </w:tc>
        <w:tc>
          <w:tcPr>
            <w:tcW w:w="691" w:type="pct"/>
            <w:tcBorders>
              <w:tl2br w:val="nil"/>
              <w:tr2bl w:val="nil"/>
            </w:tcBorders>
            <w:shd w:val="clear" w:color="auto" w:fill="auto"/>
            <w:noWrap/>
            <w:tcMar>
              <w:top w:w="15" w:type="dxa"/>
              <w:left w:w="15" w:type="dxa"/>
              <w:bottom w:w="0" w:type="dxa"/>
              <w:right w:w="15" w:type="dxa"/>
            </w:tcMar>
            <w:vAlign w:val="center"/>
          </w:tcPr>
          <w:p w14:paraId="1F1F30E2">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现有工程排放量（t/a）</w:t>
            </w:r>
          </w:p>
        </w:tc>
        <w:tc>
          <w:tcPr>
            <w:tcW w:w="727" w:type="pct"/>
            <w:tcBorders>
              <w:tl2br w:val="nil"/>
              <w:tr2bl w:val="nil"/>
            </w:tcBorders>
            <w:shd w:val="clear" w:color="auto" w:fill="auto"/>
            <w:noWrap/>
            <w:tcMar>
              <w:top w:w="15" w:type="dxa"/>
              <w:left w:w="15" w:type="dxa"/>
              <w:bottom w:w="0" w:type="dxa"/>
              <w:right w:w="15" w:type="dxa"/>
            </w:tcMar>
            <w:vAlign w:val="center"/>
          </w:tcPr>
          <w:p w14:paraId="49B35C53">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本项目排放量（t/a）</w:t>
            </w:r>
          </w:p>
        </w:tc>
        <w:tc>
          <w:tcPr>
            <w:tcW w:w="597" w:type="pct"/>
            <w:tcBorders>
              <w:tl2br w:val="nil"/>
              <w:tr2bl w:val="nil"/>
            </w:tcBorders>
            <w:shd w:val="clear" w:color="auto" w:fill="auto"/>
            <w:noWrap/>
            <w:tcMar>
              <w:top w:w="15" w:type="dxa"/>
              <w:left w:w="15" w:type="dxa"/>
              <w:bottom w:w="0" w:type="dxa"/>
              <w:right w:w="15" w:type="dxa"/>
            </w:tcMar>
            <w:vAlign w:val="center"/>
          </w:tcPr>
          <w:p w14:paraId="05D088C6">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“以新带老”削减量</w:t>
            </w:r>
          </w:p>
        </w:tc>
        <w:tc>
          <w:tcPr>
            <w:tcW w:w="933" w:type="pct"/>
            <w:tcBorders>
              <w:tl2br w:val="nil"/>
              <w:tr2bl w:val="nil"/>
            </w:tcBorders>
            <w:shd w:val="clear" w:color="auto" w:fill="auto"/>
            <w:noWrap/>
            <w:tcMar>
              <w:top w:w="15" w:type="dxa"/>
              <w:left w:w="15" w:type="dxa"/>
              <w:bottom w:w="0" w:type="dxa"/>
              <w:right w:w="15" w:type="dxa"/>
            </w:tcMar>
            <w:vAlign w:val="center"/>
          </w:tcPr>
          <w:p w14:paraId="42A96F46">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本项目实施后全厂排放量（t/a）</w:t>
            </w:r>
          </w:p>
        </w:tc>
        <w:tc>
          <w:tcPr>
            <w:tcW w:w="1019" w:type="pct"/>
            <w:tcBorders>
              <w:tl2br w:val="nil"/>
              <w:tr2bl w:val="nil"/>
            </w:tcBorders>
            <w:shd w:val="clear" w:color="auto" w:fill="auto"/>
            <w:noWrap/>
            <w:tcMar>
              <w:top w:w="15" w:type="dxa"/>
              <w:left w:w="15" w:type="dxa"/>
              <w:bottom w:w="0" w:type="dxa"/>
              <w:right w:w="15" w:type="dxa"/>
            </w:tcMar>
            <w:vAlign w:val="center"/>
          </w:tcPr>
          <w:p w14:paraId="46F93F6F">
            <w:pPr>
              <w:pStyle w:val="52"/>
              <w:spacing w:before="0" w:after="0" w:line="240" w:lineRule="auto"/>
              <w:ind w:left="0" w:firstLine="0"/>
              <w:rPr>
                <w:rFonts w:hint="default" w:ascii="Times New Roman" w:hAnsi="Times New Roman" w:cs="Times New Roman"/>
                <w:b/>
                <w:bCs/>
                <w:color w:val="auto"/>
                <w:sz w:val="21"/>
                <w:szCs w:val="18"/>
                <w:highlight w:val="none"/>
              </w:rPr>
            </w:pPr>
            <w:r>
              <w:rPr>
                <w:rFonts w:hint="default" w:ascii="Times New Roman" w:hAnsi="Times New Roman" w:cs="Times New Roman"/>
                <w:b/>
                <w:bCs/>
                <w:color w:val="auto"/>
                <w:sz w:val="21"/>
                <w:szCs w:val="18"/>
                <w:highlight w:val="none"/>
              </w:rPr>
              <w:t>增减变化量（t/a）</w:t>
            </w:r>
          </w:p>
        </w:tc>
      </w:tr>
      <w:tr w14:paraId="5D7C6E8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194" w:type="pct"/>
            <w:vMerge w:val="restart"/>
            <w:tcBorders>
              <w:tl2br w:val="nil"/>
              <w:tr2bl w:val="nil"/>
            </w:tcBorders>
            <w:shd w:val="clear" w:color="auto" w:fill="auto"/>
            <w:noWrap/>
            <w:tcMar>
              <w:top w:w="15" w:type="dxa"/>
              <w:left w:w="15" w:type="dxa"/>
              <w:bottom w:w="0" w:type="dxa"/>
              <w:right w:w="15" w:type="dxa"/>
            </w:tcMar>
            <w:vAlign w:val="center"/>
          </w:tcPr>
          <w:p w14:paraId="0064A8C1">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废气</w:t>
            </w:r>
          </w:p>
        </w:tc>
        <w:tc>
          <w:tcPr>
            <w:tcW w:w="836" w:type="pct"/>
            <w:tcBorders>
              <w:tl2br w:val="nil"/>
              <w:tr2bl w:val="nil"/>
            </w:tcBorders>
            <w:shd w:val="clear" w:color="auto" w:fill="auto"/>
            <w:noWrap/>
            <w:tcMar>
              <w:top w:w="15" w:type="dxa"/>
              <w:left w:w="15" w:type="dxa"/>
              <w:bottom w:w="0" w:type="dxa"/>
              <w:right w:w="15" w:type="dxa"/>
            </w:tcMar>
            <w:vAlign w:val="center"/>
          </w:tcPr>
          <w:p w14:paraId="47BEC8AF">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颗粒物</w:t>
            </w:r>
          </w:p>
        </w:tc>
        <w:tc>
          <w:tcPr>
            <w:tcW w:w="691" w:type="pct"/>
            <w:tcBorders>
              <w:tl2br w:val="nil"/>
              <w:tr2bl w:val="nil"/>
            </w:tcBorders>
            <w:shd w:val="clear" w:color="auto" w:fill="auto"/>
            <w:noWrap/>
            <w:tcMar>
              <w:top w:w="15" w:type="dxa"/>
              <w:left w:w="15" w:type="dxa"/>
              <w:bottom w:w="0" w:type="dxa"/>
              <w:right w:w="15" w:type="dxa"/>
            </w:tcMar>
            <w:vAlign w:val="center"/>
          </w:tcPr>
          <w:p w14:paraId="165E4BC2">
            <w:pPr>
              <w:pStyle w:val="52"/>
              <w:spacing w:before="0" w:after="0" w:line="240" w:lineRule="auto"/>
              <w:ind w:left="0" w:firstLine="0"/>
              <w:rPr>
                <w:rFonts w:hint="default" w:ascii="Times New Roman" w:hAnsi="Times New Roman" w:eastAsia="等线" w:cs="Times New Roman"/>
                <w:color w:val="auto"/>
                <w:sz w:val="21"/>
                <w:szCs w:val="18"/>
                <w:highlight w:val="none"/>
                <w:lang w:val="en-US" w:eastAsia="zh-CN"/>
              </w:rPr>
            </w:pPr>
            <w:r>
              <w:rPr>
                <w:rFonts w:hint="default" w:ascii="Times New Roman" w:hAnsi="Times New Roman" w:eastAsia="等线" w:cs="Times New Roman"/>
                <w:color w:val="auto"/>
                <w:sz w:val="21"/>
                <w:szCs w:val="18"/>
                <w:highlight w:val="none"/>
                <w:lang w:val="en-US" w:eastAsia="zh-CN"/>
              </w:rPr>
              <w:t>8.9572</w:t>
            </w:r>
          </w:p>
        </w:tc>
        <w:tc>
          <w:tcPr>
            <w:tcW w:w="727" w:type="pct"/>
            <w:tcBorders>
              <w:tl2br w:val="nil"/>
              <w:tr2bl w:val="nil"/>
            </w:tcBorders>
            <w:shd w:val="clear" w:color="auto" w:fill="auto"/>
            <w:noWrap/>
            <w:tcMar>
              <w:top w:w="15" w:type="dxa"/>
              <w:left w:w="15" w:type="dxa"/>
              <w:bottom w:w="0" w:type="dxa"/>
              <w:right w:w="15" w:type="dxa"/>
            </w:tcMar>
            <w:vAlign w:val="center"/>
          </w:tcPr>
          <w:p w14:paraId="32350103">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597" w:type="pct"/>
            <w:tcBorders>
              <w:tl2br w:val="nil"/>
              <w:tr2bl w:val="nil"/>
            </w:tcBorders>
            <w:shd w:val="clear" w:color="auto" w:fill="auto"/>
            <w:noWrap/>
            <w:tcMar>
              <w:top w:w="15" w:type="dxa"/>
              <w:left w:w="15" w:type="dxa"/>
              <w:bottom w:w="0" w:type="dxa"/>
              <w:right w:w="15" w:type="dxa"/>
            </w:tcMar>
            <w:vAlign w:val="center"/>
          </w:tcPr>
          <w:p w14:paraId="6628FF46">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933" w:type="pct"/>
            <w:tcBorders>
              <w:tl2br w:val="nil"/>
              <w:tr2bl w:val="nil"/>
            </w:tcBorders>
            <w:shd w:val="clear" w:color="auto" w:fill="auto"/>
            <w:noWrap/>
            <w:tcMar>
              <w:top w:w="15" w:type="dxa"/>
              <w:left w:w="15" w:type="dxa"/>
              <w:bottom w:w="0" w:type="dxa"/>
              <w:right w:w="15" w:type="dxa"/>
            </w:tcMar>
            <w:vAlign w:val="center"/>
          </w:tcPr>
          <w:p w14:paraId="0CB6938C">
            <w:pPr>
              <w:pStyle w:val="52"/>
              <w:spacing w:before="0" w:after="0" w:line="240" w:lineRule="auto"/>
              <w:ind w:left="0" w:leftChars="0" w:firstLine="0" w:firstLineChars="0"/>
              <w:rPr>
                <w:rFonts w:hint="default" w:ascii="Times New Roman" w:hAnsi="Times New Roman" w:eastAsia="等线" w:cs="Times New Roman"/>
                <w:color w:val="auto"/>
                <w:kern w:val="0"/>
                <w:sz w:val="21"/>
                <w:szCs w:val="18"/>
                <w:highlight w:val="none"/>
                <w:lang w:val="en-US" w:eastAsia="zh-CN" w:bidi="ar-SA"/>
              </w:rPr>
            </w:pPr>
            <w:r>
              <w:rPr>
                <w:rFonts w:hint="eastAsia" w:eastAsia="等线" w:cs="Times New Roman"/>
                <w:color w:val="auto"/>
                <w:kern w:val="0"/>
                <w:sz w:val="21"/>
                <w:szCs w:val="18"/>
                <w:highlight w:val="none"/>
                <w:lang w:val="en-US" w:eastAsia="zh-CN" w:bidi="ar-SA"/>
              </w:rPr>
              <w:t>9.1195</w:t>
            </w:r>
          </w:p>
        </w:tc>
        <w:tc>
          <w:tcPr>
            <w:tcW w:w="1019" w:type="pct"/>
            <w:tcBorders>
              <w:tl2br w:val="nil"/>
              <w:tr2bl w:val="nil"/>
            </w:tcBorders>
            <w:shd w:val="clear" w:color="auto" w:fill="auto"/>
            <w:noWrap/>
            <w:tcMar>
              <w:top w:w="15" w:type="dxa"/>
              <w:left w:w="15" w:type="dxa"/>
              <w:bottom w:w="0" w:type="dxa"/>
              <w:right w:w="15" w:type="dxa"/>
            </w:tcMar>
            <w:vAlign w:val="center"/>
          </w:tcPr>
          <w:p w14:paraId="709B7229">
            <w:pPr>
              <w:pStyle w:val="52"/>
              <w:spacing w:before="0" w:after="0" w:line="240" w:lineRule="auto"/>
              <w:ind w:left="0" w:firstLine="0"/>
              <w:rPr>
                <w:rFonts w:hint="default" w:ascii="Times New Roman" w:hAnsi="Times New Roman" w:eastAsia="等线" w:cs="Times New Roman"/>
                <w:color w:val="auto"/>
                <w:sz w:val="21"/>
                <w:szCs w:val="18"/>
                <w:highlight w:val="none"/>
                <w:lang w:val="en-US" w:eastAsia="zh-CN"/>
              </w:rPr>
            </w:pPr>
            <w:r>
              <w:rPr>
                <w:rFonts w:hint="eastAsia" w:eastAsia="等线" w:cs="Times New Roman"/>
                <w:color w:val="auto"/>
                <w:sz w:val="21"/>
                <w:szCs w:val="18"/>
                <w:highlight w:val="none"/>
                <w:lang w:val="en-US" w:eastAsia="zh-CN"/>
              </w:rPr>
              <w:t>+0.1623</w:t>
            </w:r>
          </w:p>
        </w:tc>
      </w:tr>
      <w:tr w14:paraId="30278BD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94" w:type="pct"/>
            <w:vMerge w:val="continue"/>
            <w:tcBorders>
              <w:tl2br w:val="nil"/>
              <w:tr2bl w:val="nil"/>
            </w:tcBorders>
            <w:vAlign w:val="center"/>
          </w:tcPr>
          <w:p w14:paraId="2F02B8CC">
            <w:pPr>
              <w:pStyle w:val="52"/>
              <w:spacing w:before="0" w:after="0" w:line="240" w:lineRule="auto"/>
              <w:ind w:left="0" w:firstLine="0"/>
              <w:rPr>
                <w:rFonts w:hint="default" w:ascii="Times New Roman" w:hAnsi="Times New Roman" w:cs="Times New Roman"/>
                <w:color w:val="auto"/>
                <w:sz w:val="21"/>
                <w:szCs w:val="18"/>
                <w:highlight w:val="none"/>
              </w:rPr>
            </w:pPr>
          </w:p>
        </w:tc>
        <w:tc>
          <w:tcPr>
            <w:tcW w:w="836" w:type="pct"/>
            <w:tcBorders>
              <w:tl2br w:val="nil"/>
              <w:tr2bl w:val="nil"/>
            </w:tcBorders>
            <w:shd w:val="clear" w:color="auto" w:fill="auto"/>
            <w:noWrap/>
            <w:tcMar>
              <w:top w:w="15" w:type="dxa"/>
              <w:left w:w="15" w:type="dxa"/>
              <w:bottom w:w="0" w:type="dxa"/>
              <w:right w:w="15" w:type="dxa"/>
            </w:tcMar>
            <w:vAlign w:val="center"/>
          </w:tcPr>
          <w:p w14:paraId="15017A29">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二氧化硫（SO</w:t>
            </w:r>
            <w:r>
              <w:rPr>
                <w:rFonts w:hint="default" w:ascii="Times New Roman" w:hAnsi="Times New Roman" w:cs="Times New Roman"/>
                <w:color w:val="auto"/>
                <w:sz w:val="21"/>
                <w:szCs w:val="18"/>
                <w:highlight w:val="none"/>
                <w:vertAlign w:val="subscript"/>
              </w:rPr>
              <w:t>2</w:t>
            </w:r>
            <w:r>
              <w:rPr>
                <w:rFonts w:hint="default" w:ascii="Times New Roman" w:hAnsi="Times New Roman" w:cs="Times New Roman"/>
                <w:color w:val="auto"/>
                <w:sz w:val="21"/>
                <w:szCs w:val="18"/>
                <w:highlight w:val="none"/>
              </w:rPr>
              <w:t>）</w:t>
            </w:r>
          </w:p>
        </w:tc>
        <w:tc>
          <w:tcPr>
            <w:tcW w:w="691" w:type="pct"/>
            <w:tcBorders>
              <w:tl2br w:val="nil"/>
              <w:tr2bl w:val="nil"/>
            </w:tcBorders>
            <w:shd w:val="clear" w:color="auto" w:fill="auto"/>
            <w:noWrap/>
            <w:tcMar>
              <w:top w:w="15" w:type="dxa"/>
              <w:left w:w="15" w:type="dxa"/>
              <w:bottom w:w="0" w:type="dxa"/>
              <w:right w:w="15" w:type="dxa"/>
            </w:tcMar>
            <w:vAlign w:val="center"/>
          </w:tcPr>
          <w:p w14:paraId="215FE8E3">
            <w:pPr>
              <w:pStyle w:val="52"/>
              <w:spacing w:before="0" w:after="0" w:line="240" w:lineRule="auto"/>
              <w:ind w:left="0" w:firstLine="0"/>
              <w:rPr>
                <w:rFonts w:hint="default" w:ascii="Times New Roman" w:hAnsi="Times New Roman" w:eastAsia="等线" w:cs="Times New Roman"/>
                <w:color w:val="auto"/>
                <w:sz w:val="21"/>
                <w:szCs w:val="18"/>
                <w:highlight w:val="none"/>
                <w:lang w:val="en-US" w:eastAsia="zh-CN"/>
              </w:rPr>
            </w:pPr>
            <w:r>
              <w:rPr>
                <w:rFonts w:hint="default" w:ascii="Times New Roman" w:hAnsi="Times New Roman" w:eastAsia="等线" w:cs="Times New Roman"/>
                <w:color w:val="auto"/>
                <w:sz w:val="21"/>
                <w:szCs w:val="18"/>
                <w:highlight w:val="none"/>
                <w:lang w:val="en-US" w:eastAsia="zh-CN"/>
              </w:rPr>
              <w:t>6.4088</w:t>
            </w:r>
          </w:p>
        </w:tc>
        <w:tc>
          <w:tcPr>
            <w:tcW w:w="727" w:type="pct"/>
            <w:tcBorders>
              <w:tl2br w:val="nil"/>
              <w:tr2bl w:val="nil"/>
            </w:tcBorders>
            <w:shd w:val="clear" w:color="auto" w:fill="auto"/>
            <w:noWrap/>
            <w:tcMar>
              <w:top w:w="15" w:type="dxa"/>
              <w:left w:w="15" w:type="dxa"/>
              <w:bottom w:w="0" w:type="dxa"/>
              <w:right w:w="15" w:type="dxa"/>
            </w:tcMar>
            <w:vAlign w:val="center"/>
          </w:tcPr>
          <w:p w14:paraId="080D3FDA">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597" w:type="pct"/>
            <w:tcBorders>
              <w:tl2br w:val="nil"/>
              <w:tr2bl w:val="nil"/>
            </w:tcBorders>
            <w:shd w:val="clear" w:color="auto" w:fill="auto"/>
            <w:noWrap/>
            <w:tcMar>
              <w:top w:w="15" w:type="dxa"/>
              <w:left w:w="15" w:type="dxa"/>
              <w:bottom w:w="0" w:type="dxa"/>
              <w:right w:w="15" w:type="dxa"/>
            </w:tcMar>
            <w:vAlign w:val="center"/>
          </w:tcPr>
          <w:p w14:paraId="25A85324">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933" w:type="pct"/>
            <w:tcBorders>
              <w:tl2br w:val="nil"/>
              <w:tr2bl w:val="nil"/>
            </w:tcBorders>
            <w:shd w:val="clear" w:color="auto" w:fill="auto"/>
            <w:noWrap/>
            <w:tcMar>
              <w:top w:w="15" w:type="dxa"/>
              <w:left w:w="15" w:type="dxa"/>
              <w:bottom w:w="0" w:type="dxa"/>
              <w:right w:w="15" w:type="dxa"/>
            </w:tcMar>
            <w:vAlign w:val="center"/>
          </w:tcPr>
          <w:p w14:paraId="78F40772">
            <w:pPr>
              <w:pStyle w:val="52"/>
              <w:spacing w:before="0" w:after="0" w:line="240" w:lineRule="auto"/>
              <w:ind w:left="0" w:leftChars="0" w:firstLine="0" w:firstLineChars="0"/>
              <w:rPr>
                <w:rFonts w:hint="default" w:ascii="Times New Roman" w:hAnsi="Times New Roman" w:eastAsia="等线" w:cs="Times New Roman"/>
                <w:color w:val="auto"/>
                <w:kern w:val="0"/>
                <w:sz w:val="21"/>
                <w:szCs w:val="18"/>
                <w:highlight w:val="none"/>
                <w:lang w:val="en-US" w:eastAsia="zh-CN" w:bidi="ar-SA"/>
              </w:rPr>
            </w:pPr>
            <w:r>
              <w:rPr>
                <w:rFonts w:hint="default" w:ascii="Times New Roman" w:hAnsi="Times New Roman" w:eastAsia="等线" w:cs="Times New Roman"/>
                <w:color w:val="auto"/>
                <w:sz w:val="21"/>
                <w:szCs w:val="18"/>
                <w:highlight w:val="none"/>
                <w:lang w:val="en-US" w:eastAsia="zh-CN"/>
              </w:rPr>
              <w:t>6.4088</w:t>
            </w:r>
          </w:p>
        </w:tc>
        <w:tc>
          <w:tcPr>
            <w:tcW w:w="1019" w:type="pct"/>
            <w:tcBorders>
              <w:tl2br w:val="nil"/>
              <w:tr2bl w:val="nil"/>
            </w:tcBorders>
            <w:shd w:val="clear" w:color="auto" w:fill="auto"/>
            <w:noWrap/>
            <w:tcMar>
              <w:top w:w="15" w:type="dxa"/>
              <w:left w:w="15" w:type="dxa"/>
              <w:bottom w:w="0" w:type="dxa"/>
              <w:right w:w="15" w:type="dxa"/>
            </w:tcMar>
            <w:vAlign w:val="center"/>
          </w:tcPr>
          <w:p w14:paraId="6B0C44D4">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r>
      <w:tr w14:paraId="5406FCB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94" w:type="pct"/>
            <w:vMerge w:val="continue"/>
            <w:tcBorders>
              <w:tl2br w:val="nil"/>
              <w:tr2bl w:val="nil"/>
            </w:tcBorders>
            <w:vAlign w:val="center"/>
          </w:tcPr>
          <w:p w14:paraId="44A35473">
            <w:pPr>
              <w:pStyle w:val="52"/>
              <w:spacing w:before="0" w:after="0" w:line="240" w:lineRule="auto"/>
              <w:ind w:left="0" w:firstLine="0"/>
              <w:rPr>
                <w:rFonts w:hint="default" w:ascii="Times New Roman" w:hAnsi="Times New Roman" w:cs="Times New Roman"/>
                <w:color w:val="auto"/>
                <w:sz w:val="21"/>
                <w:szCs w:val="18"/>
                <w:highlight w:val="none"/>
              </w:rPr>
            </w:pPr>
          </w:p>
        </w:tc>
        <w:tc>
          <w:tcPr>
            <w:tcW w:w="836" w:type="pct"/>
            <w:tcBorders>
              <w:tl2br w:val="nil"/>
              <w:tr2bl w:val="nil"/>
            </w:tcBorders>
            <w:shd w:val="clear" w:color="auto" w:fill="auto"/>
            <w:noWrap/>
            <w:tcMar>
              <w:top w:w="15" w:type="dxa"/>
              <w:left w:w="15" w:type="dxa"/>
              <w:bottom w:w="0" w:type="dxa"/>
              <w:right w:w="15" w:type="dxa"/>
            </w:tcMar>
            <w:vAlign w:val="center"/>
          </w:tcPr>
          <w:p w14:paraId="1AEC40CE">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氮氧化物（NOx</w:t>
            </w:r>
            <w:r>
              <w:rPr>
                <w:rFonts w:hint="default" w:ascii="Times New Roman" w:hAnsi="Times New Roman" w:cs="Times New Roman"/>
                <w:color w:val="auto"/>
                <w:sz w:val="13"/>
                <w:szCs w:val="13"/>
                <w:highlight w:val="none"/>
              </w:rPr>
              <w:t>）</w:t>
            </w:r>
          </w:p>
        </w:tc>
        <w:tc>
          <w:tcPr>
            <w:tcW w:w="691" w:type="pct"/>
            <w:tcBorders>
              <w:tl2br w:val="nil"/>
              <w:tr2bl w:val="nil"/>
            </w:tcBorders>
            <w:shd w:val="clear" w:color="auto" w:fill="auto"/>
            <w:noWrap/>
            <w:tcMar>
              <w:top w:w="15" w:type="dxa"/>
              <w:left w:w="15" w:type="dxa"/>
              <w:bottom w:w="0" w:type="dxa"/>
              <w:right w:w="15" w:type="dxa"/>
            </w:tcMar>
            <w:vAlign w:val="center"/>
          </w:tcPr>
          <w:p w14:paraId="411DCCDA">
            <w:pPr>
              <w:pStyle w:val="52"/>
              <w:spacing w:before="0" w:after="0" w:line="240" w:lineRule="auto"/>
              <w:ind w:left="0" w:firstLine="0"/>
              <w:rPr>
                <w:rFonts w:hint="default" w:ascii="Times New Roman" w:hAnsi="Times New Roman" w:eastAsia="等线" w:cs="Times New Roman"/>
                <w:color w:val="auto"/>
                <w:sz w:val="21"/>
                <w:szCs w:val="18"/>
                <w:highlight w:val="none"/>
                <w:lang w:val="en-US" w:eastAsia="zh-CN"/>
              </w:rPr>
            </w:pPr>
            <w:r>
              <w:rPr>
                <w:rFonts w:hint="default" w:ascii="Times New Roman" w:hAnsi="Times New Roman" w:eastAsia="等线" w:cs="Times New Roman"/>
                <w:color w:val="auto"/>
                <w:sz w:val="21"/>
                <w:szCs w:val="18"/>
                <w:highlight w:val="none"/>
                <w:lang w:val="en-US" w:eastAsia="zh-CN"/>
              </w:rPr>
              <w:t>294.088</w:t>
            </w:r>
          </w:p>
        </w:tc>
        <w:tc>
          <w:tcPr>
            <w:tcW w:w="727" w:type="pct"/>
            <w:tcBorders>
              <w:tl2br w:val="nil"/>
              <w:tr2bl w:val="nil"/>
            </w:tcBorders>
            <w:shd w:val="clear" w:color="auto" w:fill="auto"/>
            <w:noWrap/>
            <w:tcMar>
              <w:top w:w="15" w:type="dxa"/>
              <w:left w:w="15" w:type="dxa"/>
              <w:bottom w:w="0" w:type="dxa"/>
              <w:right w:w="15" w:type="dxa"/>
            </w:tcMar>
            <w:vAlign w:val="center"/>
          </w:tcPr>
          <w:p w14:paraId="55B12836">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597" w:type="pct"/>
            <w:tcBorders>
              <w:tl2br w:val="nil"/>
              <w:tr2bl w:val="nil"/>
            </w:tcBorders>
            <w:shd w:val="clear" w:color="auto" w:fill="auto"/>
            <w:noWrap/>
            <w:tcMar>
              <w:top w:w="15" w:type="dxa"/>
              <w:left w:w="15" w:type="dxa"/>
              <w:bottom w:w="0" w:type="dxa"/>
              <w:right w:w="15" w:type="dxa"/>
            </w:tcMar>
            <w:vAlign w:val="center"/>
          </w:tcPr>
          <w:p w14:paraId="0E2267AB">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933" w:type="pct"/>
            <w:tcBorders>
              <w:tl2br w:val="nil"/>
              <w:tr2bl w:val="nil"/>
            </w:tcBorders>
            <w:shd w:val="clear" w:color="auto" w:fill="auto"/>
            <w:noWrap/>
            <w:tcMar>
              <w:top w:w="15" w:type="dxa"/>
              <w:left w:w="15" w:type="dxa"/>
              <w:bottom w:w="0" w:type="dxa"/>
              <w:right w:w="15" w:type="dxa"/>
            </w:tcMar>
            <w:vAlign w:val="center"/>
          </w:tcPr>
          <w:p w14:paraId="5990BBB3">
            <w:pPr>
              <w:pStyle w:val="52"/>
              <w:spacing w:before="0" w:after="0" w:line="240" w:lineRule="auto"/>
              <w:ind w:left="0" w:leftChars="0" w:firstLine="0" w:firstLineChars="0"/>
              <w:rPr>
                <w:rFonts w:hint="default" w:ascii="Times New Roman" w:hAnsi="Times New Roman" w:eastAsia="等线" w:cs="Times New Roman"/>
                <w:color w:val="auto"/>
                <w:kern w:val="0"/>
                <w:sz w:val="21"/>
                <w:szCs w:val="18"/>
                <w:highlight w:val="none"/>
                <w:lang w:val="en-US" w:eastAsia="zh-CN" w:bidi="ar-SA"/>
              </w:rPr>
            </w:pPr>
            <w:r>
              <w:rPr>
                <w:rFonts w:hint="default" w:ascii="Times New Roman" w:hAnsi="Times New Roman" w:eastAsia="等线" w:cs="Times New Roman"/>
                <w:color w:val="auto"/>
                <w:sz w:val="21"/>
                <w:szCs w:val="18"/>
                <w:highlight w:val="none"/>
                <w:lang w:val="en-US" w:eastAsia="zh-CN"/>
              </w:rPr>
              <w:t>294.088</w:t>
            </w:r>
          </w:p>
        </w:tc>
        <w:tc>
          <w:tcPr>
            <w:tcW w:w="1019" w:type="pct"/>
            <w:tcBorders>
              <w:tl2br w:val="nil"/>
              <w:tr2bl w:val="nil"/>
            </w:tcBorders>
            <w:shd w:val="clear" w:color="auto" w:fill="auto"/>
            <w:noWrap/>
            <w:tcMar>
              <w:top w:w="15" w:type="dxa"/>
              <w:left w:w="15" w:type="dxa"/>
              <w:bottom w:w="0" w:type="dxa"/>
              <w:right w:w="15" w:type="dxa"/>
            </w:tcMar>
            <w:vAlign w:val="center"/>
          </w:tcPr>
          <w:p w14:paraId="181A538B">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r>
      <w:tr w14:paraId="3068D48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0" w:hRule="atLeast"/>
        </w:trPr>
        <w:tc>
          <w:tcPr>
            <w:tcW w:w="194" w:type="pct"/>
            <w:vMerge w:val="restart"/>
            <w:tcBorders>
              <w:tl2br w:val="nil"/>
              <w:tr2bl w:val="nil"/>
            </w:tcBorders>
            <w:shd w:val="clear" w:color="auto" w:fill="auto"/>
            <w:noWrap/>
            <w:tcMar>
              <w:top w:w="15" w:type="dxa"/>
              <w:left w:w="15" w:type="dxa"/>
              <w:bottom w:w="0" w:type="dxa"/>
              <w:right w:w="15" w:type="dxa"/>
            </w:tcMar>
            <w:vAlign w:val="center"/>
          </w:tcPr>
          <w:p w14:paraId="71FA4270">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废水</w:t>
            </w:r>
          </w:p>
        </w:tc>
        <w:tc>
          <w:tcPr>
            <w:tcW w:w="836" w:type="pct"/>
            <w:tcBorders>
              <w:tl2br w:val="nil"/>
              <w:tr2bl w:val="nil"/>
            </w:tcBorders>
            <w:shd w:val="clear" w:color="auto" w:fill="auto"/>
            <w:tcMar>
              <w:top w:w="15" w:type="dxa"/>
              <w:left w:w="15" w:type="dxa"/>
              <w:bottom w:w="0" w:type="dxa"/>
              <w:right w:w="15" w:type="dxa"/>
            </w:tcMar>
            <w:vAlign w:val="center"/>
          </w:tcPr>
          <w:p w14:paraId="6BC04C5D">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废水量</w:t>
            </w:r>
          </w:p>
        </w:tc>
        <w:tc>
          <w:tcPr>
            <w:tcW w:w="691" w:type="pct"/>
            <w:tcBorders>
              <w:tl2br w:val="nil"/>
              <w:tr2bl w:val="nil"/>
            </w:tcBorders>
            <w:shd w:val="clear" w:color="auto" w:fill="auto"/>
            <w:noWrap/>
            <w:tcMar>
              <w:top w:w="15" w:type="dxa"/>
              <w:left w:w="15" w:type="dxa"/>
              <w:bottom w:w="0" w:type="dxa"/>
              <w:right w:w="15" w:type="dxa"/>
            </w:tcMar>
            <w:vAlign w:val="center"/>
          </w:tcPr>
          <w:p w14:paraId="26A6671D">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lang w:val="en-US" w:eastAsia="zh-CN"/>
              </w:rPr>
              <w:t>10500</w:t>
            </w:r>
            <w:r>
              <w:rPr>
                <w:rFonts w:hint="default" w:ascii="Times New Roman" w:hAnsi="Times New Roman" w:cs="Times New Roman"/>
                <w:color w:val="auto"/>
                <w:sz w:val="21"/>
                <w:szCs w:val="18"/>
                <w:highlight w:val="none"/>
              </w:rPr>
              <w:t>m</w:t>
            </w:r>
            <w:r>
              <w:rPr>
                <w:rFonts w:hint="default" w:ascii="Times New Roman" w:hAnsi="Times New Roman" w:cs="Times New Roman"/>
                <w:color w:val="auto"/>
                <w:sz w:val="21"/>
                <w:szCs w:val="18"/>
                <w:highlight w:val="none"/>
                <w:vertAlign w:val="superscript"/>
              </w:rPr>
              <w:t>3</w:t>
            </w:r>
            <w:r>
              <w:rPr>
                <w:rFonts w:hint="default" w:ascii="Times New Roman" w:hAnsi="Times New Roman" w:cs="Times New Roman"/>
                <w:color w:val="auto"/>
                <w:sz w:val="21"/>
                <w:szCs w:val="18"/>
                <w:highlight w:val="none"/>
              </w:rPr>
              <w:t>/a</w:t>
            </w:r>
          </w:p>
        </w:tc>
        <w:tc>
          <w:tcPr>
            <w:tcW w:w="727" w:type="pct"/>
            <w:tcBorders>
              <w:tl2br w:val="nil"/>
              <w:tr2bl w:val="nil"/>
            </w:tcBorders>
            <w:shd w:val="clear" w:color="auto" w:fill="auto"/>
            <w:noWrap/>
            <w:tcMar>
              <w:top w:w="15" w:type="dxa"/>
              <w:left w:w="15" w:type="dxa"/>
              <w:bottom w:w="0" w:type="dxa"/>
              <w:right w:w="15" w:type="dxa"/>
            </w:tcMar>
            <w:vAlign w:val="center"/>
          </w:tcPr>
          <w:p w14:paraId="511058AF">
            <w:pPr>
              <w:pStyle w:val="52"/>
              <w:spacing w:before="0" w:after="0" w:line="240" w:lineRule="auto"/>
              <w:ind w:left="0" w:firstLine="0"/>
              <w:rPr>
                <w:rFonts w:hint="eastAsia" w:ascii="Times New Roman" w:hAnsi="Times New Roman" w:eastAsia="宋体" w:cs="Times New Roman"/>
                <w:color w:val="auto"/>
                <w:sz w:val="21"/>
                <w:szCs w:val="18"/>
                <w:highlight w:val="none"/>
                <w:lang w:val="en-US" w:eastAsia="zh-CN"/>
              </w:rPr>
            </w:pPr>
            <w:r>
              <w:rPr>
                <w:rFonts w:hint="eastAsia" w:cs="Times New Roman"/>
                <w:color w:val="auto"/>
                <w:sz w:val="21"/>
                <w:szCs w:val="18"/>
                <w:highlight w:val="none"/>
                <w:lang w:val="en-US" w:eastAsia="zh-CN"/>
              </w:rPr>
              <w:t>0</w:t>
            </w:r>
          </w:p>
        </w:tc>
        <w:tc>
          <w:tcPr>
            <w:tcW w:w="597" w:type="pct"/>
            <w:tcBorders>
              <w:tl2br w:val="nil"/>
              <w:tr2bl w:val="nil"/>
            </w:tcBorders>
            <w:shd w:val="clear" w:color="auto" w:fill="auto"/>
            <w:noWrap/>
            <w:tcMar>
              <w:top w:w="15" w:type="dxa"/>
              <w:left w:w="15" w:type="dxa"/>
              <w:bottom w:w="0" w:type="dxa"/>
              <w:right w:w="15" w:type="dxa"/>
            </w:tcMar>
            <w:vAlign w:val="center"/>
          </w:tcPr>
          <w:p w14:paraId="54218A63">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1636" w:type="dxa"/>
            <w:tcBorders>
              <w:tl2br w:val="nil"/>
              <w:tr2bl w:val="nil"/>
            </w:tcBorders>
            <w:shd w:val="clear" w:color="auto" w:fill="auto"/>
            <w:noWrap/>
            <w:tcMar>
              <w:top w:w="15" w:type="dxa"/>
              <w:left w:w="15" w:type="dxa"/>
              <w:bottom w:w="0" w:type="dxa"/>
              <w:right w:w="15" w:type="dxa"/>
            </w:tcMar>
            <w:vAlign w:val="center"/>
          </w:tcPr>
          <w:p w14:paraId="5EE96053">
            <w:pPr>
              <w:pStyle w:val="52"/>
              <w:spacing w:before="0" w:after="0" w:line="240" w:lineRule="auto"/>
              <w:ind w:left="0" w:leftChars="0" w:firstLine="0" w:firstLineChars="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lang w:val="en-US" w:eastAsia="zh-CN"/>
              </w:rPr>
              <w:t>10500</w:t>
            </w:r>
            <w:r>
              <w:rPr>
                <w:rFonts w:hint="default" w:ascii="Times New Roman" w:hAnsi="Times New Roman" w:cs="Times New Roman"/>
                <w:color w:val="auto"/>
                <w:sz w:val="21"/>
                <w:szCs w:val="18"/>
                <w:highlight w:val="none"/>
              </w:rPr>
              <w:t>m</w:t>
            </w:r>
            <w:r>
              <w:rPr>
                <w:rFonts w:hint="default" w:ascii="Times New Roman" w:hAnsi="Times New Roman" w:cs="Times New Roman"/>
                <w:color w:val="auto"/>
                <w:sz w:val="21"/>
                <w:szCs w:val="18"/>
                <w:highlight w:val="none"/>
                <w:vertAlign w:val="superscript"/>
              </w:rPr>
              <w:t>3</w:t>
            </w:r>
            <w:r>
              <w:rPr>
                <w:rFonts w:hint="default" w:ascii="Times New Roman" w:hAnsi="Times New Roman" w:cs="Times New Roman"/>
                <w:color w:val="auto"/>
                <w:sz w:val="21"/>
                <w:szCs w:val="18"/>
                <w:highlight w:val="none"/>
              </w:rPr>
              <w:t>/a</w:t>
            </w:r>
          </w:p>
        </w:tc>
        <w:tc>
          <w:tcPr>
            <w:tcW w:w="1019" w:type="pct"/>
            <w:tcBorders>
              <w:tl2br w:val="nil"/>
              <w:tr2bl w:val="nil"/>
            </w:tcBorders>
            <w:shd w:val="clear" w:color="auto" w:fill="auto"/>
            <w:noWrap/>
            <w:tcMar>
              <w:top w:w="15" w:type="dxa"/>
              <w:left w:w="15" w:type="dxa"/>
              <w:bottom w:w="0" w:type="dxa"/>
              <w:right w:w="15" w:type="dxa"/>
            </w:tcMar>
            <w:vAlign w:val="center"/>
          </w:tcPr>
          <w:p w14:paraId="5DCC1E6E">
            <w:pPr>
              <w:pStyle w:val="52"/>
              <w:spacing w:before="0" w:after="0" w:line="240" w:lineRule="auto"/>
              <w:ind w:left="0" w:firstLine="0"/>
              <w:rPr>
                <w:rFonts w:hint="default" w:ascii="Times New Roman" w:hAnsi="Times New Roman" w:eastAsia="宋体" w:cs="Times New Roman"/>
                <w:color w:val="auto"/>
                <w:sz w:val="21"/>
                <w:szCs w:val="18"/>
                <w:highlight w:val="none"/>
                <w:lang w:eastAsia="zh-CN"/>
              </w:rPr>
            </w:pPr>
            <w:r>
              <w:rPr>
                <w:rFonts w:hint="default" w:ascii="Times New Roman" w:hAnsi="Times New Roman" w:cs="Times New Roman"/>
                <w:color w:val="auto"/>
                <w:sz w:val="21"/>
                <w:szCs w:val="18"/>
                <w:highlight w:val="none"/>
                <w:lang w:val="en-US" w:eastAsia="zh-CN"/>
              </w:rPr>
              <w:t>0</w:t>
            </w:r>
          </w:p>
        </w:tc>
      </w:tr>
      <w:tr w14:paraId="3F7B647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94" w:type="pct"/>
            <w:vMerge w:val="continue"/>
            <w:tcBorders>
              <w:tl2br w:val="nil"/>
              <w:tr2bl w:val="nil"/>
            </w:tcBorders>
            <w:shd w:val="clear" w:color="auto" w:fill="auto"/>
            <w:noWrap/>
            <w:tcMar>
              <w:top w:w="15" w:type="dxa"/>
              <w:left w:w="15" w:type="dxa"/>
              <w:bottom w:w="0" w:type="dxa"/>
              <w:right w:w="15" w:type="dxa"/>
            </w:tcMar>
            <w:vAlign w:val="center"/>
          </w:tcPr>
          <w:p w14:paraId="7C0210EE">
            <w:pPr>
              <w:pStyle w:val="52"/>
              <w:spacing w:before="0" w:after="0" w:line="240" w:lineRule="auto"/>
              <w:ind w:left="0" w:firstLine="0"/>
              <w:rPr>
                <w:rFonts w:hint="default" w:ascii="Times New Roman" w:hAnsi="Times New Roman" w:cs="Times New Roman"/>
                <w:color w:val="auto"/>
                <w:sz w:val="21"/>
                <w:szCs w:val="18"/>
                <w:highlight w:val="none"/>
              </w:rPr>
            </w:pPr>
          </w:p>
        </w:tc>
        <w:tc>
          <w:tcPr>
            <w:tcW w:w="836" w:type="pct"/>
            <w:tcBorders>
              <w:tl2br w:val="nil"/>
              <w:tr2bl w:val="nil"/>
            </w:tcBorders>
            <w:shd w:val="clear" w:color="auto" w:fill="auto"/>
            <w:tcMar>
              <w:top w:w="15" w:type="dxa"/>
              <w:left w:w="15" w:type="dxa"/>
              <w:bottom w:w="0" w:type="dxa"/>
              <w:right w:w="15" w:type="dxa"/>
            </w:tcMar>
            <w:vAlign w:val="center"/>
          </w:tcPr>
          <w:p w14:paraId="1F385889">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COD</w:t>
            </w:r>
          </w:p>
        </w:tc>
        <w:tc>
          <w:tcPr>
            <w:tcW w:w="691" w:type="pct"/>
            <w:tcBorders>
              <w:tl2br w:val="nil"/>
              <w:tr2bl w:val="nil"/>
            </w:tcBorders>
            <w:shd w:val="clear" w:color="auto" w:fill="auto"/>
            <w:noWrap/>
            <w:tcMar>
              <w:top w:w="15" w:type="dxa"/>
              <w:left w:w="15" w:type="dxa"/>
              <w:bottom w:w="0" w:type="dxa"/>
              <w:right w:w="15" w:type="dxa"/>
            </w:tcMar>
            <w:vAlign w:val="center"/>
          </w:tcPr>
          <w:p w14:paraId="78280445">
            <w:pPr>
              <w:pStyle w:val="52"/>
              <w:spacing w:before="0" w:after="0" w:line="240" w:lineRule="auto"/>
              <w:ind w:left="0" w:firstLine="0"/>
              <w:rPr>
                <w:rFonts w:hint="default" w:ascii="Times New Roman" w:hAnsi="Times New Roman" w:eastAsia="等线" w:cs="Times New Roman"/>
                <w:color w:val="auto"/>
                <w:sz w:val="21"/>
                <w:szCs w:val="18"/>
                <w:highlight w:val="none"/>
                <w:lang w:val="en-US" w:eastAsia="zh-CN"/>
              </w:rPr>
            </w:pPr>
            <w:r>
              <w:rPr>
                <w:rFonts w:hint="default" w:ascii="Times New Roman" w:hAnsi="Times New Roman" w:eastAsia="等线" w:cs="Times New Roman"/>
                <w:color w:val="auto"/>
                <w:sz w:val="21"/>
                <w:szCs w:val="18"/>
                <w:highlight w:val="none"/>
                <w:lang w:val="en-US" w:eastAsia="zh-CN"/>
              </w:rPr>
              <w:t>2.51</w:t>
            </w:r>
          </w:p>
        </w:tc>
        <w:tc>
          <w:tcPr>
            <w:tcW w:w="727" w:type="pct"/>
            <w:tcBorders>
              <w:tl2br w:val="nil"/>
              <w:tr2bl w:val="nil"/>
            </w:tcBorders>
            <w:shd w:val="clear" w:color="auto" w:fill="auto"/>
            <w:noWrap/>
            <w:tcMar>
              <w:top w:w="15" w:type="dxa"/>
              <w:left w:w="15" w:type="dxa"/>
              <w:bottom w:w="0" w:type="dxa"/>
              <w:right w:w="15" w:type="dxa"/>
            </w:tcMar>
            <w:vAlign w:val="center"/>
          </w:tcPr>
          <w:p w14:paraId="2B5E74B2">
            <w:pPr>
              <w:widowControl/>
              <w:autoSpaceDE/>
              <w:autoSpaceDN/>
              <w:spacing w:before="0" w:after="0" w:line="240" w:lineRule="auto"/>
              <w:ind w:left="0" w:firstLine="0"/>
              <w:jc w:val="center"/>
              <w:rPr>
                <w:rFonts w:hint="default" w:ascii="Times New Roman" w:hAnsi="Times New Roman" w:eastAsia="等线" w:cs="Times New Roman"/>
                <w:color w:val="auto"/>
                <w:kern w:val="0"/>
                <w:sz w:val="21"/>
                <w:szCs w:val="16"/>
                <w:highlight w:val="none"/>
                <w:lang w:val="en-US" w:eastAsia="zh-CN"/>
              </w:rPr>
            </w:pPr>
            <w:r>
              <w:rPr>
                <w:rFonts w:hint="eastAsia" w:eastAsia="等线" w:cs="Times New Roman"/>
                <w:color w:val="auto"/>
                <w:kern w:val="0"/>
                <w:sz w:val="21"/>
                <w:szCs w:val="16"/>
                <w:highlight w:val="none"/>
                <w:lang w:val="en-US" w:eastAsia="zh-CN"/>
              </w:rPr>
              <w:t>0</w:t>
            </w:r>
          </w:p>
        </w:tc>
        <w:tc>
          <w:tcPr>
            <w:tcW w:w="597" w:type="pct"/>
            <w:tcBorders>
              <w:tl2br w:val="nil"/>
              <w:tr2bl w:val="nil"/>
            </w:tcBorders>
            <w:shd w:val="clear" w:color="auto" w:fill="auto"/>
            <w:noWrap/>
            <w:tcMar>
              <w:top w:w="15" w:type="dxa"/>
              <w:left w:w="15" w:type="dxa"/>
              <w:bottom w:w="0" w:type="dxa"/>
              <w:right w:w="15" w:type="dxa"/>
            </w:tcMar>
            <w:vAlign w:val="center"/>
          </w:tcPr>
          <w:p w14:paraId="5ED60E94">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1636" w:type="dxa"/>
            <w:tcBorders>
              <w:tl2br w:val="nil"/>
              <w:tr2bl w:val="nil"/>
            </w:tcBorders>
            <w:shd w:val="clear" w:color="auto" w:fill="auto"/>
            <w:noWrap/>
            <w:tcMar>
              <w:top w:w="15" w:type="dxa"/>
              <w:left w:w="15" w:type="dxa"/>
              <w:bottom w:w="0" w:type="dxa"/>
              <w:right w:w="15" w:type="dxa"/>
            </w:tcMar>
            <w:vAlign w:val="center"/>
          </w:tcPr>
          <w:p w14:paraId="0ACB0511">
            <w:pPr>
              <w:pStyle w:val="52"/>
              <w:spacing w:before="0" w:after="0" w:line="240" w:lineRule="auto"/>
              <w:ind w:left="0" w:leftChars="0" w:firstLine="0" w:firstLineChars="0"/>
              <w:rPr>
                <w:rFonts w:hint="default" w:ascii="Times New Roman" w:hAnsi="Times New Roman" w:eastAsia="等线" w:cs="Times New Roman"/>
                <w:color w:val="auto"/>
                <w:sz w:val="21"/>
                <w:szCs w:val="18"/>
                <w:highlight w:val="none"/>
                <w:lang w:val="en-US" w:eastAsia="zh-CN"/>
              </w:rPr>
            </w:pPr>
            <w:r>
              <w:rPr>
                <w:rFonts w:hint="default" w:ascii="Times New Roman" w:hAnsi="Times New Roman" w:eastAsia="等线" w:cs="Times New Roman"/>
                <w:color w:val="auto"/>
                <w:sz w:val="21"/>
                <w:szCs w:val="18"/>
                <w:highlight w:val="none"/>
                <w:lang w:val="en-US" w:eastAsia="zh-CN"/>
              </w:rPr>
              <w:t>2.51</w:t>
            </w:r>
          </w:p>
        </w:tc>
        <w:tc>
          <w:tcPr>
            <w:tcW w:w="1019" w:type="pct"/>
            <w:tcBorders>
              <w:tl2br w:val="nil"/>
              <w:tr2bl w:val="nil"/>
            </w:tcBorders>
            <w:shd w:val="clear" w:color="auto" w:fill="auto"/>
            <w:noWrap/>
            <w:tcMar>
              <w:top w:w="15" w:type="dxa"/>
              <w:left w:w="15" w:type="dxa"/>
              <w:bottom w:w="0" w:type="dxa"/>
              <w:right w:w="15" w:type="dxa"/>
            </w:tcMar>
            <w:vAlign w:val="center"/>
          </w:tcPr>
          <w:p w14:paraId="29E03245">
            <w:pPr>
              <w:widowControl/>
              <w:autoSpaceDE/>
              <w:autoSpaceDN/>
              <w:spacing w:before="0" w:after="0" w:line="240" w:lineRule="auto"/>
              <w:ind w:left="0" w:firstLine="0"/>
              <w:jc w:val="center"/>
              <w:rPr>
                <w:rFonts w:hint="default" w:ascii="Times New Roman" w:hAnsi="Times New Roman" w:eastAsia="等线" w:cs="Times New Roman"/>
                <w:color w:val="auto"/>
                <w:kern w:val="0"/>
                <w:sz w:val="21"/>
                <w:szCs w:val="16"/>
                <w:highlight w:val="none"/>
                <w:lang w:eastAsia="zh-CN"/>
              </w:rPr>
            </w:pPr>
            <w:r>
              <w:rPr>
                <w:rFonts w:hint="default" w:ascii="Times New Roman" w:hAnsi="Times New Roman" w:eastAsia="等线" w:cs="Times New Roman"/>
                <w:color w:val="auto"/>
                <w:sz w:val="21"/>
                <w:szCs w:val="16"/>
                <w:highlight w:val="none"/>
                <w:lang w:val="en-US" w:eastAsia="zh-CN"/>
              </w:rPr>
              <w:t>0</w:t>
            </w:r>
          </w:p>
        </w:tc>
      </w:tr>
      <w:tr w14:paraId="2A8D252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94" w:type="pct"/>
            <w:vMerge w:val="continue"/>
            <w:tcBorders>
              <w:tl2br w:val="nil"/>
              <w:tr2bl w:val="nil"/>
            </w:tcBorders>
            <w:shd w:val="clear" w:color="auto" w:fill="auto"/>
            <w:noWrap/>
            <w:tcMar>
              <w:top w:w="15" w:type="dxa"/>
              <w:left w:w="15" w:type="dxa"/>
              <w:bottom w:w="0" w:type="dxa"/>
              <w:right w:w="15" w:type="dxa"/>
            </w:tcMar>
            <w:vAlign w:val="center"/>
          </w:tcPr>
          <w:p w14:paraId="4A56A02D">
            <w:pPr>
              <w:pStyle w:val="52"/>
              <w:spacing w:before="0" w:after="0" w:line="240" w:lineRule="auto"/>
              <w:ind w:left="0" w:firstLine="0"/>
              <w:rPr>
                <w:rFonts w:hint="default" w:ascii="Times New Roman" w:hAnsi="Times New Roman" w:cs="Times New Roman"/>
                <w:color w:val="auto"/>
                <w:sz w:val="21"/>
                <w:szCs w:val="18"/>
                <w:highlight w:val="none"/>
              </w:rPr>
            </w:pPr>
          </w:p>
        </w:tc>
        <w:tc>
          <w:tcPr>
            <w:tcW w:w="836" w:type="pct"/>
            <w:tcBorders>
              <w:tl2br w:val="nil"/>
              <w:tr2bl w:val="nil"/>
            </w:tcBorders>
            <w:shd w:val="clear" w:color="auto" w:fill="auto"/>
            <w:tcMar>
              <w:top w:w="15" w:type="dxa"/>
              <w:left w:w="15" w:type="dxa"/>
              <w:bottom w:w="0" w:type="dxa"/>
              <w:right w:w="15" w:type="dxa"/>
            </w:tcMar>
            <w:vAlign w:val="center"/>
          </w:tcPr>
          <w:p w14:paraId="3218AE2D">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氨氮</w:t>
            </w:r>
          </w:p>
        </w:tc>
        <w:tc>
          <w:tcPr>
            <w:tcW w:w="691" w:type="pct"/>
            <w:tcBorders>
              <w:tl2br w:val="nil"/>
              <w:tr2bl w:val="nil"/>
            </w:tcBorders>
            <w:shd w:val="clear" w:color="auto" w:fill="auto"/>
            <w:noWrap/>
            <w:tcMar>
              <w:top w:w="15" w:type="dxa"/>
              <w:left w:w="15" w:type="dxa"/>
              <w:bottom w:w="0" w:type="dxa"/>
              <w:right w:w="15" w:type="dxa"/>
            </w:tcMar>
            <w:vAlign w:val="center"/>
          </w:tcPr>
          <w:p w14:paraId="5C153A6D">
            <w:pPr>
              <w:pStyle w:val="52"/>
              <w:spacing w:before="0" w:after="0" w:line="240" w:lineRule="auto"/>
              <w:ind w:left="0" w:firstLine="0"/>
              <w:rPr>
                <w:rFonts w:hint="default" w:ascii="Times New Roman" w:hAnsi="Times New Roman" w:eastAsia="等线" w:cs="Times New Roman"/>
                <w:color w:val="auto"/>
                <w:sz w:val="21"/>
                <w:szCs w:val="18"/>
                <w:highlight w:val="none"/>
                <w:lang w:val="en-US" w:eastAsia="zh-CN"/>
              </w:rPr>
            </w:pPr>
            <w:r>
              <w:rPr>
                <w:rFonts w:hint="default" w:ascii="Times New Roman" w:hAnsi="Times New Roman" w:eastAsia="等线" w:cs="Times New Roman"/>
                <w:color w:val="auto"/>
                <w:sz w:val="21"/>
                <w:szCs w:val="18"/>
                <w:highlight w:val="none"/>
                <w:lang w:val="en-US" w:eastAsia="zh-CN"/>
              </w:rPr>
              <w:t>0.42</w:t>
            </w:r>
          </w:p>
        </w:tc>
        <w:tc>
          <w:tcPr>
            <w:tcW w:w="727" w:type="pct"/>
            <w:tcBorders>
              <w:tl2br w:val="nil"/>
              <w:tr2bl w:val="nil"/>
            </w:tcBorders>
            <w:shd w:val="clear" w:color="auto" w:fill="auto"/>
            <w:noWrap/>
            <w:tcMar>
              <w:top w:w="15" w:type="dxa"/>
              <w:left w:w="15" w:type="dxa"/>
              <w:bottom w:w="0" w:type="dxa"/>
              <w:right w:w="15" w:type="dxa"/>
            </w:tcMar>
            <w:vAlign w:val="center"/>
          </w:tcPr>
          <w:p w14:paraId="713A21DF">
            <w:pPr>
              <w:autoSpaceDE/>
              <w:autoSpaceDN/>
              <w:spacing w:before="0" w:after="0" w:line="240" w:lineRule="auto"/>
              <w:ind w:left="0" w:firstLine="0"/>
              <w:jc w:val="center"/>
              <w:rPr>
                <w:rFonts w:hint="default" w:ascii="Times New Roman" w:hAnsi="Times New Roman" w:eastAsia="等线" w:cs="Times New Roman"/>
                <w:color w:val="auto"/>
                <w:sz w:val="21"/>
                <w:szCs w:val="16"/>
                <w:highlight w:val="none"/>
                <w:lang w:val="en-US" w:eastAsia="zh-CN"/>
              </w:rPr>
            </w:pPr>
            <w:r>
              <w:rPr>
                <w:rFonts w:hint="eastAsia" w:eastAsia="等线" w:cs="Times New Roman"/>
                <w:color w:val="auto"/>
                <w:sz w:val="21"/>
                <w:szCs w:val="16"/>
                <w:highlight w:val="none"/>
                <w:lang w:val="en-US" w:eastAsia="zh-CN"/>
              </w:rPr>
              <w:t>0</w:t>
            </w:r>
          </w:p>
        </w:tc>
        <w:tc>
          <w:tcPr>
            <w:tcW w:w="597" w:type="pct"/>
            <w:tcBorders>
              <w:tl2br w:val="nil"/>
              <w:tr2bl w:val="nil"/>
            </w:tcBorders>
            <w:shd w:val="clear" w:color="auto" w:fill="auto"/>
            <w:noWrap/>
            <w:tcMar>
              <w:top w:w="15" w:type="dxa"/>
              <w:left w:w="15" w:type="dxa"/>
              <w:bottom w:w="0" w:type="dxa"/>
              <w:right w:w="15" w:type="dxa"/>
            </w:tcMar>
            <w:vAlign w:val="center"/>
          </w:tcPr>
          <w:p w14:paraId="71BDFB6F">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1636" w:type="dxa"/>
            <w:tcBorders>
              <w:tl2br w:val="nil"/>
              <w:tr2bl w:val="nil"/>
            </w:tcBorders>
            <w:shd w:val="clear" w:color="auto" w:fill="auto"/>
            <w:noWrap/>
            <w:tcMar>
              <w:top w:w="15" w:type="dxa"/>
              <w:left w:w="15" w:type="dxa"/>
              <w:bottom w:w="0" w:type="dxa"/>
              <w:right w:w="15" w:type="dxa"/>
            </w:tcMar>
            <w:vAlign w:val="center"/>
          </w:tcPr>
          <w:p w14:paraId="74C090C1">
            <w:pPr>
              <w:pStyle w:val="52"/>
              <w:spacing w:before="0" w:after="0" w:line="240" w:lineRule="auto"/>
              <w:ind w:left="0" w:leftChars="0" w:firstLine="0" w:firstLineChars="0"/>
              <w:rPr>
                <w:rFonts w:hint="default" w:ascii="Times New Roman" w:hAnsi="Times New Roman" w:eastAsia="等线" w:cs="Times New Roman"/>
                <w:color w:val="auto"/>
                <w:sz w:val="21"/>
                <w:szCs w:val="18"/>
                <w:highlight w:val="none"/>
                <w:lang w:val="en-US" w:eastAsia="zh-CN"/>
              </w:rPr>
            </w:pPr>
            <w:r>
              <w:rPr>
                <w:rFonts w:hint="default" w:ascii="Times New Roman" w:hAnsi="Times New Roman" w:eastAsia="等线" w:cs="Times New Roman"/>
                <w:color w:val="auto"/>
                <w:sz w:val="21"/>
                <w:szCs w:val="18"/>
                <w:highlight w:val="none"/>
                <w:lang w:val="en-US" w:eastAsia="zh-CN"/>
              </w:rPr>
              <w:t>0.42</w:t>
            </w:r>
          </w:p>
        </w:tc>
        <w:tc>
          <w:tcPr>
            <w:tcW w:w="1019" w:type="pct"/>
            <w:tcBorders>
              <w:tl2br w:val="nil"/>
              <w:tr2bl w:val="nil"/>
            </w:tcBorders>
            <w:shd w:val="clear" w:color="auto" w:fill="auto"/>
            <w:noWrap/>
            <w:tcMar>
              <w:top w:w="15" w:type="dxa"/>
              <w:left w:w="15" w:type="dxa"/>
              <w:bottom w:w="0" w:type="dxa"/>
              <w:right w:w="15" w:type="dxa"/>
            </w:tcMar>
            <w:vAlign w:val="center"/>
          </w:tcPr>
          <w:p w14:paraId="6AFDF8F0">
            <w:pPr>
              <w:autoSpaceDE/>
              <w:autoSpaceDN/>
              <w:spacing w:before="0" w:after="0" w:line="240" w:lineRule="auto"/>
              <w:ind w:left="0" w:firstLine="0"/>
              <w:jc w:val="center"/>
              <w:rPr>
                <w:rFonts w:hint="default" w:ascii="Times New Roman" w:hAnsi="Times New Roman" w:eastAsia="等线" w:cs="Times New Roman"/>
                <w:color w:val="auto"/>
                <w:sz w:val="21"/>
                <w:szCs w:val="16"/>
                <w:highlight w:val="none"/>
                <w:lang w:eastAsia="zh-CN"/>
              </w:rPr>
            </w:pPr>
            <w:r>
              <w:rPr>
                <w:rFonts w:hint="default" w:ascii="Times New Roman" w:hAnsi="Times New Roman" w:eastAsia="等线" w:cs="Times New Roman"/>
                <w:color w:val="auto"/>
                <w:sz w:val="21"/>
                <w:szCs w:val="16"/>
                <w:highlight w:val="none"/>
                <w:lang w:val="en-US" w:eastAsia="zh-CN"/>
              </w:rPr>
              <w:t>0</w:t>
            </w:r>
          </w:p>
        </w:tc>
      </w:tr>
      <w:tr w14:paraId="44B4777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94" w:type="pct"/>
            <w:vMerge w:val="restart"/>
            <w:tcBorders>
              <w:tl2br w:val="nil"/>
              <w:tr2bl w:val="nil"/>
            </w:tcBorders>
            <w:shd w:val="clear" w:color="auto" w:fill="auto"/>
            <w:noWrap/>
            <w:tcMar>
              <w:top w:w="15" w:type="dxa"/>
              <w:left w:w="15" w:type="dxa"/>
              <w:bottom w:w="0" w:type="dxa"/>
              <w:right w:w="15" w:type="dxa"/>
            </w:tcMar>
            <w:vAlign w:val="center"/>
          </w:tcPr>
          <w:p w14:paraId="25F19E62">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固废</w:t>
            </w:r>
          </w:p>
        </w:tc>
        <w:tc>
          <w:tcPr>
            <w:tcW w:w="836" w:type="pct"/>
            <w:tcBorders>
              <w:tl2br w:val="nil"/>
              <w:tr2bl w:val="nil"/>
            </w:tcBorders>
            <w:shd w:val="clear" w:color="auto" w:fill="auto"/>
            <w:tcMar>
              <w:top w:w="15" w:type="dxa"/>
              <w:left w:w="15" w:type="dxa"/>
              <w:bottom w:w="0" w:type="dxa"/>
              <w:right w:w="15" w:type="dxa"/>
            </w:tcMar>
            <w:vAlign w:val="center"/>
          </w:tcPr>
          <w:p w14:paraId="0C2C1D7A">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一般固废</w:t>
            </w:r>
          </w:p>
        </w:tc>
        <w:tc>
          <w:tcPr>
            <w:tcW w:w="691" w:type="pct"/>
            <w:tcBorders>
              <w:tl2br w:val="nil"/>
              <w:tr2bl w:val="nil"/>
            </w:tcBorders>
            <w:shd w:val="clear" w:color="auto" w:fill="auto"/>
            <w:noWrap/>
            <w:tcMar>
              <w:top w:w="15" w:type="dxa"/>
              <w:left w:w="15" w:type="dxa"/>
              <w:bottom w:w="0" w:type="dxa"/>
              <w:right w:w="15" w:type="dxa"/>
            </w:tcMar>
            <w:vAlign w:val="center"/>
          </w:tcPr>
          <w:p w14:paraId="02D80A1C">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727" w:type="pct"/>
            <w:tcBorders>
              <w:tl2br w:val="nil"/>
              <w:tr2bl w:val="nil"/>
            </w:tcBorders>
            <w:shd w:val="clear" w:color="auto" w:fill="auto"/>
            <w:noWrap/>
            <w:tcMar>
              <w:top w:w="15" w:type="dxa"/>
              <w:left w:w="15" w:type="dxa"/>
              <w:bottom w:w="0" w:type="dxa"/>
              <w:right w:w="15" w:type="dxa"/>
            </w:tcMar>
            <w:vAlign w:val="center"/>
          </w:tcPr>
          <w:p w14:paraId="573DF69F">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597" w:type="pct"/>
            <w:tcBorders>
              <w:tl2br w:val="nil"/>
              <w:tr2bl w:val="nil"/>
            </w:tcBorders>
            <w:shd w:val="clear" w:color="auto" w:fill="auto"/>
            <w:noWrap/>
            <w:tcMar>
              <w:top w:w="15" w:type="dxa"/>
              <w:left w:w="15" w:type="dxa"/>
              <w:bottom w:w="0" w:type="dxa"/>
              <w:right w:w="15" w:type="dxa"/>
            </w:tcMar>
            <w:vAlign w:val="center"/>
          </w:tcPr>
          <w:p w14:paraId="38C27714">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933" w:type="pct"/>
            <w:tcBorders>
              <w:tl2br w:val="nil"/>
              <w:tr2bl w:val="nil"/>
            </w:tcBorders>
            <w:shd w:val="clear" w:color="auto" w:fill="auto"/>
            <w:noWrap/>
            <w:tcMar>
              <w:top w:w="15" w:type="dxa"/>
              <w:left w:w="15" w:type="dxa"/>
              <w:bottom w:w="0" w:type="dxa"/>
              <w:right w:w="15" w:type="dxa"/>
            </w:tcMar>
            <w:vAlign w:val="center"/>
          </w:tcPr>
          <w:p w14:paraId="1EA07B48">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1019" w:type="pct"/>
            <w:tcBorders>
              <w:tl2br w:val="nil"/>
              <w:tr2bl w:val="nil"/>
            </w:tcBorders>
            <w:shd w:val="clear" w:color="auto" w:fill="auto"/>
            <w:noWrap/>
            <w:tcMar>
              <w:top w:w="15" w:type="dxa"/>
              <w:left w:w="15" w:type="dxa"/>
              <w:bottom w:w="0" w:type="dxa"/>
              <w:right w:w="15" w:type="dxa"/>
            </w:tcMar>
            <w:vAlign w:val="center"/>
          </w:tcPr>
          <w:p w14:paraId="6A42528E">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r>
      <w:tr w14:paraId="1602AA1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94" w:type="pct"/>
            <w:vMerge w:val="continue"/>
            <w:tcBorders>
              <w:tl2br w:val="nil"/>
              <w:tr2bl w:val="nil"/>
            </w:tcBorders>
            <w:vAlign w:val="center"/>
          </w:tcPr>
          <w:p w14:paraId="6C85C64F">
            <w:pPr>
              <w:pStyle w:val="52"/>
              <w:spacing w:before="0" w:after="0" w:line="240" w:lineRule="auto"/>
              <w:ind w:left="0" w:firstLine="0"/>
              <w:rPr>
                <w:rFonts w:hint="default" w:ascii="Times New Roman" w:hAnsi="Times New Roman" w:cs="Times New Roman"/>
                <w:color w:val="auto"/>
                <w:sz w:val="21"/>
                <w:szCs w:val="18"/>
                <w:highlight w:val="none"/>
              </w:rPr>
            </w:pPr>
          </w:p>
        </w:tc>
        <w:tc>
          <w:tcPr>
            <w:tcW w:w="836" w:type="pct"/>
            <w:tcBorders>
              <w:tl2br w:val="nil"/>
              <w:tr2bl w:val="nil"/>
            </w:tcBorders>
            <w:shd w:val="clear" w:color="auto" w:fill="auto"/>
            <w:tcMar>
              <w:top w:w="15" w:type="dxa"/>
              <w:left w:w="15" w:type="dxa"/>
              <w:bottom w:w="0" w:type="dxa"/>
              <w:right w:w="15" w:type="dxa"/>
            </w:tcMar>
            <w:vAlign w:val="center"/>
          </w:tcPr>
          <w:p w14:paraId="443BC030">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危险废物</w:t>
            </w:r>
          </w:p>
        </w:tc>
        <w:tc>
          <w:tcPr>
            <w:tcW w:w="691" w:type="pct"/>
            <w:tcBorders>
              <w:tl2br w:val="nil"/>
              <w:tr2bl w:val="nil"/>
            </w:tcBorders>
            <w:shd w:val="clear" w:color="auto" w:fill="auto"/>
            <w:noWrap/>
            <w:tcMar>
              <w:top w:w="15" w:type="dxa"/>
              <w:left w:w="15" w:type="dxa"/>
              <w:bottom w:w="0" w:type="dxa"/>
              <w:right w:w="15" w:type="dxa"/>
            </w:tcMar>
            <w:vAlign w:val="center"/>
          </w:tcPr>
          <w:p w14:paraId="0AE9C9E9">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727" w:type="pct"/>
            <w:tcBorders>
              <w:tl2br w:val="nil"/>
              <w:tr2bl w:val="nil"/>
            </w:tcBorders>
            <w:shd w:val="clear" w:color="auto" w:fill="auto"/>
            <w:noWrap/>
            <w:tcMar>
              <w:top w:w="15" w:type="dxa"/>
              <w:left w:w="15" w:type="dxa"/>
              <w:bottom w:w="0" w:type="dxa"/>
              <w:right w:w="15" w:type="dxa"/>
            </w:tcMar>
            <w:vAlign w:val="center"/>
          </w:tcPr>
          <w:p w14:paraId="4E44E88A">
            <w:pPr>
              <w:pStyle w:val="52"/>
              <w:spacing w:before="0" w:after="0" w:line="240" w:lineRule="auto"/>
              <w:ind w:left="0" w:firstLine="0"/>
              <w:rPr>
                <w:rFonts w:hint="default" w:ascii="Times New Roman" w:hAnsi="Times New Roman" w:eastAsia="等线" w:cs="Times New Roman"/>
                <w:color w:val="auto"/>
                <w:sz w:val="21"/>
                <w:szCs w:val="18"/>
                <w:highlight w:val="none"/>
                <w:lang w:val="en-US" w:eastAsia="zh-CN"/>
              </w:rPr>
            </w:pPr>
            <w:r>
              <w:rPr>
                <w:rFonts w:hint="eastAsia" w:eastAsia="等线" w:cs="Times New Roman"/>
                <w:color w:val="auto"/>
                <w:sz w:val="21"/>
                <w:szCs w:val="18"/>
                <w:highlight w:val="none"/>
                <w:lang w:val="en-US" w:eastAsia="zh-CN"/>
              </w:rPr>
              <w:t>56.4277</w:t>
            </w:r>
          </w:p>
        </w:tc>
        <w:tc>
          <w:tcPr>
            <w:tcW w:w="597" w:type="pct"/>
            <w:tcBorders>
              <w:tl2br w:val="nil"/>
              <w:tr2bl w:val="nil"/>
            </w:tcBorders>
            <w:shd w:val="clear" w:color="auto" w:fill="auto"/>
            <w:noWrap/>
            <w:tcMar>
              <w:top w:w="15" w:type="dxa"/>
              <w:left w:w="15" w:type="dxa"/>
              <w:bottom w:w="0" w:type="dxa"/>
              <w:right w:w="15" w:type="dxa"/>
            </w:tcMar>
            <w:vAlign w:val="center"/>
          </w:tcPr>
          <w:p w14:paraId="68047594">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933" w:type="pct"/>
            <w:tcBorders>
              <w:tl2br w:val="nil"/>
              <w:tr2bl w:val="nil"/>
            </w:tcBorders>
            <w:shd w:val="clear" w:color="auto" w:fill="auto"/>
            <w:noWrap/>
            <w:tcMar>
              <w:top w:w="15" w:type="dxa"/>
              <w:left w:w="15" w:type="dxa"/>
              <w:bottom w:w="0" w:type="dxa"/>
              <w:right w:w="15" w:type="dxa"/>
            </w:tcMar>
            <w:vAlign w:val="center"/>
          </w:tcPr>
          <w:p w14:paraId="53807B76">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1019" w:type="pct"/>
            <w:tcBorders>
              <w:tl2br w:val="nil"/>
              <w:tr2bl w:val="nil"/>
            </w:tcBorders>
            <w:shd w:val="clear" w:color="auto" w:fill="auto"/>
            <w:noWrap/>
            <w:tcMar>
              <w:top w:w="15" w:type="dxa"/>
              <w:left w:w="15" w:type="dxa"/>
              <w:bottom w:w="0" w:type="dxa"/>
              <w:right w:w="15" w:type="dxa"/>
            </w:tcMar>
            <w:vAlign w:val="center"/>
          </w:tcPr>
          <w:p w14:paraId="0D171192">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r>
      <w:tr w14:paraId="37B720D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5" w:hRule="atLeast"/>
        </w:trPr>
        <w:tc>
          <w:tcPr>
            <w:tcW w:w="194" w:type="pct"/>
            <w:vMerge w:val="continue"/>
            <w:tcBorders>
              <w:tl2br w:val="nil"/>
              <w:tr2bl w:val="nil"/>
            </w:tcBorders>
            <w:vAlign w:val="center"/>
          </w:tcPr>
          <w:p w14:paraId="5A9BB677">
            <w:pPr>
              <w:pStyle w:val="52"/>
              <w:spacing w:before="0" w:after="0" w:line="240" w:lineRule="auto"/>
              <w:ind w:left="0" w:firstLine="0"/>
              <w:rPr>
                <w:rFonts w:hint="default" w:ascii="Times New Roman" w:hAnsi="Times New Roman" w:cs="Times New Roman"/>
                <w:color w:val="auto"/>
                <w:sz w:val="21"/>
                <w:szCs w:val="18"/>
                <w:highlight w:val="none"/>
              </w:rPr>
            </w:pPr>
          </w:p>
        </w:tc>
        <w:tc>
          <w:tcPr>
            <w:tcW w:w="836" w:type="pct"/>
            <w:tcBorders>
              <w:tl2br w:val="nil"/>
              <w:tr2bl w:val="nil"/>
            </w:tcBorders>
            <w:shd w:val="clear" w:color="auto" w:fill="auto"/>
            <w:tcMar>
              <w:top w:w="15" w:type="dxa"/>
              <w:left w:w="15" w:type="dxa"/>
              <w:bottom w:w="0" w:type="dxa"/>
              <w:right w:w="15" w:type="dxa"/>
            </w:tcMar>
            <w:vAlign w:val="center"/>
          </w:tcPr>
          <w:p w14:paraId="5AE865A1">
            <w:pPr>
              <w:pStyle w:val="52"/>
              <w:spacing w:before="0" w:after="0" w:line="240" w:lineRule="auto"/>
              <w:ind w:left="0" w:firstLine="0"/>
              <w:rPr>
                <w:rFonts w:hint="default" w:ascii="Times New Roman" w:hAnsi="Times New Roman" w:cs="Times New Roman"/>
                <w:color w:val="auto"/>
                <w:sz w:val="21"/>
                <w:szCs w:val="18"/>
                <w:highlight w:val="none"/>
              </w:rPr>
            </w:pPr>
            <w:r>
              <w:rPr>
                <w:rFonts w:hint="default" w:ascii="Times New Roman" w:hAnsi="Times New Roman" w:cs="Times New Roman"/>
                <w:color w:val="auto"/>
                <w:sz w:val="21"/>
                <w:szCs w:val="18"/>
                <w:highlight w:val="none"/>
              </w:rPr>
              <w:t>生活垃圾</w:t>
            </w:r>
          </w:p>
        </w:tc>
        <w:tc>
          <w:tcPr>
            <w:tcW w:w="691" w:type="pct"/>
            <w:tcBorders>
              <w:tl2br w:val="nil"/>
              <w:tr2bl w:val="nil"/>
            </w:tcBorders>
            <w:shd w:val="clear" w:color="auto" w:fill="auto"/>
            <w:noWrap/>
            <w:tcMar>
              <w:top w:w="15" w:type="dxa"/>
              <w:left w:w="15" w:type="dxa"/>
              <w:bottom w:w="0" w:type="dxa"/>
              <w:right w:w="15" w:type="dxa"/>
            </w:tcMar>
            <w:vAlign w:val="center"/>
          </w:tcPr>
          <w:p w14:paraId="353CD3FE">
            <w:pPr>
              <w:pStyle w:val="52"/>
              <w:spacing w:before="0" w:after="0" w:line="240" w:lineRule="auto"/>
              <w:ind w:left="0" w:firstLine="0"/>
              <w:rPr>
                <w:rFonts w:hint="default" w:ascii="Times New Roman" w:hAnsi="Times New Roman" w:eastAsia="等线" w:cs="Times New Roman"/>
                <w:color w:val="auto"/>
                <w:sz w:val="21"/>
                <w:szCs w:val="18"/>
                <w:highlight w:val="none"/>
                <w:lang w:val="en-US" w:eastAsia="zh-CN"/>
              </w:rPr>
            </w:pPr>
            <w:r>
              <w:rPr>
                <w:rFonts w:hint="default" w:ascii="Times New Roman" w:hAnsi="Times New Roman" w:eastAsia="等线" w:cs="Times New Roman"/>
                <w:color w:val="auto"/>
                <w:sz w:val="21"/>
                <w:szCs w:val="18"/>
                <w:highlight w:val="none"/>
                <w:lang w:val="en-US" w:eastAsia="zh-CN"/>
              </w:rPr>
              <w:t>96.64</w:t>
            </w:r>
          </w:p>
        </w:tc>
        <w:tc>
          <w:tcPr>
            <w:tcW w:w="727" w:type="pct"/>
            <w:tcBorders>
              <w:tl2br w:val="nil"/>
              <w:tr2bl w:val="nil"/>
            </w:tcBorders>
            <w:shd w:val="clear" w:color="auto" w:fill="auto"/>
            <w:noWrap/>
            <w:tcMar>
              <w:top w:w="15" w:type="dxa"/>
              <w:left w:w="15" w:type="dxa"/>
              <w:bottom w:w="0" w:type="dxa"/>
              <w:right w:w="15" w:type="dxa"/>
            </w:tcMar>
            <w:vAlign w:val="center"/>
          </w:tcPr>
          <w:p w14:paraId="16DE2D70">
            <w:pPr>
              <w:pStyle w:val="52"/>
              <w:spacing w:before="0" w:after="0" w:line="240" w:lineRule="auto"/>
              <w:ind w:left="0" w:firstLine="0"/>
              <w:rPr>
                <w:rFonts w:hint="default" w:ascii="Times New Roman" w:hAnsi="Times New Roman" w:eastAsia="等线" w:cs="Times New Roman"/>
                <w:color w:val="auto"/>
                <w:sz w:val="21"/>
                <w:szCs w:val="18"/>
                <w:highlight w:val="none"/>
                <w:lang w:eastAsia="zh-CN"/>
              </w:rPr>
            </w:pPr>
            <w:r>
              <w:rPr>
                <w:rFonts w:hint="default" w:ascii="Times New Roman" w:hAnsi="Times New Roman" w:eastAsia="等线" w:cs="Times New Roman"/>
                <w:color w:val="auto"/>
                <w:sz w:val="21"/>
                <w:szCs w:val="18"/>
                <w:highlight w:val="none"/>
                <w:lang w:val="en-US" w:eastAsia="zh-CN"/>
              </w:rPr>
              <w:t>0</w:t>
            </w:r>
          </w:p>
        </w:tc>
        <w:tc>
          <w:tcPr>
            <w:tcW w:w="597" w:type="pct"/>
            <w:tcBorders>
              <w:tl2br w:val="nil"/>
              <w:tr2bl w:val="nil"/>
            </w:tcBorders>
            <w:shd w:val="clear" w:color="auto" w:fill="auto"/>
            <w:noWrap/>
            <w:tcMar>
              <w:top w:w="15" w:type="dxa"/>
              <w:left w:w="15" w:type="dxa"/>
              <w:bottom w:w="0" w:type="dxa"/>
              <w:right w:w="15" w:type="dxa"/>
            </w:tcMar>
            <w:vAlign w:val="center"/>
          </w:tcPr>
          <w:p w14:paraId="67F16966">
            <w:pPr>
              <w:pStyle w:val="52"/>
              <w:spacing w:before="0" w:after="0" w:line="240" w:lineRule="auto"/>
              <w:ind w:left="0" w:firstLine="0"/>
              <w:rPr>
                <w:rFonts w:hint="default" w:ascii="Times New Roman" w:hAnsi="Times New Roman" w:eastAsia="等线" w:cs="Times New Roman"/>
                <w:color w:val="auto"/>
                <w:sz w:val="21"/>
                <w:szCs w:val="18"/>
                <w:highlight w:val="none"/>
              </w:rPr>
            </w:pPr>
            <w:r>
              <w:rPr>
                <w:rFonts w:hint="default" w:ascii="Times New Roman" w:hAnsi="Times New Roman" w:eastAsia="等线" w:cs="Times New Roman"/>
                <w:color w:val="auto"/>
                <w:sz w:val="21"/>
                <w:szCs w:val="18"/>
                <w:highlight w:val="none"/>
              </w:rPr>
              <w:t>0</w:t>
            </w:r>
          </w:p>
        </w:tc>
        <w:tc>
          <w:tcPr>
            <w:tcW w:w="933" w:type="pct"/>
            <w:tcBorders>
              <w:tl2br w:val="nil"/>
              <w:tr2bl w:val="nil"/>
            </w:tcBorders>
            <w:shd w:val="clear" w:color="auto" w:fill="auto"/>
            <w:noWrap/>
            <w:tcMar>
              <w:top w:w="15" w:type="dxa"/>
              <w:left w:w="15" w:type="dxa"/>
              <w:bottom w:w="0" w:type="dxa"/>
              <w:right w:w="15" w:type="dxa"/>
            </w:tcMar>
            <w:vAlign w:val="center"/>
          </w:tcPr>
          <w:p w14:paraId="7F082093">
            <w:pPr>
              <w:pStyle w:val="52"/>
              <w:spacing w:before="0" w:after="0" w:line="240" w:lineRule="auto"/>
              <w:ind w:left="0" w:firstLine="0"/>
              <w:rPr>
                <w:rFonts w:hint="default" w:ascii="Times New Roman" w:hAnsi="Times New Roman" w:eastAsia="等线" w:cs="Times New Roman"/>
                <w:color w:val="auto"/>
                <w:sz w:val="21"/>
                <w:szCs w:val="18"/>
                <w:highlight w:val="none"/>
                <w:lang w:val="en-US" w:eastAsia="zh-CN"/>
              </w:rPr>
            </w:pPr>
            <w:r>
              <w:rPr>
                <w:rFonts w:hint="default" w:ascii="Times New Roman" w:hAnsi="Times New Roman" w:eastAsia="等线" w:cs="Times New Roman"/>
                <w:color w:val="auto"/>
                <w:sz w:val="21"/>
                <w:szCs w:val="18"/>
                <w:highlight w:val="none"/>
                <w:lang w:val="en-US" w:eastAsia="zh-CN"/>
              </w:rPr>
              <w:t>96.64</w:t>
            </w:r>
          </w:p>
        </w:tc>
        <w:tc>
          <w:tcPr>
            <w:tcW w:w="1019" w:type="pct"/>
            <w:tcBorders>
              <w:tl2br w:val="nil"/>
              <w:tr2bl w:val="nil"/>
            </w:tcBorders>
            <w:shd w:val="clear" w:color="auto" w:fill="auto"/>
            <w:noWrap/>
            <w:tcMar>
              <w:top w:w="15" w:type="dxa"/>
              <w:left w:w="15" w:type="dxa"/>
              <w:bottom w:w="0" w:type="dxa"/>
              <w:right w:w="15" w:type="dxa"/>
            </w:tcMar>
            <w:vAlign w:val="center"/>
          </w:tcPr>
          <w:p w14:paraId="310D35C0">
            <w:pPr>
              <w:pStyle w:val="52"/>
              <w:spacing w:before="0" w:after="0" w:line="240" w:lineRule="auto"/>
              <w:ind w:left="0" w:firstLine="0"/>
              <w:rPr>
                <w:rFonts w:hint="default" w:ascii="Times New Roman" w:hAnsi="Times New Roman" w:eastAsia="等线" w:cs="Times New Roman"/>
                <w:color w:val="auto"/>
                <w:sz w:val="21"/>
                <w:szCs w:val="18"/>
                <w:highlight w:val="none"/>
                <w:lang w:eastAsia="zh-CN"/>
              </w:rPr>
            </w:pPr>
            <w:r>
              <w:rPr>
                <w:rFonts w:hint="default" w:ascii="Times New Roman" w:hAnsi="Times New Roman" w:eastAsia="等线" w:cs="Times New Roman"/>
                <w:color w:val="auto"/>
                <w:sz w:val="21"/>
                <w:szCs w:val="18"/>
                <w:highlight w:val="none"/>
                <w:lang w:val="en-US" w:eastAsia="zh-CN"/>
              </w:rPr>
              <w:t>0</w:t>
            </w:r>
          </w:p>
        </w:tc>
      </w:tr>
    </w:tbl>
    <w:p w14:paraId="1C9E8934">
      <w:pPr>
        <w:pStyle w:val="5"/>
        <w:keepNext/>
        <w:keepLines/>
        <w:pageBreakBefore w:val="0"/>
        <w:widowControl w:val="0"/>
        <w:tabs>
          <w:tab w:val="left" w:pos="864"/>
        </w:tabs>
        <w:kinsoku/>
        <w:wordWrap/>
        <w:overflowPunct/>
        <w:topLinePunct w:val="0"/>
        <w:autoSpaceDE/>
        <w:autoSpaceDN/>
        <w:bidi w:val="0"/>
        <w:adjustRightInd/>
        <w:snapToGrid/>
        <w:spacing w:before="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3.8.2.8污染物排放总量控制</w:t>
      </w:r>
    </w:p>
    <w:p w14:paraId="2C57D3A0">
      <w:pPr>
        <w:pStyle w:val="6"/>
        <w:rPr>
          <w:rFonts w:hint="default" w:ascii="Times New Roman" w:hAnsi="Times New Roman" w:cs="Times New Roman"/>
          <w:highlight w:val="none"/>
        </w:rPr>
      </w:pPr>
      <w:r>
        <w:rPr>
          <w:rFonts w:hint="default" w:ascii="Times New Roman" w:hAnsi="Times New Roman" w:cs="Times New Roman"/>
          <w:highlight w:val="none"/>
        </w:rPr>
        <w:t>根据《“十五五”污染减排工作方案编制技术指南》</w:t>
      </w:r>
      <w:r>
        <w:rPr>
          <w:rFonts w:hint="eastAsia" w:cs="Times New Roman"/>
          <w:highlight w:val="none"/>
          <w:lang w:eastAsia="zh-CN"/>
        </w:rPr>
        <w:t>，“</w:t>
      </w:r>
      <w:r>
        <w:rPr>
          <w:rFonts w:hint="eastAsia" w:cs="Times New Roman"/>
          <w:highlight w:val="none"/>
          <w:lang w:val="en-US" w:eastAsia="zh-CN"/>
        </w:rPr>
        <w:t>十五五</w:t>
      </w:r>
      <w:r>
        <w:rPr>
          <w:rFonts w:hint="eastAsia" w:cs="Times New Roman"/>
          <w:highlight w:val="none"/>
          <w:lang w:eastAsia="zh-CN"/>
        </w:rPr>
        <w:t>”</w:t>
      </w:r>
      <w:r>
        <w:rPr>
          <w:rFonts w:hint="eastAsia" w:cs="Times New Roman"/>
          <w:highlight w:val="none"/>
          <w:lang w:val="en-US" w:eastAsia="zh-CN"/>
        </w:rPr>
        <w:t>期间总量控制指标为：大气环境污染物</w:t>
      </w:r>
      <w:r>
        <w:rPr>
          <w:rFonts w:hint="eastAsia"/>
          <w:color w:val="auto"/>
          <w:highlight w:val="none"/>
        </w:rPr>
        <w:t>氮氧化物、挥发性有机物</w:t>
      </w:r>
      <w:r>
        <w:rPr>
          <w:rFonts w:hint="eastAsia"/>
          <w:color w:val="auto"/>
          <w:highlight w:val="none"/>
          <w:lang w:eastAsia="zh-CN"/>
        </w:rPr>
        <w:t>，</w:t>
      </w:r>
      <w:r>
        <w:rPr>
          <w:rFonts w:hint="eastAsia"/>
          <w:color w:val="auto"/>
          <w:highlight w:val="none"/>
          <w:lang w:val="en-US" w:eastAsia="zh-CN"/>
        </w:rPr>
        <w:t>水环境污染物</w:t>
      </w:r>
      <w:r>
        <w:rPr>
          <w:rFonts w:hint="eastAsia"/>
          <w:color w:val="auto"/>
          <w:highlight w:val="none"/>
          <w:lang w:eastAsia="zh-CN"/>
        </w:rPr>
        <w:t>化学需氧量、总磷</w:t>
      </w:r>
      <w:r>
        <w:rPr>
          <w:rFonts w:hint="eastAsia"/>
          <w:color w:val="auto"/>
          <w:highlight w:val="none"/>
          <w:lang w:val="en-US" w:eastAsia="zh-CN"/>
        </w:rPr>
        <w:t>。</w:t>
      </w:r>
    </w:p>
    <w:p w14:paraId="434DBB36">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hAnsi="Times New Roman" w:eastAsia="宋体"/>
          <w:b w:val="0"/>
          <w:bCs w:val="0"/>
          <w:szCs w:val="24"/>
          <w:highlight w:val="none"/>
          <w:u w:val="none"/>
          <w:lang w:val="en-US" w:eastAsia="zh-CN"/>
        </w:rPr>
      </w:pPr>
      <w:r>
        <w:rPr>
          <w:rFonts w:hint="default" w:ascii="Times New Roman" w:hAnsi="Times New Roman" w:cs="Times New Roman"/>
          <w:color w:val="auto"/>
          <w:highlight w:val="none"/>
        </w:rPr>
        <w:t>本项目实施后，不新增氮氧化物排放，无需新增氮氧化物总量控制指标；项目预处理过程仅产生颗粒物，固态废物甲磺酸钠不会产生挥发性有机物，因此不设置挥发性有机物总量控制指标；项目不新增生产废水及生活污水，不涉及废水总量指标。故本项目不再申请总量控制指标。</w:t>
      </w:r>
      <w:r>
        <w:rPr>
          <w:rFonts w:hint="eastAsia" w:hAnsi="Times New Roman"/>
          <w:b w:val="0"/>
          <w:bCs w:val="0"/>
          <w:szCs w:val="24"/>
          <w:highlight w:val="none"/>
          <w:u w:val="none"/>
          <w:lang w:val="en-US" w:eastAsia="zh-CN"/>
        </w:rPr>
        <w:t>本项目完成后总量控制指标变化见表3.8-11。</w:t>
      </w:r>
    </w:p>
    <w:p w14:paraId="1AC245BF">
      <w:pPr>
        <w:jc w:val="center"/>
        <w:rPr>
          <w:rFonts w:hint="default" w:eastAsia="宋体"/>
          <w:b/>
          <w:bCs/>
          <w:sz w:val="24"/>
          <w:szCs w:val="24"/>
          <w:highlight w:val="none"/>
          <w:u w:val="none"/>
          <w:lang w:val="en-US" w:eastAsia="zh-CN"/>
        </w:rPr>
      </w:pPr>
      <w:r>
        <w:rPr>
          <w:rFonts w:hint="eastAsia"/>
          <w:b/>
          <w:bCs/>
          <w:sz w:val="24"/>
          <w:szCs w:val="24"/>
          <w:highlight w:val="none"/>
          <w:u w:val="none"/>
        </w:rPr>
        <w:t>表</w:t>
      </w:r>
      <w:r>
        <w:rPr>
          <w:rFonts w:hint="eastAsia"/>
          <w:b/>
          <w:bCs/>
          <w:sz w:val="24"/>
          <w:szCs w:val="24"/>
          <w:highlight w:val="none"/>
          <w:u w:val="none"/>
          <w:lang w:val="en-US" w:eastAsia="zh-CN"/>
        </w:rPr>
        <w:t>3.8-11</w:t>
      </w:r>
      <w:r>
        <w:rPr>
          <w:rFonts w:hint="eastAsia"/>
          <w:b/>
          <w:bCs/>
          <w:sz w:val="24"/>
          <w:szCs w:val="24"/>
          <w:highlight w:val="none"/>
          <w:u w:val="none"/>
        </w:rPr>
        <w:t xml:space="preserve"> </w:t>
      </w:r>
      <w:r>
        <w:rPr>
          <w:rFonts w:hint="eastAsia"/>
          <w:b/>
          <w:bCs/>
          <w:sz w:val="24"/>
          <w:szCs w:val="24"/>
          <w:highlight w:val="none"/>
          <w:u w:val="none"/>
          <w:lang w:val="en-US" w:eastAsia="zh-CN"/>
        </w:rPr>
        <w:t>本项目完成后全厂总量指标一览表</w:t>
      </w:r>
    </w:p>
    <w:tbl>
      <w:tblPr>
        <w:tblStyle w:val="39"/>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1662"/>
        <w:gridCol w:w="1662"/>
        <w:gridCol w:w="1090"/>
        <w:gridCol w:w="1015"/>
        <w:gridCol w:w="1015"/>
        <w:gridCol w:w="1168"/>
      </w:tblGrid>
      <w:tr w14:paraId="02FA74B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528" w:type="pct"/>
            <w:tcBorders>
              <w:tl2br w:val="nil"/>
              <w:tr2bl w:val="nil"/>
            </w:tcBorders>
            <w:noWrap w:val="0"/>
            <w:vAlign w:val="center"/>
          </w:tcPr>
          <w:p w14:paraId="40AB75AF">
            <w:pPr>
              <w:autoSpaceDE/>
              <w:autoSpaceDN/>
              <w:adjustRightInd w:val="0"/>
              <w:snapToGrid w:val="0"/>
              <w:spacing w:before="0" w:after="0" w:line="240" w:lineRule="auto"/>
              <w:ind w:left="0" w:firstLine="0"/>
              <w:jc w:val="center"/>
              <w:rPr>
                <w:rFonts w:hint="default" w:ascii="Times New Roman" w:hAnsi="Times New Roman" w:cs="Times New Roman"/>
                <w:b/>
                <w:bCs/>
                <w:color w:val="auto"/>
                <w:sz w:val="21"/>
                <w:szCs w:val="21"/>
                <w:highlight w:val="none"/>
                <w:u w:val="none"/>
              </w:rPr>
            </w:pPr>
            <w:r>
              <w:rPr>
                <w:rFonts w:hint="default" w:ascii="Times New Roman" w:hAnsi="Times New Roman" w:cs="Times New Roman"/>
                <w:b/>
                <w:bCs/>
                <w:color w:val="auto"/>
                <w:sz w:val="21"/>
                <w:szCs w:val="21"/>
                <w:highlight w:val="none"/>
                <w:u w:val="none"/>
              </w:rPr>
              <w:t>污染物名称</w:t>
            </w:r>
          </w:p>
        </w:tc>
        <w:tc>
          <w:tcPr>
            <w:tcW w:w="976" w:type="pct"/>
            <w:tcBorders>
              <w:tl2br w:val="nil"/>
              <w:tr2bl w:val="nil"/>
            </w:tcBorders>
            <w:noWrap w:val="0"/>
            <w:vAlign w:val="center"/>
          </w:tcPr>
          <w:p w14:paraId="0924F43D">
            <w:pPr>
              <w:autoSpaceDE/>
              <w:autoSpaceDN/>
              <w:adjustRightInd w:val="0"/>
              <w:snapToGrid w:val="0"/>
              <w:spacing w:before="0" w:after="0" w:line="240" w:lineRule="auto"/>
              <w:ind w:left="0" w:firstLine="0"/>
              <w:jc w:val="center"/>
              <w:rPr>
                <w:rFonts w:hint="default" w:ascii="Times New Roman" w:hAnsi="Times New Roman" w:cs="Times New Roman"/>
                <w:b/>
                <w:bCs/>
                <w:color w:val="auto"/>
                <w:sz w:val="21"/>
                <w:szCs w:val="21"/>
                <w:highlight w:val="none"/>
                <w:u w:val="none"/>
                <w:lang w:val="en-US" w:eastAsia="zh-CN"/>
              </w:rPr>
            </w:pPr>
            <w:r>
              <w:rPr>
                <w:rFonts w:hint="eastAsia" w:ascii="Times New Roman" w:hAnsi="Times New Roman" w:cs="Times New Roman"/>
                <w:b/>
                <w:bCs/>
                <w:color w:val="auto"/>
                <w:sz w:val="21"/>
                <w:szCs w:val="21"/>
                <w:highlight w:val="none"/>
                <w:u w:val="none"/>
                <w:lang w:val="en-US" w:eastAsia="zh-CN"/>
              </w:rPr>
              <w:t>现有工程许可总量指标</w:t>
            </w:r>
            <w:r>
              <w:rPr>
                <w:rFonts w:hint="eastAsia" w:ascii="Times New Roman" w:hAnsi="Times New Roman" w:cs="Times New Roman"/>
                <w:b/>
                <w:bCs/>
                <w:color w:val="auto"/>
                <w:sz w:val="21"/>
                <w:szCs w:val="21"/>
                <w:highlight w:val="none"/>
                <w:u w:val="none"/>
                <w:lang w:eastAsia="zh-CN"/>
              </w:rPr>
              <w:t>（</w:t>
            </w:r>
            <w:r>
              <w:rPr>
                <w:rFonts w:hint="default" w:ascii="Times New Roman" w:hAnsi="Times New Roman" w:eastAsia="宋体" w:cs="Times New Roman"/>
                <w:b/>
                <w:bCs/>
                <w:color w:val="auto"/>
                <w:sz w:val="21"/>
                <w:szCs w:val="21"/>
                <w:highlight w:val="none"/>
                <w:u w:val="none"/>
              </w:rPr>
              <w:t>t/a</w:t>
            </w:r>
            <w:r>
              <w:rPr>
                <w:rFonts w:hint="eastAsia" w:ascii="Times New Roman" w:hAnsi="Times New Roman" w:cs="Times New Roman"/>
                <w:b/>
                <w:bCs/>
                <w:color w:val="auto"/>
                <w:sz w:val="21"/>
                <w:szCs w:val="21"/>
                <w:highlight w:val="none"/>
                <w:u w:val="none"/>
                <w:lang w:eastAsia="zh-CN"/>
              </w:rPr>
              <w:t>）</w:t>
            </w:r>
          </w:p>
        </w:tc>
        <w:tc>
          <w:tcPr>
            <w:tcW w:w="976" w:type="pct"/>
            <w:tcBorders>
              <w:tl2br w:val="nil"/>
              <w:tr2bl w:val="nil"/>
            </w:tcBorders>
            <w:noWrap w:val="0"/>
            <w:vAlign w:val="center"/>
          </w:tcPr>
          <w:p w14:paraId="3ACFF605">
            <w:pPr>
              <w:autoSpaceDE/>
              <w:autoSpaceDN/>
              <w:adjustRightInd w:val="0"/>
              <w:snapToGrid w:val="0"/>
              <w:spacing w:before="0" w:after="0" w:line="240" w:lineRule="auto"/>
              <w:ind w:left="0" w:firstLine="0"/>
              <w:jc w:val="center"/>
              <w:rPr>
                <w:rFonts w:hint="eastAsia" w:ascii="Times New Roman" w:hAnsi="Times New Roman" w:cs="Times New Roman"/>
                <w:b/>
                <w:bCs/>
                <w:color w:val="auto"/>
                <w:sz w:val="21"/>
                <w:szCs w:val="21"/>
                <w:highlight w:val="none"/>
                <w:u w:val="none"/>
                <w:lang w:val="en-US" w:eastAsia="zh-CN"/>
              </w:rPr>
            </w:pPr>
            <w:r>
              <w:rPr>
                <w:rFonts w:hint="eastAsia" w:ascii="Times New Roman" w:hAnsi="Times New Roman" w:cs="Times New Roman"/>
                <w:b/>
                <w:bCs/>
                <w:color w:val="auto"/>
                <w:sz w:val="21"/>
                <w:szCs w:val="21"/>
                <w:highlight w:val="none"/>
                <w:u w:val="none"/>
                <w:lang w:val="en-US" w:eastAsia="zh-CN"/>
              </w:rPr>
              <w:t>现有工程核定总量</w:t>
            </w:r>
            <w:r>
              <w:rPr>
                <w:rFonts w:hint="eastAsia" w:ascii="Times New Roman" w:hAnsi="Times New Roman" w:cs="Times New Roman"/>
                <w:b/>
                <w:bCs/>
                <w:color w:val="auto"/>
                <w:sz w:val="21"/>
                <w:szCs w:val="21"/>
                <w:highlight w:val="none"/>
                <w:u w:val="none"/>
                <w:lang w:eastAsia="zh-CN"/>
              </w:rPr>
              <w:t>（</w:t>
            </w:r>
            <w:r>
              <w:rPr>
                <w:rFonts w:hint="default" w:ascii="Times New Roman" w:hAnsi="Times New Roman" w:eastAsia="宋体" w:cs="Times New Roman"/>
                <w:b/>
                <w:bCs/>
                <w:color w:val="auto"/>
                <w:sz w:val="21"/>
                <w:szCs w:val="21"/>
                <w:highlight w:val="none"/>
                <w:u w:val="none"/>
              </w:rPr>
              <w:t>t/a</w:t>
            </w:r>
            <w:r>
              <w:rPr>
                <w:rFonts w:hint="eastAsia" w:ascii="Times New Roman" w:hAnsi="Times New Roman" w:cs="Times New Roman"/>
                <w:b/>
                <w:bCs/>
                <w:color w:val="auto"/>
                <w:sz w:val="21"/>
                <w:szCs w:val="21"/>
                <w:highlight w:val="none"/>
                <w:u w:val="none"/>
                <w:lang w:eastAsia="zh-CN"/>
              </w:rPr>
              <w:t>）</w:t>
            </w:r>
          </w:p>
        </w:tc>
        <w:tc>
          <w:tcPr>
            <w:tcW w:w="640" w:type="pct"/>
            <w:tcBorders>
              <w:tl2br w:val="nil"/>
              <w:tr2bl w:val="nil"/>
            </w:tcBorders>
            <w:noWrap w:val="0"/>
            <w:vAlign w:val="center"/>
          </w:tcPr>
          <w:p w14:paraId="4681F38F">
            <w:pPr>
              <w:autoSpaceDE/>
              <w:autoSpaceDN/>
              <w:adjustRightInd w:val="0"/>
              <w:snapToGrid w:val="0"/>
              <w:spacing w:before="0" w:after="0" w:line="240" w:lineRule="auto"/>
              <w:ind w:left="0" w:firstLine="0"/>
              <w:jc w:val="center"/>
              <w:rPr>
                <w:rFonts w:hint="eastAsia" w:ascii="Times New Roman" w:hAnsi="Times New Roman" w:eastAsia="宋体" w:cs="Times New Roman"/>
                <w:b/>
                <w:bCs/>
                <w:color w:val="auto"/>
                <w:sz w:val="21"/>
                <w:szCs w:val="21"/>
                <w:highlight w:val="none"/>
                <w:u w:val="none"/>
                <w:lang w:val="en-US" w:eastAsia="zh-CN"/>
              </w:rPr>
            </w:pPr>
            <w:r>
              <w:rPr>
                <w:rFonts w:hint="eastAsia" w:ascii="Times New Roman" w:hAnsi="Times New Roman" w:cs="Times New Roman"/>
                <w:b/>
                <w:bCs/>
                <w:color w:val="auto"/>
                <w:sz w:val="21"/>
                <w:szCs w:val="21"/>
                <w:highlight w:val="none"/>
                <w:u w:val="none"/>
                <w:lang w:val="en-US" w:eastAsia="zh-CN"/>
              </w:rPr>
              <w:t>本项目（</w:t>
            </w:r>
            <w:r>
              <w:rPr>
                <w:rFonts w:hint="default" w:ascii="Times New Roman" w:hAnsi="Times New Roman" w:eastAsia="宋体" w:cs="Times New Roman"/>
                <w:b/>
                <w:bCs/>
                <w:color w:val="auto"/>
                <w:sz w:val="21"/>
                <w:szCs w:val="21"/>
                <w:highlight w:val="none"/>
                <w:u w:val="none"/>
              </w:rPr>
              <w:t>t/a</w:t>
            </w:r>
            <w:r>
              <w:rPr>
                <w:rFonts w:hint="eastAsia" w:ascii="Times New Roman" w:hAnsi="Times New Roman" w:cs="Times New Roman"/>
                <w:b/>
                <w:bCs/>
                <w:color w:val="auto"/>
                <w:sz w:val="21"/>
                <w:szCs w:val="21"/>
                <w:highlight w:val="none"/>
                <w:u w:val="none"/>
                <w:lang w:val="en-US" w:eastAsia="zh-CN"/>
              </w:rPr>
              <w:t>）</w:t>
            </w:r>
          </w:p>
        </w:tc>
        <w:tc>
          <w:tcPr>
            <w:tcW w:w="596" w:type="pct"/>
            <w:tcBorders>
              <w:tl2br w:val="nil"/>
              <w:tr2bl w:val="nil"/>
            </w:tcBorders>
            <w:noWrap w:val="0"/>
            <w:vAlign w:val="center"/>
          </w:tcPr>
          <w:p w14:paraId="7A005DFB">
            <w:pPr>
              <w:autoSpaceDE/>
              <w:autoSpaceDN/>
              <w:adjustRightInd w:val="0"/>
              <w:snapToGrid w:val="0"/>
              <w:spacing w:before="0" w:after="0" w:line="240" w:lineRule="auto"/>
              <w:ind w:left="0" w:firstLine="0"/>
              <w:jc w:val="center"/>
              <w:rPr>
                <w:rFonts w:hint="default" w:ascii="Times New Roman" w:hAnsi="Times New Roman" w:cs="Times New Roman"/>
                <w:b/>
                <w:bCs/>
                <w:color w:val="auto"/>
                <w:sz w:val="21"/>
                <w:szCs w:val="21"/>
                <w:highlight w:val="none"/>
                <w:u w:val="none"/>
                <w:lang w:val="en-US" w:eastAsia="zh-CN"/>
              </w:rPr>
            </w:pPr>
            <w:r>
              <w:rPr>
                <w:rFonts w:hint="eastAsia" w:ascii="Times New Roman" w:hAnsi="Times New Roman" w:cs="Times New Roman"/>
                <w:b/>
                <w:bCs/>
                <w:color w:val="auto"/>
                <w:sz w:val="21"/>
                <w:szCs w:val="21"/>
                <w:highlight w:val="none"/>
                <w:u w:val="none"/>
                <w:lang w:val="en-US" w:eastAsia="zh-CN"/>
              </w:rPr>
              <w:t>以新带老削减量（</w:t>
            </w:r>
            <w:r>
              <w:rPr>
                <w:rFonts w:hint="default" w:ascii="Times New Roman" w:hAnsi="Times New Roman" w:eastAsia="宋体" w:cs="Times New Roman"/>
                <w:b/>
                <w:bCs/>
                <w:color w:val="auto"/>
                <w:sz w:val="21"/>
                <w:szCs w:val="21"/>
                <w:highlight w:val="none"/>
                <w:u w:val="none"/>
              </w:rPr>
              <w:t>t/a</w:t>
            </w:r>
            <w:r>
              <w:rPr>
                <w:rFonts w:hint="eastAsia" w:ascii="Times New Roman" w:hAnsi="Times New Roman" w:cs="Times New Roman"/>
                <w:b/>
                <w:bCs/>
                <w:color w:val="auto"/>
                <w:sz w:val="21"/>
                <w:szCs w:val="21"/>
                <w:highlight w:val="none"/>
                <w:u w:val="none"/>
                <w:lang w:val="en-US" w:eastAsia="zh-CN"/>
              </w:rPr>
              <w:t>）</w:t>
            </w:r>
          </w:p>
        </w:tc>
        <w:tc>
          <w:tcPr>
            <w:tcW w:w="596" w:type="pct"/>
            <w:tcBorders>
              <w:tl2br w:val="nil"/>
              <w:tr2bl w:val="nil"/>
            </w:tcBorders>
            <w:noWrap w:val="0"/>
            <w:vAlign w:val="center"/>
          </w:tcPr>
          <w:p w14:paraId="189CC294">
            <w:pPr>
              <w:autoSpaceDE/>
              <w:autoSpaceDN/>
              <w:adjustRightInd w:val="0"/>
              <w:snapToGrid w:val="0"/>
              <w:spacing w:before="0" w:after="0" w:line="240" w:lineRule="auto"/>
              <w:ind w:left="0" w:firstLine="0"/>
              <w:jc w:val="center"/>
              <w:rPr>
                <w:rFonts w:hint="default" w:ascii="Times New Roman" w:hAnsi="Times New Roman" w:eastAsia="宋体" w:cs="Times New Roman"/>
                <w:b/>
                <w:bCs/>
                <w:color w:val="auto"/>
                <w:sz w:val="21"/>
                <w:szCs w:val="21"/>
                <w:highlight w:val="none"/>
                <w:u w:val="none"/>
                <w:lang w:val="en-US" w:eastAsia="zh-CN"/>
              </w:rPr>
            </w:pPr>
            <w:r>
              <w:rPr>
                <w:rFonts w:hint="eastAsia" w:ascii="Times New Roman" w:hAnsi="Times New Roman" w:cs="Times New Roman"/>
                <w:b/>
                <w:bCs/>
                <w:color w:val="auto"/>
                <w:sz w:val="21"/>
                <w:szCs w:val="21"/>
                <w:highlight w:val="none"/>
                <w:u w:val="none"/>
                <w:lang w:val="en-US" w:eastAsia="zh-CN"/>
              </w:rPr>
              <w:t>总体工程（</w:t>
            </w:r>
            <w:r>
              <w:rPr>
                <w:rFonts w:hint="default" w:ascii="Times New Roman" w:hAnsi="Times New Roman" w:eastAsia="宋体" w:cs="Times New Roman"/>
                <w:b/>
                <w:bCs/>
                <w:color w:val="auto"/>
                <w:sz w:val="21"/>
                <w:szCs w:val="21"/>
                <w:highlight w:val="none"/>
                <w:u w:val="none"/>
              </w:rPr>
              <w:t>t/a</w:t>
            </w:r>
            <w:r>
              <w:rPr>
                <w:rFonts w:hint="eastAsia" w:ascii="Times New Roman" w:hAnsi="Times New Roman" w:cs="Times New Roman"/>
                <w:b/>
                <w:bCs/>
                <w:color w:val="auto"/>
                <w:sz w:val="21"/>
                <w:szCs w:val="21"/>
                <w:highlight w:val="none"/>
                <w:u w:val="none"/>
                <w:lang w:val="en-US" w:eastAsia="zh-CN"/>
              </w:rPr>
              <w:t>）</w:t>
            </w:r>
          </w:p>
        </w:tc>
        <w:tc>
          <w:tcPr>
            <w:tcW w:w="686" w:type="pct"/>
            <w:tcBorders>
              <w:tl2br w:val="nil"/>
              <w:tr2bl w:val="nil"/>
            </w:tcBorders>
            <w:noWrap w:val="0"/>
            <w:vAlign w:val="center"/>
          </w:tcPr>
          <w:p w14:paraId="7745F587">
            <w:pPr>
              <w:autoSpaceDE/>
              <w:autoSpaceDN/>
              <w:adjustRightInd w:val="0"/>
              <w:snapToGrid w:val="0"/>
              <w:spacing w:before="0" w:after="0" w:line="240" w:lineRule="auto"/>
              <w:ind w:left="0" w:firstLine="0"/>
              <w:jc w:val="center"/>
              <w:rPr>
                <w:rFonts w:hint="default" w:ascii="Times New Roman" w:hAnsi="Times New Roman" w:cs="Times New Roman"/>
                <w:b/>
                <w:bCs/>
                <w:color w:val="auto"/>
                <w:sz w:val="21"/>
                <w:szCs w:val="21"/>
                <w:highlight w:val="none"/>
                <w:u w:val="none"/>
                <w:lang w:val="en-US" w:eastAsia="zh-CN"/>
              </w:rPr>
            </w:pPr>
            <w:r>
              <w:rPr>
                <w:rFonts w:hint="eastAsia" w:ascii="Times New Roman" w:hAnsi="Times New Roman" w:cs="Times New Roman"/>
                <w:b/>
                <w:bCs/>
                <w:color w:val="auto"/>
                <w:sz w:val="21"/>
                <w:szCs w:val="21"/>
                <w:highlight w:val="none"/>
                <w:u w:val="none"/>
                <w:lang w:val="en-US" w:eastAsia="zh-CN"/>
              </w:rPr>
              <w:t>排放增减量（</w:t>
            </w:r>
            <w:r>
              <w:rPr>
                <w:rFonts w:hint="default" w:ascii="Times New Roman" w:hAnsi="Times New Roman" w:eastAsia="宋体" w:cs="Times New Roman"/>
                <w:b/>
                <w:bCs/>
                <w:color w:val="auto"/>
                <w:sz w:val="21"/>
                <w:szCs w:val="21"/>
                <w:highlight w:val="none"/>
                <w:u w:val="none"/>
              </w:rPr>
              <w:t>t/a</w:t>
            </w:r>
            <w:r>
              <w:rPr>
                <w:rFonts w:hint="eastAsia" w:ascii="Times New Roman" w:hAnsi="Times New Roman" w:cs="Times New Roman"/>
                <w:b/>
                <w:bCs/>
                <w:color w:val="auto"/>
                <w:sz w:val="21"/>
                <w:szCs w:val="21"/>
                <w:highlight w:val="none"/>
                <w:u w:val="none"/>
                <w:lang w:val="en-US" w:eastAsia="zh-CN"/>
              </w:rPr>
              <w:t>）</w:t>
            </w:r>
          </w:p>
        </w:tc>
      </w:tr>
      <w:tr w14:paraId="3F5B3FE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1" w:hRule="atLeast"/>
        </w:trPr>
        <w:tc>
          <w:tcPr>
            <w:tcW w:w="528" w:type="pct"/>
            <w:tcBorders>
              <w:tl2br w:val="nil"/>
              <w:tr2bl w:val="nil"/>
            </w:tcBorders>
            <w:noWrap w:val="0"/>
            <w:vAlign w:val="center"/>
          </w:tcPr>
          <w:p w14:paraId="1797455D">
            <w:pPr>
              <w:tabs>
                <w:tab w:val="left" w:pos="582"/>
              </w:tabs>
              <w:autoSpaceDE/>
              <w:autoSpaceDN/>
              <w:adjustRightInd w:val="0"/>
              <w:snapToGrid w:val="0"/>
              <w:spacing w:before="0" w:after="0" w:line="240" w:lineRule="auto"/>
              <w:ind w:left="0" w:firstLine="0"/>
              <w:jc w:val="center"/>
              <w:rPr>
                <w:rFonts w:hint="eastAsia" w:ascii="Times New Roman" w:hAnsi="Times New Roman" w:eastAsia="宋体" w:cs="Times New Roman"/>
                <w:b w:val="0"/>
                <w:bCs w:val="0"/>
                <w:color w:val="auto"/>
                <w:sz w:val="21"/>
                <w:szCs w:val="21"/>
                <w:highlight w:val="none"/>
                <w:u w:val="none"/>
                <w:lang w:eastAsia="zh-CN"/>
              </w:rPr>
            </w:pPr>
            <w:r>
              <w:rPr>
                <w:rFonts w:hint="eastAsia" w:ascii="Times New Roman" w:hAnsi="Times New Roman" w:cs="Times New Roman"/>
                <w:b w:val="0"/>
                <w:bCs w:val="0"/>
                <w:color w:val="auto"/>
                <w:sz w:val="21"/>
                <w:szCs w:val="21"/>
                <w:highlight w:val="none"/>
                <w:u w:val="none"/>
                <w:lang w:val="en-US" w:eastAsia="zh-CN"/>
              </w:rPr>
              <w:t>氮氧化物</w:t>
            </w:r>
          </w:p>
        </w:tc>
        <w:tc>
          <w:tcPr>
            <w:tcW w:w="976" w:type="pct"/>
            <w:tcBorders>
              <w:tl2br w:val="nil"/>
              <w:tr2bl w:val="nil"/>
            </w:tcBorders>
            <w:noWrap w:val="0"/>
            <w:vAlign w:val="center"/>
          </w:tcPr>
          <w:p w14:paraId="56BB2AC7">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684.8</w:t>
            </w:r>
          </w:p>
        </w:tc>
        <w:tc>
          <w:tcPr>
            <w:tcW w:w="976" w:type="pct"/>
            <w:tcBorders>
              <w:tl2br w:val="nil"/>
              <w:tr2bl w:val="nil"/>
            </w:tcBorders>
            <w:noWrap w:val="0"/>
            <w:vAlign w:val="center"/>
          </w:tcPr>
          <w:p w14:paraId="7868BE9B">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sz w:val="21"/>
                <w:szCs w:val="21"/>
                <w:highlight w:val="none"/>
                <w:u w:val="none"/>
                <w:lang w:val="en-US" w:eastAsia="zh-CN"/>
              </w:rPr>
              <w:t>294.088</w:t>
            </w:r>
          </w:p>
        </w:tc>
        <w:tc>
          <w:tcPr>
            <w:tcW w:w="640" w:type="pct"/>
            <w:tcBorders>
              <w:tl2br w:val="nil"/>
              <w:tr2bl w:val="nil"/>
            </w:tcBorders>
            <w:noWrap w:val="0"/>
            <w:vAlign w:val="center"/>
          </w:tcPr>
          <w:p w14:paraId="22C17EFE">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sz w:val="21"/>
                <w:szCs w:val="21"/>
                <w:highlight w:val="none"/>
                <w:u w:val="none"/>
                <w:lang w:val="en-US" w:eastAsia="zh-CN"/>
              </w:rPr>
              <w:t>0</w:t>
            </w:r>
          </w:p>
        </w:tc>
        <w:tc>
          <w:tcPr>
            <w:tcW w:w="596" w:type="pct"/>
            <w:tcBorders>
              <w:tl2br w:val="nil"/>
              <w:tr2bl w:val="nil"/>
            </w:tcBorders>
            <w:noWrap w:val="0"/>
            <w:vAlign w:val="center"/>
          </w:tcPr>
          <w:p w14:paraId="40549D25">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0</w:t>
            </w:r>
          </w:p>
        </w:tc>
        <w:tc>
          <w:tcPr>
            <w:tcW w:w="596" w:type="pct"/>
            <w:tcBorders>
              <w:tl2br w:val="nil"/>
              <w:tr2bl w:val="nil"/>
            </w:tcBorders>
            <w:noWrap w:val="0"/>
            <w:vAlign w:val="center"/>
          </w:tcPr>
          <w:p w14:paraId="6F75594B">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294.088</w:t>
            </w:r>
          </w:p>
        </w:tc>
        <w:tc>
          <w:tcPr>
            <w:tcW w:w="686" w:type="pct"/>
            <w:tcBorders>
              <w:tl2br w:val="nil"/>
              <w:tr2bl w:val="nil"/>
            </w:tcBorders>
            <w:noWrap w:val="0"/>
            <w:vAlign w:val="center"/>
          </w:tcPr>
          <w:p w14:paraId="09005DB0">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+0</w:t>
            </w:r>
          </w:p>
        </w:tc>
      </w:tr>
      <w:tr w14:paraId="37936C6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528" w:type="pct"/>
            <w:tcBorders>
              <w:tl2br w:val="nil"/>
              <w:tr2bl w:val="nil"/>
            </w:tcBorders>
            <w:noWrap w:val="0"/>
            <w:vAlign w:val="center"/>
          </w:tcPr>
          <w:p w14:paraId="276D8652">
            <w:pPr>
              <w:tabs>
                <w:tab w:val="left" w:pos="582"/>
              </w:tabs>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挥发性有机物</w:t>
            </w:r>
          </w:p>
        </w:tc>
        <w:tc>
          <w:tcPr>
            <w:tcW w:w="976" w:type="pct"/>
            <w:tcBorders>
              <w:tl2br w:val="nil"/>
              <w:tr2bl w:val="nil"/>
            </w:tcBorders>
            <w:noWrap w:val="0"/>
            <w:vAlign w:val="center"/>
          </w:tcPr>
          <w:p w14:paraId="7611B2CF">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w:t>
            </w:r>
          </w:p>
        </w:tc>
        <w:tc>
          <w:tcPr>
            <w:tcW w:w="976" w:type="pct"/>
            <w:tcBorders>
              <w:tl2br w:val="nil"/>
              <w:tr2bl w:val="nil"/>
            </w:tcBorders>
            <w:noWrap w:val="0"/>
            <w:vAlign w:val="center"/>
          </w:tcPr>
          <w:p w14:paraId="6C7D0A92">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w:t>
            </w:r>
          </w:p>
        </w:tc>
        <w:tc>
          <w:tcPr>
            <w:tcW w:w="640" w:type="pct"/>
            <w:tcBorders>
              <w:tl2br w:val="nil"/>
              <w:tr2bl w:val="nil"/>
            </w:tcBorders>
            <w:shd w:val="clear" w:color="auto" w:fill="auto"/>
            <w:noWrap w:val="0"/>
            <w:vAlign w:val="center"/>
          </w:tcPr>
          <w:p w14:paraId="7F9B80E9">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bidi="ar-SA"/>
              </w:rPr>
            </w:pPr>
            <w:r>
              <w:rPr>
                <w:rFonts w:hint="eastAsia" w:ascii="Times New Roman" w:hAnsi="Times New Roman" w:eastAsia="宋体" w:cs="Times New Roman"/>
                <w:b w:val="0"/>
                <w:bCs w:val="0"/>
                <w:color w:val="auto"/>
                <w:sz w:val="21"/>
                <w:szCs w:val="21"/>
                <w:highlight w:val="none"/>
                <w:u w:val="none"/>
                <w:lang w:val="en-US" w:eastAsia="zh-CN"/>
              </w:rPr>
              <w:t>/</w:t>
            </w:r>
          </w:p>
        </w:tc>
        <w:tc>
          <w:tcPr>
            <w:tcW w:w="596" w:type="pct"/>
            <w:tcBorders>
              <w:tl2br w:val="nil"/>
              <w:tr2bl w:val="nil"/>
            </w:tcBorders>
            <w:shd w:val="clear" w:color="auto" w:fill="auto"/>
            <w:noWrap w:val="0"/>
            <w:vAlign w:val="center"/>
          </w:tcPr>
          <w:p w14:paraId="7A98B00D">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w:t>
            </w:r>
          </w:p>
        </w:tc>
        <w:tc>
          <w:tcPr>
            <w:tcW w:w="596" w:type="pct"/>
            <w:tcBorders>
              <w:tl2br w:val="nil"/>
              <w:tr2bl w:val="nil"/>
            </w:tcBorders>
            <w:shd w:val="clear" w:color="auto" w:fill="auto"/>
            <w:noWrap w:val="0"/>
            <w:vAlign w:val="center"/>
          </w:tcPr>
          <w:p w14:paraId="365258E6">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bidi="ar-SA"/>
              </w:rPr>
            </w:pPr>
            <w:r>
              <w:rPr>
                <w:rFonts w:hint="eastAsia" w:ascii="Times New Roman" w:hAnsi="Times New Roman" w:eastAsia="宋体" w:cs="Times New Roman"/>
                <w:b w:val="0"/>
                <w:bCs w:val="0"/>
                <w:color w:val="auto"/>
                <w:sz w:val="21"/>
                <w:szCs w:val="21"/>
                <w:highlight w:val="none"/>
                <w:u w:val="none"/>
                <w:lang w:val="en-US" w:eastAsia="zh-CN"/>
              </w:rPr>
              <w:t>/</w:t>
            </w:r>
          </w:p>
        </w:tc>
        <w:tc>
          <w:tcPr>
            <w:tcW w:w="686" w:type="pct"/>
            <w:tcBorders>
              <w:tl2br w:val="nil"/>
              <w:tr2bl w:val="nil"/>
            </w:tcBorders>
            <w:shd w:val="clear" w:color="auto" w:fill="auto"/>
            <w:noWrap w:val="0"/>
            <w:vAlign w:val="center"/>
          </w:tcPr>
          <w:p w14:paraId="552B6F62">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w:t>
            </w:r>
          </w:p>
        </w:tc>
      </w:tr>
      <w:tr w14:paraId="7D492E9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8" w:type="pct"/>
            <w:tcBorders>
              <w:tl2br w:val="nil"/>
              <w:tr2bl w:val="nil"/>
            </w:tcBorders>
            <w:noWrap w:val="0"/>
            <w:vAlign w:val="center"/>
          </w:tcPr>
          <w:p w14:paraId="048200C5">
            <w:pPr>
              <w:tabs>
                <w:tab w:val="left" w:pos="582"/>
              </w:tabs>
              <w:autoSpaceDE/>
              <w:autoSpaceDN/>
              <w:adjustRightInd w:val="0"/>
              <w:snapToGrid w:val="0"/>
              <w:spacing w:before="0" w:after="0" w:line="240" w:lineRule="auto"/>
              <w:ind w:left="0" w:firstLine="0"/>
              <w:jc w:val="center"/>
              <w:rPr>
                <w:rFonts w:hint="eastAsia" w:ascii="Times New Roman" w:hAnsi="Times New Roman" w:eastAsia="宋体" w:cs="Times New Roman"/>
                <w:b w:val="0"/>
                <w:bCs w:val="0"/>
                <w:color w:val="auto"/>
                <w:sz w:val="21"/>
                <w:szCs w:val="21"/>
                <w:highlight w:val="none"/>
                <w:u w:val="none"/>
                <w:lang w:eastAsia="zh-CN"/>
              </w:rPr>
            </w:pPr>
            <w:r>
              <w:rPr>
                <w:rFonts w:hint="eastAsia" w:ascii="Times New Roman" w:hAnsi="Times New Roman" w:cs="Times New Roman"/>
                <w:b w:val="0"/>
                <w:bCs w:val="0"/>
                <w:color w:val="auto"/>
                <w:sz w:val="21"/>
                <w:szCs w:val="21"/>
                <w:highlight w:val="none"/>
                <w:u w:val="none"/>
                <w:lang w:val="en-US" w:eastAsia="zh-CN"/>
              </w:rPr>
              <w:t>化学需氧量</w:t>
            </w:r>
          </w:p>
        </w:tc>
        <w:tc>
          <w:tcPr>
            <w:tcW w:w="976" w:type="pct"/>
            <w:tcBorders>
              <w:tl2br w:val="nil"/>
              <w:tr2bl w:val="nil"/>
            </w:tcBorders>
            <w:noWrap w:val="0"/>
            <w:vAlign w:val="center"/>
          </w:tcPr>
          <w:p w14:paraId="0AB7978D">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w:t>
            </w:r>
          </w:p>
        </w:tc>
        <w:tc>
          <w:tcPr>
            <w:tcW w:w="976" w:type="pct"/>
            <w:tcBorders>
              <w:tl2br w:val="nil"/>
              <w:tr2bl w:val="nil"/>
            </w:tcBorders>
            <w:noWrap w:val="0"/>
            <w:vAlign w:val="center"/>
          </w:tcPr>
          <w:p w14:paraId="0A36B290">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w:t>
            </w:r>
          </w:p>
        </w:tc>
        <w:tc>
          <w:tcPr>
            <w:tcW w:w="640" w:type="pct"/>
            <w:tcBorders>
              <w:tl2br w:val="nil"/>
              <w:tr2bl w:val="nil"/>
            </w:tcBorders>
            <w:shd w:val="clear" w:color="auto" w:fill="auto"/>
            <w:noWrap w:val="0"/>
            <w:vAlign w:val="center"/>
          </w:tcPr>
          <w:p w14:paraId="758BEF3B">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bidi="ar-SA"/>
              </w:rPr>
            </w:pPr>
            <w:r>
              <w:rPr>
                <w:rFonts w:hint="eastAsia" w:ascii="Times New Roman" w:hAnsi="Times New Roman" w:eastAsia="宋体" w:cs="Times New Roman"/>
                <w:b w:val="0"/>
                <w:bCs w:val="0"/>
                <w:color w:val="auto"/>
                <w:sz w:val="21"/>
                <w:szCs w:val="21"/>
                <w:highlight w:val="none"/>
                <w:u w:val="none"/>
                <w:lang w:val="en-US" w:eastAsia="zh-CN"/>
              </w:rPr>
              <w:t>/</w:t>
            </w:r>
          </w:p>
        </w:tc>
        <w:tc>
          <w:tcPr>
            <w:tcW w:w="596" w:type="pct"/>
            <w:tcBorders>
              <w:tl2br w:val="nil"/>
              <w:tr2bl w:val="nil"/>
            </w:tcBorders>
            <w:shd w:val="clear" w:color="auto" w:fill="auto"/>
            <w:noWrap w:val="0"/>
            <w:vAlign w:val="center"/>
          </w:tcPr>
          <w:p w14:paraId="5FC85AFA">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w:t>
            </w:r>
          </w:p>
        </w:tc>
        <w:tc>
          <w:tcPr>
            <w:tcW w:w="596" w:type="pct"/>
            <w:tcBorders>
              <w:tl2br w:val="nil"/>
              <w:tr2bl w:val="nil"/>
            </w:tcBorders>
            <w:shd w:val="clear" w:color="auto" w:fill="auto"/>
            <w:noWrap w:val="0"/>
            <w:vAlign w:val="center"/>
          </w:tcPr>
          <w:p w14:paraId="2225770A">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bidi="ar-SA"/>
              </w:rPr>
            </w:pPr>
            <w:r>
              <w:rPr>
                <w:rFonts w:hint="eastAsia" w:ascii="Times New Roman" w:hAnsi="Times New Roman" w:eastAsia="宋体" w:cs="Times New Roman"/>
                <w:b w:val="0"/>
                <w:bCs w:val="0"/>
                <w:color w:val="auto"/>
                <w:sz w:val="21"/>
                <w:szCs w:val="21"/>
                <w:highlight w:val="none"/>
                <w:u w:val="none"/>
                <w:lang w:val="en-US" w:eastAsia="zh-CN"/>
              </w:rPr>
              <w:t>/</w:t>
            </w:r>
          </w:p>
        </w:tc>
        <w:tc>
          <w:tcPr>
            <w:tcW w:w="686" w:type="pct"/>
            <w:tcBorders>
              <w:tl2br w:val="nil"/>
              <w:tr2bl w:val="nil"/>
            </w:tcBorders>
            <w:shd w:val="clear" w:color="auto" w:fill="auto"/>
            <w:noWrap w:val="0"/>
            <w:vAlign w:val="center"/>
          </w:tcPr>
          <w:p w14:paraId="3421C293">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w:t>
            </w:r>
          </w:p>
        </w:tc>
      </w:tr>
      <w:tr w14:paraId="745FA00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528" w:type="pct"/>
            <w:tcBorders>
              <w:tl2br w:val="nil"/>
              <w:tr2bl w:val="nil"/>
            </w:tcBorders>
            <w:noWrap w:val="0"/>
            <w:vAlign w:val="center"/>
          </w:tcPr>
          <w:p w14:paraId="02AC017C">
            <w:pPr>
              <w:tabs>
                <w:tab w:val="left" w:pos="582"/>
              </w:tabs>
              <w:autoSpaceDE/>
              <w:autoSpaceDN/>
              <w:adjustRightInd w:val="0"/>
              <w:snapToGrid w:val="0"/>
              <w:spacing w:before="0" w:after="0" w:line="240" w:lineRule="auto"/>
              <w:ind w:left="0" w:firstLine="0"/>
              <w:jc w:val="center"/>
              <w:rPr>
                <w:rFonts w:hint="eastAsia" w:ascii="Times New Roman" w:hAnsi="Times New Roman" w:eastAsia="宋体" w:cs="Times New Roman"/>
                <w:b w:val="0"/>
                <w:bCs w:val="0"/>
                <w:color w:val="auto"/>
                <w:sz w:val="21"/>
                <w:szCs w:val="21"/>
                <w:highlight w:val="none"/>
                <w:u w:val="none"/>
                <w:lang w:eastAsia="zh-CN"/>
              </w:rPr>
            </w:pPr>
            <w:r>
              <w:rPr>
                <w:rFonts w:hint="eastAsia" w:ascii="Times New Roman" w:hAnsi="Times New Roman" w:cs="Times New Roman"/>
                <w:b w:val="0"/>
                <w:bCs w:val="0"/>
                <w:color w:val="auto"/>
                <w:sz w:val="21"/>
                <w:szCs w:val="21"/>
                <w:highlight w:val="none"/>
                <w:u w:val="none"/>
                <w:lang w:val="en-US" w:eastAsia="zh-CN"/>
              </w:rPr>
              <w:t>总磷</w:t>
            </w:r>
          </w:p>
        </w:tc>
        <w:tc>
          <w:tcPr>
            <w:tcW w:w="976" w:type="pct"/>
            <w:tcBorders>
              <w:tl2br w:val="nil"/>
              <w:tr2bl w:val="nil"/>
            </w:tcBorders>
            <w:noWrap w:val="0"/>
            <w:vAlign w:val="center"/>
          </w:tcPr>
          <w:p w14:paraId="6A38CF54">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w:t>
            </w:r>
          </w:p>
        </w:tc>
        <w:tc>
          <w:tcPr>
            <w:tcW w:w="976" w:type="pct"/>
            <w:tcBorders>
              <w:tl2br w:val="nil"/>
              <w:tr2bl w:val="nil"/>
            </w:tcBorders>
            <w:noWrap w:val="0"/>
            <w:vAlign w:val="center"/>
          </w:tcPr>
          <w:p w14:paraId="26F50BED">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w:t>
            </w:r>
          </w:p>
        </w:tc>
        <w:tc>
          <w:tcPr>
            <w:tcW w:w="640" w:type="pct"/>
            <w:tcBorders>
              <w:tl2br w:val="nil"/>
              <w:tr2bl w:val="nil"/>
            </w:tcBorders>
            <w:shd w:val="clear" w:color="auto" w:fill="auto"/>
            <w:noWrap w:val="0"/>
            <w:vAlign w:val="center"/>
          </w:tcPr>
          <w:p w14:paraId="270BC03B">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bidi="ar-SA"/>
              </w:rPr>
            </w:pPr>
            <w:r>
              <w:rPr>
                <w:rFonts w:hint="eastAsia" w:ascii="Times New Roman" w:hAnsi="Times New Roman" w:eastAsia="宋体" w:cs="Times New Roman"/>
                <w:b w:val="0"/>
                <w:bCs w:val="0"/>
                <w:color w:val="auto"/>
                <w:sz w:val="21"/>
                <w:szCs w:val="21"/>
                <w:highlight w:val="none"/>
                <w:u w:val="none"/>
                <w:lang w:val="en-US" w:eastAsia="zh-CN"/>
              </w:rPr>
              <w:t>/</w:t>
            </w:r>
          </w:p>
        </w:tc>
        <w:tc>
          <w:tcPr>
            <w:tcW w:w="596" w:type="pct"/>
            <w:tcBorders>
              <w:tl2br w:val="nil"/>
              <w:tr2bl w:val="nil"/>
            </w:tcBorders>
            <w:shd w:val="clear" w:color="auto" w:fill="auto"/>
            <w:noWrap w:val="0"/>
            <w:vAlign w:val="center"/>
          </w:tcPr>
          <w:p w14:paraId="524CDA8B">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w:t>
            </w:r>
          </w:p>
        </w:tc>
        <w:tc>
          <w:tcPr>
            <w:tcW w:w="596" w:type="pct"/>
            <w:tcBorders>
              <w:tl2br w:val="nil"/>
              <w:tr2bl w:val="nil"/>
            </w:tcBorders>
            <w:shd w:val="clear" w:color="auto" w:fill="auto"/>
            <w:noWrap w:val="0"/>
            <w:vAlign w:val="center"/>
          </w:tcPr>
          <w:p w14:paraId="485DC260">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bidi="ar-SA"/>
              </w:rPr>
            </w:pPr>
            <w:r>
              <w:rPr>
                <w:rFonts w:hint="eastAsia" w:ascii="Times New Roman" w:hAnsi="Times New Roman" w:eastAsia="宋体" w:cs="Times New Roman"/>
                <w:b w:val="0"/>
                <w:bCs w:val="0"/>
                <w:color w:val="auto"/>
                <w:sz w:val="21"/>
                <w:szCs w:val="21"/>
                <w:highlight w:val="none"/>
                <w:u w:val="none"/>
                <w:lang w:val="en-US" w:eastAsia="zh-CN"/>
              </w:rPr>
              <w:t>/</w:t>
            </w:r>
          </w:p>
        </w:tc>
        <w:tc>
          <w:tcPr>
            <w:tcW w:w="686" w:type="pct"/>
            <w:tcBorders>
              <w:tl2br w:val="nil"/>
              <w:tr2bl w:val="nil"/>
            </w:tcBorders>
            <w:shd w:val="clear" w:color="auto" w:fill="auto"/>
            <w:noWrap w:val="0"/>
            <w:vAlign w:val="center"/>
          </w:tcPr>
          <w:p w14:paraId="7C8A1D2C">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kern w:val="2"/>
                <w:sz w:val="21"/>
                <w:szCs w:val="21"/>
                <w:highlight w:val="none"/>
                <w:u w:val="none"/>
                <w:lang w:val="en-US" w:eastAsia="zh-CN" w:bidi="ar-SA"/>
              </w:rPr>
            </w:pPr>
            <w:r>
              <w:rPr>
                <w:rFonts w:hint="eastAsia" w:ascii="Times New Roman" w:hAnsi="Times New Roman" w:eastAsia="宋体" w:cs="Times New Roman"/>
                <w:b w:val="0"/>
                <w:bCs w:val="0"/>
                <w:color w:val="auto"/>
                <w:kern w:val="2"/>
                <w:sz w:val="21"/>
                <w:szCs w:val="21"/>
                <w:highlight w:val="none"/>
                <w:u w:val="none"/>
                <w:lang w:val="en-US" w:eastAsia="zh-CN" w:bidi="ar-SA"/>
              </w:rPr>
              <w:t>/</w:t>
            </w:r>
          </w:p>
        </w:tc>
      </w:tr>
    </w:tbl>
    <w:p w14:paraId="5BBBF4A4">
      <w:pPr>
        <w:widowControl/>
        <w:snapToGrid w:val="0"/>
        <w:spacing w:line="320" w:lineRule="exact"/>
        <w:ind w:left="-36" w:right="-36"/>
        <w:jc w:val="both"/>
        <w:rPr>
          <w:rFonts w:hint="default" w:ascii="Times New Roman" w:hAnsi="Times New Roman" w:eastAsia="宋体" w:cs="Times New Roman"/>
          <w:highlight w:val="none"/>
        </w:rPr>
      </w:pPr>
    </w:p>
    <w:p w14:paraId="2DEE8A06">
      <w:pPr>
        <w:rPr>
          <w:rFonts w:hint="default" w:ascii="Times New Roman" w:hAnsi="Times New Roman" w:cs="Times New Roman"/>
          <w:lang w:eastAsia="zh-CN"/>
        </w:rPr>
        <w:sectPr>
          <w:pgSz w:w="11906" w:h="16838"/>
          <w:pgMar w:top="1440" w:right="1803" w:bottom="1440" w:left="1803" w:header="1021" w:footer="1021" w:gutter="0"/>
          <w:pgBorders>
            <w:top w:val="none" w:sz="0" w:space="0"/>
            <w:left w:val="none" w:sz="0" w:space="0"/>
            <w:bottom w:val="none" w:sz="0" w:space="0"/>
            <w:right w:val="none" w:sz="0" w:space="0"/>
          </w:pgBorders>
          <w:pgNumType w:fmt="decimal"/>
          <w:cols w:space="720" w:num="1"/>
          <w:docGrid w:linePitch="312" w:charSpace="0"/>
        </w:sectPr>
      </w:pPr>
    </w:p>
    <w:p w14:paraId="371E869B">
      <w:pPr>
        <w:keepNext/>
        <w:keepLines/>
        <w:pageBreakBefore w:val="0"/>
        <w:widowControl/>
        <w:kinsoku/>
        <w:wordWrap/>
        <w:overflowPunct/>
        <w:topLinePunct w:val="0"/>
        <w:autoSpaceDE/>
        <w:autoSpaceDN/>
        <w:bidi w:val="0"/>
        <w:adjustRightInd/>
        <w:snapToGrid w:val="0"/>
        <w:spacing w:line="360" w:lineRule="auto"/>
        <w:jc w:val="left"/>
        <w:textAlignment w:val="auto"/>
        <w:outlineLvl w:val="0"/>
        <w:rPr>
          <w:rFonts w:hint="default" w:ascii="Times New Roman" w:hAnsi="Times New Roman" w:eastAsia="宋体" w:cs="Times New Roman"/>
          <w:b/>
          <w:bCs/>
          <w:sz w:val="24"/>
          <w:szCs w:val="16"/>
          <w:highlight w:val="none"/>
        </w:rPr>
      </w:pPr>
      <w:bookmarkStart w:id="151" w:name="_Toc19661"/>
      <w:bookmarkStart w:id="152" w:name="_Toc20476"/>
      <w:bookmarkStart w:id="153" w:name="_Toc9868252"/>
      <w:bookmarkStart w:id="154" w:name="_Toc15254"/>
      <w:r>
        <w:rPr>
          <w:rFonts w:hint="default" w:ascii="Times New Roman" w:hAnsi="Times New Roman" w:eastAsia="宋体" w:cs="Times New Roman"/>
          <w:b/>
          <w:bCs/>
          <w:sz w:val="24"/>
          <w:szCs w:val="16"/>
          <w:highlight w:val="none"/>
        </w:rPr>
        <w:t>4环境现状调查与评价</w:t>
      </w:r>
      <w:bookmarkEnd w:id="151"/>
      <w:bookmarkEnd w:id="152"/>
      <w:bookmarkEnd w:id="153"/>
      <w:bookmarkEnd w:id="154"/>
    </w:p>
    <w:p w14:paraId="5F85C970">
      <w:pPr>
        <w:keepNext/>
        <w:keepLines/>
        <w:pageBreakBefore w:val="0"/>
        <w:widowControl/>
        <w:kinsoku/>
        <w:wordWrap/>
        <w:overflowPunct/>
        <w:topLinePunct w:val="0"/>
        <w:autoSpaceDE/>
        <w:autoSpaceDN/>
        <w:bidi w:val="0"/>
        <w:adjustRightInd/>
        <w:snapToGrid w:val="0"/>
        <w:spacing w:line="360" w:lineRule="auto"/>
        <w:jc w:val="left"/>
        <w:textAlignment w:val="auto"/>
        <w:outlineLvl w:val="1"/>
        <w:rPr>
          <w:rFonts w:hint="default" w:ascii="Times New Roman" w:hAnsi="Times New Roman" w:eastAsia="宋体" w:cs="Times New Roman"/>
          <w:b/>
          <w:bCs/>
          <w:sz w:val="24"/>
          <w:szCs w:val="18"/>
          <w:highlight w:val="none"/>
        </w:rPr>
      </w:pPr>
      <w:bookmarkStart w:id="155" w:name="_Toc9093"/>
      <w:bookmarkStart w:id="156" w:name="_Toc13074"/>
      <w:bookmarkStart w:id="157" w:name="_Toc24609"/>
      <w:bookmarkStart w:id="158" w:name="_Toc9868253"/>
      <w:r>
        <w:rPr>
          <w:rFonts w:hint="default" w:ascii="Times New Roman" w:hAnsi="Times New Roman" w:eastAsia="宋体" w:cs="Times New Roman"/>
          <w:b/>
          <w:bCs/>
          <w:sz w:val="24"/>
          <w:szCs w:val="18"/>
          <w:highlight w:val="none"/>
        </w:rPr>
        <w:t>4.1自然环境概况</w:t>
      </w:r>
      <w:bookmarkEnd w:id="155"/>
      <w:bookmarkEnd w:id="156"/>
      <w:bookmarkEnd w:id="157"/>
      <w:bookmarkEnd w:id="158"/>
    </w:p>
    <w:p w14:paraId="26DBE0BE">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4.1.1地理位置</w:t>
      </w:r>
    </w:p>
    <w:p w14:paraId="389EBAC5">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阿克苏市位于新疆维吾尔自治区西南部，东与沙雅县相邻，西与柯坪、乌什县毗连，南与阿瓦提、洛浦、策勒县接壤，北与温宿、新和县为界。阿克苏市北靠天山汗腾格里峰，东望塔里木河，西界中吉(吉尔吉斯斯坦)边境天山山地，南邻塔里木盆地。属阿克苏河的冲积平原带，阿克苏河主流从市区南部流过，市内海拔1114.8</w:t>
      </w:r>
      <w:r>
        <w:rPr>
          <w:rFonts w:hint="default" w:ascii="Times New Roman" w:hAnsi="Times New Roman" w:cs="Times New Roman"/>
          <w:sz w:val="24"/>
          <w:szCs w:val="24"/>
          <w:highlight w:val="none"/>
          <w:lang w:val="en-US" w:eastAsia="zh-CN"/>
        </w:rPr>
        <w:t>m</w:t>
      </w:r>
      <w:r>
        <w:rPr>
          <w:rFonts w:hint="default" w:ascii="Times New Roman" w:hAnsi="Times New Roman" w:eastAsia="宋体" w:cs="Times New Roman"/>
          <w:sz w:val="24"/>
          <w:szCs w:val="24"/>
          <w:highlight w:val="none"/>
        </w:rPr>
        <w:t>，距乌鲁木齐市989</w:t>
      </w:r>
      <w:r>
        <w:rPr>
          <w:rFonts w:hint="default" w:ascii="Times New Roman" w:hAnsi="Times New Roman" w:cs="Times New Roman"/>
          <w:sz w:val="24"/>
          <w:szCs w:val="24"/>
          <w:highlight w:val="none"/>
          <w:lang w:val="en-US" w:eastAsia="zh-CN"/>
        </w:rPr>
        <w:t>km</w:t>
      </w:r>
      <w:r>
        <w:rPr>
          <w:rFonts w:hint="default" w:ascii="Times New Roman" w:hAnsi="Times New Roman" w:eastAsia="宋体" w:cs="Times New Roman"/>
          <w:sz w:val="24"/>
          <w:szCs w:val="24"/>
          <w:highlight w:val="none"/>
        </w:rPr>
        <w:t>，距喀什市466</w:t>
      </w:r>
      <w:r>
        <w:rPr>
          <w:rFonts w:hint="default" w:ascii="Times New Roman" w:hAnsi="Times New Roman" w:cs="Times New Roman"/>
          <w:sz w:val="24"/>
          <w:szCs w:val="24"/>
          <w:highlight w:val="none"/>
          <w:lang w:val="en-US" w:eastAsia="zh-CN"/>
        </w:rPr>
        <w:t>km</w:t>
      </w:r>
      <w:r>
        <w:rPr>
          <w:rFonts w:hint="default" w:ascii="Times New Roman" w:hAnsi="Times New Roman" w:eastAsia="宋体" w:cs="Times New Roman"/>
          <w:sz w:val="24"/>
          <w:szCs w:val="24"/>
          <w:highlight w:val="none"/>
        </w:rPr>
        <w:t>。</w:t>
      </w:r>
    </w:p>
    <w:p w14:paraId="4C5ACC9F">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项目建设地点位于阿克苏经济技术开发区新疆兴悦化工有限公司现有厂区内，中心地理坐标为：东经80°06'57.377"，北纬41°04'07.817"，见图3.2-1</w:t>
      </w:r>
      <w:r>
        <w:rPr>
          <w:rFonts w:hint="default" w:ascii="Times New Roman" w:hAnsi="Times New Roman" w:eastAsia="宋体" w:cs="Times New Roman"/>
          <w:sz w:val="24"/>
          <w:szCs w:val="24"/>
          <w:highlight w:val="none"/>
        </w:rPr>
        <w:t>。</w:t>
      </w:r>
    </w:p>
    <w:p w14:paraId="5A898519">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4.1.2地形地貌</w:t>
      </w:r>
    </w:p>
    <w:p w14:paraId="067DF415">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阿克苏市域以冲积洪积扇平原和沙漠为主，两者合计总面积的95.4%，西北部的阴干山区仅为市域的4.6%，阿克苏市地貌形态具有三个类型区：西北部阴干山地，属干燥地貌，西高东低，西南东北定向；山岭由古生代石灰岩、砂岩、泥板岩等为基础，基士覆层为中生代和第三纪沙岩、沙砾岩、干燥、岩石裸露，其上为十分稀疏的荒漠植被，山地为石料等建筑材料的来源：中部冲积平原属流水侵蚀地貌，西北高南低，缓坡1/1000-4000，海拔940-1200m，最低处在塔里木河床，因河道变迁，老河床纵横，形成岗洋起伏不平的地形，可分为河床、河漫滩、河间河滩。东南部大沙漠，属风成干燥地貌，为塔克拉玛干大沙漠的西北部，面积8380km</w:t>
      </w:r>
      <w:r>
        <w:rPr>
          <w:rFonts w:hint="default" w:ascii="Times New Roman" w:hAnsi="Times New Roman" w:eastAsia="宋体" w:cs="Times New Roman"/>
          <w:sz w:val="24"/>
          <w:szCs w:val="24"/>
          <w:highlight w:val="none"/>
          <w:vertAlign w:val="superscript"/>
        </w:rPr>
        <w:t>2</w:t>
      </w:r>
      <w:r>
        <w:rPr>
          <w:rFonts w:hint="default" w:ascii="Times New Roman" w:hAnsi="Times New Roman" w:eastAsia="宋体" w:cs="Times New Roman"/>
          <w:sz w:val="24"/>
          <w:szCs w:val="24"/>
          <w:highlight w:val="none"/>
        </w:rPr>
        <w:t>，占市域面积的一半，海拔960-1097m，地势山北向南微倾缓坡1/8000-20000，整个地面为沙漠覆盖，地表沙丘高大(有高100-200m)。</w:t>
      </w:r>
    </w:p>
    <w:p w14:paraId="1BD84711">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阿克苏市整个处于库车山前拗陷区与塔东台拗及其过渡区。其北部为塔地木地台，库车山前拗陷，乌什、新和褶皱断束，前寒武纪地层山露区：市境南部和东部绝大部分地区为巴楚台隆塔东台拗，充填中生代沉积的新生代强烈下沉区，以及中生代地层发育不全，局部分布的新生代相对拗陷区，阿克苏市地处沙井子断裂、琼不兹社克深断裂与却勒塔格深断裂交汇处。阿克苏属地台型构造，华力西晚期运动和喜马拉雅运动变现都十分显著。</w:t>
      </w:r>
    </w:p>
    <w:p w14:paraId="459CE49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项目建设地点位于阿克苏经济技术开发区，区域地形地势平坦。</w:t>
      </w:r>
    </w:p>
    <w:p w14:paraId="16FFD5A0">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4.1.3</w:t>
      </w:r>
      <w:r>
        <w:rPr>
          <w:rFonts w:hint="default" w:ascii="Times New Roman" w:hAnsi="Times New Roman" w:eastAsia="宋体" w:cs="Times New Roman"/>
          <w:b/>
          <w:bCs/>
          <w:sz w:val="24"/>
          <w:szCs w:val="16"/>
          <w:highlight w:val="none"/>
          <w:lang w:val="en-US" w:eastAsia="zh-CN"/>
        </w:rPr>
        <w:t>区域</w:t>
      </w:r>
      <w:r>
        <w:rPr>
          <w:rFonts w:hint="default" w:ascii="Times New Roman" w:hAnsi="Times New Roman" w:eastAsia="宋体" w:cs="Times New Roman"/>
          <w:b/>
          <w:bCs/>
          <w:sz w:val="24"/>
          <w:szCs w:val="16"/>
          <w:highlight w:val="none"/>
        </w:rPr>
        <w:t>地质</w:t>
      </w:r>
    </w:p>
    <w:p w14:paraId="2F53B44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阿克苏大地构造处在库车山前坳陷区与塔东台坳及其过渡区的阿瓦提坳陷。北部为塔里木地台库车山前坳陷，乌什一新和褶皱束，为中生代地层发育不全的新生代相对隆起区；西部为柯坪断隆，阿克苏拱褶皱断束前寒武纪地层出露区；县境南部为巴楚断隆塔东台坳，充填中生代沉积的新生代强烈下沉区，以及中生代地层发育不全、新生代相对坳陷区一阿瓦提坳陷。县境处柯坪断裂向东北延伸的沙井子隐伏断裂，琼木兹杜克深断裂与却勒塔格深断裂交汇处。地属新疆五大板块之一的塔里木板块。</w:t>
      </w:r>
    </w:p>
    <w:p w14:paraId="7C6917E4">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lang w:eastAsia="zh-CN"/>
        </w:rPr>
        <w:t>项目位于阿克苏河冲积扇平原，地层岩性为较单一的第四系全新统冲洪积物。</w:t>
      </w:r>
    </w:p>
    <w:p w14:paraId="70231560">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4.1.</w:t>
      </w:r>
      <w:r>
        <w:rPr>
          <w:rFonts w:hint="default" w:ascii="Times New Roman" w:hAnsi="Times New Roman" w:eastAsia="宋体" w:cs="Times New Roman"/>
          <w:b/>
          <w:bCs/>
          <w:sz w:val="24"/>
          <w:szCs w:val="16"/>
          <w:highlight w:val="none"/>
          <w:lang w:val="en-US" w:eastAsia="zh-CN"/>
        </w:rPr>
        <w:t>4</w:t>
      </w:r>
      <w:r>
        <w:rPr>
          <w:rFonts w:hint="default" w:ascii="Times New Roman" w:hAnsi="Times New Roman" w:eastAsia="宋体" w:cs="Times New Roman"/>
          <w:b/>
          <w:bCs/>
          <w:sz w:val="24"/>
          <w:szCs w:val="16"/>
          <w:highlight w:val="none"/>
        </w:rPr>
        <w:t>水文地质</w:t>
      </w:r>
    </w:p>
    <w:p w14:paraId="38B5559C">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（1）含水层特征</w:t>
      </w:r>
    </w:p>
    <w:p w14:paraId="3AF803FB">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位于阿克苏河冲洪积平原下部，阿克苏河冲洪积平原中上部第四系沉积厚度一般为1000-1500m，山前冲洪积平原第四系沉积厚度相对较薄，在环盆地的山前冲洪积倾斜平原区，第四系沉积物的颗粒由山前向冲洪积平原前缘逐渐变小，第四系沉积物岩性在冲洪积平原上部为卵砾石、砂砾石，在冲洪积平原中部为砂砾石、粗砂，在冲洪积平原下部为细砂、粉砂、亚砂土、亚粘土等。受地形地貌、地层岩性、补给径流条件的影响，山前带潜水位埋深大于100m，冲洪积平原中部潜水位埋深 10m-100m，冲洪积平原下部潜水位埋深小于10m。</w:t>
      </w:r>
    </w:p>
    <w:p w14:paraId="3E5023A7">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（2）区域补径排条件</w:t>
      </w:r>
    </w:p>
    <w:p w14:paraId="434A754D">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区内地下水的补给来源主要是河水入渗、渠系入渗、田间入渗及山区向山前平原的地下径流。北部山区以高山冰川融水、永久积雪融水、季节积雪融水、雨水和地下水补给；低山丘陵带中低山地带除了有雨水和高山冰雪融水的补给外，还有少量季节积雪融水的补给和地下水的多种混合补给。平原和盆地是径流的散失区。阿克苏河冲积平原地形坡度自北向南逐渐变小，沉积物颗粒由粗变细，地层由单一结构渐变为多层结构，地下水位由深变浅，是地下水的主要排泄区，排泄方式为蒸发排泄、人工排泄和向南部塔里木河冲积平原的地下径流排泄。</w:t>
      </w:r>
    </w:p>
    <w:p w14:paraId="2EE7774A">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（3）区域地下水动态</w:t>
      </w:r>
    </w:p>
    <w:p w14:paraId="6B5F81E2">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地下水动态主要受气象、水文地质条件及人类活动等因素影响，由于所处的地段不同，其动态变化有明显差异。根据地下水动态的影响因素将阿克苏河流域的地下水动态划分为水文型、水文-径流型。</w:t>
      </w:r>
    </w:p>
    <w:p w14:paraId="66C5E208">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①水文型动态</w:t>
      </w:r>
    </w:p>
    <w:p w14:paraId="0C959BE1">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分布于环盆地的冲洪积平原上部潜水区，地下水的动态特征与地表径流关系密切，地下水高水位期略滞后于地表水丰水期，滞后期的长短与距离河道的远近有关。一般12月~次年6月份为地下水低水位期，在这期间，受地下水径流运移的影响，潜水水位略有起伏变化；8~10月为地下水高水位期，受地表来水量大小影响，潜水水位具不规则起伏变化；在高水位期与低水位期之间，水位升降较为剧烈。这与地表水径流量年内分布特征有关，年内高低水位差较大，一般在2~5m之间。</w:t>
      </w:r>
    </w:p>
    <w:p w14:paraId="74B7BA1C">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②水文-径流型动态</w:t>
      </w:r>
    </w:p>
    <w:p w14:paraId="070D3A3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分布于环盆地的冲洪积平原中下部潜水区及承压水区，地表水的丰枯变化对地下水水位动态变化影响相对较小。动态曲线为双峰型，8~10月和3~5月出现水位上升趋势，并保持高水位状态；6~7月和12月~次年1月为低水位期或水位呈下降趋势。其原因为8月~10月受地表水大量集中入渗补给，形成高水位期，12月~次年1月份，地表径流入渗补给减少，出现低水位期，表现为水文型动态特征；此后，在地下水径流的作用下，呈现为径流型动态特征，年内变幅1~2.5m，年际变幅0.13~0.60m。</w:t>
      </w:r>
    </w:p>
    <w:p w14:paraId="2C2D976E">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4.1.6</w:t>
      </w:r>
      <w:r>
        <w:rPr>
          <w:rFonts w:hint="default" w:ascii="Times New Roman" w:hAnsi="Times New Roman" w:eastAsia="宋体" w:cs="Times New Roman"/>
          <w:b/>
          <w:bCs/>
          <w:sz w:val="24"/>
          <w:szCs w:val="16"/>
          <w:highlight w:val="none"/>
          <w:lang w:val="en-US" w:eastAsia="zh-CN"/>
        </w:rPr>
        <w:t>气候</w:t>
      </w:r>
      <w:r>
        <w:rPr>
          <w:rFonts w:hint="default" w:ascii="Times New Roman" w:hAnsi="Times New Roman" w:eastAsia="宋体" w:cs="Times New Roman"/>
          <w:b/>
          <w:bCs/>
          <w:sz w:val="24"/>
          <w:szCs w:val="16"/>
          <w:highlight w:val="none"/>
        </w:rPr>
        <w:t>气象</w:t>
      </w:r>
    </w:p>
    <w:p w14:paraId="20BF6CFF">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阿克苏市属暖温带大陆性干旱气候，基本特点是干旱少雨，蒸发量大，寒暑变化剧烈，夏季炎热，冬季寒冷，春秋升温和降温迅速，气温年较差和日较差大，日照时间长，热量充足，年降水量稀少且在时间上分布不均，无霜期较长。阿克苏多年平均气温11.76°C，最热月（7月）平均气温37.59°C，极端最高气温39.7°C，最冷月（1月）平均气温-17.36°C，极端最低气温-22.9°C；多年平均降水量89.38mm，多年平均蒸发量1890.7mm，无霜期211天，年均日照2679小时；气温年较差34°C，年均日较差15°C。</w:t>
      </w:r>
    </w:p>
    <w:p w14:paraId="6901313F">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阿克苏平均风速1.79m/s，最大风速28.8m/s，年平均大风日数5.8天，平均浮尘日数52天。春季（3～5月）升温快而不稳，冷暖交替频繁，干旱且多大风；夏季（6～8月）炎热，多干热风，日照时间长，降水集中，受冰雹危害；秋季（9～11月）气候凉爽，降温迅速，霜冻出现。阿克苏市主要常规气象要素统计资料见表4.1-1。</w:t>
      </w:r>
    </w:p>
    <w:p w14:paraId="418D2C25">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表4.1-1 阿克苏市主要气象要素表</w:t>
      </w:r>
    </w:p>
    <w:tbl>
      <w:tblPr>
        <w:tblStyle w:val="40"/>
        <w:tblW w:w="0" w:type="auto"/>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0"/>
        <w:gridCol w:w="1812"/>
        <w:gridCol w:w="3393"/>
        <w:gridCol w:w="2141"/>
      </w:tblGrid>
      <w:tr w14:paraId="34D784D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tcBorders>
              <w:tl2br w:val="nil"/>
              <w:tr2bl w:val="nil"/>
            </w:tcBorders>
            <w:vAlign w:val="center"/>
          </w:tcPr>
          <w:p w14:paraId="6CEA1CD3">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序号</w:t>
            </w:r>
          </w:p>
        </w:tc>
        <w:tc>
          <w:tcPr>
            <w:tcW w:w="5488" w:type="dxa"/>
            <w:gridSpan w:val="2"/>
            <w:tcBorders>
              <w:tl2br w:val="nil"/>
              <w:tr2bl w:val="nil"/>
            </w:tcBorders>
            <w:vAlign w:val="center"/>
          </w:tcPr>
          <w:p w14:paraId="6666D81B">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vertAlign w:val="baseline"/>
              </w:rPr>
            </w:pPr>
            <w:r>
              <w:rPr>
                <w:rFonts w:hint="default" w:ascii="Times New Roman" w:hAnsi="Times New Roman" w:cs="Times New Roman"/>
                <w:b/>
                <w:bCs/>
                <w:sz w:val="21"/>
                <w:szCs w:val="21"/>
                <w:highlight w:val="none"/>
                <w:vertAlign w:val="baseline"/>
                <w:lang w:val="en-US" w:eastAsia="zh-CN"/>
              </w:rPr>
              <w:t>气象要素</w:t>
            </w:r>
          </w:p>
        </w:tc>
        <w:tc>
          <w:tcPr>
            <w:tcW w:w="2237" w:type="dxa"/>
            <w:tcBorders>
              <w:tl2br w:val="nil"/>
              <w:tr2bl w:val="nil"/>
            </w:tcBorders>
            <w:vAlign w:val="center"/>
          </w:tcPr>
          <w:p w14:paraId="2F79F510">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vertAlign w:val="baseline"/>
                <w:lang w:val="en-US" w:eastAsia="zh-CN"/>
              </w:rPr>
            </w:pPr>
            <w:r>
              <w:rPr>
                <w:rFonts w:hint="default" w:ascii="Times New Roman" w:hAnsi="Times New Roman" w:cs="Times New Roman"/>
                <w:b/>
                <w:bCs/>
                <w:sz w:val="21"/>
                <w:szCs w:val="21"/>
                <w:highlight w:val="none"/>
                <w:vertAlign w:val="baseline"/>
                <w:lang w:val="en-US" w:eastAsia="zh-CN"/>
              </w:rPr>
              <w:t>数值</w:t>
            </w:r>
          </w:p>
        </w:tc>
      </w:tr>
      <w:tr w14:paraId="416D263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vMerge w:val="restart"/>
            <w:tcBorders>
              <w:tl2br w:val="nil"/>
              <w:tr2bl w:val="nil"/>
            </w:tcBorders>
            <w:vAlign w:val="center"/>
          </w:tcPr>
          <w:p w14:paraId="794A5A4A">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1</w:t>
            </w:r>
          </w:p>
        </w:tc>
        <w:tc>
          <w:tcPr>
            <w:tcW w:w="1908" w:type="dxa"/>
            <w:vMerge w:val="restart"/>
            <w:tcBorders>
              <w:tl2br w:val="nil"/>
              <w:tr2bl w:val="nil"/>
            </w:tcBorders>
            <w:vAlign w:val="center"/>
          </w:tcPr>
          <w:p w14:paraId="2120A1DE">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气温</w:t>
            </w:r>
          </w:p>
        </w:tc>
        <w:tc>
          <w:tcPr>
            <w:tcW w:w="3580" w:type="dxa"/>
            <w:tcBorders>
              <w:tl2br w:val="nil"/>
              <w:tr2bl w:val="nil"/>
            </w:tcBorders>
            <w:vAlign w:val="center"/>
          </w:tcPr>
          <w:p w14:paraId="01715350">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年平均气温(℃)</w:t>
            </w:r>
          </w:p>
        </w:tc>
        <w:tc>
          <w:tcPr>
            <w:tcW w:w="2237" w:type="dxa"/>
            <w:tcBorders>
              <w:tl2br w:val="nil"/>
              <w:tr2bl w:val="nil"/>
            </w:tcBorders>
            <w:vAlign w:val="center"/>
          </w:tcPr>
          <w:p w14:paraId="207472FA">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11.76</w:t>
            </w:r>
          </w:p>
        </w:tc>
      </w:tr>
      <w:tr w14:paraId="3E24516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vMerge w:val="continue"/>
            <w:tcBorders>
              <w:tl2br w:val="nil"/>
              <w:tr2bl w:val="nil"/>
            </w:tcBorders>
            <w:vAlign w:val="center"/>
          </w:tcPr>
          <w:p w14:paraId="118A7C1C">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1908" w:type="dxa"/>
            <w:vMerge w:val="continue"/>
            <w:tcBorders>
              <w:tl2br w:val="nil"/>
              <w:tr2bl w:val="nil"/>
            </w:tcBorders>
            <w:vAlign w:val="center"/>
          </w:tcPr>
          <w:p w14:paraId="4D64304A">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3580" w:type="dxa"/>
            <w:tcBorders>
              <w:tl2br w:val="nil"/>
              <w:tr2bl w:val="nil"/>
            </w:tcBorders>
            <w:vAlign w:val="center"/>
          </w:tcPr>
          <w:p w14:paraId="3D157F5A">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最冷平均气温(℃)</w:t>
            </w:r>
          </w:p>
        </w:tc>
        <w:tc>
          <w:tcPr>
            <w:tcW w:w="2237" w:type="dxa"/>
            <w:tcBorders>
              <w:tl2br w:val="nil"/>
              <w:tr2bl w:val="nil"/>
            </w:tcBorders>
            <w:vAlign w:val="center"/>
          </w:tcPr>
          <w:p w14:paraId="1222E40C">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-17.36</w:t>
            </w:r>
          </w:p>
        </w:tc>
      </w:tr>
      <w:tr w14:paraId="72064A3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vMerge w:val="continue"/>
            <w:tcBorders>
              <w:tl2br w:val="nil"/>
              <w:tr2bl w:val="nil"/>
            </w:tcBorders>
            <w:vAlign w:val="center"/>
          </w:tcPr>
          <w:p w14:paraId="0F68AC1F">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1908" w:type="dxa"/>
            <w:vMerge w:val="continue"/>
            <w:tcBorders>
              <w:tl2br w:val="nil"/>
              <w:tr2bl w:val="nil"/>
            </w:tcBorders>
            <w:vAlign w:val="center"/>
          </w:tcPr>
          <w:p w14:paraId="16375EFF">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3580" w:type="dxa"/>
            <w:tcBorders>
              <w:tl2br w:val="nil"/>
              <w:tr2bl w:val="nil"/>
            </w:tcBorders>
            <w:vAlign w:val="center"/>
          </w:tcPr>
          <w:p w14:paraId="26DD9CAC">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最热平均气温(℃)</w:t>
            </w:r>
          </w:p>
        </w:tc>
        <w:tc>
          <w:tcPr>
            <w:tcW w:w="2237" w:type="dxa"/>
            <w:tcBorders>
              <w:tl2br w:val="nil"/>
              <w:tr2bl w:val="nil"/>
            </w:tcBorders>
            <w:vAlign w:val="center"/>
          </w:tcPr>
          <w:p w14:paraId="43449F60">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37.59</w:t>
            </w:r>
          </w:p>
        </w:tc>
      </w:tr>
      <w:tr w14:paraId="4E7ED6B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vMerge w:val="continue"/>
            <w:tcBorders>
              <w:tl2br w:val="nil"/>
              <w:tr2bl w:val="nil"/>
            </w:tcBorders>
            <w:vAlign w:val="center"/>
          </w:tcPr>
          <w:p w14:paraId="435CBBD0">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1908" w:type="dxa"/>
            <w:vMerge w:val="continue"/>
            <w:tcBorders>
              <w:tl2br w:val="nil"/>
              <w:tr2bl w:val="nil"/>
            </w:tcBorders>
            <w:vAlign w:val="center"/>
          </w:tcPr>
          <w:p w14:paraId="3399DA3D">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3580" w:type="dxa"/>
            <w:tcBorders>
              <w:tl2br w:val="nil"/>
              <w:tr2bl w:val="nil"/>
            </w:tcBorders>
            <w:vAlign w:val="center"/>
          </w:tcPr>
          <w:p w14:paraId="44F3CBE4">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年极端最高气温(℃)</w:t>
            </w:r>
          </w:p>
        </w:tc>
        <w:tc>
          <w:tcPr>
            <w:tcW w:w="2237" w:type="dxa"/>
            <w:tcBorders>
              <w:tl2br w:val="nil"/>
              <w:tr2bl w:val="nil"/>
            </w:tcBorders>
            <w:vAlign w:val="center"/>
          </w:tcPr>
          <w:p w14:paraId="36515343">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39.7</w:t>
            </w:r>
          </w:p>
        </w:tc>
      </w:tr>
      <w:tr w14:paraId="5C43DF1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vMerge w:val="continue"/>
            <w:tcBorders>
              <w:tl2br w:val="nil"/>
              <w:tr2bl w:val="nil"/>
            </w:tcBorders>
            <w:vAlign w:val="center"/>
          </w:tcPr>
          <w:p w14:paraId="49E0F718">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1908" w:type="dxa"/>
            <w:vMerge w:val="continue"/>
            <w:tcBorders>
              <w:tl2br w:val="nil"/>
              <w:tr2bl w:val="nil"/>
            </w:tcBorders>
            <w:vAlign w:val="center"/>
          </w:tcPr>
          <w:p w14:paraId="0CBBF9B7">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3580" w:type="dxa"/>
            <w:tcBorders>
              <w:tl2br w:val="nil"/>
              <w:tr2bl w:val="nil"/>
            </w:tcBorders>
            <w:vAlign w:val="center"/>
          </w:tcPr>
          <w:p w14:paraId="4ADB7CDD">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年极端最低气温(℃)</w:t>
            </w:r>
          </w:p>
        </w:tc>
        <w:tc>
          <w:tcPr>
            <w:tcW w:w="2237" w:type="dxa"/>
            <w:tcBorders>
              <w:tl2br w:val="nil"/>
              <w:tr2bl w:val="nil"/>
            </w:tcBorders>
            <w:vAlign w:val="center"/>
          </w:tcPr>
          <w:p w14:paraId="258122ED">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-22.9</w:t>
            </w:r>
          </w:p>
        </w:tc>
      </w:tr>
      <w:tr w14:paraId="0FE185E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tcBorders>
              <w:tl2br w:val="nil"/>
              <w:tr2bl w:val="nil"/>
            </w:tcBorders>
            <w:vAlign w:val="center"/>
          </w:tcPr>
          <w:p w14:paraId="384C84EA">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2</w:t>
            </w:r>
          </w:p>
        </w:tc>
        <w:tc>
          <w:tcPr>
            <w:tcW w:w="1908" w:type="dxa"/>
            <w:tcBorders>
              <w:tl2br w:val="nil"/>
              <w:tr2bl w:val="nil"/>
            </w:tcBorders>
            <w:vAlign w:val="center"/>
          </w:tcPr>
          <w:p w14:paraId="36DD4D9C">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降水</w:t>
            </w:r>
          </w:p>
        </w:tc>
        <w:tc>
          <w:tcPr>
            <w:tcW w:w="3580" w:type="dxa"/>
            <w:tcBorders>
              <w:tl2br w:val="nil"/>
              <w:tr2bl w:val="nil"/>
            </w:tcBorders>
            <w:vAlign w:val="center"/>
          </w:tcPr>
          <w:p w14:paraId="6346721F">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平均年降水量(mm)</w:t>
            </w:r>
          </w:p>
        </w:tc>
        <w:tc>
          <w:tcPr>
            <w:tcW w:w="2237" w:type="dxa"/>
            <w:tcBorders>
              <w:tl2br w:val="nil"/>
              <w:tr2bl w:val="nil"/>
            </w:tcBorders>
            <w:vAlign w:val="center"/>
          </w:tcPr>
          <w:p w14:paraId="43F4F4F1">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89.38</w:t>
            </w:r>
          </w:p>
        </w:tc>
      </w:tr>
      <w:tr w14:paraId="708A8ED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vMerge w:val="restart"/>
            <w:tcBorders>
              <w:tl2br w:val="nil"/>
              <w:tr2bl w:val="nil"/>
            </w:tcBorders>
            <w:vAlign w:val="center"/>
          </w:tcPr>
          <w:p w14:paraId="4CE36902">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3</w:t>
            </w:r>
          </w:p>
        </w:tc>
        <w:tc>
          <w:tcPr>
            <w:tcW w:w="1908" w:type="dxa"/>
            <w:vMerge w:val="restart"/>
            <w:tcBorders>
              <w:tl2br w:val="nil"/>
              <w:tr2bl w:val="nil"/>
            </w:tcBorders>
            <w:vAlign w:val="center"/>
          </w:tcPr>
          <w:p w14:paraId="7E92A2BC">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lang w:val="en-US" w:eastAsia="zh-CN"/>
              </w:rPr>
            </w:pPr>
            <w:r>
              <w:rPr>
                <w:rFonts w:hint="default" w:ascii="Times New Roman" w:hAnsi="Times New Roman" w:cs="Times New Roman"/>
                <w:sz w:val="21"/>
                <w:szCs w:val="21"/>
                <w:highlight w:val="none"/>
                <w:vertAlign w:val="baseline"/>
                <w:lang w:val="en-US" w:eastAsia="zh-CN"/>
              </w:rPr>
              <w:t>风速</w:t>
            </w:r>
          </w:p>
        </w:tc>
        <w:tc>
          <w:tcPr>
            <w:tcW w:w="3580" w:type="dxa"/>
            <w:tcBorders>
              <w:tl2br w:val="nil"/>
              <w:tr2bl w:val="nil"/>
            </w:tcBorders>
            <w:vAlign w:val="center"/>
          </w:tcPr>
          <w:p w14:paraId="7A61573A">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年平均风速(m/s)</w:t>
            </w:r>
          </w:p>
        </w:tc>
        <w:tc>
          <w:tcPr>
            <w:tcW w:w="2237" w:type="dxa"/>
            <w:tcBorders>
              <w:tl2br w:val="nil"/>
              <w:tr2bl w:val="nil"/>
            </w:tcBorders>
            <w:vAlign w:val="center"/>
          </w:tcPr>
          <w:p w14:paraId="56741222">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1.79</w:t>
            </w:r>
          </w:p>
        </w:tc>
      </w:tr>
      <w:tr w14:paraId="63E5C82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vMerge w:val="continue"/>
            <w:tcBorders>
              <w:tl2br w:val="nil"/>
              <w:tr2bl w:val="nil"/>
            </w:tcBorders>
            <w:vAlign w:val="center"/>
          </w:tcPr>
          <w:p w14:paraId="47F2D3E6">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1908" w:type="dxa"/>
            <w:vMerge w:val="continue"/>
            <w:tcBorders>
              <w:tl2br w:val="nil"/>
              <w:tr2bl w:val="nil"/>
            </w:tcBorders>
            <w:vAlign w:val="center"/>
          </w:tcPr>
          <w:p w14:paraId="6D3AD032">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3580" w:type="dxa"/>
            <w:tcBorders>
              <w:tl2br w:val="nil"/>
              <w:tr2bl w:val="nil"/>
            </w:tcBorders>
            <w:vAlign w:val="center"/>
          </w:tcPr>
          <w:p w14:paraId="71B3B85F">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最大风速(m/s)</w:t>
            </w:r>
          </w:p>
        </w:tc>
        <w:tc>
          <w:tcPr>
            <w:tcW w:w="2237" w:type="dxa"/>
            <w:tcBorders>
              <w:tl2br w:val="nil"/>
              <w:tr2bl w:val="nil"/>
            </w:tcBorders>
            <w:vAlign w:val="center"/>
          </w:tcPr>
          <w:p w14:paraId="66E398CC">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28.8</w:t>
            </w:r>
          </w:p>
        </w:tc>
      </w:tr>
      <w:tr w14:paraId="4195607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21" w:type="dxa"/>
            <w:vMerge w:val="continue"/>
            <w:tcBorders>
              <w:tl2br w:val="nil"/>
              <w:tr2bl w:val="nil"/>
            </w:tcBorders>
            <w:vAlign w:val="center"/>
          </w:tcPr>
          <w:p w14:paraId="261C28F5">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1908" w:type="dxa"/>
            <w:vMerge w:val="continue"/>
            <w:tcBorders>
              <w:tl2br w:val="nil"/>
              <w:tr2bl w:val="nil"/>
            </w:tcBorders>
            <w:vAlign w:val="center"/>
          </w:tcPr>
          <w:p w14:paraId="3A742F00">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p>
        </w:tc>
        <w:tc>
          <w:tcPr>
            <w:tcW w:w="3580" w:type="dxa"/>
            <w:tcBorders>
              <w:tl2br w:val="nil"/>
              <w:tr2bl w:val="nil"/>
            </w:tcBorders>
            <w:vAlign w:val="center"/>
          </w:tcPr>
          <w:p w14:paraId="2B8F5F8D">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主导风向</w:t>
            </w:r>
          </w:p>
        </w:tc>
        <w:tc>
          <w:tcPr>
            <w:tcW w:w="2237" w:type="dxa"/>
            <w:tcBorders>
              <w:tl2br w:val="nil"/>
              <w:tr2bl w:val="nil"/>
            </w:tcBorders>
            <w:vAlign w:val="center"/>
          </w:tcPr>
          <w:p w14:paraId="73B9E950">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vertAlign w:val="baseline"/>
              </w:rPr>
            </w:pPr>
            <w:r>
              <w:rPr>
                <w:rFonts w:hint="default" w:ascii="Times New Roman" w:hAnsi="Times New Roman" w:eastAsia="宋体" w:cs="Times New Roman"/>
                <w:sz w:val="21"/>
                <w:szCs w:val="21"/>
                <w:highlight w:val="none"/>
                <w:vertAlign w:val="baseline"/>
              </w:rPr>
              <w:t>N</w:t>
            </w:r>
          </w:p>
        </w:tc>
      </w:tr>
    </w:tbl>
    <w:p w14:paraId="01138BB5">
      <w:pPr>
        <w:keepNext/>
        <w:keepLines/>
        <w:pageBreakBefore w:val="0"/>
        <w:widowControl/>
        <w:kinsoku/>
        <w:wordWrap/>
        <w:overflowPunct/>
        <w:topLinePunct w:val="0"/>
        <w:autoSpaceDE/>
        <w:autoSpaceDN/>
        <w:bidi w:val="0"/>
        <w:adjustRightInd/>
        <w:snapToGrid w:val="0"/>
        <w:spacing w:line="360" w:lineRule="auto"/>
        <w:jc w:val="left"/>
        <w:textAlignment w:val="auto"/>
        <w:outlineLvl w:val="1"/>
        <w:rPr>
          <w:rFonts w:hint="default" w:ascii="Times New Roman" w:hAnsi="Times New Roman" w:eastAsia="宋体" w:cs="Times New Roman"/>
          <w:b/>
          <w:bCs/>
          <w:sz w:val="24"/>
          <w:szCs w:val="18"/>
          <w:highlight w:val="none"/>
        </w:rPr>
      </w:pPr>
      <w:bookmarkStart w:id="159" w:name="_Toc15100"/>
      <w:bookmarkStart w:id="160" w:name="_Toc9868255"/>
      <w:bookmarkStart w:id="161" w:name="_Toc709"/>
      <w:bookmarkStart w:id="162" w:name="_Toc22096"/>
      <w:r>
        <w:rPr>
          <w:rFonts w:hint="default" w:ascii="Times New Roman" w:hAnsi="Times New Roman" w:eastAsia="宋体" w:cs="Times New Roman"/>
          <w:b/>
          <w:bCs/>
          <w:sz w:val="24"/>
          <w:szCs w:val="18"/>
          <w:highlight w:val="none"/>
        </w:rPr>
        <w:t>4.</w:t>
      </w:r>
      <w:r>
        <w:rPr>
          <w:rFonts w:hint="default" w:ascii="Times New Roman" w:hAnsi="Times New Roman" w:eastAsia="宋体" w:cs="Times New Roman"/>
          <w:b/>
          <w:bCs/>
          <w:sz w:val="24"/>
          <w:szCs w:val="18"/>
          <w:highlight w:val="none"/>
          <w:lang w:val="en-US" w:eastAsia="zh-CN"/>
        </w:rPr>
        <w:t>2</w:t>
      </w:r>
      <w:r>
        <w:rPr>
          <w:rFonts w:hint="default" w:ascii="Times New Roman" w:hAnsi="Times New Roman" w:eastAsia="宋体" w:cs="Times New Roman"/>
          <w:b/>
          <w:bCs/>
          <w:sz w:val="24"/>
          <w:szCs w:val="18"/>
          <w:highlight w:val="none"/>
        </w:rPr>
        <w:t>环境质量现状调查与评价</w:t>
      </w:r>
      <w:bookmarkEnd w:id="159"/>
      <w:bookmarkEnd w:id="160"/>
      <w:bookmarkEnd w:id="161"/>
      <w:bookmarkEnd w:id="162"/>
    </w:p>
    <w:p w14:paraId="0DA9EF0F">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lang w:val="en-US" w:eastAsia="zh-CN"/>
        </w:rPr>
      </w:pPr>
      <w:r>
        <w:rPr>
          <w:rFonts w:hint="default" w:ascii="Times New Roman" w:hAnsi="Times New Roman" w:eastAsia="宋体" w:cs="Times New Roman"/>
          <w:b/>
          <w:bCs/>
          <w:sz w:val="24"/>
          <w:szCs w:val="16"/>
          <w:highlight w:val="none"/>
        </w:rPr>
        <w:t>4.</w:t>
      </w:r>
      <w:r>
        <w:rPr>
          <w:rFonts w:hint="default" w:ascii="Times New Roman" w:hAnsi="Times New Roman" w:eastAsia="宋体" w:cs="Times New Roman"/>
          <w:b/>
          <w:bCs/>
          <w:sz w:val="24"/>
          <w:szCs w:val="16"/>
          <w:highlight w:val="none"/>
          <w:lang w:val="en-US" w:eastAsia="zh-CN"/>
        </w:rPr>
        <w:t>2</w:t>
      </w:r>
      <w:r>
        <w:rPr>
          <w:rFonts w:hint="default" w:ascii="Times New Roman" w:hAnsi="Times New Roman" w:eastAsia="宋体" w:cs="Times New Roman"/>
          <w:b/>
          <w:bCs/>
          <w:sz w:val="24"/>
          <w:szCs w:val="16"/>
          <w:highlight w:val="none"/>
        </w:rPr>
        <w:t>.2水环境</w:t>
      </w:r>
      <w:r>
        <w:rPr>
          <w:rFonts w:hint="default" w:ascii="Times New Roman" w:hAnsi="Times New Roman" w:eastAsia="宋体" w:cs="Times New Roman"/>
          <w:b/>
          <w:bCs/>
          <w:sz w:val="24"/>
          <w:szCs w:val="16"/>
          <w:highlight w:val="none"/>
          <w:lang w:val="en-US" w:eastAsia="zh-CN"/>
        </w:rPr>
        <w:t>质量</w:t>
      </w:r>
      <w:r>
        <w:rPr>
          <w:rFonts w:hint="default" w:ascii="Times New Roman" w:hAnsi="Times New Roman" w:eastAsia="宋体" w:cs="Times New Roman"/>
          <w:b/>
          <w:bCs/>
          <w:sz w:val="24"/>
          <w:szCs w:val="16"/>
          <w:highlight w:val="none"/>
        </w:rPr>
        <w:t>现状调查</w:t>
      </w:r>
    </w:p>
    <w:p w14:paraId="5AEEC29D">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（1）地表水环境质量现状调查</w:t>
      </w:r>
    </w:p>
    <w:p w14:paraId="7C74F148">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根据调查，区域距离厂区较近的地表水体为厂区东北侧5.7km西湖水库和7.5km阿克苏河，西湖水库为阿克苏河的调节水库。阿克苏河为Ⅱ类水体，执行《地表水环境质量标准》（GB3838-2002）Ⅱ类标准。</w:t>
      </w:r>
    </w:p>
    <w:p w14:paraId="2F02D737">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本项目运营过程无新增生产废水及生活污水排放，根据《环境影响评价技术导则 地表水环境》（HJ2.3-2018），本项目地表水评价等级为三级B，可不开展区域污染源调查，无需开展地表水水环境质量现状调查。</w:t>
      </w:r>
    </w:p>
    <w:p w14:paraId="1668A9A9">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（2）地下水环境质量现状调查</w:t>
      </w:r>
    </w:p>
    <w:p w14:paraId="7982E12D">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本次评价引用新疆兴发化工有限公司《新疆兴发100吨/年催化剂项目环境影响报告书》中于2025年8月11日对区域地下水水质的监测数据，新疆兴发化工有限公司与本公司相邻，引用数据监测区域与项目场地同属一个地下水水文地质单元，无明显水文地质边界阻隔</w:t>
      </w:r>
      <w:r>
        <w:rPr>
          <w:rFonts w:hint="eastAsia" w:ascii="Times New Roman" w:hAnsi="Times New Roman" w:eastAsia="宋体" w:cs="Times New Roman"/>
          <w:b w:val="0"/>
          <w:bCs/>
          <w:color w:val="auto"/>
          <w:sz w:val="24"/>
          <w:szCs w:val="24"/>
          <w:highlight w:val="none"/>
          <w:lang w:val="en-US" w:eastAsia="zh-CN"/>
        </w:rPr>
        <w:t>，可反映项目区地下水本底特征，</w:t>
      </w:r>
      <w:r>
        <w:rPr>
          <w:rFonts w:hint="default" w:ascii="Times New Roman" w:hAnsi="Times New Roman" w:eastAsia="宋体" w:cs="Times New Roman"/>
          <w:b w:val="0"/>
          <w:bCs/>
          <w:color w:val="auto"/>
          <w:sz w:val="24"/>
          <w:szCs w:val="24"/>
          <w:highlight w:val="none"/>
          <w:lang w:val="en-US" w:eastAsia="zh-CN"/>
        </w:rPr>
        <w:t>监测数据可说明区域地下水环境质量状况，本次引用的区域地下水现有监测数据符合《环境影响评价技术导则 地下水环境》（HJ610-2016）相关规定</w:t>
      </w:r>
      <w:r>
        <w:rPr>
          <w:rFonts w:hint="eastAsia" w:ascii="Times New Roman" w:hAnsi="Times New Roman" w:eastAsia="宋体"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lang w:val="en-US" w:eastAsia="zh-CN"/>
        </w:rPr>
        <w:t>项目引用可行。</w:t>
      </w:r>
    </w:p>
    <w:p w14:paraId="3A1C8177">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①监测点位及监测因子</w:t>
      </w:r>
    </w:p>
    <w:p w14:paraId="5107531B">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评价区内潜水和承压水的流向基本一致，均为受地势影响的西北-东南流向，本次现状监测一共选择5个地下水水质监测点，涉及厂区上游、厂区下游和厂区两侧。地下水监测点位详见</w:t>
      </w:r>
      <w:r>
        <w:rPr>
          <w:rFonts w:hint="default" w:ascii="Times New Roman" w:hAnsi="Times New Roman" w:eastAsia="宋体" w:cs="Times New Roman"/>
          <w:b w:val="0"/>
          <w:bCs/>
          <w:color w:val="auto"/>
          <w:sz w:val="24"/>
          <w:szCs w:val="24"/>
          <w:highlight w:val="none"/>
          <w:lang w:val="en-US" w:eastAsia="zh-CN"/>
        </w:rPr>
        <w:fldChar w:fldCharType="begin"/>
      </w:r>
      <w:r>
        <w:rPr>
          <w:rFonts w:hint="default" w:ascii="Times New Roman" w:hAnsi="Times New Roman" w:eastAsia="宋体" w:cs="Times New Roman"/>
          <w:b w:val="0"/>
          <w:bCs/>
          <w:color w:val="auto"/>
          <w:sz w:val="24"/>
          <w:szCs w:val="24"/>
          <w:highlight w:val="none"/>
          <w:lang w:val="en-US" w:eastAsia="zh-CN"/>
        </w:rPr>
        <w:instrText xml:space="preserve"> REF _Ref111492077 \h  \* MERGEFORMAT </w:instrText>
      </w:r>
      <w:r>
        <w:rPr>
          <w:rFonts w:hint="default" w:ascii="Times New Roman" w:hAnsi="Times New Roman" w:eastAsia="宋体" w:cs="Times New Roman"/>
          <w:b w:val="0"/>
          <w:bCs/>
          <w:color w:val="auto"/>
          <w:sz w:val="24"/>
          <w:szCs w:val="24"/>
          <w:highlight w:val="none"/>
          <w:lang w:val="en-US" w:eastAsia="zh-CN"/>
        </w:rPr>
        <w:fldChar w:fldCharType="separate"/>
      </w:r>
      <w:r>
        <w:rPr>
          <w:rFonts w:hint="default" w:ascii="Times New Roman" w:hAnsi="Times New Roman" w:eastAsia="宋体" w:cs="Times New Roman"/>
          <w:b w:val="0"/>
          <w:bCs/>
          <w:color w:val="auto"/>
          <w:sz w:val="24"/>
          <w:szCs w:val="24"/>
          <w:highlight w:val="none"/>
          <w:lang w:val="en-US" w:eastAsia="zh-CN"/>
        </w:rPr>
        <w:t>表4.3</w:t>
      </w:r>
      <w:r>
        <w:rPr>
          <w:rFonts w:hint="default" w:ascii="Times New Roman" w:hAnsi="Times New Roman" w:eastAsia="宋体" w:cs="Times New Roman"/>
          <w:b w:val="0"/>
          <w:bCs/>
          <w:color w:val="auto"/>
          <w:sz w:val="24"/>
          <w:szCs w:val="24"/>
          <w:highlight w:val="none"/>
          <w:lang w:val="en-US" w:eastAsia="zh-CN"/>
        </w:rPr>
        <w:noBreakHyphen/>
      </w:r>
      <w:r>
        <w:rPr>
          <w:rFonts w:hint="default" w:ascii="Times New Roman" w:hAnsi="Times New Roman" w:eastAsia="宋体" w:cs="Times New Roman"/>
          <w:b w:val="0"/>
          <w:bCs/>
          <w:color w:val="auto"/>
          <w:sz w:val="24"/>
          <w:szCs w:val="24"/>
          <w:highlight w:val="none"/>
          <w:lang w:val="en-US" w:eastAsia="zh-CN"/>
        </w:rPr>
        <w:t>6</w:t>
      </w:r>
      <w:r>
        <w:rPr>
          <w:rFonts w:hint="default" w:ascii="Times New Roman" w:hAnsi="Times New Roman" w:eastAsia="宋体" w:cs="Times New Roman"/>
          <w:b w:val="0"/>
          <w:bCs/>
          <w:color w:val="auto"/>
          <w:sz w:val="24"/>
          <w:szCs w:val="24"/>
          <w:highlight w:val="none"/>
          <w:lang w:val="en-US" w:eastAsia="zh-CN"/>
        </w:rPr>
        <w:fldChar w:fldCharType="end"/>
      </w:r>
      <w:r>
        <w:rPr>
          <w:rFonts w:hint="default" w:ascii="Times New Roman" w:hAnsi="Times New Roman" w:eastAsia="宋体" w:cs="Times New Roman"/>
          <w:b w:val="0"/>
          <w:bCs/>
          <w:color w:val="auto"/>
          <w:sz w:val="24"/>
          <w:szCs w:val="24"/>
          <w:highlight w:val="none"/>
          <w:lang w:val="en-US" w:eastAsia="zh-CN"/>
        </w:rPr>
        <w:t>及</w:t>
      </w:r>
      <w:r>
        <w:rPr>
          <w:rFonts w:hint="default" w:ascii="Times New Roman" w:hAnsi="Times New Roman" w:eastAsia="宋体" w:cs="Times New Roman"/>
          <w:b w:val="0"/>
          <w:bCs/>
          <w:color w:val="auto"/>
          <w:sz w:val="24"/>
          <w:szCs w:val="24"/>
          <w:highlight w:val="none"/>
          <w:lang w:val="en-US" w:eastAsia="zh-CN"/>
        </w:rPr>
        <w:fldChar w:fldCharType="begin"/>
      </w:r>
      <w:r>
        <w:rPr>
          <w:rFonts w:hint="default" w:ascii="Times New Roman" w:hAnsi="Times New Roman" w:eastAsia="宋体" w:cs="Times New Roman"/>
          <w:b w:val="0"/>
          <w:bCs/>
          <w:color w:val="auto"/>
          <w:sz w:val="24"/>
          <w:szCs w:val="24"/>
          <w:highlight w:val="none"/>
          <w:lang w:val="en-US" w:eastAsia="zh-CN"/>
        </w:rPr>
        <w:instrText xml:space="preserve"> REF _Ref114078006 \h  \* MERGEFORMAT </w:instrText>
      </w:r>
      <w:r>
        <w:rPr>
          <w:rFonts w:hint="default" w:ascii="Times New Roman" w:hAnsi="Times New Roman" w:eastAsia="宋体" w:cs="Times New Roman"/>
          <w:b w:val="0"/>
          <w:bCs/>
          <w:color w:val="auto"/>
          <w:sz w:val="24"/>
          <w:szCs w:val="24"/>
          <w:highlight w:val="none"/>
          <w:lang w:val="en-US" w:eastAsia="zh-CN"/>
        </w:rPr>
        <w:fldChar w:fldCharType="separate"/>
      </w:r>
      <w:r>
        <w:rPr>
          <w:rFonts w:hint="default" w:ascii="Times New Roman" w:hAnsi="Times New Roman" w:eastAsia="宋体" w:cs="Times New Roman"/>
          <w:b w:val="0"/>
          <w:bCs/>
          <w:color w:val="auto"/>
          <w:sz w:val="24"/>
          <w:szCs w:val="24"/>
          <w:highlight w:val="none"/>
          <w:lang w:val="en-US" w:eastAsia="zh-CN"/>
        </w:rPr>
        <w:t>图4.2</w:t>
      </w:r>
      <w:r>
        <w:rPr>
          <w:rFonts w:hint="default" w:ascii="Times New Roman" w:hAnsi="Times New Roman" w:eastAsia="宋体" w:cs="Times New Roman"/>
          <w:b w:val="0"/>
          <w:bCs/>
          <w:color w:val="auto"/>
          <w:sz w:val="24"/>
          <w:szCs w:val="24"/>
          <w:highlight w:val="none"/>
          <w:lang w:val="en-US" w:eastAsia="zh-CN"/>
        </w:rPr>
        <w:noBreakHyphen/>
      </w:r>
      <w:r>
        <w:rPr>
          <w:rFonts w:hint="default" w:ascii="Times New Roman" w:hAnsi="Times New Roman" w:eastAsia="宋体" w:cs="Times New Roman"/>
          <w:b w:val="0"/>
          <w:bCs/>
          <w:color w:val="auto"/>
          <w:sz w:val="24"/>
          <w:szCs w:val="24"/>
          <w:highlight w:val="none"/>
          <w:lang w:val="en-US" w:eastAsia="zh-CN"/>
        </w:rPr>
        <w:t>4</w:t>
      </w:r>
      <w:r>
        <w:rPr>
          <w:rFonts w:hint="default" w:ascii="Times New Roman" w:hAnsi="Times New Roman" w:eastAsia="宋体" w:cs="Times New Roman"/>
          <w:b w:val="0"/>
          <w:bCs/>
          <w:color w:val="auto"/>
          <w:sz w:val="24"/>
          <w:szCs w:val="24"/>
          <w:highlight w:val="none"/>
          <w:lang w:val="en-US" w:eastAsia="zh-CN"/>
        </w:rPr>
        <w:fldChar w:fldCharType="end"/>
      </w:r>
      <w:r>
        <w:rPr>
          <w:rFonts w:hint="default" w:ascii="Times New Roman" w:hAnsi="Times New Roman" w:eastAsia="宋体" w:cs="Times New Roman"/>
          <w:b w:val="0"/>
          <w:bCs/>
          <w:color w:val="auto"/>
          <w:sz w:val="24"/>
          <w:szCs w:val="24"/>
          <w:highlight w:val="none"/>
          <w:lang w:val="en-US" w:eastAsia="zh-CN"/>
        </w:rPr>
        <w:t>。</w:t>
      </w:r>
      <w:bookmarkStart w:id="163" w:name="_Ref111492077"/>
      <w:bookmarkStart w:id="164" w:name="_Hlk151237921"/>
    </w:p>
    <w:p w14:paraId="74830215">
      <w:pPr>
        <w:pStyle w:val="6"/>
        <w:spacing w:line="240" w:lineRule="auto"/>
        <w:ind w:left="0" w:leftChars="0" w:right="0" w:rightChars="0" w:firstLine="0" w:firstLineChars="0"/>
        <w:jc w:val="center"/>
        <w:rPr>
          <w:rFonts w:hint="default" w:ascii="Times New Roman" w:hAnsi="Times New Roman" w:cs="Times New Roman"/>
          <w:b/>
          <w:bCs/>
        </w:rPr>
      </w:pPr>
      <w:r>
        <w:rPr>
          <w:rFonts w:hint="default" w:ascii="Times New Roman" w:hAnsi="Times New Roman" w:cs="Times New Roman"/>
          <w:b/>
          <w:bCs/>
        </w:rPr>
        <w:t>表</w:t>
      </w:r>
      <w:r>
        <w:rPr>
          <w:rFonts w:hint="default" w:ascii="Times New Roman" w:hAnsi="Times New Roman" w:cs="Times New Roman"/>
          <w:b/>
          <w:bCs/>
        </w:rPr>
        <w:fldChar w:fldCharType="begin"/>
      </w:r>
      <w:r>
        <w:rPr>
          <w:rFonts w:hint="default" w:ascii="Times New Roman" w:hAnsi="Times New Roman" w:cs="Times New Roman"/>
          <w:b/>
          <w:bCs/>
        </w:rPr>
        <w:instrText xml:space="preserve"> STYLEREF 2 \s </w:instrText>
      </w:r>
      <w:r>
        <w:rPr>
          <w:rFonts w:hint="default" w:ascii="Times New Roman" w:hAnsi="Times New Roman" w:cs="Times New Roman"/>
          <w:b/>
          <w:bCs/>
        </w:rPr>
        <w:fldChar w:fldCharType="separate"/>
      </w:r>
      <w:r>
        <w:rPr>
          <w:rFonts w:hint="default" w:ascii="Times New Roman" w:hAnsi="Times New Roman" w:cs="Times New Roman"/>
          <w:b/>
          <w:bCs/>
        </w:rPr>
        <w:t>4.</w:t>
      </w:r>
      <w:r>
        <w:rPr>
          <w:rFonts w:hint="default" w:ascii="Times New Roman" w:hAnsi="Times New Roman" w:cs="Times New Roman"/>
          <w:b/>
          <w:bCs/>
          <w:lang w:val="en-US" w:eastAsia="zh-CN"/>
        </w:rPr>
        <w:t>2</w:t>
      </w:r>
      <w:r>
        <w:rPr>
          <w:rFonts w:hint="default" w:ascii="Times New Roman" w:hAnsi="Times New Roman" w:cs="Times New Roman"/>
          <w:b/>
          <w:bCs/>
        </w:rPr>
        <w:fldChar w:fldCharType="end"/>
      </w:r>
      <w:bookmarkEnd w:id="163"/>
      <w:r>
        <w:rPr>
          <w:rFonts w:hint="default" w:ascii="Times New Roman" w:hAnsi="Times New Roman" w:cs="Times New Roman"/>
          <w:b/>
          <w:bCs/>
          <w:lang w:val="en-US" w:eastAsia="zh-CN"/>
        </w:rPr>
        <w:t>-4</w:t>
      </w:r>
      <w:r>
        <w:rPr>
          <w:rFonts w:hint="default" w:ascii="Times New Roman" w:hAnsi="Times New Roman" w:cs="Times New Roman"/>
          <w:b/>
          <w:bCs/>
        </w:rPr>
        <w:t xml:space="preserve"> 地下水现状监测点布置及监测因子</w:t>
      </w:r>
    </w:p>
    <w:bookmarkEnd w:id="164"/>
    <w:tbl>
      <w:tblPr>
        <w:tblStyle w:val="39"/>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30"/>
        <w:gridCol w:w="1652"/>
        <w:gridCol w:w="1308"/>
        <w:gridCol w:w="1467"/>
        <w:gridCol w:w="1305"/>
        <w:gridCol w:w="1989"/>
      </w:tblGrid>
      <w:tr w14:paraId="2AEA799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77" w:type="pct"/>
            <w:tcBorders>
              <w:tl2br w:val="nil"/>
              <w:tr2bl w:val="nil"/>
            </w:tcBorders>
            <w:noWrap w:val="0"/>
            <w:vAlign w:val="center"/>
          </w:tcPr>
          <w:p w14:paraId="4807919A">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rPr>
            </w:pPr>
            <w:r>
              <w:rPr>
                <w:rFonts w:hint="default" w:ascii="Times New Roman" w:hAnsi="Times New Roman" w:eastAsia="宋体" w:cs="Times New Roman"/>
                <w:b/>
                <w:bCs w:val="0"/>
                <w:color w:val="auto"/>
                <w:kern w:val="2"/>
                <w:sz w:val="21"/>
                <w:szCs w:val="21"/>
                <w:u w:val="none"/>
              </w:rPr>
              <w:t>编号</w:t>
            </w:r>
          </w:p>
        </w:tc>
        <w:tc>
          <w:tcPr>
            <w:tcW w:w="989" w:type="pct"/>
            <w:tcBorders>
              <w:tl2br w:val="nil"/>
              <w:tr2bl w:val="nil"/>
            </w:tcBorders>
            <w:noWrap w:val="0"/>
            <w:vAlign w:val="center"/>
          </w:tcPr>
          <w:p w14:paraId="68B4F50D">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rPr>
            </w:pPr>
            <w:r>
              <w:rPr>
                <w:rFonts w:hint="default" w:ascii="Times New Roman" w:hAnsi="Times New Roman" w:eastAsia="宋体" w:cs="Times New Roman"/>
                <w:b/>
                <w:bCs w:val="0"/>
                <w:color w:val="auto"/>
                <w:kern w:val="2"/>
                <w:sz w:val="21"/>
                <w:szCs w:val="21"/>
                <w:u w:val="none"/>
              </w:rPr>
              <w:t>监测点位</w:t>
            </w:r>
          </w:p>
        </w:tc>
        <w:tc>
          <w:tcPr>
            <w:tcW w:w="783" w:type="pct"/>
            <w:tcBorders>
              <w:tl2br w:val="nil"/>
              <w:tr2bl w:val="nil"/>
            </w:tcBorders>
            <w:noWrap w:val="0"/>
            <w:vAlign w:val="center"/>
          </w:tcPr>
          <w:p w14:paraId="7FAFE442">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lang w:val="en-US" w:eastAsia="zh-CN"/>
              </w:rPr>
            </w:pPr>
            <w:r>
              <w:rPr>
                <w:rFonts w:hint="default" w:ascii="Times New Roman" w:hAnsi="Times New Roman" w:eastAsia="宋体" w:cs="Times New Roman"/>
                <w:b/>
                <w:bCs w:val="0"/>
                <w:color w:val="auto"/>
                <w:kern w:val="2"/>
                <w:sz w:val="21"/>
                <w:szCs w:val="21"/>
                <w:u w:val="none"/>
                <w:lang w:val="en-US" w:eastAsia="zh-CN"/>
              </w:rPr>
              <w:t>坐标</w:t>
            </w:r>
          </w:p>
        </w:tc>
        <w:tc>
          <w:tcPr>
            <w:tcW w:w="878" w:type="pct"/>
            <w:tcBorders>
              <w:tl2br w:val="nil"/>
              <w:tr2bl w:val="nil"/>
            </w:tcBorders>
            <w:noWrap w:val="0"/>
            <w:vAlign w:val="center"/>
          </w:tcPr>
          <w:p w14:paraId="303F1435">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rPr>
            </w:pPr>
            <w:r>
              <w:rPr>
                <w:rFonts w:hint="default" w:ascii="Times New Roman" w:hAnsi="Times New Roman" w:eastAsia="宋体" w:cs="Times New Roman"/>
                <w:b/>
                <w:bCs w:val="0"/>
                <w:color w:val="auto"/>
                <w:kern w:val="2"/>
                <w:sz w:val="21"/>
                <w:szCs w:val="21"/>
                <w:u w:val="none"/>
              </w:rPr>
              <w:t>与</w:t>
            </w:r>
            <w:r>
              <w:rPr>
                <w:rFonts w:hint="default" w:ascii="Times New Roman" w:hAnsi="Times New Roman" w:eastAsia="宋体" w:cs="Times New Roman"/>
                <w:b/>
                <w:bCs w:val="0"/>
                <w:color w:val="auto"/>
                <w:kern w:val="2"/>
                <w:sz w:val="21"/>
                <w:szCs w:val="21"/>
                <w:u w:val="none"/>
                <w:lang w:val="en-US" w:eastAsia="zh-CN"/>
              </w:rPr>
              <w:t>厂区</w:t>
            </w:r>
            <w:r>
              <w:rPr>
                <w:rFonts w:hint="default" w:ascii="Times New Roman" w:hAnsi="Times New Roman" w:eastAsia="宋体" w:cs="Times New Roman"/>
                <w:b/>
                <w:bCs w:val="0"/>
                <w:color w:val="auto"/>
                <w:kern w:val="2"/>
                <w:sz w:val="21"/>
                <w:szCs w:val="21"/>
                <w:u w:val="none"/>
              </w:rPr>
              <w:t>位置关系</w:t>
            </w:r>
          </w:p>
        </w:tc>
        <w:tc>
          <w:tcPr>
            <w:tcW w:w="781" w:type="pct"/>
            <w:tcBorders>
              <w:tl2br w:val="nil"/>
              <w:tr2bl w:val="nil"/>
            </w:tcBorders>
            <w:noWrap w:val="0"/>
            <w:vAlign w:val="center"/>
          </w:tcPr>
          <w:p w14:paraId="61FD6A13">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rPr>
            </w:pPr>
            <w:r>
              <w:rPr>
                <w:rFonts w:hint="default" w:ascii="Times New Roman" w:hAnsi="Times New Roman" w:eastAsia="宋体" w:cs="Times New Roman"/>
                <w:b/>
                <w:bCs w:val="0"/>
                <w:color w:val="auto"/>
                <w:kern w:val="2"/>
                <w:sz w:val="21"/>
                <w:szCs w:val="21"/>
                <w:u w:val="none"/>
              </w:rPr>
              <w:t>备注</w:t>
            </w:r>
          </w:p>
        </w:tc>
        <w:tc>
          <w:tcPr>
            <w:tcW w:w="1190" w:type="pct"/>
            <w:tcBorders>
              <w:tl2br w:val="nil"/>
              <w:tr2bl w:val="nil"/>
            </w:tcBorders>
            <w:noWrap w:val="0"/>
            <w:vAlign w:val="center"/>
          </w:tcPr>
          <w:p w14:paraId="5CDA25D9">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rPr>
            </w:pPr>
            <w:r>
              <w:rPr>
                <w:rFonts w:hint="default" w:ascii="Times New Roman" w:hAnsi="Times New Roman" w:cs="Times New Roman"/>
                <w:b/>
                <w:bCs w:val="0"/>
                <w:color w:val="000000" w:themeColor="text1"/>
                <w:sz w:val="21"/>
                <w:szCs w:val="21"/>
                <w14:textFill>
                  <w14:solidFill>
                    <w14:schemeClr w14:val="tx1"/>
                  </w14:solidFill>
                </w14:textFill>
              </w:rPr>
              <w:t>监测因子</w:t>
            </w:r>
          </w:p>
        </w:tc>
      </w:tr>
      <w:tr w14:paraId="1BA64E3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77" w:type="pct"/>
            <w:tcBorders>
              <w:tl2br w:val="nil"/>
              <w:tr2bl w:val="nil"/>
            </w:tcBorders>
            <w:noWrap w:val="0"/>
            <w:vAlign w:val="center"/>
          </w:tcPr>
          <w:p w14:paraId="368512CF">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lang w:val="en-US" w:eastAsia="zh-CN"/>
              </w:rPr>
              <w:t>D</w:t>
            </w:r>
            <w:r>
              <w:rPr>
                <w:rFonts w:hint="default" w:ascii="Times New Roman" w:hAnsi="Times New Roman" w:eastAsia="宋体" w:cs="Times New Roman"/>
                <w:b w:val="0"/>
                <w:bCs/>
                <w:color w:val="auto"/>
                <w:kern w:val="2"/>
                <w:sz w:val="21"/>
                <w:szCs w:val="21"/>
                <w:u w:val="none"/>
              </w:rPr>
              <w:t>1</w:t>
            </w:r>
          </w:p>
        </w:tc>
        <w:tc>
          <w:tcPr>
            <w:tcW w:w="989" w:type="pct"/>
            <w:tcBorders>
              <w:tl2br w:val="nil"/>
              <w:tr2bl w:val="nil"/>
            </w:tcBorders>
            <w:noWrap w:val="0"/>
            <w:vAlign w:val="center"/>
          </w:tcPr>
          <w:p w14:paraId="0049A551">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厂区东北侧</w:t>
            </w:r>
          </w:p>
          <w:p w14:paraId="04AF5B51">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yellow"/>
                <w:u w:val="none"/>
                <w:lang w:val="en-US" w:eastAsia="zh-CN"/>
              </w:rPr>
            </w:pPr>
            <w:r>
              <w:rPr>
                <w:rFonts w:hint="default" w:ascii="Times New Roman" w:hAnsi="Times New Roman" w:cs="Times New Roman"/>
                <w:sz w:val="21"/>
                <w:szCs w:val="21"/>
                <w:highlight w:val="none"/>
                <w:lang w:val="en-US" w:eastAsia="zh-CN"/>
              </w:rPr>
              <w:t>经三路绿化灌溉井</w:t>
            </w:r>
          </w:p>
        </w:tc>
        <w:tc>
          <w:tcPr>
            <w:tcW w:w="783" w:type="pct"/>
            <w:tcBorders>
              <w:tl2br w:val="nil"/>
              <w:tr2bl w:val="nil"/>
            </w:tcBorders>
            <w:noWrap w:val="0"/>
            <w:vAlign w:val="center"/>
          </w:tcPr>
          <w:p w14:paraId="1EBF1972">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eastAsia="宋体" w:cs="Times New Roman"/>
                <w:b w:val="0"/>
                <w:bCs/>
                <w:color w:val="auto"/>
                <w:kern w:val="2"/>
                <w:sz w:val="21"/>
                <w:szCs w:val="21"/>
                <w:u w:val="none"/>
                <w:lang w:val="en-US" w:eastAsia="zh-CN"/>
              </w:rPr>
              <w:t>E</w:t>
            </w:r>
            <w:r>
              <w:rPr>
                <w:rFonts w:hint="default" w:ascii="Times New Roman" w:hAnsi="Times New Roman" w:cs="Times New Roman"/>
                <w:sz w:val="21"/>
                <w:szCs w:val="21"/>
                <w:lang w:val="en-US" w:eastAsia="zh-CN"/>
              </w:rPr>
              <w:t>80°9′50″</w:t>
            </w:r>
          </w:p>
          <w:p w14:paraId="151293C9">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eastAsia="宋体" w:cs="Times New Roman"/>
                <w:b w:val="0"/>
                <w:bCs/>
                <w:color w:val="auto"/>
                <w:kern w:val="2"/>
                <w:sz w:val="21"/>
                <w:szCs w:val="21"/>
                <w:u w:val="none"/>
                <w:lang w:val="en-US" w:eastAsia="zh-CN"/>
              </w:rPr>
              <w:t>N</w:t>
            </w:r>
            <w:r>
              <w:rPr>
                <w:rFonts w:hint="default" w:ascii="Times New Roman" w:hAnsi="Times New Roman" w:cs="Times New Roman"/>
                <w:sz w:val="21"/>
                <w:szCs w:val="21"/>
                <w:lang w:val="en-US" w:eastAsia="zh-CN"/>
              </w:rPr>
              <w:t>41°5′18″</w:t>
            </w:r>
          </w:p>
        </w:tc>
        <w:tc>
          <w:tcPr>
            <w:tcW w:w="878" w:type="pct"/>
            <w:tcBorders>
              <w:tl2br w:val="nil"/>
              <w:tr2bl w:val="nil"/>
            </w:tcBorders>
            <w:noWrap w:val="0"/>
            <w:vAlign w:val="center"/>
          </w:tcPr>
          <w:p w14:paraId="636B4827">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rPr>
              <w:t>上</w:t>
            </w:r>
            <w:r>
              <w:rPr>
                <w:rFonts w:hint="default" w:ascii="Times New Roman" w:hAnsi="Times New Roman" w:eastAsia="宋体" w:cs="Times New Roman"/>
                <w:b w:val="0"/>
                <w:bCs/>
                <w:color w:val="auto"/>
                <w:kern w:val="2"/>
                <w:sz w:val="21"/>
                <w:szCs w:val="21"/>
                <w:highlight w:val="none"/>
                <w:u w:val="none"/>
                <w:lang w:val="en-US" w:eastAsia="zh-CN"/>
              </w:rPr>
              <w:t>游约4km</w:t>
            </w:r>
          </w:p>
        </w:tc>
        <w:tc>
          <w:tcPr>
            <w:tcW w:w="781" w:type="pct"/>
            <w:tcBorders>
              <w:tl2br w:val="nil"/>
              <w:tr2bl w:val="nil"/>
            </w:tcBorders>
            <w:noWrap w:val="0"/>
            <w:vAlign w:val="center"/>
          </w:tcPr>
          <w:p w14:paraId="70106EDF">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潜水井</w:t>
            </w:r>
          </w:p>
        </w:tc>
        <w:tc>
          <w:tcPr>
            <w:tcW w:w="1190" w:type="pct"/>
            <w:vMerge w:val="restart"/>
            <w:tcBorders>
              <w:tl2br w:val="nil"/>
              <w:tr2bl w:val="nil"/>
            </w:tcBorders>
            <w:noWrap w:val="0"/>
            <w:vAlign w:val="center"/>
          </w:tcPr>
          <w:p w14:paraId="7812500C">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pH值、色度、嗅和味、浑浊度、肉眼可见物、总硬度、溶解性总固体、氯化物、硫酸盐、挥发性酚类、耗氧量、硫化物、钠、氰化物、氟化物、碘化物、氨氮、阴离子表面活性剂、亚硝酸盐氮、硝酸盐、六价铬、铁、锰、铜、锌、铝、砷、汞、镉、铅、硒、总大肠菌群、菌落总数、苯、甲苯、三氯甲烷、四氯化碳等，共计37项</w:t>
            </w:r>
          </w:p>
        </w:tc>
      </w:tr>
      <w:tr w14:paraId="77C3596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77" w:type="pct"/>
            <w:tcBorders>
              <w:tl2br w:val="nil"/>
              <w:tr2bl w:val="nil"/>
            </w:tcBorders>
            <w:noWrap w:val="0"/>
            <w:vAlign w:val="center"/>
          </w:tcPr>
          <w:p w14:paraId="62990FE8">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lang w:val="en-US" w:eastAsia="zh-CN"/>
              </w:rPr>
              <w:t>D</w:t>
            </w:r>
            <w:r>
              <w:rPr>
                <w:rFonts w:hint="default" w:ascii="Times New Roman" w:hAnsi="Times New Roman" w:eastAsia="宋体" w:cs="Times New Roman"/>
                <w:b w:val="0"/>
                <w:bCs/>
                <w:color w:val="auto"/>
                <w:kern w:val="2"/>
                <w:sz w:val="21"/>
                <w:szCs w:val="21"/>
                <w:u w:val="none"/>
              </w:rPr>
              <w:t>2</w:t>
            </w:r>
          </w:p>
        </w:tc>
        <w:tc>
          <w:tcPr>
            <w:tcW w:w="989" w:type="pct"/>
            <w:tcBorders>
              <w:tl2br w:val="nil"/>
              <w:tr2bl w:val="nil"/>
            </w:tcBorders>
            <w:noWrap w:val="0"/>
            <w:vAlign w:val="center"/>
          </w:tcPr>
          <w:p w14:paraId="719FFEE0">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厂区东侧</w:t>
            </w:r>
          </w:p>
          <w:p w14:paraId="090ADF9B">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yellow"/>
                <w:u w:val="none"/>
                <w:lang w:val="en-US" w:eastAsia="zh-CN"/>
              </w:rPr>
            </w:pPr>
            <w:r>
              <w:rPr>
                <w:rFonts w:hint="default" w:ascii="Times New Roman" w:hAnsi="Times New Roman" w:cs="Times New Roman"/>
                <w:sz w:val="21"/>
                <w:szCs w:val="21"/>
                <w:lang w:val="en-US" w:eastAsia="zh-CN"/>
              </w:rPr>
              <w:t>阿克苏天山多浪水泥有限责任公司水源井</w:t>
            </w:r>
          </w:p>
        </w:tc>
        <w:tc>
          <w:tcPr>
            <w:tcW w:w="783" w:type="pct"/>
            <w:tcBorders>
              <w:tl2br w:val="nil"/>
              <w:tr2bl w:val="nil"/>
            </w:tcBorders>
            <w:noWrap w:val="0"/>
            <w:vAlign w:val="center"/>
          </w:tcPr>
          <w:p w14:paraId="463D78A3">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eastAsia="宋体" w:cs="Times New Roman"/>
                <w:b w:val="0"/>
                <w:bCs/>
                <w:color w:val="auto"/>
                <w:kern w:val="2"/>
                <w:sz w:val="21"/>
                <w:szCs w:val="21"/>
                <w:u w:val="none"/>
                <w:lang w:val="en-US" w:eastAsia="zh-CN"/>
              </w:rPr>
              <w:t>E80°10′47″</w:t>
            </w:r>
          </w:p>
          <w:p w14:paraId="3CFF7BE2">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cs="Times New Roman"/>
                <w:sz w:val="21"/>
                <w:szCs w:val="21"/>
                <w:lang w:val="en-US" w:eastAsia="zh-CN"/>
              </w:rPr>
              <w:t>N41°4′11″</w:t>
            </w:r>
          </w:p>
        </w:tc>
        <w:tc>
          <w:tcPr>
            <w:tcW w:w="878" w:type="pct"/>
            <w:tcBorders>
              <w:tl2br w:val="nil"/>
              <w:tr2bl w:val="nil"/>
            </w:tcBorders>
            <w:noWrap w:val="0"/>
            <w:vAlign w:val="center"/>
          </w:tcPr>
          <w:p w14:paraId="52D5AF91">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rPr>
              <w:t>侧向</w:t>
            </w:r>
            <w:r>
              <w:rPr>
                <w:rFonts w:hint="default" w:ascii="Times New Roman" w:hAnsi="Times New Roman" w:eastAsia="宋体" w:cs="Times New Roman"/>
                <w:b w:val="0"/>
                <w:bCs/>
                <w:color w:val="auto"/>
                <w:kern w:val="2"/>
                <w:sz w:val="21"/>
                <w:szCs w:val="21"/>
                <w:highlight w:val="none"/>
                <w:u w:val="none"/>
                <w:lang w:val="en-US" w:eastAsia="zh-CN"/>
              </w:rPr>
              <w:t>约4.6km</w:t>
            </w:r>
          </w:p>
        </w:tc>
        <w:tc>
          <w:tcPr>
            <w:tcW w:w="781" w:type="pct"/>
            <w:tcBorders>
              <w:tl2br w:val="nil"/>
              <w:tr2bl w:val="nil"/>
            </w:tcBorders>
            <w:noWrap w:val="0"/>
            <w:vAlign w:val="center"/>
          </w:tcPr>
          <w:p w14:paraId="4DD9CA17">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潜水井</w:t>
            </w:r>
          </w:p>
        </w:tc>
        <w:tc>
          <w:tcPr>
            <w:tcW w:w="1190" w:type="pct"/>
            <w:vMerge w:val="continue"/>
            <w:tcBorders>
              <w:tl2br w:val="nil"/>
              <w:tr2bl w:val="nil"/>
            </w:tcBorders>
            <w:noWrap w:val="0"/>
            <w:vAlign w:val="center"/>
          </w:tcPr>
          <w:p w14:paraId="5B21F332">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p>
        </w:tc>
      </w:tr>
      <w:tr w14:paraId="1B2EF9D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77" w:type="pct"/>
            <w:tcBorders>
              <w:tl2br w:val="nil"/>
              <w:tr2bl w:val="nil"/>
            </w:tcBorders>
            <w:noWrap w:val="0"/>
            <w:vAlign w:val="center"/>
          </w:tcPr>
          <w:p w14:paraId="2183957B">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lang w:val="en-US" w:eastAsia="zh-CN"/>
              </w:rPr>
              <w:t>D</w:t>
            </w:r>
            <w:r>
              <w:rPr>
                <w:rFonts w:hint="default" w:ascii="Times New Roman" w:hAnsi="Times New Roman" w:eastAsia="宋体" w:cs="Times New Roman"/>
                <w:b w:val="0"/>
                <w:bCs/>
                <w:color w:val="auto"/>
                <w:kern w:val="2"/>
                <w:sz w:val="21"/>
                <w:szCs w:val="21"/>
                <w:u w:val="none"/>
              </w:rPr>
              <w:t>3</w:t>
            </w:r>
          </w:p>
        </w:tc>
        <w:tc>
          <w:tcPr>
            <w:tcW w:w="989" w:type="pct"/>
            <w:tcBorders>
              <w:tl2br w:val="nil"/>
              <w:tr2bl w:val="nil"/>
            </w:tcBorders>
            <w:noWrap w:val="0"/>
            <w:vAlign w:val="center"/>
          </w:tcPr>
          <w:p w14:paraId="1C12167C">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厂区东南侧</w:t>
            </w:r>
          </w:p>
          <w:p w14:paraId="272BFB35">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sz w:val="21"/>
                <w:szCs w:val="21"/>
                <w:highlight w:val="none"/>
                <w:lang w:val="en-US" w:eastAsia="zh-CN"/>
              </w:rPr>
              <w:t>阿克苏市林园恒源滴灌带厂</w:t>
            </w:r>
          </w:p>
        </w:tc>
        <w:tc>
          <w:tcPr>
            <w:tcW w:w="783" w:type="pct"/>
            <w:tcBorders>
              <w:tl2br w:val="nil"/>
              <w:tr2bl w:val="nil"/>
            </w:tcBorders>
            <w:noWrap w:val="0"/>
            <w:vAlign w:val="center"/>
          </w:tcPr>
          <w:p w14:paraId="2E8781DA">
            <w:pPr>
              <w:pStyle w:val="214"/>
              <w:autoSpaceDE/>
              <w:autoSpaceDN/>
              <w:spacing w:before="0" w:after="0" w:line="240" w:lineRule="auto"/>
              <w:ind w:left="0" w:firstLine="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E80°9′34″</w:t>
            </w:r>
          </w:p>
          <w:p w14:paraId="4E87E30E">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cs="Times New Roman"/>
                <w:sz w:val="21"/>
                <w:szCs w:val="21"/>
                <w:lang w:val="en-US" w:eastAsia="zh-CN"/>
              </w:rPr>
              <w:t>N41°2′2″</w:t>
            </w:r>
          </w:p>
        </w:tc>
        <w:tc>
          <w:tcPr>
            <w:tcW w:w="878" w:type="pct"/>
            <w:tcBorders>
              <w:tl2br w:val="nil"/>
              <w:tr2bl w:val="nil"/>
            </w:tcBorders>
            <w:noWrap w:val="0"/>
            <w:vAlign w:val="center"/>
          </w:tcPr>
          <w:p w14:paraId="7253EFFB">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下游约4.3km</w:t>
            </w:r>
          </w:p>
        </w:tc>
        <w:tc>
          <w:tcPr>
            <w:tcW w:w="781" w:type="pct"/>
            <w:tcBorders>
              <w:tl2br w:val="nil"/>
              <w:tr2bl w:val="nil"/>
            </w:tcBorders>
            <w:noWrap w:val="0"/>
            <w:vAlign w:val="center"/>
          </w:tcPr>
          <w:p w14:paraId="194436FE">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潜水井</w:t>
            </w:r>
          </w:p>
        </w:tc>
        <w:tc>
          <w:tcPr>
            <w:tcW w:w="1190" w:type="pct"/>
            <w:vMerge w:val="continue"/>
            <w:tcBorders>
              <w:tl2br w:val="nil"/>
              <w:tr2bl w:val="nil"/>
            </w:tcBorders>
            <w:noWrap w:val="0"/>
            <w:vAlign w:val="center"/>
          </w:tcPr>
          <w:p w14:paraId="1EA5C855">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p>
        </w:tc>
      </w:tr>
      <w:tr w14:paraId="20F155C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77" w:type="pct"/>
            <w:tcBorders>
              <w:tl2br w:val="nil"/>
              <w:tr2bl w:val="nil"/>
            </w:tcBorders>
            <w:noWrap w:val="0"/>
            <w:vAlign w:val="center"/>
          </w:tcPr>
          <w:p w14:paraId="277C5F17">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lang w:val="en-US" w:eastAsia="zh-CN"/>
              </w:rPr>
              <w:t>D</w:t>
            </w:r>
            <w:r>
              <w:rPr>
                <w:rFonts w:hint="default" w:ascii="Times New Roman" w:hAnsi="Times New Roman" w:eastAsia="宋体" w:cs="Times New Roman"/>
                <w:b w:val="0"/>
                <w:bCs/>
                <w:color w:val="auto"/>
                <w:kern w:val="2"/>
                <w:sz w:val="21"/>
                <w:szCs w:val="21"/>
                <w:u w:val="none"/>
              </w:rPr>
              <w:t>4</w:t>
            </w:r>
          </w:p>
        </w:tc>
        <w:tc>
          <w:tcPr>
            <w:tcW w:w="989" w:type="pct"/>
            <w:tcBorders>
              <w:tl2br w:val="nil"/>
              <w:tr2bl w:val="nil"/>
            </w:tcBorders>
            <w:noWrap w:val="0"/>
            <w:vAlign w:val="center"/>
          </w:tcPr>
          <w:p w14:paraId="389C5620">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厂区东南侧</w:t>
            </w:r>
          </w:p>
          <w:p w14:paraId="354E6B75">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sz w:val="21"/>
                <w:szCs w:val="21"/>
                <w:highlight w:val="none"/>
                <w:lang w:val="en-US" w:eastAsia="zh-CN"/>
              </w:rPr>
              <w:t>阿依库勒镇托万买里村五组</w:t>
            </w:r>
          </w:p>
        </w:tc>
        <w:tc>
          <w:tcPr>
            <w:tcW w:w="783" w:type="pct"/>
            <w:tcBorders>
              <w:tl2br w:val="nil"/>
              <w:tr2bl w:val="nil"/>
            </w:tcBorders>
            <w:noWrap w:val="0"/>
            <w:vAlign w:val="center"/>
          </w:tcPr>
          <w:p w14:paraId="7548A96E">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eastAsia="宋体" w:cs="Times New Roman"/>
                <w:b w:val="0"/>
                <w:bCs/>
                <w:color w:val="auto"/>
                <w:kern w:val="2"/>
                <w:sz w:val="21"/>
                <w:szCs w:val="21"/>
                <w:u w:val="none"/>
                <w:lang w:val="en-US" w:eastAsia="zh-CN"/>
              </w:rPr>
              <w:t>E80°10′19″</w:t>
            </w:r>
          </w:p>
          <w:p w14:paraId="4F14243D">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lang w:val="en-US" w:eastAsia="zh-CN"/>
              </w:rPr>
              <w:t>N40°59′26″</w:t>
            </w:r>
          </w:p>
        </w:tc>
        <w:tc>
          <w:tcPr>
            <w:tcW w:w="878" w:type="pct"/>
            <w:tcBorders>
              <w:tl2br w:val="nil"/>
              <w:tr2bl w:val="nil"/>
            </w:tcBorders>
            <w:noWrap w:val="0"/>
            <w:vAlign w:val="center"/>
          </w:tcPr>
          <w:p w14:paraId="0C39AA7A">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下游约9km</w:t>
            </w:r>
          </w:p>
        </w:tc>
        <w:tc>
          <w:tcPr>
            <w:tcW w:w="781" w:type="pct"/>
            <w:tcBorders>
              <w:tl2br w:val="nil"/>
              <w:tr2bl w:val="nil"/>
            </w:tcBorders>
            <w:noWrap w:val="0"/>
            <w:vAlign w:val="center"/>
          </w:tcPr>
          <w:p w14:paraId="4C8114AC">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潜水井</w:t>
            </w:r>
          </w:p>
        </w:tc>
        <w:tc>
          <w:tcPr>
            <w:tcW w:w="1190" w:type="pct"/>
            <w:vMerge w:val="continue"/>
            <w:tcBorders>
              <w:tl2br w:val="nil"/>
              <w:tr2bl w:val="nil"/>
            </w:tcBorders>
            <w:noWrap w:val="0"/>
            <w:vAlign w:val="center"/>
          </w:tcPr>
          <w:p w14:paraId="2691CDFE">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p>
        </w:tc>
      </w:tr>
      <w:tr w14:paraId="43623A0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377" w:type="pct"/>
            <w:tcBorders>
              <w:tl2br w:val="nil"/>
              <w:tr2bl w:val="nil"/>
            </w:tcBorders>
            <w:noWrap w:val="0"/>
            <w:vAlign w:val="center"/>
          </w:tcPr>
          <w:p w14:paraId="34368A80">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rPr>
            </w:pPr>
            <w:r>
              <w:rPr>
                <w:rFonts w:hint="default" w:ascii="Times New Roman" w:hAnsi="Times New Roman" w:eastAsia="宋体" w:cs="Times New Roman"/>
                <w:b w:val="0"/>
                <w:bCs/>
                <w:color w:val="auto"/>
                <w:kern w:val="2"/>
                <w:sz w:val="21"/>
                <w:szCs w:val="21"/>
                <w:highlight w:val="none"/>
                <w:u w:val="none"/>
                <w:lang w:val="en-US" w:eastAsia="zh-CN"/>
              </w:rPr>
              <w:t>D</w:t>
            </w:r>
            <w:r>
              <w:rPr>
                <w:rFonts w:hint="default" w:ascii="Times New Roman" w:hAnsi="Times New Roman" w:eastAsia="宋体" w:cs="Times New Roman"/>
                <w:b w:val="0"/>
                <w:bCs/>
                <w:color w:val="auto"/>
                <w:kern w:val="2"/>
                <w:sz w:val="21"/>
                <w:szCs w:val="21"/>
                <w:highlight w:val="none"/>
                <w:u w:val="none"/>
              </w:rPr>
              <w:t>5</w:t>
            </w:r>
          </w:p>
        </w:tc>
        <w:tc>
          <w:tcPr>
            <w:tcW w:w="989" w:type="pct"/>
            <w:tcBorders>
              <w:tl2br w:val="nil"/>
              <w:tr2bl w:val="nil"/>
            </w:tcBorders>
            <w:noWrap w:val="0"/>
            <w:vAlign w:val="center"/>
          </w:tcPr>
          <w:p w14:paraId="548E9AB7">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厂区西南侧</w:t>
            </w:r>
          </w:p>
          <w:p w14:paraId="33D456A0">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三峰广瀚环保发电有限公司水井</w:t>
            </w:r>
          </w:p>
        </w:tc>
        <w:tc>
          <w:tcPr>
            <w:tcW w:w="783" w:type="pct"/>
            <w:tcBorders>
              <w:tl2br w:val="nil"/>
              <w:tr2bl w:val="nil"/>
            </w:tcBorders>
            <w:noWrap w:val="0"/>
            <w:vAlign w:val="center"/>
          </w:tcPr>
          <w:p w14:paraId="20F86713">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lang w:val="en-US" w:eastAsia="zh-CN"/>
              </w:rPr>
              <w:t>E80°4′39″</w:t>
            </w:r>
          </w:p>
          <w:p w14:paraId="13E9B852">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rPr>
            </w:pPr>
            <w:r>
              <w:rPr>
                <w:rFonts w:hint="default" w:ascii="Times New Roman" w:hAnsi="Times New Roman" w:eastAsia="宋体" w:cs="Times New Roman"/>
                <w:b w:val="0"/>
                <w:bCs/>
                <w:color w:val="auto"/>
                <w:kern w:val="2"/>
                <w:sz w:val="21"/>
                <w:szCs w:val="21"/>
                <w:highlight w:val="none"/>
                <w:u w:val="none"/>
                <w:lang w:val="en-US" w:eastAsia="zh-CN"/>
              </w:rPr>
              <w:t>N41°2′19″</w:t>
            </w:r>
          </w:p>
        </w:tc>
        <w:tc>
          <w:tcPr>
            <w:tcW w:w="878" w:type="pct"/>
            <w:tcBorders>
              <w:tl2br w:val="nil"/>
              <w:tr2bl w:val="nil"/>
            </w:tcBorders>
            <w:noWrap w:val="0"/>
            <w:vAlign w:val="center"/>
          </w:tcPr>
          <w:p w14:paraId="1679EF4D">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eastAsia="宋体" w:cs="Times New Roman"/>
                <w:b w:val="0"/>
                <w:bCs/>
                <w:color w:val="auto"/>
                <w:kern w:val="2"/>
                <w:sz w:val="21"/>
                <w:szCs w:val="21"/>
                <w:highlight w:val="none"/>
                <w:u w:val="none"/>
              </w:rPr>
              <w:t>侧向</w:t>
            </w:r>
            <w:r>
              <w:rPr>
                <w:rFonts w:hint="default" w:ascii="Times New Roman" w:hAnsi="Times New Roman" w:eastAsia="宋体" w:cs="Times New Roman"/>
                <w:b w:val="0"/>
                <w:bCs/>
                <w:color w:val="auto"/>
                <w:kern w:val="2"/>
                <w:sz w:val="21"/>
                <w:szCs w:val="21"/>
                <w:highlight w:val="none"/>
                <w:u w:val="none"/>
                <w:lang w:val="en-US" w:eastAsia="zh-CN"/>
              </w:rPr>
              <w:t>约3.5km</w:t>
            </w:r>
          </w:p>
        </w:tc>
        <w:tc>
          <w:tcPr>
            <w:tcW w:w="781" w:type="pct"/>
            <w:tcBorders>
              <w:tl2br w:val="nil"/>
              <w:tr2bl w:val="nil"/>
            </w:tcBorders>
            <w:noWrap w:val="0"/>
            <w:vAlign w:val="center"/>
          </w:tcPr>
          <w:p w14:paraId="1CEEE598">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潜水井</w:t>
            </w:r>
          </w:p>
        </w:tc>
        <w:tc>
          <w:tcPr>
            <w:tcW w:w="1190" w:type="pct"/>
            <w:vMerge w:val="continue"/>
            <w:tcBorders>
              <w:tl2br w:val="nil"/>
              <w:tr2bl w:val="nil"/>
            </w:tcBorders>
            <w:noWrap w:val="0"/>
            <w:vAlign w:val="center"/>
          </w:tcPr>
          <w:p w14:paraId="52B6DC4A">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p>
        </w:tc>
      </w:tr>
    </w:tbl>
    <w:p w14:paraId="0867A67B">
      <w:pPr>
        <w:pageBreakBefore w:val="0"/>
        <w:widowControl/>
        <w:kinsoku/>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②监测时间与监测频次</w:t>
      </w:r>
    </w:p>
    <w:p w14:paraId="63708BBB">
      <w:pPr>
        <w:pageBreakBefore w:val="0"/>
        <w:widowControl/>
        <w:kinsoku/>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地下水监测单位是阿克苏源德环境检测有限公司，采样时间为2025年8月11日，每个监测点取一个水质样品。</w:t>
      </w:r>
    </w:p>
    <w:p w14:paraId="410BDBFF">
      <w:pPr>
        <w:pageBreakBefore w:val="0"/>
        <w:widowControl/>
        <w:kinsoku/>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③采样及监测分析方法</w:t>
      </w:r>
    </w:p>
    <w:p w14:paraId="684DA062">
      <w:pPr>
        <w:pageBreakBefore w:val="0"/>
        <w:widowControl/>
        <w:kinsoku/>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采样</w:t>
      </w:r>
      <w:r>
        <w:rPr>
          <w:rFonts w:hint="default" w:ascii="Times New Roman" w:hAnsi="Times New Roman" w:eastAsia="宋体" w:cs="Times New Roman"/>
          <w:b w:val="0"/>
          <w:bCs/>
          <w:snapToGrid w:val="0"/>
          <w:color w:val="auto"/>
          <w:kern w:val="0"/>
          <w:sz w:val="24"/>
          <w:szCs w:val="24"/>
          <w:highlight w:val="none"/>
          <w:lang w:val="en-US" w:eastAsia="zh-CN" w:bidi="ar-SA"/>
        </w:rPr>
        <w:t>按照《环境影响评价技术导则 地下水环境》</w:t>
      </w:r>
      <w:r>
        <w:rPr>
          <w:rFonts w:hint="default" w:ascii="Times New Roman" w:hAnsi="Times New Roman" w:cs="Times New Roman"/>
          <w:sz w:val="24"/>
          <w:szCs w:val="24"/>
          <w:highlight w:val="none"/>
          <w:lang w:val="en-US" w:eastAsia="zh-CN"/>
        </w:rPr>
        <w:t>（HJ610-2016）执行，监测分析方法按照《地下水环境监测技术规范》（HJ164-2020）及《地下水质量标准》（GB/T14848-2017）中有关要求执行。具体见附件监测报告。</w:t>
      </w:r>
    </w:p>
    <w:p w14:paraId="04F1F016">
      <w:pPr>
        <w:pageBreakBefore w:val="0"/>
        <w:widowControl/>
        <w:kinsoku/>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④评价标准及评价方法</w:t>
      </w:r>
    </w:p>
    <w:p w14:paraId="50941C5C">
      <w:pPr>
        <w:pStyle w:val="6"/>
        <w:rPr>
          <w:rFonts w:hint="default" w:ascii="Times New Roman" w:hAnsi="Times New Roman" w:cs="Times New Roman"/>
        </w:rPr>
      </w:pPr>
      <w:r>
        <w:rPr>
          <w:rFonts w:hint="default" w:ascii="Times New Roman" w:hAnsi="Times New Roman" w:cs="Times New Roman"/>
        </w:rPr>
        <w:t>（1）评价标准</w:t>
      </w:r>
    </w:p>
    <w:p w14:paraId="5D10E13E">
      <w:pPr>
        <w:pStyle w:val="6"/>
        <w:rPr>
          <w:rFonts w:hint="default" w:ascii="Times New Roman" w:hAnsi="Times New Roman" w:cs="Times New Roman"/>
        </w:rPr>
      </w:pPr>
      <w:r>
        <w:rPr>
          <w:rFonts w:hint="default" w:ascii="Times New Roman" w:hAnsi="Times New Roman" w:cs="Times New Roman"/>
        </w:rPr>
        <w:t>地下水质量执行《地下水质量标准》（GB/T14848-2017）中Ⅲ类标准。</w:t>
      </w:r>
    </w:p>
    <w:p w14:paraId="6B9DEFF9">
      <w:pPr>
        <w:pStyle w:val="6"/>
        <w:rPr>
          <w:rFonts w:hint="default" w:ascii="Times New Roman" w:hAnsi="Times New Roman" w:cs="Times New Roman"/>
        </w:rPr>
      </w:pPr>
      <w:r>
        <w:rPr>
          <w:rFonts w:hint="default" w:ascii="Times New Roman" w:hAnsi="Times New Roman" w:cs="Times New Roman"/>
        </w:rPr>
        <w:t>（2）评价方法</w:t>
      </w:r>
    </w:p>
    <w:p w14:paraId="250C053E">
      <w:pPr>
        <w:pStyle w:val="6"/>
        <w:rPr>
          <w:rFonts w:hint="default" w:ascii="Times New Roman" w:hAnsi="Times New Roman" w:cs="Times New Roman"/>
        </w:rPr>
      </w:pPr>
      <w:r>
        <w:rPr>
          <w:rFonts w:hint="default" w:ascii="Times New Roman" w:hAnsi="Times New Roman" w:cs="Times New Roman"/>
        </w:rPr>
        <w:t>地下水水质现状评价采用标准指数法。标准指数&gt;1，表明该水质因子已超标，标准指数越大，超标越严重。标准指数计算公式分为以下两种情况：</w:t>
      </w:r>
    </w:p>
    <w:p w14:paraId="7BFDF837">
      <w:pPr>
        <w:pageBreakBefore w:val="0"/>
        <w:widowControl/>
        <w:kinsoku/>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rPr>
        <w:t>1）对于评价标准为定值的水质因子，其标准指数计算方法见下式：</w:t>
      </w:r>
    </w:p>
    <w:p w14:paraId="671E41D3">
      <w:pPr>
        <w:snapToGrid w:val="0"/>
        <w:spacing w:line="240" w:lineRule="auto"/>
        <w:ind w:firstLine="480"/>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position w:val="-30"/>
          <w14:textFill>
            <w14:solidFill>
              <w14:schemeClr w14:val="tx1"/>
            </w14:solidFill>
          </w14:textFill>
        </w:rPr>
        <w:object>
          <v:shape id="_x0000_i1030" o:spt="75" type="#_x0000_t75" style="height:36.75pt;width:50.25pt;" o:ole="t" filled="f" coordsize="21600,21600">
            <v:path/>
            <v:fill on="f" focussize="0,0"/>
            <v:stroke/>
            <v:imagedata r:id="rId33" o:title=""/>
            <o:lock v:ext="edit" aspectratio="t"/>
            <w10:wrap type="none"/>
            <w10:anchorlock/>
          </v:shape>
          <o:OLEObject Type="Embed" ProgID="Equation.3" ShapeID="_x0000_i1030" DrawAspect="Content" ObjectID="_1468075730" r:id="rId32">
            <o:LockedField>false</o:LockedField>
          </o:OLEObject>
        </w:object>
      </w:r>
    </w:p>
    <w:p w14:paraId="0ED02D79">
      <w:pPr>
        <w:pStyle w:val="6"/>
        <w:rPr>
          <w:rFonts w:hint="default" w:ascii="Times New Roman" w:hAnsi="Times New Roman" w:cs="Times New Roman"/>
        </w:rPr>
      </w:pPr>
      <w:r>
        <w:rPr>
          <w:rFonts w:hint="default" w:ascii="Times New Roman" w:hAnsi="Times New Roman" w:cs="Times New Roman"/>
        </w:rPr>
        <w:t>式中：P</w:t>
      </w:r>
      <w:r>
        <w:rPr>
          <w:rFonts w:hint="default" w:ascii="Times New Roman" w:hAnsi="Times New Roman" w:cs="Times New Roman"/>
          <w:vertAlign w:val="subscript"/>
        </w:rPr>
        <w:t>i</w:t>
      </w:r>
      <w:r>
        <w:rPr>
          <w:rFonts w:hint="default" w:ascii="Times New Roman" w:hAnsi="Times New Roman" w:cs="Times New Roman"/>
        </w:rPr>
        <w:t>—第i个水质因子的标准指数，无量纲；</w:t>
      </w:r>
    </w:p>
    <w:p w14:paraId="636D2B0F">
      <w:pPr>
        <w:pStyle w:val="6"/>
        <w:ind w:firstLine="1200" w:firstLineChars="500"/>
        <w:rPr>
          <w:rFonts w:hint="default" w:ascii="Times New Roman" w:hAnsi="Times New Roman" w:cs="Times New Roman"/>
        </w:rPr>
      </w:pPr>
      <w:r>
        <w:rPr>
          <w:rFonts w:hint="default" w:ascii="Times New Roman" w:hAnsi="Times New Roman" w:cs="Times New Roman"/>
        </w:rPr>
        <w:t>C</w:t>
      </w:r>
      <w:r>
        <w:rPr>
          <w:rFonts w:hint="default" w:ascii="Times New Roman" w:hAnsi="Times New Roman" w:cs="Times New Roman"/>
          <w:vertAlign w:val="subscript"/>
        </w:rPr>
        <w:t>i</w:t>
      </w:r>
      <w:r>
        <w:rPr>
          <w:rFonts w:hint="default" w:ascii="Times New Roman" w:hAnsi="Times New Roman" w:cs="Times New Roman"/>
        </w:rPr>
        <w:t>—第i个水质因子的监测浓度值，mg/L；</w:t>
      </w:r>
    </w:p>
    <w:p w14:paraId="6E19CFD0">
      <w:pPr>
        <w:pStyle w:val="6"/>
        <w:ind w:firstLine="1200" w:firstLineChars="500"/>
        <w:rPr>
          <w:rFonts w:hint="default" w:ascii="Times New Roman" w:hAnsi="Times New Roman" w:cs="Times New Roman"/>
        </w:rPr>
      </w:pPr>
      <w:r>
        <w:rPr>
          <w:rFonts w:hint="default" w:ascii="Times New Roman" w:hAnsi="Times New Roman" w:cs="Times New Roman"/>
        </w:rPr>
        <w:t>C</w:t>
      </w:r>
      <w:r>
        <w:rPr>
          <w:rFonts w:hint="default" w:ascii="Times New Roman" w:hAnsi="Times New Roman" w:cs="Times New Roman"/>
          <w:vertAlign w:val="subscript"/>
        </w:rPr>
        <w:t>si</w:t>
      </w:r>
      <w:r>
        <w:rPr>
          <w:rFonts w:hint="default" w:ascii="Times New Roman" w:hAnsi="Times New Roman" w:cs="Times New Roman"/>
        </w:rPr>
        <w:t>—第i个水质因子的标准浓度值，mg/L。</w:t>
      </w:r>
    </w:p>
    <w:p w14:paraId="6F4657F2">
      <w:pPr>
        <w:pStyle w:val="6"/>
        <w:rPr>
          <w:rFonts w:hint="default" w:ascii="Times New Roman" w:hAnsi="Times New Roman" w:cs="Times New Roman"/>
        </w:rPr>
      </w:pPr>
      <w:r>
        <w:rPr>
          <w:rFonts w:hint="default" w:ascii="Times New Roman" w:hAnsi="Times New Roman" w:cs="Times New Roman"/>
        </w:rPr>
        <w:t>2）对于评价标准为区间值的水质因子（如pH值），其标准指数计算方法见下式：</w:t>
      </w:r>
    </w:p>
    <w:p w14:paraId="78A8C2A4">
      <w:pPr>
        <w:pStyle w:val="6"/>
        <w:spacing w:line="240" w:lineRule="auto"/>
        <w:jc w:val="center"/>
        <w:rPr>
          <w:rFonts w:hint="default" w:ascii="Times New Roman" w:hAnsi="Times New Roman" w:cs="Times New Roman"/>
        </w:rPr>
      </w:pPr>
      <w:r>
        <w:rPr>
          <w:rFonts w:hint="default" w:ascii="Times New Roman" w:hAnsi="Times New Roman" w:cs="Times New Roman"/>
        </w:rPr>
        <w:t xml:space="preserve">pH≤7.0时，     </w:t>
      </w:r>
      <w:r>
        <w:rPr>
          <w:rFonts w:hint="default" w:ascii="Times New Roman" w:hAnsi="Times New Roman" w:cs="Times New Roman"/>
          <w:position w:val="-30"/>
        </w:rPr>
        <w:object>
          <v:shape id="_x0000_i1031" o:spt="75" type="#_x0000_t75" style="height:36.75pt;width:93.75pt;" o:ole="t" filled="f" coordsize="21600,21600">
            <v:path/>
            <v:fill on="f" focussize="0,0"/>
            <v:stroke/>
            <v:imagedata r:id="rId35" o:title=""/>
            <o:lock v:ext="edit" aspectratio="t"/>
            <w10:wrap type="none"/>
            <w10:anchorlock/>
          </v:shape>
          <o:OLEObject Type="Embed" ProgID="Equation.3" ShapeID="_x0000_i1031" DrawAspect="Content" ObjectID="_1468075731" r:id="rId34">
            <o:LockedField>false</o:LockedField>
          </o:OLEObject>
        </w:object>
      </w:r>
    </w:p>
    <w:p w14:paraId="7D4004C9">
      <w:pPr>
        <w:pStyle w:val="6"/>
        <w:spacing w:line="240" w:lineRule="auto"/>
        <w:jc w:val="center"/>
        <w:rPr>
          <w:rFonts w:hint="default" w:ascii="Times New Roman" w:hAnsi="Times New Roman" w:cs="Times New Roman"/>
        </w:rPr>
      </w:pPr>
      <w:r>
        <w:rPr>
          <w:rFonts w:hint="default" w:ascii="Times New Roman" w:hAnsi="Times New Roman" w:cs="Times New Roman"/>
        </w:rPr>
        <w:t xml:space="preserve">pH＞7.0时，     </w:t>
      </w:r>
      <w:r>
        <w:rPr>
          <w:rFonts w:hint="default" w:ascii="Times New Roman" w:hAnsi="Times New Roman" w:cs="Times New Roman"/>
          <w:position w:val="-30"/>
        </w:rPr>
        <w:object>
          <v:shape id="_x0000_i1032" o:spt="75" type="#_x0000_t75" style="height:36.75pt;width:93.75pt;" o:ole="t" filled="f" coordsize="21600,21600">
            <v:path/>
            <v:fill on="f" focussize="0,0"/>
            <v:stroke/>
            <v:imagedata r:id="rId37" o:title=""/>
            <o:lock v:ext="edit" aspectratio="t"/>
            <w10:wrap type="none"/>
            <w10:anchorlock/>
          </v:shape>
          <o:OLEObject Type="Embed" ProgID="Equation.3" ShapeID="_x0000_i1032" DrawAspect="Content" ObjectID="_1468075732" r:id="rId36">
            <o:LockedField>false</o:LockedField>
          </o:OLEObject>
        </w:object>
      </w:r>
    </w:p>
    <w:p w14:paraId="1C0492ED">
      <w:pPr>
        <w:pStyle w:val="6"/>
        <w:rPr>
          <w:rFonts w:hint="default" w:ascii="Times New Roman" w:hAnsi="Times New Roman" w:cs="Times New Roman"/>
        </w:rPr>
      </w:pPr>
      <w:r>
        <w:rPr>
          <w:rFonts w:hint="default" w:ascii="Times New Roman" w:hAnsi="Times New Roman" w:cs="Times New Roman"/>
        </w:rPr>
        <w:t>式中：P</w:t>
      </w:r>
      <w:r>
        <w:rPr>
          <w:rFonts w:hint="default" w:ascii="Times New Roman" w:hAnsi="Times New Roman" w:cs="Times New Roman"/>
          <w:vertAlign w:val="subscript"/>
        </w:rPr>
        <w:t>pH</w:t>
      </w:r>
      <w:r>
        <w:rPr>
          <w:rFonts w:hint="default" w:ascii="Times New Roman" w:hAnsi="Times New Roman" w:cs="Times New Roman"/>
        </w:rPr>
        <w:t>——pH的标准指数，无量纲；</w:t>
      </w:r>
    </w:p>
    <w:p w14:paraId="768543F8">
      <w:pPr>
        <w:pStyle w:val="6"/>
        <w:ind w:firstLine="1200" w:firstLineChars="500"/>
        <w:rPr>
          <w:rFonts w:hint="default" w:ascii="Times New Roman" w:hAnsi="Times New Roman" w:cs="Times New Roman"/>
        </w:rPr>
      </w:pPr>
      <w:r>
        <w:rPr>
          <w:rFonts w:hint="default" w:ascii="Times New Roman" w:hAnsi="Times New Roman" w:cs="Times New Roman"/>
        </w:rPr>
        <w:t>pH</w:t>
      </w:r>
      <w:r>
        <w:rPr>
          <w:rFonts w:hint="default" w:ascii="Times New Roman" w:hAnsi="Times New Roman" w:cs="Times New Roman"/>
          <w:vertAlign w:val="subscript"/>
        </w:rPr>
        <w:t>sd</w:t>
      </w:r>
      <w:r>
        <w:rPr>
          <w:rFonts w:hint="default" w:ascii="Times New Roman" w:hAnsi="Times New Roman" w:cs="Times New Roman"/>
        </w:rPr>
        <w:t>——标准中pH的下限值；</w:t>
      </w:r>
    </w:p>
    <w:p w14:paraId="718D71EF">
      <w:pPr>
        <w:pStyle w:val="6"/>
        <w:ind w:firstLine="1200" w:firstLineChars="500"/>
        <w:rPr>
          <w:rFonts w:hint="default" w:ascii="Times New Roman" w:hAnsi="Times New Roman" w:cs="Times New Roman"/>
        </w:rPr>
      </w:pPr>
      <w:r>
        <w:rPr>
          <w:rFonts w:hint="default" w:ascii="Times New Roman" w:hAnsi="Times New Roman" w:cs="Times New Roman"/>
        </w:rPr>
        <w:t>pH</w:t>
      </w:r>
      <w:r>
        <w:rPr>
          <w:rFonts w:hint="default" w:ascii="Times New Roman" w:hAnsi="Times New Roman" w:cs="Times New Roman"/>
          <w:vertAlign w:val="subscript"/>
        </w:rPr>
        <w:t>su</w:t>
      </w:r>
      <w:r>
        <w:rPr>
          <w:rFonts w:hint="default" w:ascii="Times New Roman" w:hAnsi="Times New Roman" w:cs="Times New Roman"/>
        </w:rPr>
        <w:t>——标准中pH的上限值。</w:t>
      </w:r>
    </w:p>
    <w:p w14:paraId="7C0C1153">
      <w:pPr>
        <w:pageBreakBefore w:val="0"/>
        <w:widowControl/>
        <w:kinsoku/>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⑤监测及评价结果</w:t>
      </w:r>
    </w:p>
    <w:p w14:paraId="1D2E4C9A">
      <w:pPr>
        <w:pageBreakBefore w:val="0"/>
        <w:widowControl/>
        <w:kinsoku/>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项目地下水水质监测以及评价结果见表4.2</w:t>
      </w:r>
      <w:r>
        <w:rPr>
          <w:rFonts w:hint="default" w:ascii="Times New Roman" w:hAnsi="Times New Roman" w:cs="Times New Roman"/>
          <w:sz w:val="24"/>
          <w:szCs w:val="24"/>
          <w:highlight w:val="none"/>
          <w:lang w:val="en-US" w:eastAsia="zh-CN"/>
        </w:rPr>
        <w:noBreakHyphen/>
      </w:r>
      <w:r>
        <w:rPr>
          <w:rFonts w:hint="default" w:ascii="Times New Roman" w:hAnsi="Times New Roman" w:cs="Times New Roman"/>
          <w:sz w:val="24"/>
          <w:szCs w:val="24"/>
          <w:highlight w:val="none"/>
          <w:lang w:val="en-US" w:eastAsia="zh-CN"/>
        </w:rPr>
        <w:t>5。</w:t>
      </w:r>
    </w:p>
    <w:p w14:paraId="59730565">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sz w:val="24"/>
          <w:szCs w:val="20"/>
        </w:rPr>
      </w:pPr>
      <w:bookmarkStart w:id="165" w:name="_Ref111492122"/>
      <w:r>
        <w:rPr>
          <w:rFonts w:hint="default" w:ascii="Times New Roman" w:hAnsi="Times New Roman" w:cs="Times New Roman"/>
          <w:b/>
          <w:bCs/>
          <w:sz w:val="24"/>
          <w:szCs w:val="20"/>
        </w:rPr>
        <w:t>表</w:t>
      </w:r>
      <w:bookmarkEnd w:id="165"/>
      <w:r>
        <w:rPr>
          <w:rFonts w:hint="default" w:ascii="Times New Roman" w:hAnsi="Times New Roman" w:cs="Times New Roman"/>
          <w:b/>
          <w:bCs/>
          <w:sz w:val="24"/>
          <w:szCs w:val="20"/>
          <w:lang w:val="en-US" w:eastAsia="zh-CN"/>
        </w:rPr>
        <w:t>4.2-5</w:t>
      </w:r>
      <w:r>
        <w:rPr>
          <w:rFonts w:hint="default" w:ascii="Times New Roman" w:hAnsi="Times New Roman" w:cs="Times New Roman"/>
          <w:b/>
          <w:bCs/>
          <w:sz w:val="24"/>
          <w:szCs w:val="20"/>
        </w:rPr>
        <w:t xml:space="preserve"> 地下水监测及分析结果</w:t>
      </w:r>
    </w:p>
    <w:tbl>
      <w:tblPr>
        <w:tblStyle w:val="39"/>
        <w:tblW w:w="4998" w:type="pct"/>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49"/>
        <w:gridCol w:w="1337"/>
        <w:gridCol w:w="922"/>
        <w:gridCol w:w="922"/>
        <w:gridCol w:w="922"/>
        <w:gridCol w:w="922"/>
        <w:gridCol w:w="922"/>
        <w:gridCol w:w="856"/>
        <w:gridCol w:w="1061"/>
      </w:tblGrid>
      <w:tr w14:paraId="64909DF5">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vMerge w:val="restart"/>
            <w:tcBorders>
              <w:tl2br w:val="nil"/>
              <w:tr2bl w:val="nil"/>
            </w:tcBorders>
            <w:noWrap w:val="0"/>
            <w:vAlign w:val="center"/>
          </w:tcPr>
          <w:p w14:paraId="59C0AAD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项目</w:t>
            </w:r>
          </w:p>
        </w:tc>
        <w:tc>
          <w:tcPr>
            <w:tcW w:w="534" w:type="pct"/>
            <w:vMerge w:val="restart"/>
            <w:tcBorders>
              <w:tl2br w:val="nil"/>
              <w:tr2bl w:val="nil"/>
            </w:tcBorders>
            <w:noWrap w:val="0"/>
            <w:vAlign w:val="center"/>
          </w:tcPr>
          <w:p w14:paraId="7728977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2795" w:type="pct"/>
            <w:gridSpan w:val="5"/>
            <w:tcBorders>
              <w:tl2br w:val="nil"/>
              <w:tr2bl w:val="nil"/>
            </w:tcBorders>
            <w:noWrap w:val="0"/>
            <w:vAlign w:val="center"/>
          </w:tcPr>
          <w:p w14:paraId="27FD089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监测结果</w:t>
            </w:r>
          </w:p>
        </w:tc>
        <w:tc>
          <w:tcPr>
            <w:tcW w:w="456" w:type="pct"/>
            <w:vMerge w:val="restart"/>
            <w:tcBorders>
              <w:tl2br w:val="nil"/>
              <w:tr2bl w:val="nil"/>
            </w:tcBorders>
            <w:noWrap/>
            <w:vAlign w:val="center"/>
          </w:tcPr>
          <w:p w14:paraId="30836AF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标准值</w:t>
            </w:r>
          </w:p>
        </w:tc>
        <w:tc>
          <w:tcPr>
            <w:tcW w:w="441" w:type="pct"/>
            <w:vMerge w:val="restart"/>
            <w:tcBorders>
              <w:tl2br w:val="nil"/>
              <w:tr2bl w:val="nil"/>
            </w:tcBorders>
            <w:noWrap/>
            <w:vAlign w:val="center"/>
          </w:tcPr>
          <w:p w14:paraId="6EB9213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达标情况</w:t>
            </w:r>
          </w:p>
        </w:tc>
      </w:tr>
      <w:tr w14:paraId="3081289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71" w:type="pct"/>
            <w:vMerge w:val="continue"/>
            <w:tcBorders>
              <w:tl2br w:val="nil"/>
              <w:tr2bl w:val="nil"/>
            </w:tcBorders>
            <w:noWrap w:val="0"/>
            <w:vAlign w:val="center"/>
          </w:tcPr>
          <w:p w14:paraId="537C8AC8">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534" w:type="pct"/>
            <w:vMerge w:val="continue"/>
            <w:tcBorders>
              <w:tl2br w:val="nil"/>
              <w:tr2bl w:val="nil"/>
            </w:tcBorders>
            <w:noWrap w:val="0"/>
            <w:vAlign w:val="center"/>
          </w:tcPr>
          <w:p w14:paraId="643DB372">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540" w:type="pct"/>
            <w:vMerge w:val="restart"/>
            <w:tcBorders>
              <w:tl2br w:val="nil"/>
              <w:tr2bl w:val="nil"/>
            </w:tcBorders>
            <w:noWrap w:val="0"/>
            <w:vAlign w:val="center"/>
          </w:tcPr>
          <w:p w14:paraId="1D122A0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lang w:val="en-US"/>
              </w:rPr>
            </w:pPr>
            <w:r>
              <w:rPr>
                <w:rFonts w:hint="default" w:ascii="Times New Roman" w:hAnsi="Times New Roman" w:cs="Times New Roman"/>
                <w:b/>
                <w:bCs/>
                <w:i w:val="0"/>
                <w:iCs w:val="0"/>
                <w:color w:val="000000"/>
                <w:kern w:val="0"/>
                <w:sz w:val="21"/>
                <w:szCs w:val="21"/>
                <w:u w:val="none"/>
                <w:lang w:val="en-US" w:eastAsia="zh-CN" w:bidi="ar"/>
              </w:rPr>
              <w:t>地下水1#</w:t>
            </w:r>
          </w:p>
        </w:tc>
        <w:tc>
          <w:tcPr>
            <w:tcW w:w="574" w:type="pct"/>
            <w:vMerge w:val="restart"/>
            <w:tcBorders>
              <w:tl2br w:val="nil"/>
              <w:tr2bl w:val="nil"/>
            </w:tcBorders>
            <w:noWrap w:val="0"/>
            <w:vAlign w:val="center"/>
          </w:tcPr>
          <w:p w14:paraId="05B59DE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lang w:val="en-US"/>
              </w:rPr>
            </w:pPr>
            <w:r>
              <w:rPr>
                <w:rFonts w:hint="default" w:ascii="Times New Roman" w:hAnsi="Times New Roman" w:cs="Times New Roman"/>
                <w:b/>
                <w:bCs/>
                <w:i w:val="0"/>
                <w:iCs w:val="0"/>
                <w:color w:val="000000"/>
                <w:kern w:val="0"/>
                <w:sz w:val="21"/>
                <w:szCs w:val="21"/>
                <w:u w:val="none"/>
                <w:lang w:val="en-US" w:eastAsia="zh-CN" w:bidi="ar"/>
              </w:rPr>
              <w:t>地下水2#</w:t>
            </w:r>
          </w:p>
        </w:tc>
        <w:tc>
          <w:tcPr>
            <w:tcW w:w="574" w:type="pct"/>
            <w:vMerge w:val="restart"/>
            <w:tcBorders>
              <w:tl2br w:val="nil"/>
              <w:tr2bl w:val="nil"/>
            </w:tcBorders>
            <w:noWrap w:val="0"/>
            <w:vAlign w:val="center"/>
          </w:tcPr>
          <w:p w14:paraId="46CD211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lang w:val="en-US"/>
              </w:rPr>
            </w:pPr>
            <w:r>
              <w:rPr>
                <w:rFonts w:hint="default" w:ascii="Times New Roman" w:hAnsi="Times New Roman" w:cs="Times New Roman"/>
                <w:b/>
                <w:bCs/>
                <w:i w:val="0"/>
                <w:iCs w:val="0"/>
                <w:color w:val="000000"/>
                <w:kern w:val="0"/>
                <w:sz w:val="21"/>
                <w:szCs w:val="21"/>
                <w:u w:val="none"/>
                <w:lang w:val="en-US" w:eastAsia="zh-CN" w:bidi="ar"/>
              </w:rPr>
              <w:t>地下水3#</w:t>
            </w:r>
          </w:p>
        </w:tc>
        <w:tc>
          <w:tcPr>
            <w:tcW w:w="574" w:type="pct"/>
            <w:vMerge w:val="restart"/>
            <w:tcBorders>
              <w:tl2br w:val="nil"/>
              <w:tr2bl w:val="nil"/>
            </w:tcBorders>
            <w:noWrap w:val="0"/>
            <w:vAlign w:val="center"/>
          </w:tcPr>
          <w:p w14:paraId="1660701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lang w:val="en-US"/>
              </w:rPr>
            </w:pPr>
            <w:r>
              <w:rPr>
                <w:rFonts w:hint="default" w:ascii="Times New Roman" w:hAnsi="Times New Roman" w:cs="Times New Roman"/>
                <w:b/>
                <w:bCs/>
                <w:i w:val="0"/>
                <w:iCs w:val="0"/>
                <w:color w:val="000000"/>
                <w:kern w:val="0"/>
                <w:sz w:val="21"/>
                <w:szCs w:val="21"/>
                <w:u w:val="none"/>
                <w:lang w:val="en-US" w:eastAsia="zh-CN" w:bidi="ar"/>
              </w:rPr>
              <w:t>地下水4#</w:t>
            </w:r>
          </w:p>
        </w:tc>
        <w:tc>
          <w:tcPr>
            <w:tcW w:w="531" w:type="pct"/>
            <w:vMerge w:val="restart"/>
            <w:tcBorders>
              <w:tl2br w:val="nil"/>
              <w:tr2bl w:val="nil"/>
            </w:tcBorders>
            <w:noWrap w:val="0"/>
            <w:vAlign w:val="center"/>
          </w:tcPr>
          <w:p w14:paraId="48F340C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lang w:val="en-US" w:eastAsia="zh-CN"/>
              </w:rPr>
            </w:pPr>
            <w:r>
              <w:rPr>
                <w:rFonts w:hint="default" w:ascii="Times New Roman" w:hAnsi="Times New Roman" w:cs="Times New Roman"/>
                <w:b/>
                <w:bCs/>
                <w:i w:val="0"/>
                <w:iCs w:val="0"/>
                <w:color w:val="000000"/>
                <w:sz w:val="21"/>
                <w:szCs w:val="21"/>
                <w:u w:val="none"/>
                <w:lang w:val="en-US" w:eastAsia="zh-CN"/>
              </w:rPr>
              <w:t>地下水5#</w:t>
            </w:r>
          </w:p>
        </w:tc>
        <w:tc>
          <w:tcPr>
            <w:tcW w:w="456" w:type="pct"/>
            <w:vMerge w:val="continue"/>
            <w:tcBorders>
              <w:tl2br w:val="nil"/>
              <w:tr2bl w:val="nil"/>
            </w:tcBorders>
            <w:noWrap/>
            <w:vAlign w:val="center"/>
          </w:tcPr>
          <w:p w14:paraId="4D6C0084">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441" w:type="pct"/>
            <w:vMerge w:val="continue"/>
            <w:tcBorders>
              <w:tl2br w:val="nil"/>
              <w:tr2bl w:val="nil"/>
            </w:tcBorders>
            <w:noWrap/>
            <w:vAlign w:val="center"/>
          </w:tcPr>
          <w:p w14:paraId="36584925">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r>
      <w:tr w14:paraId="531AFD9E">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771" w:type="pct"/>
            <w:vMerge w:val="continue"/>
            <w:tcBorders>
              <w:tl2br w:val="nil"/>
              <w:tr2bl w:val="nil"/>
            </w:tcBorders>
            <w:noWrap w:val="0"/>
            <w:vAlign w:val="center"/>
          </w:tcPr>
          <w:p w14:paraId="45FCA2C7">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534" w:type="pct"/>
            <w:vMerge w:val="continue"/>
            <w:tcBorders>
              <w:tl2br w:val="nil"/>
              <w:tr2bl w:val="nil"/>
            </w:tcBorders>
            <w:noWrap w:val="0"/>
            <w:vAlign w:val="center"/>
          </w:tcPr>
          <w:p w14:paraId="569601E5">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540" w:type="pct"/>
            <w:vMerge w:val="continue"/>
            <w:tcBorders>
              <w:tl2br w:val="nil"/>
              <w:tr2bl w:val="nil"/>
            </w:tcBorders>
            <w:noWrap w:val="0"/>
            <w:vAlign w:val="center"/>
          </w:tcPr>
          <w:p w14:paraId="0ECA9388">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574" w:type="pct"/>
            <w:vMerge w:val="continue"/>
            <w:tcBorders>
              <w:tl2br w:val="nil"/>
              <w:tr2bl w:val="nil"/>
            </w:tcBorders>
            <w:noWrap w:val="0"/>
            <w:vAlign w:val="center"/>
          </w:tcPr>
          <w:p w14:paraId="054CC280">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574" w:type="pct"/>
            <w:vMerge w:val="continue"/>
            <w:tcBorders>
              <w:tl2br w:val="nil"/>
              <w:tr2bl w:val="nil"/>
            </w:tcBorders>
            <w:noWrap w:val="0"/>
            <w:vAlign w:val="center"/>
          </w:tcPr>
          <w:p w14:paraId="39E2D78D">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574" w:type="pct"/>
            <w:vMerge w:val="continue"/>
            <w:tcBorders>
              <w:tl2br w:val="nil"/>
              <w:tr2bl w:val="nil"/>
            </w:tcBorders>
            <w:noWrap w:val="0"/>
            <w:vAlign w:val="center"/>
          </w:tcPr>
          <w:p w14:paraId="2CC7EF6D">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531" w:type="pct"/>
            <w:vMerge w:val="continue"/>
            <w:tcBorders>
              <w:tl2br w:val="nil"/>
              <w:tr2bl w:val="nil"/>
            </w:tcBorders>
            <w:noWrap w:val="0"/>
            <w:vAlign w:val="center"/>
          </w:tcPr>
          <w:p w14:paraId="05132FB7">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456" w:type="pct"/>
            <w:vMerge w:val="continue"/>
            <w:tcBorders>
              <w:tl2br w:val="nil"/>
              <w:tr2bl w:val="nil"/>
            </w:tcBorders>
            <w:noWrap/>
            <w:vAlign w:val="center"/>
          </w:tcPr>
          <w:p w14:paraId="4BF14A66">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441" w:type="pct"/>
            <w:vMerge w:val="continue"/>
            <w:tcBorders>
              <w:tl2br w:val="nil"/>
              <w:tr2bl w:val="nil"/>
            </w:tcBorders>
            <w:noWrap/>
            <w:vAlign w:val="center"/>
          </w:tcPr>
          <w:p w14:paraId="647760E7">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r>
      <w:tr w14:paraId="4FDFB87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771" w:type="pct"/>
            <w:tcBorders>
              <w:tl2br w:val="nil"/>
              <w:tr2bl w:val="nil"/>
            </w:tcBorders>
            <w:noWrap w:val="0"/>
            <w:vAlign w:val="center"/>
          </w:tcPr>
          <w:p w14:paraId="6211C8F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pH</w:t>
            </w:r>
          </w:p>
        </w:tc>
        <w:tc>
          <w:tcPr>
            <w:tcW w:w="534" w:type="pct"/>
            <w:tcBorders>
              <w:tl2br w:val="nil"/>
              <w:tr2bl w:val="nil"/>
            </w:tcBorders>
            <w:noWrap w:val="0"/>
            <w:vAlign w:val="center"/>
          </w:tcPr>
          <w:p w14:paraId="1E9FBBC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无量纲</w:t>
            </w:r>
          </w:p>
        </w:tc>
        <w:tc>
          <w:tcPr>
            <w:tcW w:w="540" w:type="pct"/>
            <w:tcBorders>
              <w:tl2br w:val="nil"/>
              <w:tr2bl w:val="nil"/>
            </w:tcBorders>
            <w:noWrap w:val="0"/>
            <w:vAlign w:val="center"/>
          </w:tcPr>
          <w:p w14:paraId="0A7A71C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w:t>
            </w:r>
          </w:p>
        </w:tc>
        <w:tc>
          <w:tcPr>
            <w:tcW w:w="574" w:type="pct"/>
            <w:tcBorders>
              <w:tl2br w:val="nil"/>
              <w:tr2bl w:val="nil"/>
            </w:tcBorders>
            <w:noWrap w:val="0"/>
            <w:vAlign w:val="center"/>
          </w:tcPr>
          <w:p w14:paraId="672551C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7.3</w:t>
            </w:r>
          </w:p>
        </w:tc>
        <w:tc>
          <w:tcPr>
            <w:tcW w:w="574" w:type="pct"/>
            <w:tcBorders>
              <w:tl2br w:val="nil"/>
              <w:tr2bl w:val="nil"/>
            </w:tcBorders>
            <w:noWrap w:val="0"/>
            <w:vAlign w:val="center"/>
          </w:tcPr>
          <w:p w14:paraId="044C564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574" w:type="pct"/>
            <w:tcBorders>
              <w:tl2br w:val="nil"/>
              <w:tr2bl w:val="nil"/>
            </w:tcBorders>
            <w:noWrap w:val="0"/>
            <w:vAlign w:val="center"/>
          </w:tcPr>
          <w:p w14:paraId="151CFC3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531" w:type="pct"/>
            <w:tcBorders>
              <w:tl2br w:val="nil"/>
              <w:tr2bl w:val="nil"/>
            </w:tcBorders>
            <w:noWrap w:val="0"/>
            <w:vAlign w:val="center"/>
          </w:tcPr>
          <w:p w14:paraId="6BDDAB63">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cs="Times New Roman"/>
                <w:color w:val="auto"/>
                <w:lang w:val="en-US" w:eastAsia="zh-CN"/>
              </w:rPr>
              <w:t>7.8</w:t>
            </w:r>
          </w:p>
        </w:tc>
        <w:tc>
          <w:tcPr>
            <w:tcW w:w="456" w:type="pct"/>
            <w:tcBorders>
              <w:tl2br w:val="nil"/>
              <w:tr2bl w:val="nil"/>
            </w:tcBorders>
            <w:noWrap/>
            <w:vAlign w:val="center"/>
          </w:tcPr>
          <w:p w14:paraId="14BB12C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6.5~8.5</w:t>
            </w:r>
          </w:p>
        </w:tc>
        <w:tc>
          <w:tcPr>
            <w:tcW w:w="441" w:type="pct"/>
            <w:tcBorders>
              <w:tl2br w:val="nil"/>
              <w:tr2bl w:val="nil"/>
            </w:tcBorders>
            <w:noWrap/>
            <w:vAlign w:val="center"/>
          </w:tcPr>
          <w:p w14:paraId="501F3A5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488173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64A1FB6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碘化物</w:t>
            </w:r>
          </w:p>
        </w:tc>
        <w:tc>
          <w:tcPr>
            <w:tcW w:w="534" w:type="pct"/>
            <w:tcBorders>
              <w:tl2br w:val="nil"/>
              <w:tr2bl w:val="nil"/>
            </w:tcBorders>
            <w:noWrap w:val="0"/>
            <w:vAlign w:val="center"/>
          </w:tcPr>
          <w:p w14:paraId="5B57E8E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40AF252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0.025L</w:t>
            </w:r>
          </w:p>
        </w:tc>
        <w:tc>
          <w:tcPr>
            <w:tcW w:w="574" w:type="pct"/>
            <w:tcBorders>
              <w:tl2br w:val="nil"/>
              <w:tr2bl w:val="nil"/>
            </w:tcBorders>
            <w:noWrap w:val="0"/>
            <w:vAlign w:val="center"/>
          </w:tcPr>
          <w:p w14:paraId="575403B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0.025L</w:t>
            </w:r>
          </w:p>
        </w:tc>
        <w:tc>
          <w:tcPr>
            <w:tcW w:w="574" w:type="pct"/>
            <w:tcBorders>
              <w:tl2br w:val="nil"/>
              <w:tr2bl w:val="nil"/>
            </w:tcBorders>
            <w:noWrap w:val="0"/>
            <w:vAlign w:val="center"/>
          </w:tcPr>
          <w:p w14:paraId="4AE7CB3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0.025L</w:t>
            </w:r>
          </w:p>
        </w:tc>
        <w:tc>
          <w:tcPr>
            <w:tcW w:w="574" w:type="pct"/>
            <w:tcBorders>
              <w:tl2br w:val="nil"/>
              <w:tr2bl w:val="nil"/>
            </w:tcBorders>
            <w:noWrap w:val="0"/>
            <w:vAlign w:val="center"/>
          </w:tcPr>
          <w:p w14:paraId="29D1FB1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0.025L</w:t>
            </w:r>
          </w:p>
        </w:tc>
        <w:tc>
          <w:tcPr>
            <w:tcW w:w="531" w:type="pct"/>
            <w:tcBorders>
              <w:tl2br w:val="nil"/>
              <w:tr2bl w:val="nil"/>
            </w:tcBorders>
            <w:noWrap w:val="0"/>
            <w:vAlign w:val="center"/>
          </w:tcPr>
          <w:p w14:paraId="37AFC452">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0.025L</w:t>
            </w:r>
          </w:p>
        </w:tc>
        <w:tc>
          <w:tcPr>
            <w:tcW w:w="456" w:type="pct"/>
            <w:tcBorders>
              <w:tl2br w:val="nil"/>
              <w:tr2bl w:val="nil"/>
            </w:tcBorders>
            <w:noWrap/>
            <w:vAlign w:val="center"/>
          </w:tcPr>
          <w:p w14:paraId="0F840AB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w:t>
            </w:r>
          </w:p>
        </w:tc>
        <w:tc>
          <w:tcPr>
            <w:tcW w:w="441" w:type="pct"/>
            <w:tcBorders>
              <w:tl2br w:val="nil"/>
              <w:tr2bl w:val="nil"/>
            </w:tcBorders>
            <w:noWrap/>
            <w:vAlign w:val="center"/>
          </w:tcPr>
          <w:p w14:paraId="6BE9444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2A83EF63">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25C7C2F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肉眼可见物</w:t>
            </w:r>
          </w:p>
        </w:tc>
        <w:tc>
          <w:tcPr>
            <w:tcW w:w="534" w:type="pct"/>
            <w:tcBorders>
              <w:tl2br w:val="nil"/>
              <w:tr2bl w:val="nil"/>
            </w:tcBorders>
            <w:noWrap w:val="0"/>
            <w:vAlign w:val="center"/>
          </w:tcPr>
          <w:p w14:paraId="4CECCB3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40" w:type="pct"/>
            <w:tcBorders>
              <w:tl2br w:val="nil"/>
              <w:tr2bl w:val="nil"/>
            </w:tcBorders>
            <w:noWrap w:val="0"/>
            <w:vAlign w:val="center"/>
          </w:tcPr>
          <w:p w14:paraId="78E2308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574" w:type="pct"/>
            <w:tcBorders>
              <w:tl2br w:val="nil"/>
              <w:tr2bl w:val="nil"/>
            </w:tcBorders>
            <w:noWrap w:val="0"/>
            <w:vAlign w:val="center"/>
          </w:tcPr>
          <w:p w14:paraId="2F9B247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574" w:type="pct"/>
            <w:tcBorders>
              <w:tl2br w:val="nil"/>
              <w:tr2bl w:val="nil"/>
            </w:tcBorders>
            <w:noWrap w:val="0"/>
            <w:vAlign w:val="center"/>
          </w:tcPr>
          <w:p w14:paraId="0C9CA6A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574" w:type="pct"/>
            <w:tcBorders>
              <w:tl2br w:val="nil"/>
              <w:tr2bl w:val="nil"/>
            </w:tcBorders>
            <w:noWrap w:val="0"/>
            <w:vAlign w:val="center"/>
          </w:tcPr>
          <w:p w14:paraId="1B6BF0F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531" w:type="pct"/>
            <w:tcBorders>
              <w:tl2br w:val="nil"/>
              <w:tr2bl w:val="nil"/>
            </w:tcBorders>
            <w:noWrap w:val="0"/>
            <w:vAlign w:val="center"/>
          </w:tcPr>
          <w:p w14:paraId="5DEEF432">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highlight w:val="none"/>
                <w:lang w:val="en-US" w:eastAsia="zh-CN"/>
              </w:rPr>
              <w:t>无</w:t>
            </w:r>
          </w:p>
        </w:tc>
        <w:tc>
          <w:tcPr>
            <w:tcW w:w="456" w:type="pct"/>
            <w:tcBorders>
              <w:tl2br w:val="nil"/>
              <w:tr2bl w:val="nil"/>
            </w:tcBorders>
            <w:noWrap/>
            <w:vAlign w:val="center"/>
          </w:tcPr>
          <w:p w14:paraId="1DE16EB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441" w:type="pct"/>
            <w:tcBorders>
              <w:tl2br w:val="nil"/>
              <w:tr2bl w:val="nil"/>
            </w:tcBorders>
            <w:noWrap/>
            <w:vAlign w:val="center"/>
          </w:tcPr>
          <w:p w14:paraId="5FFDB0E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2E63549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73D26EF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臭和味</w:t>
            </w:r>
          </w:p>
        </w:tc>
        <w:tc>
          <w:tcPr>
            <w:tcW w:w="534" w:type="pct"/>
            <w:tcBorders>
              <w:tl2br w:val="nil"/>
              <w:tr2bl w:val="nil"/>
            </w:tcBorders>
            <w:noWrap w:val="0"/>
            <w:vAlign w:val="center"/>
          </w:tcPr>
          <w:p w14:paraId="63FB3AD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540" w:type="pct"/>
            <w:tcBorders>
              <w:tl2br w:val="nil"/>
              <w:tr2bl w:val="nil"/>
            </w:tcBorders>
            <w:noWrap w:val="0"/>
            <w:vAlign w:val="center"/>
          </w:tcPr>
          <w:p w14:paraId="3E27991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574" w:type="pct"/>
            <w:tcBorders>
              <w:tl2br w:val="nil"/>
              <w:tr2bl w:val="nil"/>
            </w:tcBorders>
            <w:noWrap w:val="0"/>
            <w:vAlign w:val="center"/>
          </w:tcPr>
          <w:p w14:paraId="14AE106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574" w:type="pct"/>
            <w:tcBorders>
              <w:tl2br w:val="nil"/>
              <w:tr2bl w:val="nil"/>
            </w:tcBorders>
            <w:noWrap w:val="0"/>
            <w:vAlign w:val="center"/>
          </w:tcPr>
          <w:p w14:paraId="750D54A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574" w:type="pct"/>
            <w:tcBorders>
              <w:tl2br w:val="nil"/>
              <w:tr2bl w:val="nil"/>
            </w:tcBorders>
            <w:noWrap w:val="0"/>
            <w:vAlign w:val="center"/>
          </w:tcPr>
          <w:p w14:paraId="33CD9F4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531" w:type="pct"/>
            <w:tcBorders>
              <w:tl2br w:val="nil"/>
              <w:tr2bl w:val="nil"/>
            </w:tcBorders>
            <w:noWrap w:val="0"/>
            <w:vAlign w:val="center"/>
          </w:tcPr>
          <w:p w14:paraId="136E5B47">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无</w:t>
            </w:r>
          </w:p>
        </w:tc>
        <w:tc>
          <w:tcPr>
            <w:tcW w:w="456" w:type="pct"/>
            <w:tcBorders>
              <w:tl2br w:val="nil"/>
              <w:tr2bl w:val="nil"/>
            </w:tcBorders>
            <w:noWrap/>
            <w:vAlign w:val="center"/>
          </w:tcPr>
          <w:p w14:paraId="1239698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w:t>
            </w:r>
          </w:p>
        </w:tc>
        <w:tc>
          <w:tcPr>
            <w:tcW w:w="441" w:type="pct"/>
            <w:tcBorders>
              <w:tl2br w:val="nil"/>
              <w:tr2bl w:val="nil"/>
            </w:tcBorders>
            <w:noWrap/>
            <w:vAlign w:val="center"/>
          </w:tcPr>
          <w:p w14:paraId="364E2F97">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02B43671">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7E3B350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色度</w:t>
            </w:r>
          </w:p>
        </w:tc>
        <w:tc>
          <w:tcPr>
            <w:tcW w:w="534" w:type="pct"/>
            <w:tcBorders>
              <w:tl2br w:val="nil"/>
              <w:tr2bl w:val="nil"/>
            </w:tcBorders>
            <w:noWrap w:val="0"/>
            <w:vAlign w:val="center"/>
          </w:tcPr>
          <w:p w14:paraId="640ADF8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度</w:t>
            </w:r>
          </w:p>
        </w:tc>
        <w:tc>
          <w:tcPr>
            <w:tcW w:w="540" w:type="pct"/>
            <w:tcBorders>
              <w:tl2br w:val="nil"/>
              <w:tr2bl w:val="nil"/>
            </w:tcBorders>
            <w:noWrap w:val="0"/>
            <w:vAlign w:val="center"/>
          </w:tcPr>
          <w:p w14:paraId="24BE6B8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5L</w:t>
            </w:r>
          </w:p>
        </w:tc>
        <w:tc>
          <w:tcPr>
            <w:tcW w:w="574" w:type="pct"/>
            <w:tcBorders>
              <w:tl2br w:val="nil"/>
              <w:tr2bl w:val="nil"/>
            </w:tcBorders>
            <w:noWrap w:val="0"/>
            <w:vAlign w:val="center"/>
          </w:tcPr>
          <w:p w14:paraId="4A81B9F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5L</w:t>
            </w:r>
          </w:p>
        </w:tc>
        <w:tc>
          <w:tcPr>
            <w:tcW w:w="574" w:type="pct"/>
            <w:tcBorders>
              <w:tl2br w:val="nil"/>
              <w:tr2bl w:val="nil"/>
            </w:tcBorders>
            <w:noWrap w:val="0"/>
            <w:vAlign w:val="center"/>
          </w:tcPr>
          <w:p w14:paraId="18FF34E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5L</w:t>
            </w:r>
          </w:p>
        </w:tc>
        <w:tc>
          <w:tcPr>
            <w:tcW w:w="574" w:type="pct"/>
            <w:tcBorders>
              <w:tl2br w:val="nil"/>
              <w:tr2bl w:val="nil"/>
            </w:tcBorders>
            <w:noWrap w:val="0"/>
            <w:vAlign w:val="center"/>
          </w:tcPr>
          <w:p w14:paraId="16C9EAA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5L</w:t>
            </w:r>
          </w:p>
        </w:tc>
        <w:tc>
          <w:tcPr>
            <w:tcW w:w="531" w:type="pct"/>
            <w:tcBorders>
              <w:tl2br w:val="nil"/>
              <w:tr2bl w:val="nil"/>
            </w:tcBorders>
            <w:noWrap w:val="0"/>
            <w:vAlign w:val="center"/>
          </w:tcPr>
          <w:p w14:paraId="6F48A380">
            <w:pPr>
              <w:keepNext w:val="0"/>
              <w:keepLines w:val="0"/>
              <w:pageBreakBefore w:val="0"/>
              <w:widowControl/>
              <w:kinsoku/>
              <w:wordWrap/>
              <w:overflowPunct/>
              <w:topLinePunct w:val="0"/>
              <w:autoSpaceDE/>
              <w:autoSpaceDN/>
              <w:bidi w:val="0"/>
              <w:adjustRightInd/>
              <w:snapToGrid/>
              <w:spacing w:before="0" w:after="0" w:line="240" w:lineRule="exact"/>
              <w:ind w:left="-120" w:leftChars="-50" w:right="-120" w:rightChars="-5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5L</w:t>
            </w:r>
          </w:p>
        </w:tc>
        <w:tc>
          <w:tcPr>
            <w:tcW w:w="456" w:type="pct"/>
            <w:tcBorders>
              <w:tl2br w:val="nil"/>
              <w:tr2bl w:val="nil"/>
            </w:tcBorders>
            <w:noWrap/>
            <w:vAlign w:val="center"/>
          </w:tcPr>
          <w:p w14:paraId="22640F9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441" w:type="pct"/>
            <w:tcBorders>
              <w:tl2br w:val="nil"/>
              <w:tr2bl w:val="nil"/>
            </w:tcBorders>
            <w:noWrap/>
            <w:vAlign w:val="center"/>
          </w:tcPr>
          <w:p w14:paraId="24D602F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0954938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771" w:type="pct"/>
            <w:tcBorders>
              <w:tl2br w:val="nil"/>
              <w:tr2bl w:val="nil"/>
            </w:tcBorders>
            <w:noWrap w:val="0"/>
            <w:vAlign w:val="center"/>
          </w:tcPr>
          <w:p w14:paraId="37255EE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溶解性总固体</w:t>
            </w:r>
          </w:p>
        </w:tc>
        <w:tc>
          <w:tcPr>
            <w:tcW w:w="534" w:type="pct"/>
            <w:tcBorders>
              <w:tl2br w:val="nil"/>
              <w:tr2bl w:val="nil"/>
            </w:tcBorders>
            <w:noWrap w:val="0"/>
            <w:vAlign w:val="center"/>
          </w:tcPr>
          <w:p w14:paraId="7D542EB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7AC390C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311</w:t>
            </w:r>
          </w:p>
        </w:tc>
        <w:tc>
          <w:tcPr>
            <w:tcW w:w="574" w:type="pct"/>
            <w:tcBorders>
              <w:tl2br w:val="nil"/>
              <w:tr2bl w:val="nil"/>
            </w:tcBorders>
            <w:noWrap w:val="0"/>
            <w:vAlign w:val="center"/>
          </w:tcPr>
          <w:p w14:paraId="70B3F11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2760</w:t>
            </w:r>
          </w:p>
        </w:tc>
        <w:tc>
          <w:tcPr>
            <w:tcW w:w="574" w:type="pct"/>
            <w:tcBorders>
              <w:tl2br w:val="nil"/>
              <w:tr2bl w:val="nil"/>
            </w:tcBorders>
            <w:noWrap w:val="0"/>
            <w:vAlign w:val="center"/>
          </w:tcPr>
          <w:p w14:paraId="28D19B1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2520</w:t>
            </w:r>
          </w:p>
        </w:tc>
        <w:tc>
          <w:tcPr>
            <w:tcW w:w="574" w:type="pct"/>
            <w:tcBorders>
              <w:tl2br w:val="nil"/>
              <w:tr2bl w:val="nil"/>
            </w:tcBorders>
            <w:noWrap w:val="0"/>
            <w:vAlign w:val="center"/>
          </w:tcPr>
          <w:p w14:paraId="299B001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1490</w:t>
            </w:r>
          </w:p>
        </w:tc>
        <w:tc>
          <w:tcPr>
            <w:tcW w:w="531" w:type="pct"/>
            <w:tcBorders>
              <w:tl2br w:val="nil"/>
              <w:tr2bl w:val="nil"/>
            </w:tcBorders>
            <w:noWrap w:val="0"/>
            <w:vAlign w:val="center"/>
          </w:tcPr>
          <w:p w14:paraId="7828CCB4">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color w:val="auto"/>
                <w:highlight w:val="none"/>
                <w:lang w:val="en-US" w:eastAsia="zh-CN"/>
              </w:rPr>
              <w:t>8950</w:t>
            </w:r>
          </w:p>
        </w:tc>
        <w:tc>
          <w:tcPr>
            <w:tcW w:w="456" w:type="pct"/>
            <w:tcBorders>
              <w:tl2br w:val="nil"/>
              <w:tr2bl w:val="nil"/>
            </w:tcBorders>
            <w:noWrap/>
            <w:vAlign w:val="center"/>
          </w:tcPr>
          <w:p w14:paraId="79E600D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≤1000</w:t>
            </w:r>
          </w:p>
        </w:tc>
        <w:tc>
          <w:tcPr>
            <w:tcW w:w="441" w:type="pct"/>
            <w:tcBorders>
              <w:tl2br w:val="nil"/>
              <w:tr2bl w:val="nil"/>
            </w:tcBorders>
            <w:noWrap/>
            <w:vAlign w:val="center"/>
          </w:tcPr>
          <w:p w14:paraId="788555B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超标</w:t>
            </w:r>
          </w:p>
        </w:tc>
      </w:tr>
      <w:tr w14:paraId="1C45EE2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7646CA3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总硬度</w:t>
            </w:r>
          </w:p>
        </w:tc>
        <w:tc>
          <w:tcPr>
            <w:tcW w:w="534" w:type="pct"/>
            <w:tcBorders>
              <w:tl2br w:val="nil"/>
              <w:tr2bl w:val="nil"/>
            </w:tcBorders>
            <w:noWrap w:val="0"/>
            <w:vAlign w:val="center"/>
          </w:tcPr>
          <w:p w14:paraId="3ECC5E4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74839BE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198</w:t>
            </w:r>
          </w:p>
        </w:tc>
        <w:tc>
          <w:tcPr>
            <w:tcW w:w="574" w:type="pct"/>
            <w:tcBorders>
              <w:tl2br w:val="nil"/>
              <w:tr2bl w:val="nil"/>
            </w:tcBorders>
            <w:noWrap w:val="0"/>
            <w:vAlign w:val="center"/>
          </w:tcPr>
          <w:p w14:paraId="3659291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860</w:t>
            </w:r>
          </w:p>
        </w:tc>
        <w:tc>
          <w:tcPr>
            <w:tcW w:w="574" w:type="pct"/>
            <w:tcBorders>
              <w:tl2br w:val="nil"/>
              <w:tr2bl w:val="nil"/>
            </w:tcBorders>
            <w:noWrap w:val="0"/>
            <w:vAlign w:val="center"/>
          </w:tcPr>
          <w:p w14:paraId="4ADB769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852</w:t>
            </w:r>
          </w:p>
        </w:tc>
        <w:tc>
          <w:tcPr>
            <w:tcW w:w="574" w:type="pct"/>
            <w:tcBorders>
              <w:tl2br w:val="nil"/>
              <w:tr2bl w:val="nil"/>
            </w:tcBorders>
            <w:noWrap w:val="0"/>
            <w:vAlign w:val="center"/>
          </w:tcPr>
          <w:p w14:paraId="758D698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690</w:t>
            </w:r>
          </w:p>
        </w:tc>
        <w:tc>
          <w:tcPr>
            <w:tcW w:w="531" w:type="pct"/>
            <w:tcBorders>
              <w:tl2br w:val="nil"/>
              <w:tr2bl w:val="nil"/>
            </w:tcBorders>
            <w:noWrap w:val="0"/>
            <w:vAlign w:val="center"/>
          </w:tcPr>
          <w:p w14:paraId="0F740574">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color w:val="auto"/>
                <w:highlight w:val="none"/>
                <w:lang w:val="en-US" w:eastAsia="zh-CN"/>
              </w:rPr>
              <w:t>2350</w:t>
            </w:r>
          </w:p>
        </w:tc>
        <w:tc>
          <w:tcPr>
            <w:tcW w:w="456" w:type="pct"/>
            <w:tcBorders>
              <w:tl2br w:val="nil"/>
              <w:tr2bl w:val="nil"/>
            </w:tcBorders>
            <w:noWrap/>
            <w:vAlign w:val="center"/>
          </w:tcPr>
          <w:p w14:paraId="11A90CD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≤450</w:t>
            </w:r>
          </w:p>
        </w:tc>
        <w:tc>
          <w:tcPr>
            <w:tcW w:w="441" w:type="pct"/>
            <w:tcBorders>
              <w:tl2br w:val="nil"/>
              <w:tr2bl w:val="nil"/>
            </w:tcBorders>
            <w:noWrap/>
            <w:vAlign w:val="center"/>
          </w:tcPr>
          <w:p w14:paraId="2A7E684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b w:val="0"/>
                <w:bCs w:val="0"/>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超标</w:t>
            </w:r>
          </w:p>
        </w:tc>
      </w:tr>
      <w:tr w14:paraId="1962F605">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63" w:hRule="atLeast"/>
          <w:jc w:val="center"/>
        </w:trPr>
        <w:tc>
          <w:tcPr>
            <w:tcW w:w="771" w:type="pct"/>
            <w:tcBorders>
              <w:tl2br w:val="nil"/>
              <w:tr2bl w:val="nil"/>
            </w:tcBorders>
            <w:noWrap w:val="0"/>
            <w:vAlign w:val="center"/>
          </w:tcPr>
          <w:p w14:paraId="2D63DD7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高锰酸盐指数（以O</w:t>
            </w:r>
            <w:r>
              <w:rPr>
                <w:rFonts w:hint="default" w:ascii="Times New Roman" w:hAnsi="Times New Roman" w:eastAsia="宋体" w:cs="Times New Roman"/>
                <w:i w:val="0"/>
                <w:iCs w:val="0"/>
                <w:color w:val="000000"/>
                <w:kern w:val="0"/>
                <w:sz w:val="21"/>
                <w:szCs w:val="21"/>
                <w:u w:val="none"/>
                <w:vertAlign w:val="subscript"/>
                <w:lang w:val="en-US" w:eastAsia="zh-CN" w:bidi="ar"/>
              </w:rPr>
              <w:t>2</w:t>
            </w:r>
            <w:r>
              <w:rPr>
                <w:rFonts w:hint="default" w:ascii="Times New Roman" w:hAnsi="Times New Roman" w:eastAsia="宋体" w:cs="Times New Roman"/>
                <w:i w:val="0"/>
                <w:iCs w:val="0"/>
                <w:color w:val="000000"/>
                <w:kern w:val="0"/>
                <w:sz w:val="21"/>
                <w:szCs w:val="21"/>
                <w:u w:val="none"/>
                <w:lang w:val="en-US" w:eastAsia="zh-CN" w:bidi="ar"/>
              </w:rPr>
              <w:t>计）</w:t>
            </w:r>
          </w:p>
        </w:tc>
        <w:tc>
          <w:tcPr>
            <w:tcW w:w="534" w:type="pct"/>
            <w:tcBorders>
              <w:tl2br w:val="nil"/>
              <w:tr2bl w:val="nil"/>
            </w:tcBorders>
            <w:noWrap w:val="0"/>
            <w:vAlign w:val="center"/>
          </w:tcPr>
          <w:p w14:paraId="098CA2D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2F68CBE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1.27</w:t>
            </w:r>
          </w:p>
        </w:tc>
        <w:tc>
          <w:tcPr>
            <w:tcW w:w="574" w:type="pct"/>
            <w:tcBorders>
              <w:tl2br w:val="nil"/>
              <w:tr2bl w:val="nil"/>
            </w:tcBorders>
            <w:noWrap w:val="0"/>
            <w:vAlign w:val="center"/>
          </w:tcPr>
          <w:p w14:paraId="586B193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0.92</w:t>
            </w:r>
          </w:p>
        </w:tc>
        <w:tc>
          <w:tcPr>
            <w:tcW w:w="574" w:type="pct"/>
            <w:tcBorders>
              <w:tl2br w:val="nil"/>
              <w:tr2bl w:val="nil"/>
            </w:tcBorders>
            <w:noWrap w:val="0"/>
            <w:vAlign w:val="center"/>
          </w:tcPr>
          <w:p w14:paraId="037A70C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0.55</w:t>
            </w:r>
          </w:p>
        </w:tc>
        <w:tc>
          <w:tcPr>
            <w:tcW w:w="574" w:type="pct"/>
            <w:tcBorders>
              <w:tl2br w:val="nil"/>
              <w:tr2bl w:val="nil"/>
            </w:tcBorders>
            <w:noWrap w:val="0"/>
            <w:vAlign w:val="center"/>
          </w:tcPr>
          <w:p w14:paraId="621E883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1.18</w:t>
            </w:r>
          </w:p>
        </w:tc>
        <w:tc>
          <w:tcPr>
            <w:tcW w:w="531" w:type="pct"/>
            <w:tcBorders>
              <w:tl2br w:val="nil"/>
              <w:tr2bl w:val="nil"/>
            </w:tcBorders>
            <w:noWrap w:val="0"/>
            <w:vAlign w:val="center"/>
          </w:tcPr>
          <w:p w14:paraId="5B3BD8AD">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color w:val="auto"/>
                <w:highlight w:val="none"/>
                <w:lang w:val="en-US" w:eastAsia="zh-CN"/>
              </w:rPr>
              <w:t>2.72</w:t>
            </w:r>
          </w:p>
        </w:tc>
        <w:tc>
          <w:tcPr>
            <w:tcW w:w="456" w:type="pct"/>
            <w:tcBorders>
              <w:tl2br w:val="nil"/>
              <w:tr2bl w:val="nil"/>
            </w:tcBorders>
            <w:noWrap/>
            <w:vAlign w:val="center"/>
          </w:tcPr>
          <w:p w14:paraId="228595D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441" w:type="pct"/>
            <w:tcBorders>
              <w:tl2br w:val="nil"/>
              <w:tr2bl w:val="nil"/>
            </w:tcBorders>
            <w:noWrap/>
            <w:vAlign w:val="center"/>
          </w:tcPr>
          <w:p w14:paraId="2663748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2ED60E3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53800B8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氨氮</w:t>
            </w:r>
          </w:p>
        </w:tc>
        <w:tc>
          <w:tcPr>
            <w:tcW w:w="534" w:type="pct"/>
            <w:tcBorders>
              <w:tl2br w:val="nil"/>
              <w:tr2bl w:val="nil"/>
            </w:tcBorders>
            <w:noWrap w:val="0"/>
            <w:vAlign w:val="center"/>
          </w:tcPr>
          <w:p w14:paraId="4A7F0F6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36059AF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0.01L</w:t>
            </w:r>
          </w:p>
        </w:tc>
        <w:tc>
          <w:tcPr>
            <w:tcW w:w="574" w:type="pct"/>
            <w:tcBorders>
              <w:tl2br w:val="nil"/>
              <w:tr2bl w:val="nil"/>
            </w:tcBorders>
            <w:noWrap w:val="0"/>
            <w:vAlign w:val="center"/>
          </w:tcPr>
          <w:p w14:paraId="62F567B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574" w:type="pct"/>
            <w:tcBorders>
              <w:tl2br w:val="nil"/>
              <w:tr2bl w:val="nil"/>
            </w:tcBorders>
            <w:noWrap w:val="0"/>
            <w:vAlign w:val="center"/>
          </w:tcPr>
          <w:p w14:paraId="05F804C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574" w:type="pct"/>
            <w:tcBorders>
              <w:tl2br w:val="nil"/>
              <w:tr2bl w:val="nil"/>
            </w:tcBorders>
            <w:noWrap w:val="0"/>
            <w:vAlign w:val="center"/>
          </w:tcPr>
          <w:p w14:paraId="52CDD0C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w:t>
            </w:r>
          </w:p>
        </w:tc>
        <w:tc>
          <w:tcPr>
            <w:tcW w:w="531" w:type="pct"/>
            <w:tcBorders>
              <w:tl2br w:val="nil"/>
              <w:tr2bl w:val="nil"/>
            </w:tcBorders>
            <w:noWrap w:val="0"/>
            <w:vAlign w:val="center"/>
          </w:tcPr>
          <w:p w14:paraId="346D1747">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0.01L</w:t>
            </w:r>
          </w:p>
        </w:tc>
        <w:tc>
          <w:tcPr>
            <w:tcW w:w="456" w:type="pct"/>
            <w:tcBorders>
              <w:tl2br w:val="nil"/>
              <w:tr2bl w:val="nil"/>
            </w:tcBorders>
            <w:noWrap/>
            <w:vAlign w:val="center"/>
          </w:tcPr>
          <w:p w14:paraId="0068C2B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≤0.50</w:t>
            </w:r>
          </w:p>
        </w:tc>
        <w:tc>
          <w:tcPr>
            <w:tcW w:w="441" w:type="pct"/>
            <w:tcBorders>
              <w:tl2br w:val="nil"/>
              <w:tr2bl w:val="nil"/>
            </w:tcBorders>
            <w:noWrap/>
            <w:vAlign w:val="center"/>
          </w:tcPr>
          <w:p w14:paraId="19ABB41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F17DD83">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6C4EFF3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六价铬</w:t>
            </w:r>
          </w:p>
        </w:tc>
        <w:tc>
          <w:tcPr>
            <w:tcW w:w="534" w:type="pct"/>
            <w:tcBorders>
              <w:tl2br w:val="nil"/>
              <w:tr2bl w:val="nil"/>
            </w:tcBorders>
            <w:noWrap w:val="0"/>
            <w:vAlign w:val="center"/>
          </w:tcPr>
          <w:p w14:paraId="39E0A09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21D895C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0.004L</w:t>
            </w:r>
          </w:p>
        </w:tc>
        <w:tc>
          <w:tcPr>
            <w:tcW w:w="574" w:type="pct"/>
            <w:tcBorders>
              <w:tl2br w:val="nil"/>
              <w:tr2bl w:val="nil"/>
            </w:tcBorders>
            <w:noWrap w:val="0"/>
            <w:vAlign w:val="center"/>
          </w:tcPr>
          <w:p w14:paraId="566043C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0.004L</w:t>
            </w:r>
          </w:p>
        </w:tc>
        <w:tc>
          <w:tcPr>
            <w:tcW w:w="574" w:type="pct"/>
            <w:tcBorders>
              <w:tl2br w:val="nil"/>
              <w:tr2bl w:val="nil"/>
            </w:tcBorders>
            <w:noWrap w:val="0"/>
            <w:vAlign w:val="center"/>
          </w:tcPr>
          <w:p w14:paraId="052412C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0.004L</w:t>
            </w:r>
          </w:p>
        </w:tc>
        <w:tc>
          <w:tcPr>
            <w:tcW w:w="574" w:type="pct"/>
            <w:tcBorders>
              <w:tl2br w:val="nil"/>
              <w:tr2bl w:val="nil"/>
            </w:tcBorders>
            <w:noWrap w:val="0"/>
            <w:vAlign w:val="center"/>
          </w:tcPr>
          <w:p w14:paraId="21BFD08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0.004L</w:t>
            </w:r>
          </w:p>
        </w:tc>
        <w:tc>
          <w:tcPr>
            <w:tcW w:w="531" w:type="pct"/>
            <w:tcBorders>
              <w:tl2br w:val="nil"/>
              <w:tr2bl w:val="nil"/>
            </w:tcBorders>
            <w:noWrap w:val="0"/>
            <w:vAlign w:val="center"/>
          </w:tcPr>
          <w:p w14:paraId="177D1E86">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0.004L</w:t>
            </w:r>
          </w:p>
        </w:tc>
        <w:tc>
          <w:tcPr>
            <w:tcW w:w="456" w:type="pct"/>
            <w:tcBorders>
              <w:tl2br w:val="nil"/>
              <w:tr2bl w:val="nil"/>
            </w:tcBorders>
            <w:noWrap/>
            <w:vAlign w:val="center"/>
          </w:tcPr>
          <w:p w14:paraId="4D6DE68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≤0.050</w:t>
            </w:r>
          </w:p>
        </w:tc>
        <w:tc>
          <w:tcPr>
            <w:tcW w:w="441" w:type="pct"/>
            <w:tcBorders>
              <w:tl2br w:val="nil"/>
              <w:tr2bl w:val="nil"/>
            </w:tcBorders>
            <w:noWrap/>
            <w:vAlign w:val="center"/>
          </w:tcPr>
          <w:p w14:paraId="22B1A34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6E6D8D3C">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2C0E79B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亚硝酸盐氮</w:t>
            </w:r>
          </w:p>
        </w:tc>
        <w:tc>
          <w:tcPr>
            <w:tcW w:w="534" w:type="pct"/>
            <w:tcBorders>
              <w:tl2br w:val="nil"/>
              <w:tr2bl w:val="nil"/>
            </w:tcBorders>
            <w:noWrap w:val="0"/>
            <w:vAlign w:val="center"/>
          </w:tcPr>
          <w:p w14:paraId="58B2264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6F5C768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0.003L</w:t>
            </w:r>
          </w:p>
        </w:tc>
        <w:tc>
          <w:tcPr>
            <w:tcW w:w="574" w:type="pct"/>
            <w:tcBorders>
              <w:tl2br w:val="nil"/>
              <w:tr2bl w:val="nil"/>
            </w:tcBorders>
            <w:noWrap w:val="0"/>
            <w:vAlign w:val="center"/>
          </w:tcPr>
          <w:p w14:paraId="19A9161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0.003L</w:t>
            </w:r>
          </w:p>
        </w:tc>
        <w:tc>
          <w:tcPr>
            <w:tcW w:w="574" w:type="pct"/>
            <w:tcBorders>
              <w:tl2br w:val="nil"/>
              <w:tr2bl w:val="nil"/>
            </w:tcBorders>
            <w:noWrap w:val="0"/>
            <w:vAlign w:val="center"/>
          </w:tcPr>
          <w:p w14:paraId="09F42A5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0.003L</w:t>
            </w:r>
          </w:p>
        </w:tc>
        <w:tc>
          <w:tcPr>
            <w:tcW w:w="574" w:type="pct"/>
            <w:tcBorders>
              <w:tl2br w:val="nil"/>
              <w:tr2bl w:val="nil"/>
            </w:tcBorders>
            <w:noWrap w:val="0"/>
            <w:vAlign w:val="center"/>
          </w:tcPr>
          <w:p w14:paraId="5AD38A6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0.003L</w:t>
            </w:r>
          </w:p>
        </w:tc>
        <w:tc>
          <w:tcPr>
            <w:tcW w:w="531" w:type="pct"/>
            <w:tcBorders>
              <w:tl2br w:val="nil"/>
              <w:tr2bl w:val="nil"/>
            </w:tcBorders>
            <w:noWrap w:val="0"/>
            <w:vAlign w:val="center"/>
          </w:tcPr>
          <w:p w14:paraId="455BC494">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0.003L</w:t>
            </w:r>
          </w:p>
        </w:tc>
        <w:tc>
          <w:tcPr>
            <w:tcW w:w="456" w:type="pct"/>
            <w:tcBorders>
              <w:tl2br w:val="nil"/>
              <w:tr2bl w:val="nil"/>
            </w:tcBorders>
            <w:noWrap/>
            <w:vAlign w:val="center"/>
          </w:tcPr>
          <w:p w14:paraId="2BB620B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441" w:type="pct"/>
            <w:tcBorders>
              <w:tl2br w:val="nil"/>
              <w:tr2bl w:val="nil"/>
            </w:tcBorders>
            <w:noWrap/>
            <w:vAlign w:val="center"/>
          </w:tcPr>
          <w:p w14:paraId="4B63652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E6F44DF">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65418C8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硝酸盐氮</w:t>
            </w:r>
          </w:p>
        </w:tc>
        <w:tc>
          <w:tcPr>
            <w:tcW w:w="534" w:type="pct"/>
            <w:tcBorders>
              <w:tl2br w:val="nil"/>
              <w:tr2bl w:val="nil"/>
            </w:tcBorders>
            <w:noWrap w:val="0"/>
            <w:vAlign w:val="center"/>
          </w:tcPr>
          <w:p w14:paraId="30BE114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79CA1D5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0.21</w:t>
            </w:r>
          </w:p>
        </w:tc>
        <w:tc>
          <w:tcPr>
            <w:tcW w:w="574" w:type="pct"/>
            <w:tcBorders>
              <w:tl2br w:val="nil"/>
              <w:tr2bl w:val="nil"/>
            </w:tcBorders>
            <w:noWrap w:val="0"/>
            <w:vAlign w:val="center"/>
          </w:tcPr>
          <w:p w14:paraId="78D8D68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0.66</w:t>
            </w:r>
          </w:p>
        </w:tc>
        <w:tc>
          <w:tcPr>
            <w:tcW w:w="574" w:type="pct"/>
            <w:tcBorders>
              <w:tl2br w:val="nil"/>
              <w:tr2bl w:val="nil"/>
            </w:tcBorders>
            <w:noWrap w:val="0"/>
            <w:vAlign w:val="center"/>
          </w:tcPr>
          <w:p w14:paraId="2A708A5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0.02L</w:t>
            </w:r>
          </w:p>
        </w:tc>
        <w:tc>
          <w:tcPr>
            <w:tcW w:w="574" w:type="pct"/>
            <w:tcBorders>
              <w:tl2br w:val="nil"/>
              <w:tr2bl w:val="nil"/>
            </w:tcBorders>
            <w:noWrap w:val="0"/>
            <w:vAlign w:val="center"/>
          </w:tcPr>
          <w:p w14:paraId="6B72FD7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0.17</w:t>
            </w:r>
          </w:p>
        </w:tc>
        <w:tc>
          <w:tcPr>
            <w:tcW w:w="531" w:type="pct"/>
            <w:tcBorders>
              <w:tl2br w:val="nil"/>
              <w:tr2bl w:val="nil"/>
            </w:tcBorders>
            <w:noWrap w:val="0"/>
            <w:vAlign w:val="center"/>
          </w:tcPr>
          <w:p w14:paraId="2474864A">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color w:val="auto"/>
                <w:kern w:val="2"/>
                <w:sz w:val="21"/>
                <w:szCs w:val="21"/>
                <w:highlight w:val="none"/>
                <w:lang w:val="en-US" w:eastAsia="zh-CN" w:bidi="ar-SA"/>
              </w:rPr>
              <w:t>0.13</w:t>
            </w:r>
          </w:p>
        </w:tc>
        <w:tc>
          <w:tcPr>
            <w:tcW w:w="456" w:type="pct"/>
            <w:tcBorders>
              <w:tl2br w:val="nil"/>
              <w:tr2bl w:val="nil"/>
            </w:tcBorders>
            <w:noWrap/>
            <w:vAlign w:val="center"/>
          </w:tcPr>
          <w:p w14:paraId="4A9C6EF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w:t>
            </w:r>
          </w:p>
        </w:tc>
        <w:tc>
          <w:tcPr>
            <w:tcW w:w="441" w:type="pct"/>
            <w:tcBorders>
              <w:tl2br w:val="nil"/>
              <w:tr2bl w:val="nil"/>
            </w:tcBorders>
            <w:noWrap/>
            <w:vAlign w:val="center"/>
          </w:tcPr>
          <w:p w14:paraId="2C8CBB3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8D840E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1EEA276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总氰化物</w:t>
            </w:r>
          </w:p>
        </w:tc>
        <w:tc>
          <w:tcPr>
            <w:tcW w:w="534" w:type="pct"/>
            <w:tcBorders>
              <w:tl2br w:val="nil"/>
              <w:tr2bl w:val="nil"/>
            </w:tcBorders>
            <w:noWrap w:val="0"/>
            <w:vAlign w:val="center"/>
          </w:tcPr>
          <w:p w14:paraId="475D7F1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03AF4B4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0.001L</w:t>
            </w:r>
          </w:p>
        </w:tc>
        <w:tc>
          <w:tcPr>
            <w:tcW w:w="574" w:type="pct"/>
            <w:tcBorders>
              <w:tl2br w:val="nil"/>
              <w:tr2bl w:val="nil"/>
            </w:tcBorders>
            <w:noWrap w:val="0"/>
            <w:vAlign w:val="center"/>
          </w:tcPr>
          <w:p w14:paraId="59268FD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0.001L</w:t>
            </w:r>
          </w:p>
        </w:tc>
        <w:tc>
          <w:tcPr>
            <w:tcW w:w="574" w:type="pct"/>
            <w:tcBorders>
              <w:tl2br w:val="nil"/>
              <w:tr2bl w:val="nil"/>
            </w:tcBorders>
            <w:noWrap w:val="0"/>
            <w:vAlign w:val="center"/>
          </w:tcPr>
          <w:p w14:paraId="38CC6B5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0.001L</w:t>
            </w:r>
          </w:p>
        </w:tc>
        <w:tc>
          <w:tcPr>
            <w:tcW w:w="574" w:type="pct"/>
            <w:tcBorders>
              <w:tl2br w:val="nil"/>
              <w:tr2bl w:val="nil"/>
            </w:tcBorders>
            <w:noWrap w:val="0"/>
            <w:vAlign w:val="center"/>
          </w:tcPr>
          <w:p w14:paraId="5688660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0.001L</w:t>
            </w:r>
          </w:p>
        </w:tc>
        <w:tc>
          <w:tcPr>
            <w:tcW w:w="531" w:type="pct"/>
            <w:tcBorders>
              <w:tl2br w:val="nil"/>
              <w:tr2bl w:val="nil"/>
            </w:tcBorders>
            <w:noWrap w:val="0"/>
            <w:vAlign w:val="center"/>
          </w:tcPr>
          <w:p w14:paraId="6535BA8B">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0.001L</w:t>
            </w:r>
          </w:p>
        </w:tc>
        <w:tc>
          <w:tcPr>
            <w:tcW w:w="456" w:type="pct"/>
            <w:tcBorders>
              <w:tl2br w:val="nil"/>
              <w:tr2bl w:val="nil"/>
            </w:tcBorders>
            <w:noWrap/>
            <w:vAlign w:val="center"/>
          </w:tcPr>
          <w:p w14:paraId="51AEFEA4">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441" w:type="pct"/>
            <w:tcBorders>
              <w:tl2br w:val="nil"/>
              <w:tr2bl w:val="nil"/>
            </w:tcBorders>
            <w:noWrap/>
            <w:vAlign w:val="center"/>
          </w:tcPr>
          <w:p w14:paraId="31BFB4A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077CF2F5">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771" w:type="pct"/>
            <w:tcBorders>
              <w:tl2br w:val="nil"/>
              <w:tr2bl w:val="nil"/>
            </w:tcBorders>
            <w:noWrap w:val="0"/>
            <w:vAlign w:val="center"/>
          </w:tcPr>
          <w:p w14:paraId="420A4BF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总大肠菌群</w:t>
            </w:r>
          </w:p>
        </w:tc>
        <w:tc>
          <w:tcPr>
            <w:tcW w:w="534" w:type="pct"/>
            <w:tcBorders>
              <w:tl2br w:val="nil"/>
              <w:tr2bl w:val="nil"/>
            </w:tcBorders>
            <w:noWrap w:val="0"/>
            <w:vAlign w:val="center"/>
          </w:tcPr>
          <w:p w14:paraId="521D584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MPN/100mL</w:t>
            </w:r>
          </w:p>
        </w:tc>
        <w:tc>
          <w:tcPr>
            <w:tcW w:w="540" w:type="pct"/>
            <w:tcBorders>
              <w:tl2br w:val="nil"/>
              <w:tr2bl w:val="nil"/>
            </w:tcBorders>
            <w:noWrap w:val="0"/>
            <w:vAlign w:val="center"/>
          </w:tcPr>
          <w:p w14:paraId="4988844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2L</w:t>
            </w:r>
          </w:p>
        </w:tc>
        <w:tc>
          <w:tcPr>
            <w:tcW w:w="574" w:type="pct"/>
            <w:tcBorders>
              <w:tl2br w:val="nil"/>
              <w:tr2bl w:val="nil"/>
            </w:tcBorders>
            <w:noWrap w:val="0"/>
            <w:vAlign w:val="center"/>
          </w:tcPr>
          <w:p w14:paraId="6B2B4EC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2L</w:t>
            </w:r>
          </w:p>
        </w:tc>
        <w:tc>
          <w:tcPr>
            <w:tcW w:w="574" w:type="pct"/>
            <w:tcBorders>
              <w:tl2br w:val="nil"/>
              <w:tr2bl w:val="nil"/>
            </w:tcBorders>
            <w:noWrap w:val="0"/>
            <w:vAlign w:val="center"/>
          </w:tcPr>
          <w:p w14:paraId="73914D1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2L</w:t>
            </w:r>
          </w:p>
        </w:tc>
        <w:tc>
          <w:tcPr>
            <w:tcW w:w="574" w:type="pct"/>
            <w:tcBorders>
              <w:tl2br w:val="nil"/>
              <w:tr2bl w:val="nil"/>
            </w:tcBorders>
            <w:noWrap w:val="0"/>
            <w:vAlign w:val="center"/>
          </w:tcPr>
          <w:p w14:paraId="5B914B4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2L</w:t>
            </w:r>
          </w:p>
        </w:tc>
        <w:tc>
          <w:tcPr>
            <w:tcW w:w="531" w:type="pct"/>
            <w:tcBorders>
              <w:tl2br w:val="nil"/>
              <w:tr2bl w:val="nil"/>
            </w:tcBorders>
            <w:noWrap w:val="0"/>
            <w:vAlign w:val="center"/>
          </w:tcPr>
          <w:p w14:paraId="26309A5A">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2L</w:t>
            </w:r>
          </w:p>
        </w:tc>
        <w:tc>
          <w:tcPr>
            <w:tcW w:w="456" w:type="pct"/>
            <w:tcBorders>
              <w:tl2br w:val="nil"/>
              <w:tr2bl w:val="nil"/>
            </w:tcBorders>
            <w:noWrap/>
            <w:vAlign w:val="center"/>
          </w:tcPr>
          <w:p w14:paraId="0AEFB8B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≤3.0</w:t>
            </w:r>
          </w:p>
        </w:tc>
        <w:tc>
          <w:tcPr>
            <w:tcW w:w="441" w:type="pct"/>
            <w:tcBorders>
              <w:tl2br w:val="nil"/>
              <w:tr2bl w:val="nil"/>
            </w:tcBorders>
            <w:noWrap/>
            <w:vAlign w:val="center"/>
          </w:tcPr>
          <w:p w14:paraId="625D72D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6B30C26">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771" w:type="pct"/>
            <w:tcBorders>
              <w:tl2br w:val="nil"/>
              <w:tr2bl w:val="nil"/>
            </w:tcBorders>
            <w:noWrap w:val="0"/>
            <w:vAlign w:val="center"/>
          </w:tcPr>
          <w:p w14:paraId="6B66963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菌落总数</w:t>
            </w:r>
          </w:p>
        </w:tc>
        <w:tc>
          <w:tcPr>
            <w:tcW w:w="534" w:type="pct"/>
            <w:tcBorders>
              <w:tl2br w:val="nil"/>
              <w:tr2bl w:val="nil"/>
            </w:tcBorders>
            <w:noWrap w:val="0"/>
            <w:vAlign w:val="center"/>
          </w:tcPr>
          <w:p w14:paraId="1FC2911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CFU/mL</w:t>
            </w:r>
          </w:p>
        </w:tc>
        <w:tc>
          <w:tcPr>
            <w:tcW w:w="540" w:type="pct"/>
            <w:tcBorders>
              <w:tl2br w:val="nil"/>
              <w:tr2bl w:val="nil"/>
            </w:tcBorders>
            <w:noWrap w:val="0"/>
            <w:vAlign w:val="center"/>
          </w:tcPr>
          <w:p w14:paraId="12594CF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33</w:t>
            </w:r>
          </w:p>
        </w:tc>
        <w:tc>
          <w:tcPr>
            <w:tcW w:w="574" w:type="pct"/>
            <w:tcBorders>
              <w:tl2br w:val="nil"/>
              <w:tr2bl w:val="nil"/>
            </w:tcBorders>
            <w:noWrap w:val="0"/>
            <w:vAlign w:val="center"/>
          </w:tcPr>
          <w:p w14:paraId="27CA4F6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42</w:t>
            </w:r>
          </w:p>
        </w:tc>
        <w:tc>
          <w:tcPr>
            <w:tcW w:w="574" w:type="pct"/>
            <w:tcBorders>
              <w:tl2br w:val="nil"/>
              <w:tr2bl w:val="nil"/>
            </w:tcBorders>
            <w:noWrap w:val="0"/>
            <w:vAlign w:val="center"/>
          </w:tcPr>
          <w:p w14:paraId="3BE7C55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35</w:t>
            </w:r>
          </w:p>
        </w:tc>
        <w:tc>
          <w:tcPr>
            <w:tcW w:w="574" w:type="pct"/>
            <w:tcBorders>
              <w:tl2br w:val="nil"/>
              <w:tr2bl w:val="nil"/>
            </w:tcBorders>
            <w:noWrap w:val="0"/>
            <w:vAlign w:val="center"/>
          </w:tcPr>
          <w:p w14:paraId="02036E6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w:t>
            </w:r>
          </w:p>
        </w:tc>
        <w:tc>
          <w:tcPr>
            <w:tcW w:w="531" w:type="pct"/>
            <w:tcBorders>
              <w:tl2br w:val="nil"/>
              <w:tr2bl w:val="nil"/>
            </w:tcBorders>
            <w:noWrap w:val="0"/>
            <w:vAlign w:val="center"/>
          </w:tcPr>
          <w:p w14:paraId="46C855BB">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30</w:t>
            </w:r>
          </w:p>
        </w:tc>
        <w:tc>
          <w:tcPr>
            <w:tcW w:w="456" w:type="pct"/>
            <w:tcBorders>
              <w:tl2br w:val="nil"/>
              <w:tr2bl w:val="nil"/>
            </w:tcBorders>
            <w:noWrap/>
            <w:vAlign w:val="center"/>
          </w:tcPr>
          <w:p w14:paraId="2DE44FD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441" w:type="pct"/>
            <w:tcBorders>
              <w:tl2br w:val="nil"/>
              <w:tr2bl w:val="nil"/>
            </w:tcBorders>
            <w:noWrap/>
            <w:vAlign w:val="center"/>
          </w:tcPr>
          <w:p w14:paraId="779DF0B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8F2F173">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771" w:type="pct"/>
            <w:tcBorders>
              <w:tl2br w:val="nil"/>
              <w:tr2bl w:val="nil"/>
            </w:tcBorders>
            <w:noWrap w:val="0"/>
            <w:vAlign w:val="center"/>
          </w:tcPr>
          <w:p w14:paraId="07691AD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挥发酚</w:t>
            </w:r>
          </w:p>
        </w:tc>
        <w:tc>
          <w:tcPr>
            <w:tcW w:w="534" w:type="pct"/>
            <w:tcBorders>
              <w:tl2br w:val="nil"/>
              <w:tr2bl w:val="nil"/>
            </w:tcBorders>
            <w:noWrap w:val="0"/>
            <w:vAlign w:val="center"/>
          </w:tcPr>
          <w:p w14:paraId="2B141CA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08A3FB3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0.0003L</w:t>
            </w:r>
          </w:p>
        </w:tc>
        <w:tc>
          <w:tcPr>
            <w:tcW w:w="574" w:type="pct"/>
            <w:tcBorders>
              <w:tl2br w:val="nil"/>
              <w:tr2bl w:val="nil"/>
            </w:tcBorders>
            <w:noWrap w:val="0"/>
            <w:vAlign w:val="center"/>
          </w:tcPr>
          <w:p w14:paraId="3BB4FC9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0.0003L</w:t>
            </w:r>
          </w:p>
        </w:tc>
        <w:tc>
          <w:tcPr>
            <w:tcW w:w="574" w:type="pct"/>
            <w:tcBorders>
              <w:tl2br w:val="nil"/>
              <w:tr2bl w:val="nil"/>
            </w:tcBorders>
            <w:noWrap w:val="0"/>
            <w:vAlign w:val="center"/>
          </w:tcPr>
          <w:p w14:paraId="42DC2CA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0.0003L</w:t>
            </w:r>
          </w:p>
        </w:tc>
        <w:tc>
          <w:tcPr>
            <w:tcW w:w="574" w:type="pct"/>
            <w:tcBorders>
              <w:tl2br w:val="nil"/>
              <w:tr2bl w:val="nil"/>
            </w:tcBorders>
            <w:noWrap w:val="0"/>
            <w:vAlign w:val="center"/>
          </w:tcPr>
          <w:p w14:paraId="3C10626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0.0003L</w:t>
            </w:r>
          </w:p>
        </w:tc>
        <w:tc>
          <w:tcPr>
            <w:tcW w:w="531" w:type="pct"/>
            <w:tcBorders>
              <w:tl2br w:val="nil"/>
              <w:tr2bl w:val="nil"/>
            </w:tcBorders>
            <w:noWrap w:val="0"/>
            <w:vAlign w:val="center"/>
          </w:tcPr>
          <w:p w14:paraId="32059232">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0.0003L</w:t>
            </w:r>
          </w:p>
        </w:tc>
        <w:tc>
          <w:tcPr>
            <w:tcW w:w="456" w:type="pct"/>
            <w:tcBorders>
              <w:tl2br w:val="nil"/>
              <w:tr2bl w:val="nil"/>
            </w:tcBorders>
            <w:noWrap/>
            <w:vAlign w:val="center"/>
          </w:tcPr>
          <w:p w14:paraId="15F96CE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≤0.002</w:t>
            </w:r>
          </w:p>
        </w:tc>
        <w:tc>
          <w:tcPr>
            <w:tcW w:w="441" w:type="pct"/>
            <w:tcBorders>
              <w:tl2br w:val="nil"/>
              <w:tr2bl w:val="nil"/>
            </w:tcBorders>
            <w:noWrap/>
            <w:vAlign w:val="center"/>
          </w:tcPr>
          <w:p w14:paraId="6C6CFAA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07487E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3C977E4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氟化物</w:t>
            </w:r>
          </w:p>
        </w:tc>
        <w:tc>
          <w:tcPr>
            <w:tcW w:w="534" w:type="pct"/>
            <w:tcBorders>
              <w:tl2br w:val="nil"/>
              <w:tr2bl w:val="nil"/>
            </w:tcBorders>
            <w:noWrap w:val="0"/>
            <w:vAlign w:val="center"/>
          </w:tcPr>
          <w:p w14:paraId="3EB2642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4625969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0.31</w:t>
            </w:r>
          </w:p>
        </w:tc>
        <w:tc>
          <w:tcPr>
            <w:tcW w:w="574" w:type="pct"/>
            <w:tcBorders>
              <w:tl2br w:val="nil"/>
              <w:tr2bl w:val="nil"/>
            </w:tcBorders>
            <w:noWrap w:val="0"/>
            <w:vAlign w:val="center"/>
          </w:tcPr>
          <w:p w14:paraId="7DA9434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0.8</w:t>
            </w:r>
          </w:p>
        </w:tc>
        <w:tc>
          <w:tcPr>
            <w:tcW w:w="574" w:type="pct"/>
            <w:tcBorders>
              <w:tl2br w:val="nil"/>
              <w:tr2bl w:val="nil"/>
            </w:tcBorders>
            <w:noWrap w:val="0"/>
            <w:vAlign w:val="center"/>
          </w:tcPr>
          <w:p w14:paraId="10D1944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0.72</w:t>
            </w:r>
          </w:p>
        </w:tc>
        <w:tc>
          <w:tcPr>
            <w:tcW w:w="574" w:type="pct"/>
            <w:tcBorders>
              <w:tl2br w:val="nil"/>
              <w:tr2bl w:val="nil"/>
            </w:tcBorders>
            <w:noWrap w:val="0"/>
            <w:vAlign w:val="center"/>
          </w:tcPr>
          <w:p w14:paraId="4A4E752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0.53</w:t>
            </w:r>
          </w:p>
        </w:tc>
        <w:tc>
          <w:tcPr>
            <w:tcW w:w="531" w:type="pct"/>
            <w:tcBorders>
              <w:tl2br w:val="nil"/>
              <w:tr2bl w:val="nil"/>
            </w:tcBorders>
            <w:noWrap w:val="0"/>
            <w:vAlign w:val="center"/>
          </w:tcPr>
          <w:p w14:paraId="17F0ECEC">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color w:val="auto"/>
                <w:kern w:val="2"/>
                <w:sz w:val="21"/>
                <w:szCs w:val="21"/>
                <w:highlight w:val="none"/>
                <w:lang w:val="en-US" w:eastAsia="zh-CN" w:bidi="ar-SA"/>
              </w:rPr>
              <w:t>0.76</w:t>
            </w:r>
          </w:p>
        </w:tc>
        <w:tc>
          <w:tcPr>
            <w:tcW w:w="456" w:type="pct"/>
            <w:tcBorders>
              <w:tl2br w:val="nil"/>
              <w:tr2bl w:val="nil"/>
            </w:tcBorders>
            <w:noWrap/>
            <w:vAlign w:val="center"/>
          </w:tcPr>
          <w:p w14:paraId="74E4C54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441" w:type="pct"/>
            <w:tcBorders>
              <w:tl2br w:val="nil"/>
              <w:tr2bl w:val="nil"/>
            </w:tcBorders>
            <w:noWrap/>
            <w:vAlign w:val="center"/>
          </w:tcPr>
          <w:p w14:paraId="04734A4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972F47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4A8B0BF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氯化物</w:t>
            </w:r>
          </w:p>
        </w:tc>
        <w:tc>
          <w:tcPr>
            <w:tcW w:w="534" w:type="pct"/>
            <w:tcBorders>
              <w:tl2br w:val="nil"/>
              <w:tr2bl w:val="nil"/>
            </w:tcBorders>
            <w:noWrap w:val="0"/>
            <w:vAlign w:val="center"/>
          </w:tcPr>
          <w:p w14:paraId="1B72E56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7276C53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48</w:t>
            </w:r>
          </w:p>
        </w:tc>
        <w:tc>
          <w:tcPr>
            <w:tcW w:w="574" w:type="pct"/>
            <w:tcBorders>
              <w:tl2br w:val="nil"/>
              <w:tr2bl w:val="nil"/>
            </w:tcBorders>
            <w:noWrap w:val="0"/>
            <w:vAlign w:val="center"/>
          </w:tcPr>
          <w:p w14:paraId="5FCC206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886</w:t>
            </w:r>
          </w:p>
        </w:tc>
        <w:tc>
          <w:tcPr>
            <w:tcW w:w="574" w:type="pct"/>
            <w:tcBorders>
              <w:tl2br w:val="nil"/>
              <w:tr2bl w:val="nil"/>
            </w:tcBorders>
            <w:noWrap w:val="0"/>
            <w:vAlign w:val="center"/>
          </w:tcPr>
          <w:p w14:paraId="0036EF8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755</w:t>
            </w:r>
          </w:p>
        </w:tc>
        <w:tc>
          <w:tcPr>
            <w:tcW w:w="574" w:type="pct"/>
            <w:tcBorders>
              <w:tl2br w:val="nil"/>
              <w:tr2bl w:val="nil"/>
            </w:tcBorders>
            <w:noWrap w:val="0"/>
            <w:vAlign w:val="center"/>
          </w:tcPr>
          <w:p w14:paraId="7FF2DFE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104</w:t>
            </w:r>
          </w:p>
        </w:tc>
        <w:tc>
          <w:tcPr>
            <w:tcW w:w="531" w:type="pct"/>
            <w:tcBorders>
              <w:tl2br w:val="nil"/>
              <w:tr2bl w:val="nil"/>
            </w:tcBorders>
            <w:noWrap w:val="0"/>
            <w:vAlign w:val="center"/>
          </w:tcPr>
          <w:p w14:paraId="14859FF4">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color w:val="auto"/>
                <w:kern w:val="2"/>
                <w:sz w:val="21"/>
                <w:szCs w:val="21"/>
                <w:highlight w:val="none"/>
                <w:lang w:val="en-US" w:eastAsia="zh-CN" w:bidi="ar-SA"/>
              </w:rPr>
              <w:t>5350</w:t>
            </w:r>
          </w:p>
        </w:tc>
        <w:tc>
          <w:tcPr>
            <w:tcW w:w="456" w:type="pct"/>
            <w:tcBorders>
              <w:tl2br w:val="nil"/>
              <w:tr2bl w:val="nil"/>
            </w:tcBorders>
            <w:noWrap/>
            <w:vAlign w:val="center"/>
          </w:tcPr>
          <w:p w14:paraId="13872D9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441" w:type="pct"/>
            <w:tcBorders>
              <w:tl2br w:val="nil"/>
              <w:tr2bl w:val="nil"/>
            </w:tcBorders>
            <w:noWrap/>
            <w:vAlign w:val="center"/>
          </w:tcPr>
          <w:p w14:paraId="5C981A3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b w:val="0"/>
                <w:bCs w:val="0"/>
                <w:i w:val="0"/>
                <w:iCs w:val="0"/>
                <w:color w:val="000000"/>
                <w:kern w:val="0"/>
                <w:sz w:val="21"/>
                <w:szCs w:val="21"/>
                <w:u w:val="none"/>
                <w:lang w:val="en-US" w:eastAsia="zh-CN" w:bidi="ar"/>
              </w:rPr>
              <w:t>超标</w:t>
            </w:r>
          </w:p>
        </w:tc>
      </w:tr>
      <w:tr w14:paraId="7DFA720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788D19B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铁</w:t>
            </w:r>
          </w:p>
        </w:tc>
        <w:tc>
          <w:tcPr>
            <w:tcW w:w="534" w:type="pct"/>
            <w:tcBorders>
              <w:tl2br w:val="nil"/>
              <w:tr2bl w:val="nil"/>
            </w:tcBorders>
            <w:noWrap w:val="0"/>
            <w:vAlign w:val="center"/>
          </w:tcPr>
          <w:p w14:paraId="2C9E249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0EF9B0B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0.03L</w:t>
            </w:r>
          </w:p>
        </w:tc>
        <w:tc>
          <w:tcPr>
            <w:tcW w:w="574" w:type="pct"/>
            <w:tcBorders>
              <w:tl2br w:val="nil"/>
              <w:tr2bl w:val="nil"/>
            </w:tcBorders>
            <w:noWrap w:val="0"/>
            <w:vAlign w:val="center"/>
          </w:tcPr>
          <w:p w14:paraId="68BF647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0.03L</w:t>
            </w:r>
          </w:p>
        </w:tc>
        <w:tc>
          <w:tcPr>
            <w:tcW w:w="574" w:type="pct"/>
            <w:tcBorders>
              <w:tl2br w:val="nil"/>
              <w:tr2bl w:val="nil"/>
            </w:tcBorders>
            <w:noWrap w:val="0"/>
            <w:vAlign w:val="center"/>
          </w:tcPr>
          <w:p w14:paraId="20CCEA5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0.03L</w:t>
            </w:r>
          </w:p>
        </w:tc>
        <w:tc>
          <w:tcPr>
            <w:tcW w:w="574" w:type="pct"/>
            <w:tcBorders>
              <w:tl2br w:val="nil"/>
              <w:tr2bl w:val="nil"/>
            </w:tcBorders>
            <w:noWrap w:val="0"/>
            <w:vAlign w:val="center"/>
          </w:tcPr>
          <w:p w14:paraId="1E8390E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0.03L</w:t>
            </w:r>
          </w:p>
        </w:tc>
        <w:tc>
          <w:tcPr>
            <w:tcW w:w="531" w:type="pct"/>
            <w:tcBorders>
              <w:tl2br w:val="nil"/>
              <w:tr2bl w:val="nil"/>
            </w:tcBorders>
            <w:noWrap w:val="0"/>
            <w:vAlign w:val="center"/>
          </w:tcPr>
          <w:p w14:paraId="1615E19D">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0.03L</w:t>
            </w:r>
          </w:p>
        </w:tc>
        <w:tc>
          <w:tcPr>
            <w:tcW w:w="456" w:type="pct"/>
            <w:tcBorders>
              <w:tl2br w:val="nil"/>
              <w:tr2bl w:val="nil"/>
            </w:tcBorders>
            <w:noWrap/>
            <w:vAlign w:val="center"/>
          </w:tcPr>
          <w:p w14:paraId="3D10AA1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w:t>
            </w:r>
          </w:p>
        </w:tc>
        <w:tc>
          <w:tcPr>
            <w:tcW w:w="441" w:type="pct"/>
            <w:tcBorders>
              <w:tl2br w:val="nil"/>
              <w:tr2bl w:val="nil"/>
            </w:tcBorders>
            <w:noWrap/>
            <w:vAlign w:val="center"/>
          </w:tcPr>
          <w:p w14:paraId="073AEA5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92228B2">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1CCB39E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锰</w:t>
            </w:r>
          </w:p>
        </w:tc>
        <w:tc>
          <w:tcPr>
            <w:tcW w:w="534" w:type="pct"/>
            <w:tcBorders>
              <w:tl2br w:val="nil"/>
              <w:tr2bl w:val="nil"/>
            </w:tcBorders>
            <w:noWrap w:val="0"/>
            <w:vAlign w:val="center"/>
          </w:tcPr>
          <w:p w14:paraId="34C4412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480E712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0.01L</w:t>
            </w:r>
          </w:p>
        </w:tc>
        <w:tc>
          <w:tcPr>
            <w:tcW w:w="574" w:type="pct"/>
            <w:tcBorders>
              <w:tl2br w:val="nil"/>
              <w:tr2bl w:val="nil"/>
            </w:tcBorders>
            <w:noWrap w:val="0"/>
            <w:vAlign w:val="center"/>
          </w:tcPr>
          <w:p w14:paraId="039792C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0.01L</w:t>
            </w:r>
          </w:p>
        </w:tc>
        <w:tc>
          <w:tcPr>
            <w:tcW w:w="574" w:type="pct"/>
            <w:tcBorders>
              <w:tl2br w:val="nil"/>
              <w:tr2bl w:val="nil"/>
            </w:tcBorders>
            <w:noWrap w:val="0"/>
            <w:vAlign w:val="center"/>
          </w:tcPr>
          <w:p w14:paraId="5810FB6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0.01L</w:t>
            </w:r>
          </w:p>
        </w:tc>
        <w:tc>
          <w:tcPr>
            <w:tcW w:w="574" w:type="pct"/>
            <w:tcBorders>
              <w:tl2br w:val="nil"/>
              <w:tr2bl w:val="nil"/>
            </w:tcBorders>
            <w:noWrap w:val="0"/>
            <w:vAlign w:val="center"/>
          </w:tcPr>
          <w:p w14:paraId="7DD1851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0.01L</w:t>
            </w:r>
          </w:p>
        </w:tc>
        <w:tc>
          <w:tcPr>
            <w:tcW w:w="531" w:type="pct"/>
            <w:tcBorders>
              <w:tl2br w:val="nil"/>
              <w:tr2bl w:val="nil"/>
            </w:tcBorders>
            <w:noWrap w:val="0"/>
            <w:vAlign w:val="center"/>
          </w:tcPr>
          <w:p w14:paraId="4195F99F">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0.01L</w:t>
            </w:r>
          </w:p>
        </w:tc>
        <w:tc>
          <w:tcPr>
            <w:tcW w:w="456" w:type="pct"/>
            <w:tcBorders>
              <w:tl2br w:val="nil"/>
              <w:tr2bl w:val="nil"/>
            </w:tcBorders>
            <w:noWrap/>
            <w:vAlign w:val="center"/>
          </w:tcPr>
          <w:p w14:paraId="6C40E69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≤0.10</w:t>
            </w:r>
          </w:p>
        </w:tc>
        <w:tc>
          <w:tcPr>
            <w:tcW w:w="441" w:type="pct"/>
            <w:tcBorders>
              <w:tl2br w:val="nil"/>
              <w:tr2bl w:val="nil"/>
            </w:tcBorders>
            <w:noWrap/>
            <w:vAlign w:val="center"/>
          </w:tcPr>
          <w:p w14:paraId="6A34CC5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F389690">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2E7C40D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硫酸盐</w:t>
            </w:r>
          </w:p>
        </w:tc>
        <w:tc>
          <w:tcPr>
            <w:tcW w:w="534" w:type="pct"/>
            <w:tcBorders>
              <w:tl2br w:val="nil"/>
              <w:tr2bl w:val="nil"/>
            </w:tcBorders>
            <w:noWrap w:val="0"/>
            <w:vAlign w:val="center"/>
          </w:tcPr>
          <w:p w14:paraId="5C098E7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02DFF70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79</w:t>
            </w:r>
          </w:p>
        </w:tc>
        <w:tc>
          <w:tcPr>
            <w:tcW w:w="574" w:type="pct"/>
            <w:tcBorders>
              <w:tl2br w:val="nil"/>
              <w:tr2bl w:val="nil"/>
            </w:tcBorders>
            <w:noWrap w:val="0"/>
            <w:vAlign w:val="center"/>
          </w:tcPr>
          <w:p w14:paraId="6712CCC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266</w:t>
            </w:r>
          </w:p>
        </w:tc>
        <w:tc>
          <w:tcPr>
            <w:tcW w:w="574" w:type="pct"/>
            <w:tcBorders>
              <w:tl2br w:val="nil"/>
              <w:tr2bl w:val="nil"/>
            </w:tcBorders>
            <w:noWrap w:val="0"/>
            <w:vAlign w:val="center"/>
          </w:tcPr>
          <w:p w14:paraId="1C2BAC6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246</w:t>
            </w:r>
          </w:p>
        </w:tc>
        <w:tc>
          <w:tcPr>
            <w:tcW w:w="574" w:type="pct"/>
            <w:tcBorders>
              <w:tl2br w:val="nil"/>
              <w:tr2bl w:val="nil"/>
            </w:tcBorders>
            <w:noWrap w:val="0"/>
            <w:vAlign w:val="center"/>
          </w:tcPr>
          <w:p w14:paraId="4D50A42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142</w:t>
            </w:r>
          </w:p>
        </w:tc>
        <w:tc>
          <w:tcPr>
            <w:tcW w:w="531" w:type="pct"/>
            <w:tcBorders>
              <w:tl2br w:val="nil"/>
              <w:tr2bl w:val="nil"/>
            </w:tcBorders>
            <w:noWrap w:val="0"/>
            <w:vAlign w:val="center"/>
          </w:tcPr>
          <w:p w14:paraId="59E33CDD">
            <w:pPr>
              <w:keepNext w:val="0"/>
              <w:keepLines w:val="0"/>
              <w:pageBreakBefore w:val="0"/>
              <w:widowControl/>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color w:val="auto"/>
                <w:kern w:val="2"/>
                <w:sz w:val="21"/>
                <w:szCs w:val="21"/>
                <w:highlight w:val="none"/>
                <w:lang w:val="en-US" w:eastAsia="zh-CN" w:bidi="ar-SA"/>
              </w:rPr>
              <w:t>184</w:t>
            </w:r>
          </w:p>
        </w:tc>
        <w:tc>
          <w:tcPr>
            <w:tcW w:w="456" w:type="pct"/>
            <w:tcBorders>
              <w:tl2br w:val="nil"/>
              <w:tr2bl w:val="nil"/>
            </w:tcBorders>
            <w:noWrap/>
            <w:vAlign w:val="center"/>
          </w:tcPr>
          <w:p w14:paraId="096A0B1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≤250</w:t>
            </w:r>
          </w:p>
        </w:tc>
        <w:tc>
          <w:tcPr>
            <w:tcW w:w="441" w:type="pct"/>
            <w:tcBorders>
              <w:tl2br w:val="nil"/>
              <w:tr2bl w:val="nil"/>
            </w:tcBorders>
            <w:noWrap/>
            <w:vAlign w:val="center"/>
          </w:tcPr>
          <w:p w14:paraId="35F8BAB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5FD199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771" w:type="pct"/>
            <w:tcBorders>
              <w:tl2br w:val="nil"/>
              <w:tr2bl w:val="nil"/>
            </w:tcBorders>
            <w:noWrap w:val="0"/>
            <w:vAlign w:val="center"/>
          </w:tcPr>
          <w:p w14:paraId="6C90352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阴离子表面活性剂</w:t>
            </w:r>
          </w:p>
        </w:tc>
        <w:tc>
          <w:tcPr>
            <w:tcW w:w="534" w:type="pct"/>
            <w:tcBorders>
              <w:tl2br w:val="nil"/>
              <w:tr2bl w:val="nil"/>
            </w:tcBorders>
            <w:noWrap w:val="0"/>
            <w:vAlign w:val="center"/>
          </w:tcPr>
          <w:p w14:paraId="1B163C9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61039C0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0.05L</w:t>
            </w:r>
          </w:p>
        </w:tc>
        <w:tc>
          <w:tcPr>
            <w:tcW w:w="574" w:type="pct"/>
            <w:tcBorders>
              <w:tl2br w:val="nil"/>
              <w:tr2bl w:val="nil"/>
            </w:tcBorders>
            <w:noWrap w:val="0"/>
            <w:vAlign w:val="center"/>
          </w:tcPr>
          <w:p w14:paraId="76ED055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0.05L</w:t>
            </w:r>
          </w:p>
        </w:tc>
        <w:tc>
          <w:tcPr>
            <w:tcW w:w="574" w:type="pct"/>
            <w:tcBorders>
              <w:tl2br w:val="nil"/>
              <w:tr2bl w:val="nil"/>
            </w:tcBorders>
            <w:noWrap w:val="0"/>
            <w:vAlign w:val="center"/>
          </w:tcPr>
          <w:p w14:paraId="2BAEFC7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0.05L</w:t>
            </w:r>
          </w:p>
        </w:tc>
        <w:tc>
          <w:tcPr>
            <w:tcW w:w="574" w:type="pct"/>
            <w:tcBorders>
              <w:tl2br w:val="nil"/>
              <w:tr2bl w:val="nil"/>
            </w:tcBorders>
            <w:noWrap w:val="0"/>
            <w:vAlign w:val="center"/>
          </w:tcPr>
          <w:p w14:paraId="5C8CD3E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0.05L</w:t>
            </w:r>
          </w:p>
        </w:tc>
        <w:tc>
          <w:tcPr>
            <w:tcW w:w="531" w:type="pct"/>
            <w:tcBorders>
              <w:tl2br w:val="nil"/>
              <w:tr2bl w:val="nil"/>
            </w:tcBorders>
            <w:noWrap w:val="0"/>
            <w:vAlign w:val="center"/>
          </w:tcPr>
          <w:p w14:paraId="23CBBFA5">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0.05L</w:t>
            </w:r>
          </w:p>
        </w:tc>
        <w:tc>
          <w:tcPr>
            <w:tcW w:w="456" w:type="pct"/>
            <w:tcBorders>
              <w:tl2br w:val="nil"/>
              <w:tr2bl w:val="nil"/>
            </w:tcBorders>
            <w:noWrap/>
            <w:vAlign w:val="center"/>
          </w:tcPr>
          <w:p w14:paraId="00F6A11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w:t>
            </w:r>
          </w:p>
        </w:tc>
        <w:tc>
          <w:tcPr>
            <w:tcW w:w="441" w:type="pct"/>
            <w:tcBorders>
              <w:tl2br w:val="nil"/>
              <w:tr2bl w:val="nil"/>
            </w:tcBorders>
            <w:noWrap/>
            <w:vAlign w:val="center"/>
          </w:tcPr>
          <w:p w14:paraId="70866BD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6F6F2490">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50C86B3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硫化物</w:t>
            </w:r>
          </w:p>
        </w:tc>
        <w:tc>
          <w:tcPr>
            <w:tcW w:w="534" w:type="pct"/>
            <w:tcBorders>
              <w:tl2br w:val="nil"/>
              <w:tr2bl w:val="nil"/>
            </w:tcBorders>
            <w:noWrap w:val="0"/>
            <w:vAlign w:val="center"/>
          </w:tcPr>
          <w:p w14:paraId="067BA9E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0156722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0.003L</w:t>
            </w:r>
          </w:p>
        </w:tc>
        <w:tc>
          <w:tcPr>
            <w:tcW w:w="574" w:type="pct"/>
            <w:tcBorders>
              <w:tl2br w:val="nil"/>
              <w:tr2bl w:val="nil"/>
            </w:tcBorders>
            <w:noWrap w:val="0"/>
            <w:vAlign w:val="center"/>
          </w:tcPr>
          <w:p w14:paraId="5CA2E80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0.003L</w:t>
            </w:r>
          </w:p>
        </w:tc>
        <w:tc>
          <w:tcPr>
            <w:tcW w:w="574" w:type="pct"/>
            <w:tcBorders>
              <w:tl2br w:val="nil"/>
              <w:tr2bl w:val="nil"/>
            </w:tcBorders>
            <w:noWrap w:val="0"/>
            <w:vAlign w:val="center"/>
          </w:tcPr>
          <w:p w14:paraId="74820A5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0.003L</w:t>
            </w:r>
          </w:p>
        </w:tc>
        <w:tc>
          <w:tcPr>
            <w:tcW w:w="574" w:type="pct"/>
            <w:tcBorders>
              <w:tl2br w:val="nil"/>
              <w:tr2bl w:val="nil"/>
            </w:tcBorders>
            <w:noWrap w:val="0"/>
            <w:vAlign w:val="center"/>
          </w:tcPr>
          <w:p w14:paraId="4BA3E72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0.003L</w:t>
            </w:r>
          </w:p>
        </w:tc>
        <w:tc>
          <w:tcPr>
            <w:tcW w:w="531" w:type="pct"/>
            <w:tcBorders>
              <w:tl2br w:val="nil"/>
              <w:tr2bl w:val="nil"/>
            </w:tcBorders>
            <w:noWrap w:val="0"/>
            <w:vAlign w:val="center"/>
          </w:tcPr>
          <w:p w14:paraId="7AF9B17E">
            <w:pPr>
              <w:keepNext w:val="0"/>
              <w:keepLines w:val="0"/>
              <w:pageBreakBefore w:val="0"/>
              <w:kinsoku/>
              <w:wordWrap/>
              <w:overflowPunct/>
              <w:topLinePunct w:val="0"/>
              <w:autoSpaceDE/>
              <w:autoSpaceDN/>
              <w:bidi w:val="0"/>
              <w:adjustRightInd/>
              <w:snapToGrid w:val="0"/>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0.003L</w:t>
            </w:r>
          </w:p>
        </w:tc>
        <w:tc>
          <w:tcPr>
            <w:tcW w:w="456" w:type="pct"/>
            <w:tcBorders>
              <w:tl2br w:val="nil"/>
              <w:tr2bl w:val="nil"/>
            </w:tcBorders>
            <w:noWrap/>
            <w:vAlign w:val="center"/>
          </w:tcPr>
          <w:p w14:paraId="2F59E6A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≤0.02</w:t>
            </w:r>
          </w:p>
        </w:tc>
        <w:tc>
          <w:tcPr>
            <w:tcW w:w="441" w:type="pct"/>
            <w:tcBorders>
              <w:tl2br w:val="nil"/>
              <w:tr2bl w:val="nil"/>
            </w:tcBorders>
            <w:noWrap/>
            <w:vAlign w:val="center"/>
          </w:tcPr>
          <w:p w14:paraId="6E3EF55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ADAA3E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3E010F5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钠</w:t>
            </w:r>
          </w:p>
        </w:tc>
        <w:tc>
          <w:tcPr>
            <w:tcW w:w="534" w:type="pct"/>
            <w:tcBorders>
              <w:tl2br w:val="nil"/>
              <w:tr2bl w:val="nil"/>
            </w:tcBorders>
            <w:noWrap w:val="0"/>
            <w:vAlign w:val="center"/>
          </w:tcPr>
          <w:p w14:paraId="29A62E1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mg/L</w:t>
            </w:r>
          </w:p>
        </w:tc>
        <w:tc>
          <w:tcPr>
            <w:tcW w:w="540" w:type="pct"/>
            <w:tcBorders>
              <w:tl2br w:val="nil"/>
              <w:tr2bl w:val="nil"/>
            </w:tcBorders>
            <w:noWrap w:val="0"/>
            <w:vAlign w:val="center"/>
          </w:tcPr>
          <w:p w14:paraId="5CB56DC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1.39</w:t>
            </w:r>
          </w:p>
        </w:tc>
        <w:tc>
          <w:tcPr>
            <w:tcW w:w="574" w:type="pct"/>
            <w:tcBorders>
              <w:tl2br w:val="nil"/>
              <w:tr2bl w:val="nil"/>
            </w:tcBorders>
            <w:noWrap w:val="0"/>
            <w:vAlign w:val="center"/>
          </w:tcPr>
          <w:p w14:paraId="63A4A37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5.6</w:t>
            </w:r>
          </w:p>
        </w:tc>
        <w:tc>
          <w:tcPr>
            <w:tcW w:w="574" w:type="pct"/>
            <w:tcBorders>
              <w:tl2br w:val="nil"/>
              <w:tr2bl w:val="nil"/>
            </w:tcBorders>
            <w:noWrap w:val="0"/>
            <w:vAlign w:val="center"/>
          </w:tcPr>
          <w:p w14:paraId="636205B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5.1</w:t>
            </w:r>
          </w:p>
        </w:tc>
        <w:tc>
          <w:tcPr>
            <w:tcW w:w="574" w:type="pct"/>
            <w:tcBorders>
              <w:tl2br w:val="nil"/>
              <w:tr2bl w:val="nil"/>
            </w:tcBorders>
            <w:noWrap w:val="0"/>
            <w:vAlign w:val="center"/>
          </w:tcPr>
          <w:p w14:paraId="2B93794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2.9</w:t>
            </w:r>
          </w:p>
        </w:tc>
        <w:tc>
          <w:tcPr>
            <w:tcW w:w="531" w:type="pct"/>
            <w:tcBorders>
              <w:tl2br w:val="nil"/>
              <w:tr2bl w:val="nil"/>
            </w:tcBorders>
            <w:noWrap w:val="0"/>
            <w:vAlign w:val="center"/>
          </w:tcPr>
          <w:p w14:paraId="344F26E7">
            <w:pPr>
              <w:keepNext w:val="0"/>
              <w:keepLines w:val="0"/>
              <w:pageBreakBefore w:val="0"/>
              <w:kinsoku/>
              <w:wordWrap/>
              <w:overflowPunct/>
              <w:topLinePunct w:val="0"/>
              <w:autoSpaceDE/>
              <w:autoSpaceDN/>
              <w:bidi w:val="0"/>
              <w:adjustRightInd/>
              <w:snapToGrid w:val="0"/>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color w:val="auto"/>
                <w:kern w:val="2"/>
                <w:sz w:val="21"/>
                <w:szCs w:val="21"/>
                <w:highlight w:val="none"/>
                <w:lang w:val="en-US" w:eastAsia="zh-CN" w:bidi="ar-SA"/>
              </w:rPr>
              <w:t>14.8</w:t>
            </w:r>
          </w:p>
        </w:tc>
        <w:tc>
          <w:tcPr>
            <w:tcW w:w="456" w:type="pct"/>
            <w:tcBorders>
              <w:tl2br w:val="nil"/>
              <w:tr2bl w:val="nil"/>
            </w:tcBorders>
            <w:noWrap/>
            <w:vAlign w:val="center"/>
          </w:tcPr>
          <w:p w14:paraId="5E7A895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441" w:type="pct"/>
            <w:tcBorders>
              <w:tl2br w:val="nil"/>
              <w:tr2bl w:val="nil"/>
            </w:tcBorders>
            <w:noWrap/>
            <w:vAlign w:val="center"/>
          </w:tcPr>
          <w:p w14:paraId="2A31E0E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0EB71DDE">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2851F08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汞</w:t>
            </w:r>
          </w:p>
        </w:tc>
        <w:tc>
          <w:tcPr>
            <w:tcW w:w="534" w:type="pct"/>
            <w:tcBorders>
              <w:tl2br w:val="nil"/>
              <w:tr2bl w:val="nil"/>
            </w:tcBorders>
            <w:noWrap w:val="0"/>
            <w:vAlign w:val="center"/>
          </w:tcPr>
          <w:p w14:paraId="4FBFA56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153CEA3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574" w:type="pct"/>
            <w:tcBorders>
              <w:tl2br w:val="nil"/>
              <w:tr2bl w:val="nil"/>
            </w:tcBorders>
            <w:noWrap w:val="0"/>
            <w:vAlign w:val="center"/>
          </w:tcPr>
          <w:p w14:paraId="67DFCDE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574" w:type="pct"/>
            <w:tcBorders>
              <w:tl2br w:val="nil"/>
              <w:tr2bl w:val="nil"/>
            </w:tcBorders>
            <w:noWrap w:val="0"/>
            <w:vAlign w:val="center"/>
          </w:tcPr>
          <w:p w14:paraId="40814DE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w:t>
            </w:r>
          </w:p>
        </w:tc>
        <w:tc>
          <w:tcPr>
            <w:tcW w:w="574" w:type="pct"/>
            <w:tcBorders>
              <w:tl2br w:val="nil"/>
              <w:tr2bl w:val="nil"/>
            </w:tcBorders>
            <w:noWrap w:val="0"/>
            <w:vAlign w:val="center"/>
          </w:tcPr>
          <w:p w14:paraId="3601587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w:t>
            </w:r>
          </w:p>
        </w:tc>
        <w:tc>
          <w:tcPr>
            <w:tcW w:w="531" w:type="pct"/>
            <w:tcBorders>
              <w:tl2br w:val="nil"/>
              <w:tr2bl w:val="nil"/>
            </w:tcBorders>
            <w:noWrap w:val="0"/>
            <w:vAlign w:val="center"/>
          </w:tcPr>
          <w:p w14:paraId="7918FEB2">
            <w:pPr>
              <w:keepNext w:val="0"/>
              <w:keepLines w:val="0"/>
              <w:pageBreakBefore w:val="0"/>
              <w:kinsoku/>
              <w:wordWrap/>
              <w:overflowPunct/>
              <w:topLinePunct w:val="0"/>
              <w:autoSpaceDE/>
              <w:autoSpaceDN/>
              <w:bidi w:val="0"/>
              <w:adjustRightInd/>
              <w:snapToGrid w:val="0"/>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0.06</w:t>
            </w:r>
          </w:p>
        </w:tc>
        <w:tc>
          <w:tcPr>
            <w:tcW w:w="456" w:type="pct"/>
            <w:tcBorders>
              <w:tl2br w:val="nil"/>
              <w:tr2bl w:val="nil"/>
            </w:tcBorders>
            <w:noWrap/>
            <w:vAlign w:val="center"/>
          </w:tcPr>
          <w:p w14:paraId="04A1B61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441" w:type="pct"/>
            <w:tcBorders>
              <w:tl2br w:val="nil"/>
              <w:tr2bl w:val="nil"/>
            </w:tcBorders>
            <w:noWrap/>
            <w:vAlign w:val="center"/>
          </w:tcPr>
          <w:p w14:paraId="21267C0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AAD1332">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13A2479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砷</w:t>
            </w:r>
          </w:p>
        </w:tc>
        <w:tc>
          <w:tcPr>
            <w:tcW w:w="534" w:type="pct"/>
            <w:tcBorders>
              <w:tl2br w:val="nil"/>
              <w:tr2bl w:val="nil"/>
            </w:tcBorders>
            <w:noWrap w:val="0"/>
            <w:vAlign w:val="center"/>
          </w:tcPr>
          <w:p w14:paraId="3145389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7408F59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w:t>
            </w:r>
          </w:p>
        </w:tc>
        <w:tc>
          <w:tcPr>
            <w:tcW w:w="574" w:type="pct"/>
            <w:tcBorders>
              <w:tl2br w:val="nil"/>
              <w:tr2bl w:val="nil"/>
            </w:tcBorders>
            <w:noWrap w:val="0"/>
            <w:vAlign w:val="center"/>
          </w:tcPr>
          <w:p w14:paraId="0E3F48B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w:t>
            </w:r>
          </w:p>
        </w:tc>
        <w:tc>
          <w:tcPr>
            <w:tcW w:w="574" w:type="pct"/>
            <w:tcBorders>
              <w:tl2br w:val="nil"/>
              <w:tr2bl w:val="nil"/>
            </w:tcBorders>
            <w:noWrap w:val="0"/>
            <w:vAlign w:val="center"/>
          </w:tcPr>
          <w:p w14:paraId="78376A3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w:t>
            </w:r>
          </w:p>
        </w:tc>
        <w:tc>
          <w:tcPr>
            <w:tcW w:w="574" w:type="pct"/>
            <w:tcBorders>
              <w:tl2br w:val="nil"/>
              <w:tr2bl w:val="nil"/>
            </w:tcBorders>
            <w:noWrap w:val="0"/>
            <w:vAlign w:val="center"/>
          </w:tcPr>
          <w:p w14:paraId="064A22D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0.3L</w:t>
            </w:r>
          </w:p>
        </w:tc>
        <w:tc>
          <w:tcPr>
            <w:tcW w:w="531" w:type="pct"/>
            <w:tcBorders>
              <w:tl2br w:val="nil"/>
              <w:tr2bl w:val="nil"/>
            </w:tcBorders>
            <w:noWrap w:val="0"/>
            <w:vAlign w:val="center"/>
          </w:tcPr>
          <w:p w14:paraId="571E0DFF">
            <w:pPr>
              <w:keepNext w:val="0"/>
              <w:keepLines w:val="0"/>
              <w:pageBreakBefore w:val="0"/>
              <w:kinsoku/>
              <w:wordWrap/>
              <w:overflowPunct/>
              <w:topLinePunct w:val="0"/>
              <w:autoSpaceDE/>
              <w:autoSpaceDN/>
              <w:bidi w:val="0"/>
              <w:adjustRightInd/>
              <w:snapToGrid w:val="0"/>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0.3L</w:t>
            </w:r>
          </w:p>
        </w:tc>
        <w:tc>
          <w:tcPr>
            <w:tcW w:w="456" w:type="pct"/>
            <w:tcBorders>
              <w:tl2br w:val="nil"/>
              <w:tr2bl w:val="nil"/>
            </w:tcBorders>
            <w:noWrap/>
            <w:vAlign w:val="center"/>
          </w:tcPr>
          <w:p w14:paraId="7CAB5B6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441" w:type="pct"/>
            <w:tcBorders>
              <w:tl2br w:val="nil"/>
              <w:tr2bl w:val="nil"/>
            </w:tcBorders>
            <w:noWrap/>
            <w:vAlign w:val="center"/>
          </w:tcPr>
          <w:p w14:paraId="4F02842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7F8F3D8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197DC14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硒</w:t>
            </w:r>
          </w:p>
        </w:tc>
        <w:tc>
          <w:tcPr>
            <w:tcW w:w="534" w:type="pct"/>
            <w:tcBorders>
              <w:tl2br w:val="nil"/>
              <w:tr2bl w:val="nil"/>
            </w:tcBorders>
            <w:noWrap w:val="0"/>
            <w:vAlign w:val="center"/>
          </w:tcPr>
          <w:p w14:paraId="35E8A37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7F47CB9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28F4D8C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7D9F7F5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09BEDE6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31" w:type="pct"/>
            <w:tcBorders>
              <w:tl2br w:val="nil"/>
              <w:tr2bl w:val="nil"/>
            </w:tcBorders>
            <w:noWrap w:val="0"/>
            <w:vAlign w:val="center"/>
          </w:tcPr>
          <w:p w14:paraId="5F800BD6">
            <w:pPr>
              <w:keepNext w:val="0"/>
              <w:keepLines w:val="0"/>
              <w:pageBreakBefore w:val="0"/>
              <w:kinsoku/>
              <w:wordWrap/>
              <w:overflowPunct/>
              <w:topLinePunct w:val="0"/>
              <w:autoSpaceDE/>
              <w:autoSpaceDN/>
              <w:bidi w:val="0"/>
              <w:adjustRightInd/>
              <w:snapToGrid w:val="0"/>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lang w:val="en-US" w:eastAsia="zh-CN"/>
              </w:rPr>
              <w:t>0.4L</w:t>
            </w:r>
          </w:p>
        </w:tc>
        <w:tc>
          <w:tcPr>
            <w:tcW w:w="456" w:type="pct"/>
            <w:tcBorders>
              <w:tl2br w:val="nil"/>
              <w:tr2bl w:val="nil"/>
            </w:tcBorders>
            <w:noWrap/>
            <w:vAlign w:val="center"/>
          </w:tcPr>
          <w:p w14:paraId="5D79DDE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441" w:type="pct"/>
            <w:tcBorders>
              <w:tl2br w:val="nil"/>
              <w:tr2bl w:val="nil"/>
            </w:tcBorders>
            <w:noWrap/>
            <w:vAlign w:val="center"/>
          </w:tcPr>
          <w:p w14:paraId="05C5E4B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CF2D89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293A67D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浊度</w:t>
            </w:r>
          </w:p>
        </w:tc>
        <w:tc>
          <w:tcPr>
            <w:tcW w:w="534" w:type="pct"/>
            <w:tcBorders>
              <w:tl2br w:val="nil"/>
              <w:tr2bl w:val="nil"/>
            </w:tcBorders>
            <w:noWrap w:val="0"/>
            <w:vAlign w:val="center"/>
          </w:tcPr>
          <w:p w14:paraId="5FE3CA2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NTU</w:t>
            </w:r>
          </w:p>
        </w:tc>
        <w:tc>
          <w:tcPr>
            <w:tcW w:w="540" w:type="pct"/>
            <w:tcBorders>
              <w:tl2br w:val="nil"/>
              <w:tr2bl w:val="nil"/>
            </w:tcBorders>
            <w:noWrap w:val="0"/>
            <w:vAlign w:val="center"/>
          </w:tcPr>
          <w:p w14:paraId="00098BF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574" w:type="pct"/>
            <w:tcBorders>
              <w:tl2br w:val="nil"/>
              <w:tr2bl w:val="nil"/>
            </w:tcBorders>
            <w:noWrap w:val="0"/>
            <w:vAlign w:val="center"/>
          </w:tcPr>
          <w:p w14:paraId="0CDA17C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w:t>
            </w:r>
          </w:p>
        </w:tc>
        <w:tc>
          <w:tcPr>
            <w:tcW w:w="574" w:type="pct"/>
            <w:tcBorders>
              <w:tl2br w:val="nil"/>
              <w:tr2bl w:val="nil"/>
            </w:tcBorders>
            <w:noWrap w:val="0"/>
            <w:vAlign w:val="center"/>
          </w:tcPr>
          <w:p w14:paraId="0BB3155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w:t>
            </w:r>
          </w:p>
        </w:tc>
        <w:tc>
          <w:tcPr>
            <w:tcW w:w="574" w:type="pct"/>
            <w:tcBorders>
              <w:tl2br w:val="nil"/>
              <w:tr2bl w:val="nil"/>
            </w:tcBorders>
            <w:noWrap w:val="0"/>
            <w:vAlign w:val="center"/>
          </w:tcPr>
          <w:p w14:paraId="498A920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w:t>
            </w:r>
          </w:p>
        </w:tc>
        <w:tc>
          <w:tcPr>
            <w:tcW w:w="531" w:type="pct"/>
            <w:tcBorders>
              <w:tl2br w:val="nil"/>
              <w:tr2bl w:val="nil"/>
            </w:tcBorders>
            <w:noWrap w:val="0"/>
            <w:vAlign w:val="center"/>
          </w:tcPr>
          <w:p w14:paraId="2FAB83FE">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0.7</w:t>
            </w:r>
          </w:p>
        </w:tc>
        <w:tc>
          <w:tcPr>
            <w:tcW w:w="456" w:type="pct"/>
            <w:tcBorders>
              <w:tl2br w:val="nil"/>
              <w:tr2bl w:val="nil"/>
            </w:tcBorders>
            <w:noWrap/>
            <w:vAlign w:val="center"/>
          </w:tcPr>
          <w:p w14:paraId="5C842CF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441" w:type="pct"/>
            <w:tcBorders>
              <w:tl2br w:val="nil"/>
              <w:tr2bl w:val="nil"/>
            </w:tcBorders>
            <w:noWrap/>
            <w:vAlign w:val="center"/>
          </w:tcPr>
          <w:p w14:paraId="1CC2071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6693596">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11CA2E7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镉</w:t>
            </w:r>
          </w:p>
        </w:tc>
        <w:tc>
          <w:tcPr>
            <w:tcW w:w="534" w:type="pct"/>
            <w:tcBorders>
              <w:tl2br w:val="nil"/>
              <w:tr2bl w:val="nil"/>
            </w:tcBorders>
            <w:noWrap w:val="0"/>
            <w:vAlign w:val="center"/>
          </w:tcPr>
          <w:p w14:paraId="4C49AF8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3DF62EE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0.05L</w:t>
            </w:r>
          </w:p>
        </w:tc>
        <w:tc>
          <w:tcPr>
            <w:tcW w:w="574" w:type="pct"/>
            <w:tcBorders>
              <w:tl2br w:val="nil"/>
              <w:tr2bl w:val="nil"/>
            </w:tcBorders>
            <w:noWrap w:val="0"/>
            <w:vAlign w:val="center"/>
          </w:tcPr>
          <w:p w14:paraId="569D877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0.05L</w:t>
            </w:r>
          </w:p>
        </w:tc>
        <w:tc>
          <w:tcPr>
            <w:tcW w:w="574" w:type="pct"/>
            <w:tcBorders>
              <w:tl2br w:val="nil"/>
              <w:tr2bl w:val="nil"/>
            </w:tcBorders>
            <w:noWrap w:val="0"/>
            <w:vAlign w:val="center"/>
          </w:tcPr>
          <w:p w14:paraId="262F6C6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0.05L</w:t>
            </w:r>
          </w:p>
        </w:tc>
        <w:tc>
          <w:tcPr>
            <w:tcW w:w="574" w:type="pct"/>
            <w:tcBorders>
              <w:tl2br w:val="nil"/>
              <w:tr2bl w:val="nil"/>
            </w:tcBorders>
            <w:noWrap w:val="0"/>
            <w:vAlign w:val="center"/>
          </w:tcPr>
          <w:p w14:paraId="7968357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0.05L</w:t>
            </w:r>
          </w:p>
        </w:tc>
        <w:tc>
          <w:tcPr>
            <w:tcW w:w="531" w:type="pct"/>
            <w:tcBorders>
              <w:tl2br w:val="nil"/>
              <w:tr2bl w:val="nil"/>
            </w:tcBorders>
            <w:noWrap w:val="0"/>
            <w:vAlign w:val="center"/>
          </w:tcPr>
          <w:p w14:paraId="13D3BF27">
            <w:pPr>
              <w:keepNext w:val="0"/>
              <w:keepLines w:val="0"/>
              <w:pageBreakBefore w:val="0"/>
              <w:widowControl/>
              <w:kinsoku/>
              <w:wordWrap/>
              <w:overflowPunct/>
              <w:topLinePunct w:val="0"/>
              <w:autoSpaceDE/>
              <w:autoSpaceDN/>
              <w:bidi w:val="0"/>
              <w:adjustRightInd/>
              <w:snapToGrid/>
              <w:spacing w:before="0" w:after="0" w:line="26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0.05L</w:t>
            </w:r>
          </w:p>
        </w:tc>
        <w:tc>
          <w:tcPr>
            <w:tcW w:w="456" w:type="pct"/>
            <w:tcBorders>
              <w:tl2br w:val="nil"/>
              <w:tr2bl w:val="nil"/>
            </w:tcBorders>
            <w:noWrap/>
            <w:vAlign w:val="center"/>
          </w:tcPr>
          <w:p w14:paraId="026D44D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441" w:type="pct"/>
            <w:tcBorders>
              <w:tl2br w:val="nil"/>
              <w:tr2bl w:val="nil"/>
            </w:tcBorders>
            <w:noWrap/>
            <w:vAlign w:val="center"/>
          </w:tcPr>
          <w:p w14:paraId="267CDBD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75D7936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3000546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铅</w:t>
            </w:r>
          </w:p>
        </w:tc>
        <w:tc>
          <w:tcPr>
            <w:tcW w:w="534" w:type="pct"/>
            <w:tcBorders>
              <w:tl2br w:val="nil"/>
              <w:tr2bl w:val="nil"/>
            </w:tcBorders>
            <w:noWrap w:val="0"/>
            <w:vAlign w:val="center"/>
          </w:tcPr>
          <w:p w14:paraId="04CADA1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2E74217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0.09L</w:t>
            </w:r>
          </w:p>
        </w:tc>
        <w:tc>
          <w:tcPr>
            <w:tcW w:w="574" w:type="pct"/>
            <w:tcBorders>
              <w:tl2br w:val="nil"/>
              <w:tr2bl w:val="nil"/>
            </w:tcBorders>
            <w:noWrap w:val="0"/>
            <w:vAlign w:val="center"/>
          </w:tcPr>
          <w:p w14:paraId="4D5CE56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0.09L</w:t>
            </w:r>
          </w:p>
        </w:tc>
        <w:tc>
          <w:tcPr>
            <w:tcW w:w="574" w:type="pct"/>
            <w:tcBorders>
              <w:tl2br w:val="nil"/>
              <w:tr2bl w:val="nil"/>
            </w:tcBorders>
            <w:noWrap w:val="0"/>
            <w:vAlign w:val="center"/>
          </w:tcPr>
          <w:p w14:paraId="4A9C5E2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0.09L</w:t>
            </w:r>
          </w:p>
        </w:tc>
        <w:tc>
          <w:tcPr>
            <w:tcW w:w="574" w:type="pct"/>
            <w:tcBorders>
              <w:tl2br w:val="nil"/>
              <w:tr2bl w:val="nil"/>
            </w:tcBorders>
            <w:noWrap w:val="0"/>
            <w:vAlign w:val="center"/>
          </w:tcPr>
          <w:p w14:paraId="7003EE2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0.09L</w:t>
            </w:r>
          </w:p>
        </w:tc>
        <w:tc>
          <w:tcPr>
            <w:tcW w:w="531" w:type="pct"/>
            <w:tcBorders>
              <w:tl2br w:val="nil"/>
              <w:tr2bl w:val="nil"/>
            </w:tcBorders>
            <w:noWrap w:val="0"/>
            <w:vAlign w:val="center"/>
          </w:tcPr>
          <w:p w14:paraId="0166EB50">
            <w:pPr>
              <w:keepNext w:val="0"/>
              <w:keepLines w:val="0"/>
              <w:pageBreakBefore w:val="0"/>
              <w:widowControl/>
              <w:kinsoku/>
              <w:wordWrap/>
              <w:overflowPunct/>
              <w:topLinePunct w:val="0"/>
              <w:autoSpaceDE/>
              <w:autoSpaceDN/>
              <w:bidi w:val="0"/>
              <w:adjustRightInd/>
              <w:snapToGrid/>
              <w:spacing w:before="0" w:after="0" w:line="26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0.09L</w:t>
            </w:r>
          </w:p>
        </w:tc>
        <w:tc>
          <w:tcPr>
            <w:tcW w:w="456" w:type="pct"/>
            <w:tcBorders>
              <w:tl2br w:val="nil"/>
              <w:tr2bl w:val="nil"/>
            </w:tcBorders>
            <w:noWrap/>
            <w:vAlign w:val="center"/>
          </w:tcPr>
          <w:p w14:paraId="27CD4E9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441" w:type="pct"/>
            <w:tcBorders>
              <w:tl2br w:val="nil"/>
              <w:tr2bl w:val="nil"/>
            </w:tcBorders>
            <w:noWrap/>
            <w:vAlign w:val="center"/>
          </w:tcPr>
          <w:p w14:paraId="1EABB95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EC70A4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480FEF5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锌</w:t>
            </w:r>
          </w:p>
        </w:tc>
        <w:tc>
          <w:tcPr>
            <w:tcW w:w="534" w:type="pct"/>
            <w:tcBorders>
              <w:tl2br w:val="nil"/>
              <w:tr2bl w:val="nil"/>
            </w:tcBorders>
            <w:noWrap w:val="0"/>
            <w:vAlign w:val="center"/>
          </w:tcPr>
          <w:p w14:paraId="0D1D2ED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799FF8F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0.67L</w:t>
            </w:r>
          </w:p>
        </w:tc>
        <w:tc>
          <w:tcPr>
            <w:tcW w:w="574" w:type="pct"/>
            <w:tcBorders>
              <w:tl2br w:val="nil"/>
              <w:tr2bl w:val="nil"/>
            </w:tcBorders>
            <w:noWrap w:val="0"/>
            <w:vAlign w:val="center"/>
          </w:tcPr>
          <w:p w14:paraId="22B8CC0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7.48</w:t>
            </w:r>
          </w:p>
        </w:tc>
        <w:tc>
          <w:tcPr>
            <w:tcW w:w="574" w:type="pct"/>
            <w:tcBorders>
              <w:tl2br w:val="nil"/>
              <w:tr2bl w:val="nil"/>
            </w:tcBorders>
            <w:noWrap w:val="0"/>
            <w:vAlign w:val="center"/>
          </w:tcPr>
          <w:p w14:paraId="599CA48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40.4</w:t>
            </w:r>
          </w:p>
        </w:tc>
        <w:tc>
          <w:tcPr>
            <w:tcW w:w="574" w:type="pct"/>
            <w:tcBorders>
              <w:tl2br w:val="nil"/>
              <w:tr2bl w:val="nil"/>
            </w:tcBorders>
            <w:noWrap w:val="0"/>
            <w:vAlign w:val="center"/>
          </w:tcPr>
          <w:p w14:paraId="1B1D66A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0.67L</w:t>
            </w:r>
          </w:p>
        </w:tc>
        <w:tc>
          <w:tcPr>
            <w:tcW w:w="531" w:type="pct"/>
            <w:tcBorders>
              <w:tl2br w:val="nil"/>
              <w:tr2bl w:val="nil"/>
            </w:tcBorders>
            <w:noWrap w:val="0"/>
            <w:vAlign w:val="center"/>
          </w:tcPr>
          <w:p w14:paraId="2EFF1A46">
            <w:pPr>
              <w:keepNext w:val="0"/>
              <w:keepLines w:val="0"/>
              <w:pageBreakBefore w:val="0"/>
              <w:widowControl/>
              <w:kinsoku/>
              <w:wordWrap/>
              <w:overflowPunct/>
              <w:topLinePunct w:val="0"/>
              <w:autoSpaceDE/>
              <w:autoSpaceDN/>
              <w:bidi w:val="0"/>
              <w:adjustRightInd/>
              <w:snapToGrid/>
              <w:spacing w:before="0" w:after="0" w:line="26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0.67L</w:t>
            </w:r>
          </w:p>
        </w:tc>
        <w:tc>
          <w:tcPr>
            <w:tcW w:w="456" w:type="pct"/>
            <w:tcBorders>
              <w:tl2br w:val="nil"/>
              <w:tr2bl w:val="nil"/>
            </w:tcBorders>
            <w:noWrap/>
            <w:vAlign w:val="center"/>
          </w:tcPr>
          <w:p w14:paraId="6FB71EF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≤1000</w:t>
            </w:r>
          </w:p>
        </w:tc>
        <w:tc>
          <w:tcPr>
            <w:tcW w:w="441" w:type="pct"/>
            <w:tcBorders>
              <w:tl2br w:val="nil"/>
              <w:tr2bl w:val="nil"/>
            </w:tcBorders>
            <w:noWrap/>
            <w:vAlign w:val="center"/>
          </w:tcPr>
          <w:p w14:paraId="7748623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A714D81">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37A304A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铜</w:t>
            </w:r>
          </w:p>
        </w:tc>
        <w:tc>
          <w:tcPr>
            <w:tcW w:w="534" w:type="pct"/>
            <w:tcBorders>
              <w:tl2br w:val="nil"/>
              <w:tr2bl w:val="nil"/>
            </w:tcBorders>
            <w:noWrap w:val="0"/>
            <w:vAlign w:val="center"/>
          </w:tcPr>
          <w:p w14:paraId="00E4FB5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6F54E54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0.08L</w:t>
            </w:r>
          </w:p>
        </w:tc>
        <w:tc>
          <w:tcPr>
            <w:tcW w:w="574" w:type="pct"/>
            <w:tcBorders>
              <w:tl2br w:val="nil"/>
              <w:tr2bl w:val="nil"/>
            </w:tcBorders>
            <w:noWrap w:val="0"/>
            <w:vAlign w:val="center"/>
          </w:tcPr>
          <w:p w14:paraId="0715D65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0.21</w:t>
            </w:r>
          </w:p>
        </w:tc>
        <w:tc>
          <w:tcPr>
            <w:tcW w:w="574" w:type="pct"/>
            <w:tcBorders>
              <w:tl2br w:val="nil"/>
              <w:tr2bl w:val="nil"/>
            </w:tcBorders>
            <w:noWrap w:val="0"/>
            <w:vAlign w:val="center"/>
          </w:tcPr>
          <w:p w14:paraId="0B2F7FC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0.16</w:t>
            </w:r>
          </w:p>
        </w:tc>
        <w:tc>
          <w:tcPr>
            <w:tcW w:w="574" w:type="pct"/>
            <w:tcBorders>
              <w:tl2br w:val="nil"/>
              <w:tr2bl w:val="nil"/>
            </w:tcBorders>
            <w:noWrap w:val="0"/>
            <w:vAlign w:val="center"/>
          </w:tcPr>
          <w:p w14:paraId="581B8DB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0.16</w:t>
            </w:r>
          </w:p>
        </w:tc>
        <w:tc>
          <w:tcPr>
            <w:tcW w:w="531" w:type="pct"/>
            <w:tcBorders>
              <w:tl2br w:val="nil"/>
              <w:tr2bl w:val="nil"/>
            </w:tcBorders>
            <w:noWrap w:val="0"/>
            <w:vAlign w:val="center"/>
          </w:tcPr>
          <w:p w14:paraId="1D9D8C14">
            <w:pPr>
              <w:keepNext w:val="0"/>
              <w:keepLines w:val="0"/>
              <w:pageBreakBefore w:val="0"/>
              <w:widowControl/>
              <w:kinsoku/>
              <w:wordWrap/>
              <w:overflowPunct/>
              <w:topLinePunct w:val="0"/>
              <w:autoSpaceDE/>
              <w:autoSpaceDN/>
              <w:bidi w:val="0"/>
              <w:adjustRightInd/>
              <w:snapToGrid/>
              <w:spacing w:before="0" w:after="0" w:line="26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auto"/>
                <w:kern w:val="2"/>
                <w:sz w:val="21"/>
                <w:szCs w:val="21"/>
                <w:highlight w:val="none"/>
                <w:lang w:val="en-US" w:eastAsia="zh-CN" w:bidi="ar-SA"/>
              </w:rPr>
              <w:t>0.08L</w:t>
            </w:r>
          </w:p>
        </w:tc>
        <w:tc>
          <w:tcPr>
            <w:tcW w:w="456" w:type="pct"/>
            <w:tcBorders>
              <w:tl2br w:val="nil"/>
              <w:tr2bl w:val="nil"/>
            </w:tcBorders>
            <w:noWrap/>
            <w:vAlign w:val="center"/>
          </w:tcPr>
          <w:p w14:paraId="4BACDFF4">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≤1000</w:t>
            </w:r>
          </w:p>
        </w:tc>
        <w:tc>
          <w:tcPr>
            <w:tcW w:w="441" w:type="pct"/>
            <w:tcBorders>
              <w:tl2br w:val="nil"/>
              <w:tr2bl w:val="nil"/>
            </w:tcBorders>
            <w:noWrap/>
            <w:vAlign w:val="center"/>
          </w:tcPr>
          <w:p w14:paraId="798A9CA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7DF5A2A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02E773B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铝</w:t>
            </w:r>
          </w:p>
        </w:tc>
        <w:tc>
          <w:tcPr>
            <w:tcW w:w="534" w:type="pct"/>
            <w:tcBorders>
              <w:tl2br w:val="nil"/>
              <w:tr2bl w:val="nil"/>
            </w:tcBorders>
            <w:noWrap w:val="0"/>
            <w:vAlign w:val="center"/>
          </w:tcPr>
          <w:p w14:paraId="097DCB6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11B2A21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4.68</w:t>
            </w:r>
          </w:p>
        </w:tc>
        <w:tc>
          <w:tcPr>
            <w:tcW w:w="574" w:type="pct"/>
            <w:tcBorders>
              <w:tl2br w:val="nil"/>
              <w:tr2bl w:val="nil"/>
            </w:tcBorders>
            <w:noWrap w:val="0"/>
            <w:vAlign w:val="center"/>
          </w:tcPr>
          <w:p w14:paraId="3E63302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1.15L</w:t>
            </w:r>
          </w:p>
        </w:tc>
        <w:tc>
          <w:tcPr>
            <w:tcW w:w="574" w:type="pct"/>
            <w:tcBorders>
              <w:tl2br w:val="nil"/>
              <w:tr2bl w:val="nil"/>
            </w:tcBorders>
            <w:noWrap w:val="0"/>
            <w:vAlign w:val="center"/>
          </w:tcPr>
          <w:p w14:paraId="1CC9FCF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1.81</w:t>
            </w:r>
          </w:p>
        </w:tc>
        <w:tc>
          <w:tcPr>
            <w:tcW w:w="574" w:type="pct"/>
            <w:tcBorders>
              <w:tl2br w:val="nil"/>
              <w:tr2bl w:val="nil"/>
            </w:tcBorders>
            <w:noWrap w:val="0"/>
            <w:vAlign w:val="center"/>
          </w:tcPr>
          <w:p w14:paraId="659290D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6.34</w:t>
            </w:r>
          </w:p>
        </w:tc>
        <w:tc>
          <w:tcPr>
            <w:tcW w:w="531" w:type="pct"/>
            <w:tcBorders>
              <w:tl2br w:val="nil"/>
              <w:tr2bl w:val="nil"/>
            </w:tcBorders>
            <w:noWrap w:val="0"/>
            <w:vAlign w:val="center"/>
          </w:tcPr>
          <w:p w14:paraId="4602DC97">
            <w:pPr>
              <w:keepNext w:val="0"/>
              <w:keepLines w:val="0"/>
              <w:pageBreakBefore w:val="0"/>
              <w:widowControl/>
              <w:kinsoku/>
              <w:wordWrap/>
              <w:overflowPunct/>
              <w:topLinePunct w:val="0"/>
              <w:autoSpaceDE/>
              <w:autoSpaceDN/>
              <w:bidi w:val="0"/>
              <w:adjustRightInd/>
              <w:snapToGrid/>
              <w:spacing w:before="0" w:after="0" w:line="26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1.15L</w:t>
            </w:r>
          </w:p>
        </w:tc>
        <w:tc>
          <w:tcPr>
            <w:tcW w:w="456" w:type="pct"/>
            <w:tcBorders>
              <w:tl2br w:val="nil"/>
              <w:tr2bl w:val="nil"/>
            </w:tcBorders>
            <w:noWrap/>
            <w:vAlign w:val="center"/>
          </w:tcPr>
          <w:p w14:paraId="12BED16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w:t>
            </w:r>
          </w:p>
        </w:tc>
        <w:tc>
          <w:tcPr>
            <w:tcW w:w="441" w:type="pct"/>
            <w:tcBorders>
              <w:tl2br w:val="nil"/>
              <w:tr2bl w:val="nil"/>
            </w:tcBorders>
            <w:noWrap/>
            <w:vAlign w:val="center"/>
          </w:tcPr>
          <w:p w14:paraId="14B1E78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6EA13E1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771" w:type="pct"/>
            <w:tcBorders>
              <w:tl2br w:val="nil"/>
              <w:tr2bl w:val="nil"/>
            </w:tcBorders>
            <w:noWrap w:val="0"/>
            <w:vAlign w:val="center"/>
          </w:tcPr>
          <w:p w14:paraId="3EC93F6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氯仿（三氯甲烷）</w:t>
            </w:r>
          </w:p>
        </w:tc>
        <w:tc>
          <w:tcPr>
            <w:tcW w:w="534" w:type="pct"/>
            <w:tcBorders>
              <w:tl2br w:val="nil"/>
              <w:tr2bl w:val="nil"/>
            </w:tcBorders>
            <w:noWrap w:val="0"/>
            <w:vAlign w:val="center"/>
          </w:tcPr>
          <w:p w14:paraId="4812C30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5B21E64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4E90D56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31849A2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665EEA5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31" w:type="pct"/>
            <w:tcBorders>
              <w:tl2br w:val="nil"/>
              <w:tr2bl w:val="nil"/>
            </w:tcBorders>
            <w:noWrap w:val="0"/>
            <w:vAlign w:val="center"/>
          </w:tcPr>
          <w:p w14:paraId="2712E662">
            <w:pPr>
              <w:keepNext w:val="0"/>
              <w:keepLines w:val="0"/>
              <w:pageBreakBefore w:val="0"/>
              <w:widowControl/>
              <w:kinsoku/>
              <w:wordWrap/>
              <w:overflowPunct/>
              <w:topLinePunct w:val="0"/>
              <w:autoSpaceDE/>
              <w:autoSpaceDN/>
              <w:bidi w:val="0"/>
              <w:adjustRightInd/>
              <w:snapToGrid/>
              <w:spacing w:before="0" w:after="0" w:line="260" w:lineRule="exact"/>
              <w:ind w:left="0" w:firstLine="0"/>
              <w:jc w:val="center"/>
              <w:textAlignment w:val="auto"/>
              <w:rPr>
                <w:rFonts w:hint="default" w:ascii="Times New Roman" w:hAnsi="Times New Roman" w:eastAsia="宋体" w:cs="Times New Roman"/>
                <w:i w:val="0"/>
                <w:iCs w:val="0"/>
                <w:color w:val="000000"/>
                <w:sz w:val="21"/>
                <w:szCs w:val="21"/>
                <w:u w:val="none"/>
                <w:lang w:val="en-US"/>
              </w:rPr>
            </w:pPr>
            <w:r>
              <w:rPr>
                <w:rFonts w:hint="default" w:ascii="Times New Roman" w:hAnsi="Times New Roman" w:cs="Times New Roman"/>
                <w:color w:val="000000"/>
                <w:kern w:val="2"/>
                <w:sz w:val="21"/>
                <w:szCs w:val="21"/>
                <w:highlight w:val="none"/>
                <w:lang w:val="en-US" w:eastAsia="zh-CN" w:bidi="ar-SA"/>
              </w:rPr>
              <w:t>6.7</w:t>
            </w:r>
          </w:p>
        </w:tc>
        <w:tc>
          <w:tcPr>
            <w:tcW w:w="456" w:type="pct"/>
            <w:tcBorders>
              <w:tl2br w:val="nil"/>
              <w:tr2bl w:val="nil"/>
            </w:tcBorders>
            <w:noWrap/>
            <w:vAlign w:val="center"/>
          </w:tcPr>
          <w:p w14:paraId="1B9512E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441" w:type="pct"/>
            <w:tcBorders>
              <w:tl2br w:val="nil"/>
              <w:tr2bl w:val="nil"/>
            </w:tcBorders>
            <w:noWrap/>
            <w:vAlign w:val="center"/>
          </w:tcPr>
          <w:p w14:paraId="4A123B8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954E196">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752CF80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四氯化碳</w:t>
            </w:r>
          </w:p>
        </w:tc>
        <w:tc>
          <w:tcPr>
            <w:tcW w:w="534" w:type="pct"/>
            <w:tcBorders>
              <w:tl2br w:val="nil"/>
              <w:tr2bl w:val="nil"/>
            </w:tcBorders>
            <w:noWrap w:val="0"/>
            <w:vAlign w:val="center"/>
          </w:tcPr>
          <w:p w14:paraId="58302C1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06CAF5A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29DED2E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33E9BAA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5AE010D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31" w:type="pct"/>
            <w:tcBorders>
              <w:tl2br w:val="nil"/>
              <w:tr2bl w:val="nil"/>
            </w:tcBorders>
            <w:noWrap w:val="0"/>
            <w:vAlign w:val="center"/>
          </w:tcPr>
          <w:p w14:paraId="4A563987">
            <w:pPr>
              <w:keepNext w:val="0"/>
              <w:keepLines w:val="0"/>
              <w:pageBreakBefore w:val="0"/>
              <w:widowControl/>
              <w:kinsoku/>
              <w:wordWrap/>
              <w:overflowPunct/>
              <w:topLinePunct w:val="0"/>
              <w:autoSpaceDE/>
              <w:autoSpaceDN/>
              <w:bidi w:val="0"/>
              <w:adjustRightInd/>
              <w:snapToGrid/>
              <w:spacing w:before="0" w:after="0" w:line="26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kern w:val="2"/>
                <w:sz w:val="21"/>
                <w:szCs w:val="21"/>
                <w:highlight w:val="none"/>
                <w:lang w:val="en-US" w:eastAsia="zh-CN" w:bidi="ar-SA"/>
              </w:rPr>
              <w:t>1.5L</w:t>
            </w:r>
          </w:p>
        </w:tc>
        <w:tc>
          <w:tcPr>
            <w:tcW w:w="456" w:type="pct"/>
            <w:tcBorders>
              <w:tl2br w:val="nil"/>
              <w:tr2bl w:val="nil"/>
            </w:tcBorders>
            <w:noWrap/>
            <w:vAlign w:val="center"/>
          </w:tcPr>
          <w:p w14:paraId="498F9AA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441" w:type="pct"/>
            <w:tcBorders>
              <w:tl2br w:val="nil"/>
              <w:tr2bl w:val="nil"/>
            </w:tcBorders>
            <w:noWrap/>
            <w:vAlign w:val="center"/>
          </w:tcPr>
          <w:p w14:paraId="417A597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0E1D3AC">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0" w:hRule="atLeast"/>
          <w:jc w:val="center"/>
        </w:trPr>
        <w:tc>
          <w:tcPr>
            <w:tcW w:w="771" w:type="pct"/>
            <w:tcBorders>
              <w:tl2br w:val="nil"/>
              <w:tr2bl w:val="nil"/>
            </w:tcBorders>
            <w:noWrap w:val="0"/>
            <w:vAlign w:val="center"/>
          </w:tcPr>
          <w:p w14:paraId="5A150B1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苯</w:t>
            </w:r>
          </w:p>
        </w:tc>
        <w:tc>
          <w:tcPr>
            <w:tcW w:w="534" w:type="pct"/>
            <w:tcBorders>
              <w:tl2br w:val="nil"/>
              <w:tr2bl w:val="nil"/>
            </w:tcBorders>
            <w:noWrap w:val="0"/>
            <w:vAlign w:val="center"/>
          </w:tcPr>
          <w:p w14:paraId="7A75DAE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2905321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613B62A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7126DF7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74" w:type="pct"/>
            <w:tcBorders>
              <w:tl2br w:val="nil"/>
              <w:tr2bl w:val="nil"/>
            </w:tcBorders>
            <w:noWrap w:val="0"/>
            <w:vAlign w:val="center"/>
          </w:tcPr>
          <w:p w14:paraId="5580E11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0.4L</w:t>
            </w:r>
          </w:p>
        </w:tc>
        <w:tc>
          <w:tcPr>
            <w:tcW w:w="531" w:type="pct"/>
            <w:tcBorders>
              <w:tl2br w:val="nil"/>
              <w:tr2bl w:val="nil"/>
            </w:tcBorders>
            <w:noWrap w:val="0"/>
            <w:vAlign w:val="center"/>
          </w:tcPr>
          <w:p w14:paraId="51935A16">
            <w:pPr>
              <w:keepNext w:val="0"/>
              <w:keepLines w:val="0"/>
              <w:pageBreakBefore w:val="0"/>
              <w:widowControl/>
              <w:kinsoku/>
              <w:wordWrap/>
              <w:overflowPunct/>
              <w:topLinePunct w:val="0"/>
              <w:autoSpaceDE/>
              <w:autoSpaceDN/>
              <w:bidi w:val="0"/>
              <w:adjustRightInd/>
              <w:snapToGrid/>
              <w:spacing w:before="0" w:after="0" w:line="260" w:lineRule="exact"/>
              <w:ind w:left="0" w:firstLine="0"/>
              <w:jc w:val="center"/>
              <w:textAlignment w:val="auto"/>
              <w:rPr>
                <w:rFonts w:hint="default" w:ascii="Times New Roman" w:hAnsi="Times New Roman" w:eastAsia="宋体" w:cs="Times New Roman"/>
                <w:i w:val="0"/>
                <w:iCs w:val="0"/>
                <w:color w:val="000000"/>
                <w:sz w:val="21"/>
                <w:szCs w:val="21"/>
                <w:u w:val="none"/>
              </w:rPr>
            </w:pPr>
            <w:r>
              <w:rPr>
                <w:rFonts w:hint="default" w:ascii="Times New Roman" w:hAnsi="Times New Roman" w:cs="Times New Roman"/>
                <w:color w:val="000000"/>
                <w:kern w:val="2"/>
                <w:sz w:val="21"/>
                <w:szCs w:val="21"/>
                <w:highlight w:val="none"/>
                <w:lang w:val="en-US" w:eastAsia="zh-CN" w:bidi="ar-SA"/>
              </w:rPr>
              <w:t>1.4L</w:t>
            </w:r>
          </w:p>
        </w:tc>
        <w:tc>
          <w:tcPr>
            <w:tcW w:w="456" w:type="pct"/>
            <w:tcBorders>
              <w:tl2br w:val="nil"/>
              <w:tr2bl w:val="nil"/>
            </w:tcBorders>
            <w:noWrap/>
            <w:vAlign w:val="center"/>
          </w:tcPr>
          <w:p w14:paraId="163C8BA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≤10.0</w:t>
            </w:r>
          </w:p>
        </w:tc>
        <w:tc>
          <w:tcPr>
            <w:tcW w:w="441" w:type="pct"/>
            <w:tcBorders>
              <w:tl2br w:val="nil"/>
              <w:tr2bl w:val="nil"/>
            </w:tcBorders>
            <w:noWrap/>
            <w:vAlign w:val="center"/>
          </w:tcPr>
          <w:p w14:paraId="6763F51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3371399">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68" w:hRule="atLeast"/>
          <w:jc w:val="center"/>
        </w:trPr>
        <w:tc>
          <w:tcPr>
            <w:tcW w:w="771" w:type="pct"/>
            <w:tcBorders>
              <w:tl2br w:val="nil"/>
              <w:tr2bl w:val="nil"/>
            </w:tcBorders>
            <w:noWrap w:val="0"/>
            <w:vAlign w:val="center"/>
          </w:tcPr>
          <w:p w14:paraId="1C0BB1A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甲苯</w:t>
            </w:r>
          </w:p>
        </w:tc>
        <w:tc>
          <w:tcPr>
            <w:tcW w:w="534" w:type="pct"/>
            <w:tcBorders>
              <w:tl2br w:val="nil"/>
              <w:tr2bl w:val="nil"/>
            </w:tcBorders>
            <w:noWrap w:val="0"/>
            <w:vAlign w:val="center"/>
          </w:tcPr>
          <w:p w14:paraId="43E1C7D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μg/L</w:t>
            </w:r>
          </w:p>
        </w:tc>
        <w:tc>
          <w:tcPr>
            <w:tcW w:w="540" w:type="pct"/>
            <w:tcBorders>
              <w:tl2br w:val="nil"/>
              <w:tr2bl w:val="nil"/>
            </w:tcBorders>
            <w:noWrap w:val="0"/>
            <w:vAlign w:val="center"/>
          </w:tcPr>
          <w:p w14:paraId="0552C24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0.3L</w:t>
            </w:r>
          </w:p>
        </w:tc>
        <w:tc>
          <w:tcPr>
            <w:tcW w:w="574" w:type="pct"/>
            <w:tcBorders>
              <w:tl2br w:val="nil"/>
              <w:tr2bl w:val="nil"/>
            </w:tcBorders>
            <w:noWrap w:val="0"/>
            <w:vAlign w:val="center"/>
          </w:tcPr>
          <w:p w14:paraId="348060C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0.3L</w:t>
            </w:r>
          </w:p>
        </w:tc>
        <w:tc>
          <w:tcPr>
            <w:tcW w:w="574" w:type="pct"/>
            <w:tcBorders>
              <w:tl2br w:val="nil"/>
              <w:tr2bl w:val="nil"/>
            </w:tcBorders>
            <w:noWrap w:val="0"/>
            <w:vAlign w:val="center"/>
          </w:tcPr>
          <w:p w14:paraId="308A9B2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0.3L</w:t>
            </w:r>
          </w:p>
        </w:tc>
        <w:tc>
          <w:tcPr>
            <w:tcW w:w="574" w:type="pct"/>
            <w:tcBorders>
              <w:tl2br w:val="nil"/>
              <w:tr2bl w:val="nil"/>
            </w:tcBorders>
            <w:noWrap w:val="0"/>
            <w:vAlign w:val="center"/>
          </w:tcPr>
          <w:p w14:paraId="4F26035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0.3L</w:t>
            </w:r>
          </w:p>
        </w:tc>
        <w:tc>
          <w:tcPr>
            <w:tcW w:w="531" w:type="pct"/>
            <w:tcBorders>
              <w:tl2br w:val="nil"/>
              <w:tr2bl w:val="nil"/>
            </w:tcBorders>
            <w:noWrap w:val="0"/>
            <w:vAlign w:val="center"/>
          </w:tcPr>
          <w:p w14:paraId="06718738">
            <w:pPr>
              <w:keepNext w:val="0"/>
              <w:keepLines w:val="0"/>
              <w:pageBreakBefore w:val="0"/>
              <w:kinsoku/>
              <w:wordWrap/>
              <w:overflowPunct/>
              <w:topLinePunct w:val="0"/>
              <w:autoSpaceDE/>
              <w:autoSpaceDN/>
              <w:bidi w:val="0"/>
              <w:adjustRightInd/>
              <w:snapToGrid/>
              <w:spacing w:before="0" w:after="0" w:line="240" w:lineRule="exact"/>
              <w:ind w:left="0" w:firstLine="0"/>
              <w:jc w:val="center"/>
              <w:textAlignment w:val="auto"/>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1.4L</w:t>
            </w:r>
          </w:p>
        </w:tc>
        <w:tc>
          <w:tcPr>
            <w:tcW w:w="456" w:type="pct"/>
            <w:tcBorders>
              <w:tl2br w:val="nil"/>
              <w:tr2bl w:val="nil"/>
            </w:tcBorders>
            <w:noWrap/>
            <w:vAlign w:val="center"/>
          </w:tcPr>
          <w:p w14:paraId="3781B6A4">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≤700</w:t>
            </w:r>
          </w:p>
        </w:tc>
        <w:tc>
          <w:tcPr>
            <w:tcW w:w="441" w:type="pct"/>
            <w:tcBorders>
              <w:tl2br w:val="nil"/>
              <w:tr2bl w:val="nil"/>
            </w:tcBorders>
            <w:noWrap/>
            <w:vAlign w:val="center"/>
          </w:tcPr>
          <w:p w14:paraId="129F322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bl>
    <w:p w14:paraId="42214B46">
      <w:pPr>
        <w:pageBreakBefore w:val="0"/>
        <w:widowControl/>
        <w:kinsoku/>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根据表4.2</w:t>
      </w:r>
      <w:r>
        <w:rPr>
          <w:rFonts w:hint="default" w:ascii="Times New Roman" w:hAnsi="Times New Roman" w:cs="Times New Roman"/>
          <w:sz w:val="24"/>
          <w:szCs w:val="24"/>
          <w:highlight w:val="none"/>
          <w:lang w:val="en-US" w:eastAsia="zh-CN"/>
        </w:rPr>
        <w:noBreakHyphen/>
      </w:r>
      <w:r>
        <w:rPr>
          <w:rFonts w:hint="default" w:ascii="Times New Roman" w:hAnsi="Times New Roman" w:cs="Times New Roman"/>
          <w:sz w:val="24"/>
          <w:szCs w:val="24"/>
          <w:highlight w:val="none"/>
          <w:lang w:val="en-US" w:eastAsia="zh-CN"/>
        </w:rPr>
        <w:t>5可知，部分监测点中氯化物、总硬度、溶解性总固体超过《地下水质量标准》（GB/T14848-2017）Ⅲ类标准，超标主要和所在区域的地质环境有关，其余各监测点监测因子均满足《地下水质量标准》（GB/T14848-2017）Ⅲ类标准，项目区地下水水质良好</w:t>
      </w:r>
      <w:r>
        <w:rPr>
          <w:rFonts w:hint="default" w:ascii="Times New Roman" w:hAnsi="Times New Roman" w:eastAsia="宋体" w:cs="Times New Roman"/>
          <w:sz w:val="24"/>
          <w:szCs w:val="24"/>
          <w:highlight w:val="none"/>
          <w:lang w:eastAsia="zh-CN"/>
        </w:rPr>
        <w:t>。</w:t>
      </w:r>
    </w:p>
    <w:p w14:paraId="7063C305">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4.</w:t>
      </w:r>
      <w:r>
        <w:rPr>
          <w:rFonts w:hint="default" w:ascii="Times New Roman" w:hAnsi="Times New Roman" w:cs="Times New Roman"/>
          <w:b/>
          <w:bCs/>
          <w:sz w:val="24"/>
          <w:szCs w:val="16"/>
          <w:highlight w:val="none"/>
          <w:lang w:val="en-US" w:eastAsia="zh-CN"/>
        </w:rPr>
        <w:t>2</w:t>
      </w:r>
      <w:r>
        <w:rPr>
          <w:rFonts w:hint="default" w:ascii="Times New Roman" w:hAnsi="Times New Roman" w:eastAsia="宋体" w:cs="Times New Roman"/>
          <w:b/>
          <w:bCs/>
          <w:sz w:val="24"/>
          <w:szCs w:val="16"/>
          <w:highlight w:val="none"/>
        </w:rPr>
        <w:t>.3声环境</w:t>
      </w:r>
      <w:r>
        <w:rPr>
          <w:rFonts w:hint="default" w:ascii="Times New Roman" w:hAnsi="Times New Roman" w:eastAsia="宋体" w:cs="Times New Roman"/>
          <w:b/>
          <w:bCs/>
          <w:sz w:val="24"/>
          <w:szCs w:val="16"/>
          <w:highlight w:val="none"/>
          <w:lang w:val="en-US" w:eastAsia="zh-CN"/>
        </w:rPr>
        <w:t>质量</w:t>
      </w:r>
      <w:r>
        <w:rPr>
          <w:rFonts w:hint="default" w:ascii="Times New Roman" w:hAnsi="Times New Roman" w:eastAsia="宋体" w:cs="Times New Roman"/>
          <w:b/>
          <w:bCs/>
          <w:sz w:val="24"/>
          <w:szCs w:val="16"/>
          <w:highlight w:val="none"/>
        </w:rPr>
        <w:t>现状调查</w:t>
      </w:r>
    </w:p>
    <w:p w14:paraId="3EEF7693">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（1）数据来源</w:t>
      </w:r>
    </w:p>
    <w:p w14:paraId="2DD13E34">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根据《环境影响评价技术导则 声环境》（HJ2.4-2021）要求，本次</w:t>
      </w:r>
      <w:r>
        <w:rPr>
          <w:rFonts w:hint="default" w:ascii="Times New Roman" w:hAnsi="Times New Roman" w:cs="Times New Roman"/>
          <w:sz w:val="24"/>
          <w:szCs w:val="24"/>
          <w:highlight w:val="none"/>
          <w:lang w:val="en-US" w:eastAsia="zh-CN"/>
        </w:rPr>
        <w:t>评价采用新疆兴悦化工有限公司2025年第三季度例行监测数据</w:t>
      </w:r>
      <w:r>
        <w:rPr>
          <w:rFonts w:hint="default" w:ascii="Times New Roman" w:hAnsi="Times New Roman" w:eastAsia="宋体" w:cs="Times New Roman"/>
          <w:sz w:val="24"/>
          <w:szCs w:val="24"/>
          <w:highlight w:val="none"/>
          <w:lang w:val="en-US" w:eastAsia="zh-CN"/>
        </w:rPr>
        <w:t>。</w:t>
      </w:r>
    </w:p>
    <w:p w14:paraId="1455DED5">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监测时间：202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sz w:val="24"/>
          <w:szCs w:val="24"/>
          <w:highlight w:val="none"/>
          <w:lang w:val="en-US" w:eastAsia="zh-CN"/>
        </w:rPr>
        <w:t>8</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sz w:val="24"/>
          <w:szCs w:val="24"/>
          <w:highlight w:val="none"/>
          <w:lang w:val="en-US" w:eastAsia="zh-CN"/>
        </w:rPr>
        <w:t>17</w:t>
      </w:r>
      <w:r>
        <w:rPr>
          <w:rFonts w:hint="default" w:ascii="Times New Roman" w:hAnsi="Times New Roman" w:eastAsia="宋体" w:cs="Times New Roman"/>
          <w:sz w:val="24"/>
          <w:szCs w:val="24"/>
          <w:highlight w:val="none"/>
          <w:lang w:val="en-US" w:eastAsia="zh-CN"/>
        </w:rPr>
        <w:t>-202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sz w:val="24"/>
          <w:szCs w:val="24"/>
          <w:highlight w:val="none"/>
          <w:lang w:val="en-US" w:eastAsia="zh-CN"/>
        </w:rPr>
        <w:t>8</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sz w:val="24"/>
          <w:szCs w:val="24"/>
          <w:highlight w:val="none"/>
          <w:lang w:val="en-US" w:eastAsia="zh-CN"/>
        </w:rPr>
        <w:t>18</w:t>
      </w:r>
      <w:r>
        <w:rPr>
          <w:rFonts w:hint="default" w:ascii="Times New Roman" w:hAnsi="Times New Roman" w:eastAsia="宋体" w:cs="Times New Roman"/>
          <w:sz w:val="24"/>
          <w:szCs w:val="24"/>
          <w:highlight w:val="none"/>
          <w:lang w:val="en-US" w:eastAsia="zh-CN"/>
        </w:rPr>
        <w:t>；</w:t>
      </w:r>
    </w:p>
    <w:p w14:paraId="6CC35ED1">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监测因子：等效</w:t>
      </w:r>
      <w:r>
        <w:rPr>
          <w:rFonts w:hint="default" w:ascii="Times New Roman" w:hAnsi="Times New Roman" w:eastAsia="宋体" w:cs="Times New Roman"/>
          <w:sz w:val="24"/>
          <w:szCs w:val="24"/>
          <w:highlight w:val="none"/>
          <w:lang w:val="en-US" w:eastAsia="zh-CN"/>
        </w:rPr>
        <w:t>连续</w:t>
      </w:r>
      <w:r>
        <w:rPr>
          <w:rFonts w:hint="default" w:ascii="Times New Roman" w:hAnsi="Times New Roman" w:eastAsia="宋体" w:cs="Times New Roman"/>
          <w:sz w:val="24"/>
          <w:szCs w:val="24"/>
          <w:highlight w:val="none"/>
        </w:rPr>
        <w:t>A声级</w:t>
      </w:r>
      <w:r>
        <w:rPr>
          <w:rFonts w:hint="default" w:ascii="Times New Roman" w:hAnsi="Times New Roman" w:eastAsia="宋体" w:cs="Times New Roman"/>
          <w:sz w:val="24"/>
          <w:szCs w:val="24"/>
          <w:highlight w:val="none"/>
          <w:lang w:eastAsia="zh-CN"/>
        </w:rPr>
        <w:t>；</w:t>
      </w:r>
    </w:p>
    <w:p w14:paraId="66B23C8F">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监测点位：厂界四周。</w:t>
      </w:r>
    </w:p>
    <w:p w14:paraId="255147F2">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（2）评价标准</w:t>
      </w:r>
    </w:p>
    <w:p w14:paraId="0C8C70F9">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执行《声环境质量标准》（GB3096-2008）</w:t>
      </w:r>
      <w:r>
        <w:rPr>
          <w:rFonts w:hint="default" w:ascii="Times New Roman" w:hAnsi="Times New Roman" w:cs="Times New Roman"/>
          <w:sz w:val="24"/>
          <w:szCs w:val="24"/>
          <w:highlight w:val="none"/>
          <w:lang w:val="en-US" w:eastAsia="zh-CN"/>
        </w:rPr>
        <w:t>3</w:t>
      </w:r>
      <w:r>
        <w:rPr>
          <w:rFonts w:hint="default" w:ascii="Times New Roman" w:hAnsi="Times New Roman" w:eastAsia="宋体" w:cs="Times New Roman"/>
          <w:sz w:val="24"/>
          <w:szCs w:val="24"/>
          <w:highlight w:val="none"/>
        </w:rPr>
        <w:t>类标准。</w:t>
      </w:r>
    </w:p>
    <w:p w14:paraId="5FA419B0">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（3）评价方法</w:t>
      </w:r>
    </w:p>
    <w:p w14:paraId="31B8A20A">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采用</w:t>
      </w:r>
      <w:r>
        <w:rPr>
          <w:rFonts w:hint="default" w:ascii="Times New Roman" w:hAnsi="Times New Roman" w:cs="Times New Roman"/>
          <w:sz w:val="24"/>
          <w:szCs w:val="24"/>
          <w:highlight w:val="none"/>
          <w:lang w:val="en-US" w:eastAsia="zh-CN"/>
        </w:rPr>
        <w:t>现状</w:t>
      </w:r>
      <w:r>
        <w:rPr>
          <w:rFonts w:hint="default" w:ascii="Times New Roman" w:hAnsi="Times New Roman" w:eastAsia="宋体" w:cs="Times New Roman"/>
          <w:sz w:val="24"/>
          <w:szCs w:val="24"/>
          <w:highlight w:val="none"/>
        </w:rPr>
        <w:t>监测值与标准值对比法。</w:t>
      </w:r>
    </w:p>
    <w:p w14:paraId="1CDCFC26">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（4）监测结果与评价</w:t>
      </w:r>
    </w:p>
    <w:p w14:paraId="5ECDCFC0">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项目厂界</w:t>
      </w:r>
      <w:r>
        <w:rPr>
          <w:rFonts w:hint="default" w:ascii="Times New Roman" w:hAnsi="Times New Roman" w:eastAsia="宋体" w:cs="Times New Roman"/>
          <w:sz w:val="24"/>
          <w:szCs w:val="24"/>
          <w:highlight w:val="none"/>
        </w:rPr>
        <w:t>噪声监测结果见表4.</w:t>
      </w:r>
      <w:r>
        <w:rPr>
          <w:rFonts w:hint="default" w:ascii="Times New Roman" w:hAnsi="Times New Roman" w:cs="Times New Roman"/>
          <w:sz w:val="24"/>
          <w:szCs w:val="24"/>
          <w:highlight w:val="none"/>
          <w:lang w:val="en-US" w:eastAsia="zh-CN"/>
        </w:rPr>
        <w:t>2-6</w:t>
      </w:r>
      <w:r>
        <w:rPr>
          <w:rFonts w:hint="default" w:ascii="Times New Roman" w:hAnsi="Times New Roman" w:eastAsia="宋体" w:cs="Times New Roman"/>
          <w:sz w:val="24"/>
          <w:szCs w:val="24"/>
          <w:highlight w:val="none"/>
        </w:rPr>
        <w:t>。</w:t>
      </w:r>
    </w:p>
    <w:p w14:paraId="03DB02D8">
      <w:pPr>
        <w:keepNext w:val="0"/>
        <w:keepLines w:val="0"/>
        <w:pageBreakBefore w:val="0"/>
        <w:widowControl/>
        <w:kinsoku/>
        <w:wordWrap/>
        <w:overflowPunct/>
        <w:topLinePunct w:val="0"/>
        <w:autoSpaceDE/>
        <w:autoSpaceDN/>
        <w:bidi w:val="0"/>
        <w:adjustRightInd/>
        <w:snapToGrid w:val="0"/>
        <w:spacing w:line="240" w:lineRule="auto"/>
        <w:jc w:val="right"/>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rPr>
        <w:t>表4.</w:t>
      </w:r>
      <w:r>
        <w:rPr>
          <w:rFonts w:hint="default" w:ascii="Times New Roman" w:hAnsi="Times New Roman" w:cs="Times New Roman"/>
          <w:b/>
          <w:bCs/>
          <w:sz w:val="24"/>
          <w:szCs w:val="24"/>
          <w:highlight w:val="none"/>
          <w:lang w:val="en-US" w:eastAsia="zh-CN"/>
        </w:rPr>
        <w:t>2-6</w:t>
      </w:r>
      <w:r>
        <w:rPr>
          <w:rFonts w:hint="default" w:ascii="Times New Roman" w:hAnsi="Times New Roman" w:eastAsia="宋体" w:cs="Times New Roman"/>
          <w:b/>
          <w:bCs/>
          <w:sz w:val="24"/>
          <w:szCs w:val="24"/>
          <w:highlight w:val="none"/>
        </w:rPr>
        <w:t xml:space="preserve"> 噪声现状监测及评价结果表</w:t>
      </w:r>
      <w:r>
        <w:rPr>
          <w:rFonts w:hint="default" w:ascii="Times New Roman" w:hAnsi="Times New Roman" w:eastAsia="宋体" w:cs="Times New Roman"/>
          <w:b/>
          <w:bCs/>
          <w:sz w:val="24"/>
          <w:szCs w:val="24"/>
          <w:highlight w:val="none"/>
          <w:lang w:val="en-US" w:eastAsia="zh-CN"/>
        </w:rPr>
        <w:t xml:space="preserve">      </w:t>
      </w:r>
      <w:r>
        <w:rPr>
          <w:rFonts w:hint="default" w:ascii="Times New Roman" w:hAnsi="Times New Roman" w:cs="Times New Roman"/>
          <w:b/>
          <w:bCs/>
          <w:sz w:val="24"/>
          <w:szCs w:val="24"/>
          <w:highlight w:val="none"/>
          <w:lang w:val="en-US" w:eastAsia="zh-CN"/>
        </w:rPr>
        <w:t xml:space="preserve"> </w:t>
      </w:r>
      <w:r>
        <w:rPr>
          <w:rFonts w:hint="default" w:ascii="Times New Roman" w:hAnsi="Times New Roman" w:eastAsia="宋体" w:cs="Times New Roman"/>
          <w:b/>
          <w:bCs/>
          <w:sz w:val="24"/>
          <w:szCs w:val="24"/>
          <w:highlight w:val="none"/>
          <w:lang w:val="en-US" w:eastAsia="zh-CN"/>
        </w:rPr>
        <w:t xml:space="preserve">   单位：dB（A）</w:t>
      </w:r>
    </w:p>
    <w:tbl>
      <w:tblPr>
        <w:tblStyle w:val="39"/>
        <w:tblW w:w="4999" w:type="pct"/>
        <w:tblInd w:w="0" w:type="dxa"/>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2010"/>
        <w:gridCol w:w="924"/>
        <w:gridCol w:w="928"/>
        <w:gridCol w:w="928"/>
        <w:gridCol w:w="933"/>
        <w:gridCol w:w="928"/>
        <w:gridCol w:w="929"/>
        <w:gridCol w:w="934"/>
      </w:tblGrid>
      <w:tr w14:paraId="31E6B3C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18" w:type="pct"/>
            <w:vMerge w:val="restart"/>
            <w:tcBorders>
              <w:tl2br w:val="nil"/>
              <w:tr2bl w:val="nil"/>
            </w:tcBorders>
            <w:noWrap w:val="0"/>
            <w:tcMar>
              <w:top w:w="0" w:type="dxa"/>
              <w:left w:w="108" w:type="dxa"/>
              <w:bottom w:w="0" w:type="dxa"/>
              <w:right w:w="108" w:type="dxa"/>
            </w:tcMar>
            <w:vAlign w:val="center"/>
          </w:tcPr>
          <w:p w14:paraId="08AF53C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监测时间</w:t>
            </w:r>
          </w:p>
        </w:tc>
        <w:tc>
          <w:tcPr>
            <w:tcW w:w="609" w:type="pct"/>
            <w:vMerge w:val="restart"/>
            <w:tcBorders>
              <w:tl2br w:val="nil"/>
              <w:tr2bl w:val="nil"/>
            </w:tcBorders>
            <w:noWrap w:val="0"/>
            <w:tcMar>
              <w:top w:w="0" w:type="dxa"/>
              <w:left w:w="108" w:type="dxa"/>
              <w:bottom w:w="0" w:type="dxa"/>
              <w:right w:w="108" w:type="dxa"/>
            </w:tcMar>
            <w:vAlign w:val="center"/>
          </w:tcPr>
          <w:p w14:paraId="4405911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监测位置</w:t>
            </w:r>
          </w:p>
        </w:tc>
        <w:tc>
          <w:tcPr>
            <w:tcW w:w="1836" w:type="pct"/>
            <w:gridSpan w:val="3"/>
            <w:tcBorders>
              <w:tl2br w:val="nil"/>
              <w:tr2bl w:val="nil"/>
            </w:tcBorders>
            <w:noWrap w:val="0"/>
            <w:tcMar>
              <w:top w:w="0" w:type="dxa"/>
              <w:left w:w="108" w:type="dxa"/>
              <w:bottom w:w="0" w:type="dxa"/>
              <w:right w:w="108" w:type="dxa"/>
            </w:tcMar>
            <w:vAlign w:val="center"/>
          </w:tcPr>
          <w:p w14:paraId="5A2EBFD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昼间</w:t>
            </w:r>
          </w:p>
        </w:tc>
        <w:tc>
          <w:tcPr>
            <w:tcW w:w="1836" w:type="pct"/>
            <w:gridSpan w:val="3"/>
            <w:tcBorders>
              <w:tl2br w:val="nil"/>
              <w:tr2bl w:val="nil"/>
            </w:tcBorders>
            <w:noWrap w:val="0"/>
            <w:tcMar>
              <w:top w:w="0" w:type="dxa"/>
              <w:left w:w="108" w:type="dxa"/>
              <w:bottom w:w="0" w:type="dxa"/>
              <w:right w:w="108" w:type="dxa"/>
            </w:tcMar>
            <w:vAlign w:val="center"/>
          </w:tcPr>
          <w:p w14:paraId="2B4F6F6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夜间</w:t>
            </w:r>
          </w:p>
        </w:tc>
      </w:tr>
      <w:tr w14:paraId="75218890">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18" w:type="pct"/>
            <w:vMerge w:val="continue"/>
            <w:tcBorders>
              <w:tl2br w:val="nil"/>
              <w:tr2bl w:val="nil"/>
            </w:tcBorders>
            <w:noWrap w:val="0"/>
            <w:tcMar>
              <w:top w:w="0" w:type="dxa"/>
              <w:left w:w="108" w:type="dxa"/>
              <w:bottom w:w="0" w:type="dxa"/>
              <w:right w:w="108" w:type="dxa"/>
            </w:tcMar>
            <w:vAlign w:val="center"/>
          </w:tcPr>
          <w:p w14:paraId="5775F2B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p>
        </w:tc>
        <w:tc>
          <w:tcPr>
            <w:tcW w:w="609" w:type="pct"/>
            <w:vMerge w:val="continue"/>
            <w:tcBorders>
              <w:tl2br w:val="nil"/>
              <w:tr2bl w:val="nil"/>
            </w:tcBorders>
            <w:noWrap w:val="0"/>
            <w:tcMar>
              <w:top w:w="0" w:type="dxa"/>
              <w:left w:w="108" w:type="dxa"/>
              <w:bottom w:w="0" w:type="dxa"/>
              <w:right w:w="108" w:type="dxa"/>
            </w:tcMar>
            <w:vAlign w:val="center"/>
          </w:tcPr>
          <w:p w14:paraId="4CA1E38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p>
        </w:tc>
        <w:tc>
          <w:tcPr>
            <w:tcW w:w="611" w:type="pct"/>
            <w:tcBorders>
              <w:tl2br w:val="nil"/>
              <w:tr2bl w:val="nil"/>
            </w:tcBorders>
            <w:noWrap w:val="0"/>
            <w:tcMar>
              <w:top w:w="0" w:type="dxa"/>
              <w:left w:w="108" w:type="dxa"/>
              <w:bottom w:w="0" w:type="dxa"/>
              <w:right w:w="108" w:type="dxa"/>
            </w:tcMar>
            <w:vAlign w:val="center"/>
          </w:tcPr>
          <w:p w14:paraId="669735B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监测值</w:t>
            </w:r>
          </w:p>
        </w:tc>
        <w:tc>
          <w:tcPr>
            <w:tcW w:w="611" w:type="pct"/>
            <w:tcBorders>
              <w:tl2br w:val="nil"/>
              <w:tr2bl w:val="nil"/>
            </w:tcBorders>
            <w:noWrap w:val="0"/>
            <w:tcMar>
              <w:top w:w="0" w:type="dxa"/>
              <w:left w:w="108" w:type="dxa"/>
              <w:bottom w:w="0" w:type="dxa"/>
              <w:right w:w="108" w:type="dxa"/>
            </w:tcMar>
            <w:vAlign w:val="center"/>
          </w:tcPr>
          <w:p w14:paraId="4A49F08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标准值</w:t>
            </w:r>
          </w:p>
        </w:tc>
        <w:tc>
          <w:tcPr>
            <w:tcW w:w="612" w:type="pct"/>
            <w:tcBorders>
              <w:tl2br w:val="nil"/>
              <w:tr2bl w:val="nil"/>
            </w:tcBorders>
            <w:noWrap w:val="0"/>
            <w:tcMar>
              <w:top w:w="0" w:type="dxa"/>
              <w:left w:w="108" w:type="dxa"/>
              <w:bottom w:w="0" w:type="dxa"/>
              <w:right w:w="108" w:type="dxa"/>
            </w:tcMar>
            <w:vAlign w:val="center"/>
          </w:tcPr>
          <w:p w14:paraId="24B7468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达标情况</w:t>
            </w:r>
          </w:p>
        </w:tc>
        <w:tc>
          <w:tcPr>
            <w:tcW w:w="611" w:type="pct"/>
            <w:tcBorders>
              <w:tl2br w:val="nil"/>
              <w:tr2bl w:val="nil"/>
            </w:tcBorders>
            <w:noWrap w:val="0"/>
            <w:tcMar>
              <w:top w:w="0" w:type="dxa"/>
              <w:left w:w="108" w:type="dxa"/>
              <w:bottom w:w="0" w:type="dxa"/>
              <w:right w:w="108" w:type="dxa"/>
            </w:tcMar>
            <w:vAlign w:val="center"/>
          </w:tcPr>
          <w:p w14:paraId="2034B64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监测值</w:t>
            </w:r>
          </w:p>
        </w:tc>
        <w:tc>
          <w:tcPr>
            <w:tcW w:w="611" w:type="pct"/>
            <w:tcBorders>
              <w:tl2br w:val="nil"/>
              <w:tr2bl w:val="nil"/>
            </w:tcBorders>
            <w:noWrap w:val="0"/>
            <w:tcMar>
              <w:top w:w="0" w:type="dxa"/>
              <w:left w:w="108" w:type="dxa"/>
              <w:bottom w:w="0" w:type="dxa"/>
              <w:right w:w="108" w:type="dxa"/>
            </w:tcMar>
            <w:vAlign w:val="center"/>
          </w:tcPr>
          <w:p w14:paraId="5761C1A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标准值</w:t>
            </w:r>
          </w:p>
        </w:tc>
        <w:tc>
          <w:tcPr>
            <w:tcW w:w="612" w:type="pct"/>
            <w:tcBorders>
              <w:tl2br w:val="nil"/>
              <w:tr2bl w:val="nil"/>
            </w:tcBorders>
            <w:noWrap w:val="0"/>
            <w:tcMar>
              <w:top w:w="0" w:type="dxa"/>
              <w:left w:w="108" w:type="dxa"/>
              <w:bottom w:w="0" w:type="dxa"/>
              <w:right w:w="108" w:type="dxa"/>
            </w:tcMar>
            <w:vAlign w:val="center"/>
          </w:tcPr>
          <w:p w14:paraId="28124FE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达标情况</w:t>
            </w:r>
          </w:p>
        </w:tc>
      </w:tr>
      <w:tr w14:paraId="65F617A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18" w:type="pct"/>
            <w:vMerge w:val="restart"/>
            <w:tcBorders>
              <w:tl2br w:val="nil"/>
              <w:tr2bl w:val="nil"/>
            </w:tcBorders>
            <w:noWrap w:val="0"/>
            <w:tcMar>
              <w:top w:w="0" w:type="dxa"/>
              <w:left w:w="108" w:type="dxa"/>
              <w:bottom w:w="0" w:type="dxa"/>
              <w:right w:w="108" w:type="dxa"/>
            </w:tcMar>
            <w:vAlign w:val="center"/>
          </w:tcPr>
          <w:p w14:paraId="0157A0FB">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cs="Times New Roman"/>
                <w:sz w:val="21"/>
                <w:highlight w:val="none"/>
                <w:lang w:val="en-US" w:eastAsia="zh-CN"/>
              </w:rPr>
              <w:t>2025.8.17~</w:t>
            </w:r>
            <w:r>
              <w:rPr>
                <w:rFonts w:hint="default" w:ascii="Times New Roman" w:hAnsi="Times New Roman" w:eastAsia="宋体" w:cs="Times New Roman"/>
                <w:sz w:val="21"/>
                <w:highlight w:val="none"/>
                <w:lang w:val="en-US" w:eastAsia="zh-CN"/>
              </w:rPr>
              <w:t>2025.8.18</w:t>
            </w:r>
          </w:p>
        </w:tc>
        <w:tc>
          <w:tcPr>
            <w:tcW w:w="609" w:type="pct"/>
            <w:tcBorders>
              <w:tl2br w:val="nil"/>
              <w:tr2bl w:val="nil"/>
            </w:tcBorders>
            <w:noWrap w:val="0"/>
            <w:tcMar>
              <w:top w:w="0" w:type="dxa"/>
              <w:left w:w="108" w:type="dxa"/>
              <w:bottom w:w="0" w:type="dxa"/>
              <w:right w:w="108" w:type="dxa"/>
            </w:tcMar>
            <w:vAlign w:val="center"/>
          </w:tcPr>
          <w:p w14:paraId="7DA9992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rPr>
              <w:t>1#</w:t>
            </w:r>
            <w:r>
              <w:rPr>
                <w:rFonts w:hint="default" w:ascii="Times New Roman" w:hAnsi="Times New Roman" w:eastAsia="宋体" w:cs="Times New Roman"/>
                <w:sz w:val="21"/>
                <w:highlight w:val="none"/>
                <w:lang w:val="en-US" w:eastAsia="zh-CN"/>
              </w:rPr>
              <w:t>东</w:t>
            </w:r>
          </w:p>
        </w:tc>
        <w:tc>
          <w:tcPr>
            <w:tcW w:w="611" w:type="pct"/>
            <w:tcBorders>
              <w:tl2br w:val="nil"/>
              <w:tr2bl w:val="nil"/>
            </w:tcBorders>
            <w:shd w:val="clear" w:color="auto" w:fill="auto"/>
            <w:noWrap w:val="0"/>
            <w:tcMar>
              <w:top w:w="0" w:type="dxa"/>
              <w:left w:w="108" w:type="dxa"/>
              <w:bottom w:w="0" w:type="dxa"/>
              <w:right w:w="108" w:type="dxa"/>
            </w:tcMar>
            <w:vAlign w:val="center"/>
          </w:tcPr>
          <w:p w14:paraId="6F5271C1">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cs="Times New Roman"/>
                <w:color w:val="000000"/>
                <w:sz w:val="21"/>
                <w:szCs w:val="21"/>
                <w:lang w:val="en-US" w:eastAsia="zh-CN"/>
              </w:rPr>
              <w:t>55.5</w:t>
            </w:r>
          </w:p>
        </w:tc>
        <w:tc>
          <w:tcPr>
            <w:tcW w:w="611" w:type="pct"/>
            <w:vMerge w:val="restart"/>
            <w:tcBorders>
              <w:tl2br w:val="nil"/>
              <w:tr2bl w:val="nil"/>
            </w:tcBorders>
            <w:noWrap w:val="0"/>
            <w:tcMar>
              <w:top w:w="0" w:type="dxa"/>
              <w:left w:w="108" w:type="dxa"/>
              <w:bottom w:w="0" w:type="dxa"/>
              <w:right w:w="108" w:type="dxa"/>
            </w:tcMar>
            <w:vAlign w:val="center"/>
          </w:tcPr>
          <w:p w14:paraId="595D549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6</w:t>
            </w:r>
            <w:r>
              <w:rPr>
                <w:rFonts w:hint="default" w:ascii="Times New Roman" w:hAnsi="Times New Roman" w:cs="Times New Roman"/>
                <w:sz w:val="21"/>
                <w:highlight w:val="none"/>
                <w:lang w:val="en-US" w:eastAsia="zh-CN"/>
              </w:rPr>
              <w:t>5</w:t>
            </w:r>
          </w:p>
        </w:tc>
        <w:tc>
          <w:tcPr>
            <w:tcW w:w="612" w:type="pct"/>
            <w:tcBorders>
              <w:tl2br w:val="nil"/>
              <w:tr2bl w:val="nil"/>
            </w:tcBorders>
            <w:noWrap w:val="0"/>
            <w:tcMar>
              <w:top w:w="0" w:type="dxa"/>
              <w:left w:w="108" w:type="dxa"/>
              <w:bottom w:w="0" w:type="dxa"/>
              <w:right w:w="108" w:type="dxa"/>
            </w:tcMar>
            <w:vAlign w:val="center"/>
          </w:tcPr>
          <w:p w14:paraId="4C13624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达标</w:t>
            </w:r>
          </w:p>
        </w:tc>
        <w:tc>
          <w:tcPr>
            <w:tcW w:w="611" w:type="pct"/>
            <w:tcBorders>
              <w:tl2br w:val="nil"/>
              <w:tr2bl w:val="nil"/>
            </w:tcBorders>
            <w:shd w:val="clear" w:color="auto" w:fill="auto"/>
            <w:noWrap w:val="0"/>
            <w:tcMar>
              <w:top w:w="0" w:type="dxa"/>
              <w:left w:w="108" w:type="dxa"/>
              <w:bottom w:w="0" w:type="dxa"/>
              <w:right w:w="108" w:type="dxa"/>
            </w:tcMar>
            <w:vAlign w:val="center"/>
          </w:tcPr>
          <w:p w14:paraId="3BC1A67F">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cs="Times New Roman"/>
                <w:color w:val="000000"/>
                <w:sz w:val="21"/>
                <w:szCs w:val="21"/>
                <w:lang w:val="en-US" w:eastAsia="zh-CN"/>
              </w:rPr>
              <w:t>52.2</w:t>
            </w:r>
          </w:p>
        </w:tc>
        <w:tc>
          <w:tcPr>
            <w:tcW w:w="611" w:type="pct"/>
            <w:vMerge w:val="restart"/>
            <w:tcBorders>
              <w:tl2br w:val="nil"/>
              <w:tr2bl w:val="nil"/>
            </w:tcBorders>
            <w:noWrap w:val="0"/>
            <w:tcMar>
              <w:top w:w="0" w:type="dxa"/>
              <w:left w:w="108" w:type="dxa"/>
              <w:bottom w:w="0" w:type="dxa"/>
              <w:right w:w="108" w:type="dxa"/>
            </w:tcMar>
            <w:vAlign w:val="center"/>
          </w:tcPr>
          <w:p w14:paraId="066409C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eastAsia="zh-CN"/>
              </w:rPr>
            </w:pPr>
            <w:r>
              <w:rPr>
                <w:rFonts w:hint="default" w:ascii="Times New Roman" w:hAnsi="Times New Roman" w:eastAsia="宋体" w:cs="Times New Roman"/>
                <w:sz w:val="21"/>
                <w:highlight w:val="none"/>
              </w:rPr>
              <w:t>5</w:t>
            </w:r>
            <w:r>
              <w:rPr>
                <w:rFonts w:hint="default" w:ascii="Times New Roman" w:hAnsi="Times New Roman" w:cs="Times New Roman"/>
                <w:sz w:val="21"/>
                <w:highlight w:val="none"/>
                <w:lang w:val="en-US" w:eastAsia="zh-CN"/>
              </w:rPr>
              <w:t>5</w:t>
            </w:r>
          </w:p>
        </w:tc>
        <w:tc>
          <w:tcPr>
            <w:tcW w:w="612" w:type="pct"/>
            <w:tcBorders>
              <w:tl2br w:val="nil"/>
              <w:tr2bl w:val="nil"/>
            </w:tcBorders>
            <w:noWrap w:val="0"/>
            <w:tcMar>
              <w:top w:w="0" w:type="dxa"/>
              <w:left w:w="108" w:type="dxa"/>
              <w:bottom w:w="0" w:type="dxa"/>
              <w:right w:w="108" w:type="dxa"/>
            </w:tcMar>
            <w:vAlign w:val="center"/>
          </w:tcPr>
          <w:p w14:paraId="2371D53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达标</w:t>
            </w:r>
          </w:p>
        </w:tc>
      </w:tr>
      <w:tr w14:paraId="4615AAB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18" w:type="pct"/>
            <w:vMerge w:val="continue"/>
            <w:tcBorders>
              <w:tl2br w:val="nil"/>
              <w:tr2bl w:val="nil"/>
            </w:tcBorders>
            <w:noWrap w:val="0"/>
            <w:tcMar>
              <w:top w:w="0" w:type="dxa"/>
              <w:left w:w="108" w:type="dxa"/>
              <w:bottom w:w="0" w:type="dxa"/>
              <w:right w:w="108" w:type="dxa"/>
            </w:tcMar>
            <w:vAlign w:val="center"/>
          </w:tcPr>
          <w:p w14:paraId="4F46503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609" w:type="pct"/>
            <w:tcBorders>
              <w:tl2br w:val="nil"/>
              <w:tr2bl w:val="nil"/>
            </w:tcBorders>
            <w:noWrap w:val="0"/>
            <w:tcMar>
              <w:top w:w="0" w:type="dxa"/>
              <w:left w:w="108" w:type="dxa"/>
              <w:bottom w:w="0" w:type="dxa"/>
              <w:right w:w="108" w:type="dxa"/>
            </w:tcMar>
            <w:vAlign w:val="center"/>
          </w:tcPr>
          <w:p w14:paraId="5DE3371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rPr>
              <w:t>2#</w:t>
            </w:r>
            <w:r>
              <w:rPr>
                <w:rFonts w:hint="default" w:ascii="Times New Roman" w:hAnsi="Times New Roman" w:cs="Times New Roman"/>
                <w:sz w:val="21"/>
                <w:highlight w:val="none"/>
                <w:lang w:val="en-US" w:eastAsia="zh-CN"/>
              </w:rPr>
              <w:t>北</w:t>
            </w:r>
          </w:p>
        </w:tc>
        <w:tc>
          <w:tcPr>
            <w:tcW w:w="611" w:type="pct"/>
            <w:tcBorders>
              <w:tl2br w:val="nil"/>
              <w:tr2bl w:val="nil"/>
            </w:tcBorders>
            <w:shd w:val="clear" w:color="auto" w:fill="auto"/>
            <w:noWrap w:val="0"/>
            <w:tcMar>
              <w:top w:w="0" w:type="dxa"/>
              <w:left w:w="108" w:type="dxa"/>
              <w:bottom w:w="0" w:type="dxa"/>
              <w:right w:w="108" w:type="dxa"/>
            </w:tcMar>
            <w:vAlign w:val="center"/>
          </w:tcPr>
          <w:p w14:paraId="4ECDF731">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cs="Times New Roman"/>
                <w:color w:val="000000"/>
                <w:sz w:val="21"/>
                <w:szCs w:val="21"/>
                <w:lang w:val="en-US" w:eastAsia="zh-CN"/>
              </w:rPr>
              <w:t>53.2</w:t>
            </w:r>
          </w:p>
        </w:tc>
        <w:tc>
          <w:tcPr>
            <w:tcW w:w="611" w:type="pct"/>
            <w:vMerge w:val="continue"/>
            <w:tcBorders>
              <w:tl2br w:val="nil"/>
              <w:tr2bl w:val="nil"/>
            </w:tcBorders>
            <w:noWrap w:val="0"/>
            <w:tcMar>
              <w:top w:w="0" w:type="dxa"/>
              <w:left w:w="108" w:type="dxa"/>
              <w:bottom w:w="0" w:type="dxa"/>
              <w:right w:w="108" w:type="dxa"/>
            </w:tcMar>
            <w:vAlign w:val="center"/>
          </w:tcPr>
          <w:p w14:paraId="6B1B6100">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612" w:type="pct"/>
            <w:tcBorders>
              <w:tl2br w:val="nil"/>
              <w:tr2bl w:val="nil"/>
            </w:tcBorders>
            <w:noWrap w:val="0"/>
            <w:tcMar>
              <w:top w:w="0" w:type="dxa"/>
              <w:left w:w="108" w:type="dxa"/>
              <w:bottom w:w="0" w:type="dxa"/>
              <w:right w:w="108" w:type="dxa"/>
            </w:tcMar>
            <w:vAlign w:val="center"/>
          </w:tcPr>
          <w:p w14:paraId="466BEABD">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lang w:val="en-US" w:eastAsia="zh-CN"/>
              </w:rPr>
              <w:t>达标</w:t>
            </w:r>
          </w:p>
        </w:tc>
        <w:tc>
          <w:tcPr>
            <w:tcW w:w="611" w:type="pct"/>
            <w:tcBorders>
              <w:tl2br w:val="nil"/>
              <w:tr2bl w:val="nil"/>
            </w:tcBorders>
            <w:shd w:val="clear" w:color="auto" w:fill="auto"/>
            <w:noWrap w:val="0"/>
            <w:tcMar>
              <w:top w:w="0" w:type="dxa"/>
              <w:left w:w="108" w:type="dxa"/>
              <w:bottom w:w="0" w:type="dxa"/>
              <w:right w:w="108" w:type="dxa"/>
            </w:tcMar>
            <w:vAlign w:val="center"/>
          </w:tcPr>
          <w:p w14:paraId="5685B2FB">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cs="Times New Roman"/>
                <w:color w:val="000000"/>
                <w:sz w:val="21"/>
                <w:szCs w:val="21"/>
                <w:lang w:val="en-US" w:eastAsia="zh-CN" w:bidi="ar-SA"/>
              </w:rPr>
              <w:t>50.2</w:t>
            </w:r>
          </w:p>
        </w:tc>
        <w:tc>
          <w:tcPr>
            <w:tcW w:w="611" w:type="pct"/>
            <w:vMerge w:val="continue"/>
            <w:tcBorders>
              <w:tl2br w:val="nil"/>
              <w:tr2bl w:val="nil"/>
            </w:tcBorders>
            <w:noWrap w:val="0"/>
            <w:tcMar>
              <w:top w:w="0" w:type="dxa"/>
              <w:left w:w="108" w:type="dxa"/>
              <w:bottom w:w="0" w:type="dxa"/>
              <w:right w:w="108" w:type="dxa"/>
            </w:tcMar>
            <w:vAlign w:val="center"/>
          </w:tcPr>
          <w:p w14:paraId="42949748">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612" w:type="pct"/>
            <w:tcBorders>
              <w:tl2br w:val="nil"/>
              <w:tr2bl w:val="nil"/>
            </w:tcBorders>
            <w:noWrap w:val="0"/>
            <w:tcMar>
              <w:top w:w="0" w:type="dxa"/>
              <w:left w:w="108" w:type="dxa"/>
              <w:bottom w:w="0" w:type="dxa"/>
              <w:right w:w="108" w:type="dxa"/>
            </w:tcMar>
            <w:vAlign w:val="center"/>
          </w:tcPr>
          <w:p w14:paraId="55D34586">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lang w:val="en-US" w:eastAsia="zh-CN"/>
              </w:rPr>
              <w:t>达标</w:t>
            </w:r>
          </w:p>
        </w:tc>
      </w:tr>
      <w:tr w14:paraId="5DB548BC">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18" w:type="pct"/>
            <w:vMerge w:val="continue"/>
            <w:tcBorders>
              <w:tl2br w:val="nil"/>
              <w:tr2bl w:val="nil"/>
            </w:tcBorders>
            <w:noWrap w:val="0"/>
            <w:tcMar>
              <w:top w:w="0" w:type="dxa"/>
              <w:left w:w="108" w:type="dxa"/>
              <w:bottom w:w="0" w:type="dxa"/>
              <w:right w:w="108" w:type="dxa"/>
            </w:tcMar>
            <w:vAlign w:val="center"/>
          </w:tcPr>
          <w:p w14:paraId="391A40B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609" w:type="pct"/>
            <w:tcBorders>
              <w:tl2br w:val="nil"/>
              <w:tr2bl w:val="nil"/>
            </w:tcBorders>
            <w:noWrap w:val="0"/>
            <w:tcMar>
              <w:top w:w="0" w:type="dxa"/>
              <w:left w:w="108" w:type="dxa"/>
              <w:bottom w:w="0" w:type="dxa"/>
              <w:right w:w="108" w:type="dxa"/>
            </w:tcMar>
            <w:vAlign w:val="center"/>
          </w:tcPr>
          <w:p w14:paraId="7CABB7A5">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rPr>
              <w:t>3#</w:t>
            </w:r>
            <w:r>
              <w:rPr>
                <w:rFonts w:hint="default" w:ascii="Times New Roman" w:hAnsi="Times New Roman" w:eastAsia="宋体" w:cs="Times New Roman"/>
                <w:sz w:val="21"/>
                <w:highlight w:val="none"/>
                <w:lang w:val="en-US" w:eastAsia="zh-CN"/>
              </w:rPr>
              <w:t>西</w:t>
            </w:r>
          </w:p>
        </w:tc>
        <w:tc>
          <w:tcPr>
            <w:tcW w:w="611" w:type="pct"/>
            <w:tcBorders>
              <w:tl2br w:val="nil"/>
              <w:tr2bl w:val="nil"/>
            </w:tcBorders>
            <w:shd w:val="clear" w:color="auto" w:fill="auto"/>
            <w:noWrap w:val="0"/>
            <w:tcMar>
              <w:top w:w="0" w:type="dxa"/>
              <w:left w:w="108" w:type="dxa"/>
              <w:bottom w:w="0" w:type="dxa"/>
              <w:right w:w="108" w:type="dxa"/>
            </w:tcMar>
            <w:vAlign w:val="center"/>
          </w:tcPr>
          <w:p w14:paraId="7FE2BE03">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cs="Times New Roman"/>
                <w:color w:val="000000"/>
                <w:sz w:val="21"/>
                <w:szCs w:val="21"/>
                <w:lang w:val="en-US" w:eastAsia="zh-CN" w:bidi="ar-SA"/>
              </w:rPr>
              <w:t>52.1</w:t>
            </w:r>
          </w:p>
        </w:tc>
        <w:tc>
          <w:tcPr>
            <w:tcW w:w="611" w:type="pct"/>
            <w:vMerge w:val="continue"/>
            <w:tcBorders>
              <w:tl2br w:val="nil"/>
              <w:tr2bl w:val="nil"/>
            </w:tcBorders>
            <w:noWrap w:val="0"/>
            <w:tcMar>
              <w:top w:w="0" w:type="dxa"/>
              <w:left w:w="108" w:type="dxa"/>
              <w:bottom w:w="0" w:type="dxa"/>
              <w:right w:w="108" w:type="dxa"/>
            </w:tcMar>
            <w:vAlign w:val="center"/>
          </w:tcPr>
          <w:p w14:paraId="477098F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612" w:type="pct"/>
            <w:tcBorders>
              <w:tl2br w:val="nil"/>
              <w:tr2bl w:val="nil"/>
            </w:tcBorders>
            <w:noWrap w:val="0"/>
            <w:tcMar>
              <w:top w:w="0" w:type="dxa"/>
              <w:left w:w="108" w:type="dxa"/>
              <w:bottom w:w="0" w:type="dxa"/>
              <w:right w:w="108" w:type="dxa"/>
            </w:tcMar>
            <w:vAlign w:val="center"/>
          </w:tcPr>
          <w:p w14:paraId="56408B52">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lang w:val="en-US" w:eastAsia="zh-CN"/>
              </w:rPr>
              <w:t>达标</w:t>
            </w:r>
          </w:p>
        </w:tc>
        <w:tc>
          <w:tcPr>
            <w:tcW w:w="611" w:type="pct"/>
            <w:tcBorders>
              <w:tl2br w:val="nil"/>
              <w:tr2bl w:val="nil"/>
            </w:tcBorders>
            <w:shd w:val="clear" w:color="auto" w:fill="auto"/>
            <w:noWrap w:val="0"/>
            <w:tcMar>
              <w:top w:w="0" w:type="dxa"/>
              <w:left w:w="108" w:type="dxa"/>
              <w:bottom w:w="0" w:type="dxa"/>
              <w:right w:w="108" w:type="dxa"/>
            </w:tcMar>
            <w:vAlign w:val="center"/>
          </w:tcPr>
          <w:p w14:paraId="6906854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cs="Times New Roman"/>
                <w:color w:val="000000"/>
                <w:sz w:val="21"/>
                <w:szCs w:val="21"/>
                <w:lang w:val="en-US" w:eastAsia="zh-CN" w:bidi="ar-SA"/>
              </w:rPr>
              <w:t>49.9</w:t>
            </w:r>
          </w:p>
        </w:tc>
        <w:tc>
          <w:tcPr>
            <w:tcW w:w="611" w:type="pct"/>
            <w:vMerge w:val="continue"/>
            <w:tcBorders>
              <w:tl2br w:val="nil"/>
              <w:tr2bl w:val="nil"/>
            </w:tcBorders>
            <w:noWrap w:val="0"/>
            <w:tcMar>
              <w:top w:w="0" w:type="dxa"/>
              <w:left w:w="108" w:type="dxa"/>
              <w:bottom w:w="0" w:type="dxa"/>
              <w:right w:w="108" w:type="dxa"/>
            </w:tcMar>
            <w:vAlign w:val="center"/>
          </w:tcPr>
          <w:p w14:paraId="26EC4CC9">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612" w:type="pct"/>
            <w:tcBorders>
              <w:tl2br w:val="nil"/>
              <w:tr2bl w:val="nil"/>
            </w:tcBorders>
            <w:noWrap w:val="0"/>
            <w:tcMar>
              <w:top w:w="0" w:type="dxa"/>
              <w:left w:w="108" w:type="dxa"/>
              <w:bottom w:w="0" w:type="dxa"/>
              <w:right w:w="108" w:type="dxa"/>
            </w:tcMar>
            <w:vAlign w:val="center"/>
          </w:tcPr>
          <w:p w14:paraId="7D94CC7C">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lang w:val="en-US" w:eastAsia="zh-CN"/>
              </w:rPr>
              <w:t>达标</w:t>
            </w:r>
          </w:p>
        </w:tc>
      </w:tr>
      <w:tr w14:paraId="33EB17A3">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718" w:type="pct"/>
            <w:vMerge w:val="continue"/>
            <w:tcBorders>
              <w:tl2br w:val="nil"/>
              <w:tr2bl w:val="nil"/>
            </w:tcBorders>
            <w:noWrap w:val="0"/>
            <w:tcMar>
              <w:top w:w="0" w:type="dxa"/>
              <w:left w:w="108" w:type="dxa"/>
              <w:bottom w:w="0" w:type="dxa"/>
              <w:right w:w="108" w:type="dxa"/>
            </w:tcMar>
            <w:vAlign w:val="center"/>
          </w:tcPr>
          <w:p w14:paraId="4D6552B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609" w:type="pct"/>
            <w:tcBorders>
              <w:tl2br w:val="nil"/>
              <w:tr2bl w:val="nil"/>
            </w:tcBorders>
            <w:noWrap w:val="0"/>
            <w:tcMar>
              <w:top w:w="0" w:type="dxa"/>
              <w:left w:w="108" w:type="dxa"/>
              <w:bottom w:w="0" w:type="dxa"/>
              <w:right w:w="108" w:type="dxa"/>
            </w:tcMar>
            <w:vAlign w:val="center"/>
          </w:tcPr>
          <w:p w14:paraId="6D45188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rPr>
              <w:t>4#</w:t>
            </w:r>
            <w:r>
              <w:rPr>
                <w:rFonts w:hint="default" w:ascii="Times New Roman" w:hAnsi="Times New Roman" w:cs="Times New Roman"/>
                <w:sz w:val="21"/>
                <w:highlight w:val="none"/>
                <w:lang w:val="en-US" w:eastAsia="zh-CN"/>
              </w:rPr>
              <w:t>南</w:t>
            </w:r>
          </w:p>
        </w:tc>
        <w:tc>
          <w:tcPr>
            <w:tcW w:w="611" w:type="pct"/>
            <w:tcBorders>
              <w:tl2br w:val="nil"/>
              <w:tr2bl w:val="nil"/>
            </w:tcBorders>
            <w:shd w:val="clear" w:color="auto" w:fill="auto"/>
            <w:noWrap w:val="0"/>
            <w:tcMar>
              <w:top w:w="0" w:type="dxa"/>
              <w:left w:w="108" w:type="dxa"/>
              <w:bottom w:w="0" w:type="dxa"/>
              <w:right w:w="108" w:type="dxa"/>
            </w:tcMar>
            <w:vAlign w:val="center"/>
          </w:tcPr>
          <w:p w14:paraId="44F49D8D">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cs="Times New Roman"/>
                <w:color w:val="000000"/>
                <w:sz w:val="21"/>
                <w:szCs w:val="21"/>
                <w:lang w:val="en-US" w:eastAsia="zh-CN"/>
              </w:rPr>
              <w:t>51.6</w:t>
            </w:r>
          </w:p>
        </w:tc>
        <w:tc>
          <w:tcPr>
            <w:tcW w:w="611" w:type="pct"/>
            <w:vMerge w:val="continue"/>
            <w:tcBorders>
              <w:tl2br w:val="nil"/>
              <w:tr2bl w:val="nil"/>
            </w:tcBorders>
            <w:noWrap w:val="0"/>
            <w:tcMar>
              <w:top w:w="0" w:type="dxa"/>
              <w:left w:w="108" w:type="dxa"/>
              <w:bottom w:w="0" w:type="dxa"/>
              <w:right w:w="108" w:type="dxa"/>
            </w:tcMar>
            <w:vAlign w:val="center"/>
          </w:tcPr>
          <w:p w14:paraId="2CC95BAE">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612" w:type="pct"/>
            <w:tcBorders>
              <w:tl2br w:val="nil"/>
              <w:tr2bl w:val="nil"/>
            </w:tcBorders>
            <w:noWrap w:val="0"/>
            <w:tcMar>
              <w:top w:w="0" w:type="dxa"/>
              <w:left w:w="108" w:type="dxa"/>
              <w:bottom w:w="0" w:type="dxa"/>
              <w:right w:w="108" w:type="dxa"/>
            </w:tcMar>
            <w:vAlign w:val="center"/>
          </w:tcPr>
          <w:p w14:paraId="025FD441">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lang w:val="en-US" w:eastAsia="zh-CN"/>
              </w:rPr>
              <w:t>达标</w:t>
            </w:r>
          </w:p>
        </w:tc>
        <w:tc>
          <w:tcPr>
            <w:tcW w:w="611" w:type="pct"/>
            <w:tcBorders>
              <w:tl2br w:val="nil"/>
              <w:tr2bl w:val="nil"/>
            </w:tcBorders>
            <w:shd w:val="clear" w:color="auto" w:fill="auto"/>
            <w:noWrap w:val="0"/>
            <w:tcMar>
              <w:top w:w="0" w:type="dxa"/>
              <w:left w:w="108" w:type="dxa"/>
              <w:bottom w:w="0" w:type="dxa"/>
              <w:right w:w="108" w:type="dxa"/>
            </w:tcMar>
            <w:vAlign w:val="center"/>
          </w:tcPr>
          <w:p w14:paraId="0510D5C1">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bidi="ar-SA"/>
              </w:rPr>
            </w:pPr>
            <w:r>
              <w:rPr>
                <w:rFonts w:hint="default" w:ascii="Times New Roman" w:hAnsi="Times New Roman" w:cs="Times New Roman"/>
                <w:color w:val="000000"/>
                <w:sz w:val="21"/>
                <w:szCs w:val="21"/>
                <w:lang w:val="en-US" w:eastAsia="zh-CN" w:bidi="ar-SA"/>
              </w:rPr>
              <w:t>49.0</w:t>
            </w:r>
          </w:p>
        </w:tc>
        <w:tc>
          <w:tcPr>
            <w:tcW w:w="611" w:type="pct"/>
            <w:vMerge w:val="continue"/>
            <w:tcBorders>
              <w:tl2br w:val="nil"/>
              <w:tr2bl w:val="nil"/>
            </w:tcBorders>
            <w:noWrap w:val="0"/>
            <w:tcMar>
              <w:top w:w="0" w:type="dxa"/>
              <w:left w:w="108" w:type="dxa"/>
              <w:bottom w:w="0" w:type="dxa"/>
              <w:right w:w="108" w:type="dxa"/>
            </w:tcMar>
            <w:vAlign w:val="center"/>
          </w:tcPr>
          <w:p w14:paraId="3BA7B2C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p>
        </w:tc>
        <w:tc>
          <w:tcPr>
            <w:tcW w:w="612" w:type="pct"/>
            <w:tcBorders>
              <w:tl2br w:val="nil"/>
              <w:tr2bl w:val="nil"/>
            </w:tcBorders>
            <w:noWrap w:val="0"/>
            <w:tcMar>
              <w:top w:w="0" w:type="dxa"/>
              <w:left w:w="108" w:type="dxa"/>
              <w:bottom w:w="0" w:type="dxa"/>
              <w:right w:w="108" w:type="dxa"/>
            </w:tcMar>
            <w:vAlign w:val="center"/>
          </w:tcPr>
          <w:p w14:paraId="7FE7CBE3">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lang w:val="en-US" w:eastAsia="zh-CN"/>
              </w:rPr>
              <w:t>达标</w:t>
            </w:r>
          </w:p>
        </w:tc>
      </w:tr>
    </w:tbl>
    <w:p w14:paraId="5B620DDF">
      <w:pPr>
        <w:keepNext w:val="0"/>
        <w:keepLines w:val="0"/>
        <w:pageBreakBefore w:val="0"/>
        <w:widowControl/>
        <w:kinsoku/>
        <w:wordWrap/>
        <w:overflowPunct/>
        <w:topLinePunct w:val="0"/>
        <w:autoSpaceDE/>
        <w:autoSpaceDN/>
        <w:bidi w:val="0"/>
        <w:adjustRightInd/>
        <w:snapToGrid w:val="0"/>
        <w:spacing w:before="157" w:beforeLines="50"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根据监测结果</w:t>
      </w: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项目区</w:t>
      </w:r>
      <w:r>
        <w:rPr>
          <w:rFonts w:hint="default" w:ascii="Times New Roman" w:hAnsi="Times New Roman" w:eastAsia="宋体" w:cs="Times New Roman"/>
          <w:sz w:val="24"/>
          <w:szCs w:val="24"/>
          <w:highlight w:val="none"/>
          <w:lang w:val="en-US" w:eastAsia="zh-CN"/>
        </w:rPr>
        <w:t>厂界四周</w:t>
      </w:r>
      <w:r>
        <w:rPr>
          <w:rFonts w:hint="default" w:ascii="Times New Roman" w:hAnsi="Times New Roman" w:eastAsia="宋体" w:cs="Times New Roman"/>
          <w:sz w:val="24"/>
          <w:szCs w:val="24"/>
          <w:highlight w:val="none"/>
        </w:rPr>
        <w:t>环境噪声等效A声级均达到《声环境质量标准》（GB3096-2008）中</w:t>
      </w:r>
      <w:r>
        <w:rPr>
          <w:rFonts w:hint="default" w:ascii="Times New Roman" w:hAnsi="Times New Roman" w:cs="Times New Roman"/>
          <w:sz w:val="24"/>
          <w:szCs w:val="24"/>
          <w:highlight w:val="none"/>
          <w:lang w:val="en-US" w:eastAsia="zh-CN"/>
        </w:rPr>
        <w:t>3</w:t>
      </w:r>
      <w:r>
        <w:rPr>
          <w:rFonts w:hint="default" w:ascii="Times New Roman" w:hAnsi="Times New Roman" w:eastAsia="宋体" w:cs="Times New Roman"/>
          <w:sz w:val="24"/>
          <w:szCs w:val="24"/>
          <w:highlight w:val="none"/>
        </w:rPr>
        <w:t>类昼间6</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rPr>
        <w:t>dB（A）标准值，夜间5</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rPr>
        <w:t>dB（A）标准。</w:t>
      </w:r>
    </w:p>
    <w:p w14:paraId="5A5FAC9D">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4.</w:t>
      </w:r>
      <w:r>
        <w:rPr>
          <w:rFonts w:hint="default" w:ascii="Times New Roman" w:hAnsi="Times New Roman" w:eastAsia="宋体" w:cs="Times New Roman"/>
          <w:b/>
          <w:bCs/>
          <w:sz w:val="24"/>
          <w:szCs w:val="16"/>
          <w:highlight w:val="none"/>
          <w:lang w:val="en-US" w:eastAsia="zh-CN"/>
        </w:rPr>
        <w:t>2</w:t>
      </w:r>
      <w:r>
        <w:rPr>
          <w:rFonts w:hint="default" w:ascii="Times New Roman" w:hAnsi="Times New Roman" w:eastAsia="宋体" w:cs="Times New Roman"/>
          <w:b/>
          <w:bCs/>
          <w:sz w:val="24"/>
          <w:szCs w:val="16"/>
          <w:highlight w:val="none"/>
        </w:rPr>
        <w:t>.1环境空气质量现状调查</w:t>
      </w:r>
    </w:p>
    <w:p w14:paraId="68BF2D96">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（1）基本污染物现状评价</w:t>
      </w:r>
    </w:p>
    <w:p w14:paraId="1F1C2A8F">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根据《环境影响评价技术导则 大气环境》（HJ2.2-2018）项目所在区域达标判定，优先采用国家或者地方生态主管部门公开发布的评价基准年环境质量公告或环境质量报告中的数据或结论。</w:t>
      </w:r>
    </w:p>
    <w:p w14:paraId="070FB4CE">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本次</w:t>
      </w:r>
      <w:r>
        <w:rPr>
          <w:rFonts w:hint="eastAsia" w:eastAsia="宋体" w:cs="Times New Roman"/>
          <w:color w:val="auto"/>
          <w:sz w:val="24"/>
          <w:szCs w:val="24"/>
          <w:highlight w:val="none"/>
          <w:lang w:val="en-US" w:eastAsia="zh-CN"/>
        </w:rPr>
        <w:t>评价选择距离最近的国控监测点阿克苏电视台监测点2025年的监测数据，作为环境空气质量现状评价基本污染物SO</w:t>
      </w:r>
      <w:r>
        <w:rPr>
          <w:rFonts w:hint="eastAsia" w:eastAsia="宋体" w:cs="Times New Roman"/>
          <w:color w:val="auto"/>
          <w:sz w:val="24"/>
          <w:szCs w:val="24"/>
          <w:highlight w:val="none"/>
          <w:vertAlign w:val="subscript"/>
          <w:lang w:val="en-US" w:eastAsia="zh-CN"/>
        </w:rPr>
        <w:t>2</w:t>
      </w:r>
      <w:r>
        <w:rPr>
          <w:rFonts w:hint="eastAsia" w:eastAsia="宋体" w:cs="Times New Roman"/>
          <w:color w:val="auto"/>
          <w:sz w:val="24"/>
          <w:szCs w:val="24"/>
          <w:highlight w:val="none"/>
          <w:lang w:val="en-US" w:eastAsia="zh-CN"/>
        </w:rPr>
        <w:t>、NO</w:t>
      </w:r>
      <w:r>
        <w:rPr>
          <w:rFonts w:hint="eastAsia" w:eastAsia="宋体" w:cs="Times New Roman"/>
          <w:color w:val="auto"/>
          <w:sz w:val="24"/>
          <w:szCs w:val="24"/>
          <w:highlight w:val="none"/>
          <w:vertAlign w:val="subscript"/>
          <w:lang w:val="en-US" w:eastAsia="zh-CN"/>
        </w:rPr>
        <w:t>2</w:t>
      </w:r>
      <w:r>
        <w:rPr>
          <w:rFonts w:hint="eastAsia" w:eastAsia="宋体" w:cs="Times New Roman"/>
          <w:color w:val="auto"/>
          <w:sz w:val="24"/>
          <w:szCs w:val="24"/>
          <w:highlight w:val="none"/>
          <w:lang w:val="en-US" w:eastAsia="zh-CN"/>
        </w:rPr>
        <w:t>、PM</w:t>
      </w:r>
      <w:r>
        <w:rPr>
          <w:rFonts w:hint="eastAsia" w:eastAsia="宋体" w:cs="Times New Roman"/>
          <w:color w:val="auto"/>
          <w:sz w:val="24"/>
          <w:szCs w:val="24"/>
          <w:highlight w:val="none"/>
          <w:vertAlign w:val="subscript"/>
          <w:lang w:val="en-US" w:eastAsia="zh-CN"/>
        </w:rPr>
        <w:t>10</w:t>
      </w:r>
      <w:r>
        <w:rPr>
          <w:rFonts w:hint="eastAsia" w:eastAsia="宋体" w:cs="Times New Roman"/>
          <w:color w:val="auto"/>
          <w:sz w:val="24"/>
          <w:szCs w:val="24"/>
          <w:highlight w:val="none"/>
          <w:lang w:val="en-US" w:eastAsia="zh-CN"/>
        </w:rPr>
        <w:t>、PM</w:t>
      </w:r>
      <w:r>
        <w:rPr>
          <w:rFonts w:hint="eastAsia" w:eastAsia="宋体" w:cs="Times New Roman"/>
          <w:color w:val="auto"/>
          <w:sz w:val="24"/>
          <w:szCs w:val="24"/>
          <w:highlight w:val="none"/>
          <w:vertAlign w:val="subscript"/>
          <w:lang w:val="en-US" w:eastAsia="zh-CN"/>
        </w:rPr>
        <w:t>2.5</w:t>
      </w:r>
      <w:r>
        <w:rPr>
          <w:rFonts w:hint="eastAsia" w:eastAsia="宋体" w:cs="Times New Roman"/>
          <w:color w:val="auto"/>
          <w:sz w:val="24"/>
          <w:szCs w:val="24"/>
          <w:highlight w:val="none"/>
          <w:lang w:val="en-US" w:eastAsia="zh-CN"/>
        </w:rPr>
        <w:t>、CO和O</w:t>
      </w:r>
      <w:r>
        <w:rPr>
          <w:rFonts w:hint="eastAsia" w:eastAsia="宋体" w:cs="Times New Roman"/>
          <w:color w:val="auto"/>
          <w:sz w:val="24"/>
          <w:szCs w:val="24"/>
          <w:highlight w:val="none"/>
          <w:vertAlign w:val="subscript"/>
          <w:lang w:val="en-US" w:eastAsia="zh-CN"/>
        </w:rPr>
        <w:t>3</w:t>
      </w:r>
      <w:r>
        <w:rPr>
          <w:rFonts w:hint="eastAsia" w:eastAsia="宋体" w:cs="Times New Roman"/>
          <w:color w:val="auto"/>
          <w:sz w:val="24"/>
          <w:szCs w:val="24"/>
          <w:highlight w:val="none"/>
          <w:lang w:val="en-US" w:eastAsia="zh-CN"/>
        </w:rPr>
        <w:t>的数据来源</w:t>
      </w:r>
      <w:r>
        <w:rPr>
          <w:rFonts w:hint="default" w:ascii="Times New Roman" w:hAnsi="Times New Roman" w:eastAsia="宋体" w:cs="Times New Roman"/>
          <w:color w:val="auto"/>
          <w:sz w:val="24"/>
          <w:szCs w:val="24"/>
          <w:highlight w:val="none"/>
          <w:lang w:val="en-US" w:eastAsia="zh-CN"/>
        </w:rPr>
        <w:t>，对区域环境空气质量现状进行分析</w:t>
      </w:r>
      <w:r>
        <w:rPr>
          <w:rFonts w:hint="eastAsia" w:eastAsia="宋体" w:cs="Times New Roman"/>
          <w:color w:val="auto"/>
          <w:sz w:val="24"/>
          <w:szCs w:val="24"/>
          <w:highlight w:val="none"/>
          <w:lang w:val="en-US" w:eastAsia="zh-CN"/>
        </w:rPr>
        <w:t>。根据2025年</w:t>
      </w:r>
      <w:r>
        <w:rPr>
          <w:rFonts w:hint="default" w:ascii="Times New Roman" w:hAnsi="Times New Roman" w:eastAsia="宋体" w:cs="Times New Roman"/>
          <w:color w:val="auto"/>
          <w:sz w:val="24"/>
          <w:szCs w:val="24"/>
          <w:highlight w:val="none"/>
          <w:lang w:val="en-US" w:eastAsia="zh-CN"/>
        </w:rPr>
        <w:t>阿克苏</w:t>
      </w:r>
      <w:r>
        <w:rPr>
          <w:rFonts w:hint="eastAsia" w:eastAsia="宋体" w:cs="Times New Roman"/>
          <w:color w:val="auto"/>
          <w:sz w:val="24"/>
          <w:szCs w:val="24"/>
          <w:highlight w:val="none"/>
          <w:lang w:val="en-US" w:eastAsia="zh-CN"/>
        </w:rPr>
        <w:t>电视台监测站空气质量逐日统计结果，空气质量达标区</w:t>
      </w:r>
      <w:r>
        <w:rPr>
          <w:rFonts w:hint="default" w:ascii="Times New Roman" w:hAnsi="Times New Roman" w:eastAsia="宋体" w:cs="Times New Roman"/>
          <w:color w:val="auto"/>
          <w:sz w:val="24"/>
          <w:szCs w:val="24"/>
          <w:highlight w:val="none"/>
          <w:lang w:val="en-US" w:eastAsia="zh-CN"/>
        </w:rPr>
        <w:t>判定结果见表4.2-1。</w:t>
      </w:r>
    </w:p>
    <w:p w14:paraId="5A0C8D82">
      <w:pPr>
        <w:pStyle w:val="191"/>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w:t>
      </w:r>
      <w:r>
        <w:rPr>
          <w:rFonts w:hint="default" w:ascii="Times New Roman" w:hAnsi="Times New Roman" w:eastAsia="宋体" w:cs="Times New Roman"/>
          <w:b/>
          <w:bCs/>
          <w:sz w:val="24"/>
          <w:szCs w:val="24"/>
          <w:highlight w:val="none"/>
          <w:lang w:val="en-US" w:eastAsia="zh-CN"/>
        </w:rPr>
        <w:t>4.</w:t>
      </w:r>
      <w:r>
        <w:rPr>
          <w:rFonts w:hint="default" w:ascii="Times New Roman" w:hAnsi="Times New Roman"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t xml:space="preserve"> </w:t>
      </w:r>
      <w:r>
        <w:rPr>
          <w:rFonts w:hint="default" w:ascii="Times New Roman" w:hAnsi="Times New Roman" w:cs="Times New Roman"/>
          <w:b/>
          <w:bCs/>
          <w:sz w:val="24"/>
          <w:szCs w:val="24"/>
          <w:highlight w:val="none"/>
          <w:lang w:val="en-US" w:eastAsia="zh-CN"/>
        </w:rPr>
        <w:t>区域</w:t>
      </w:r>
      <w:r>
        <w:rPr>
          <w:rFonts w:hint="default" w:ascii="Times New Roman" w:hAnsi="Times New Roman" w:eastAsia="宋体" w:cs="Times New Roman"/>
          <w:b/>
          <w:bCs/>
          <w:sz w:val="24"/>
          <w:szCs w:val="24"/>
          <w:highlight w:val="none"/>
        </w:rPr>
        <w:t>环境空气质量</w:t>
      </w:r>
      <w:r>
        <w:rPr>
          <w:rFonts w:hint="default" w:ascii="Times New Roman" w:hAnsi="Times New Roman" w:cs="Times New Roman"/>
          <w:b/>
          <w:bCs/>
          <w:sz w:val="24"/>
          <w:szCs w:val="24"/>
          <w:highlight w:val="none"/>
          <w:lang w:val="en-US" w:eastAsia="zh-CN"/>
        </w:rPr>
        <w:t>现状评价</w:t>
      </w:r>
      <w:r>
        <w:rPr>
          <w:rFonts w:hint="default" w:ascii="Times New Roman" w:hAnsi="Times New Roman" w:eastAsia="宋体" w:cs="Times New Roman"/>
          <w:b/>
          <w:bCs/>
          <w:sz w:val="24"/>
          <w:szCs w:val="24"/>
          <w:highlight w:val="none"/>
        </w:rPr>
        <w:t>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116"/>
        <w:gridCol w:w="1713"/>
        <w:gridCol w:w="1787"/>
        <w:gridCol w:w="1728"/>
        <w:gridCol w:w="1150"/>
        <w:gridCol w:w="857"/>
      </w:tblGrid>
      <w:tr w14:paraId="43296E6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tcBorders>
              <w:tl2br w:val="nil"/>
              <w:tr2bl w:val="nil"/>
            </w:tcBorders>
            <w:noWrap w:val="0"/>
            <w:vAlign w:val="center"/>
          </w:tcPr>
          <w:p w14:paraId="62B47714">
            <w:pPr>
              <w:topLinePunct/>
              <w:autoSpaceDE/>
              <w:autoSpaceDN/>
              <w:spacing w:before="0" w:after="0" w:line="0" w:lineRule="atLeast"/>
              <w:ind w:left="0" w:firstLine="0"/>
              <w:jc w:val="center"/>
              <w:rPr>
                <w:rFonts w:hint="default" w:ascii="Times New Roman" w:hAnsi="Times New Roman" w:eastAsia="宋体" w:cs="Times New Roman"/>
                <w:b/>
                <w:bCs/>
                <w:color w:val="auto"/>
                <w:spacing w:val="-10"/>
                <w:sz w:val="21"/>
                <w:szCs w:val="21"/>
                <w:highlight w:val="none"/>
                <w:shd w:val="clear" w:color="auto" w:fill="auto"/>
              </w:rPr>
            </w:pPr>
            <w:r>
              <w:rPr>
                <w:rFonts w:hint="default" w:ascii="Times New Roman" w:hAnsi="Times New Roman" w:eastAsia="宋体" w:cs="Times New Roman"/>
                <w:b/>
                <w:bCs/>
                <w:color w:val="auto"/>
                <w:spacing w:val="-10"/>
                <w:sz w:val="21"/>
                <w:szCs w:val="21"/>
                <w:highlight w:val="none"/>
                <w:shd w:val="clear" w:color="auto" w:fill="auto"/>
              </w:rPr>
              <w:t>污染物</w:t>
            </w:r>
          </w:p>
        </w:tc>
        <w:tc>
          <w:tcPr>
            <w:tcW w:w="1025" w:type="pct"/>
            <w:tcBorders>
              <w:tl2br w:val="nil"/>
              <w:tr2bl w:val="nil"/>
            </w:tcBorders>
            <w:noWrap w:val="0"/>
            <w:vAlign w:val="center"/>
          </w:tcPr>
          <w:p w14:paraId="614BE564">
            <w:pPr>
              <w:topLinePunct/>
              <w:autoSpaceDE/>
              <w:autoSpaceDN/>
              <w:spacing w:before="0" w:after="0" w:line="0" w:lineRule="atLeast"/>
              <w:ind w:left="0" w:firstLine="0"/>
              <w:jc w:val="center"/>
              <w:rPr>
                <w:rFonts w:hint="default" w:ascii="Times New Roman" w:hAnsi="Times New Roman" w:eastAsia="宋体" w:cs="Times New Roman"/>
                <w:b/>
                <w:bCs/>
                <w:color w:val="auto"/>
                <w:spacing w:val="-10"/>
                <w:sz w:val="21"/>
                <w:szCs w:val="21"/>
                <w:highlight w:val="none"/>
                <w:shd w:val="clear" w:color="auto" w:fill="auto"/>
              </w:rPr>
            </w:pPr>
            <w:r>
              <w:rPr>
                <w:rFonts w:hint="default" w:ascii="Times New Roman" w:hAnsi="Times New Roman" w:eastAsia="宋体" w:cs="Times New Roman"/>
                <w:b/>
                <w:bCs/>
                <w:color w:val="auto"/>
                <w:spacing w:val="-10"/>
                <w:sz w:val="21"/>
                <w:szCs w:val="21"/>
                <w:highlight w:val="none"/>
                <w:shd w:val="clear" w:color="auto" w:fill="auto"/>
              </w:rPr>
              <w:t>年评价指标</w:t>
            </w:r>
          </w:p>
        </w:tc>
        <w:tc>
          <w:tcPr>
            <w:tcW w:w="1069" w:type="pct"/>
            <w:tcBorders>
              <w:tl2br w:val="nil"/>
              <w:tr2bl w:val="nil"/>
            </w:tcBorders>
            <w:noWrap w:val="0"/>
            <w:vAlign w:val="center"/>
          </w:tcPr>
          <w:p w14:paraId="3D5A941C">
            <w:pPr>
              <w:autoSpaceDE/>
              <w:autoSpaceDN/>
              <w:spacing w:before="0" w:after="0" w:line="0" w:lineRule="atLeast"/>
              <w:ind w:left="0" w:firstLine="0"/>
              <w:jc w:val="center"/>
              <w:rPr>
                <w:rFonts w:hint="default" w:ascii="Times New Roman" w:hAnsi="Times New Roman" w:eastAsia="宋体" w:cs="Times New Roman"/>
                <w:b/>
                <w:bCs/>
                <w:color w:val="auto"/>
                <w:spacing w:val="-10"/>
                <w:sz w:val="21"/>
                <w:szCs w:val="21"/>
                <w:highlight w:val="none"/>
                <w:shd w:val="clear" w:color="auto" w:fill="auto"/>
              </w:rPr>
            </w:pPr>
            <w:r>
              <w:rPr>
                <w:rFonts w:hint="default" w:ascii="Times New Roman" w:hAnsi="Times New Roman" w:eastAsia="宋体" w:cs="Times New Roman"/>
                <w:b/>
                <w:bCs/>
                <w:color w:val="auto"/>
                <w:spacing w:val="-10"/>
                <w:sz w:val="21"/>
                <w:szCs w:val="21"/>
                <w:highlight w:val="none"/>
                <w:shd w:val="clear" w:color="auto" w:fill="auto"/>
              </w:rPr>
              <w:t>评价标准(μg/m</w:t>
            </w:r>
            <w:r>
              <w:rPr>
                <w:rFonts w:hint="default" w:ascii="Times New Roman" w:hAnsi="Times New Roman" w:eastAsia="宋体" w:cs="Times New Roman"/>
                <w:b/>
                <w:bCs/>
                <w:color w:val="auto"/>
                <w:spacing w:val="-10"/>
                <w:sz w:val="21"/>
                <w:szCs w:val="21"/>
                <w:highlight w:val="none"/>
                <w:shd w:val="clear" w:color="auto" w:fill="auto"/>
                <w:vertAlign w:val="superscript"/>
              </w:rPr>
              <w:t>3</w:t>
            </w:r>
            <w:r>
              <w:rPr>
                <w:rFonts w:hint="default" w:ascii="Times New Roman" w:hAnsi="Times New Roman" w:eastAsia="宋体" w:cs="Times New Roman"/>
                <w:b/>
                <w:bCs/>
                <w:color w:val="auto"/>
                <w:spacing w:val="-10"/>
                <w:sz w:val="21"/>
                <w:szCs w:val="21"/>
                <w:highlight w:val="none"/>
                <w:shd w:val="clear" w:color="auto" w:fill="auto"/>
              </w:rPr>
              <w:t>)</w:t>
            </w:r>
          </w:p>
        </w:tc>
        <w:tc>
          <w:tcPr>
            <w:tcW w:w="1034" w:type="pct"/>
            <w:tcBorders>
              <w:tl2br w:val="nil"/>
              <w:tr2bl w:val="nil"/>
            </w:tcBorders>
            <w:noWrap w:val="0"/>
            <w:vAlign w:val="center"/>
          </w:tcPr>
          <w:p w14:paraId="20552908">
            <w:pPr>
              <w:autoSpaceDE/>
              <w:autoSpaceDN/>
              <w:spacing w:before="0" w:after="0" w:line="0" w:lineRule="atLeast"/>
              <w:ind w:left="0" w:firstLine="0"/>
              <w:jc w:val="center"/>
              <w:rPr>
                <w:rFonts w:hint="default" w:ascii="Times New Roman" w:hAnsi="Times New Roman" w:eastAsia="宋体" w:cs="Times New Roman"/>
                <w:b/>
                <w:bCs/>
                <w:color w:val="auto"/>
                <w:spacing w:val="-10"/>
                <w:sz w:val="21"/>
                <w:szCs w:val="21"/>
                <w:highlight w:val="none"/>
                <w:shd w:val="clear" w:color="auto" w:fill="auto"/>
              </w:rPr>
            </w:pPr>
            <w:r>
              <w:rPr>
                <w:rFonts w:hint="default" w:ascii="Times New Roman" w:hAnsi="Times New Roman" w:eastAsia="宋体" w:cs="Times New Roman"/>
                <w:b/>
                <w:bCs/>
                <w:color w:val="auto"/>
                <w:spacing w:val="-10"/>
                <w:sz w:val="21"/>
                <w:szCs w:val="21"/>
                <w:highlight w:val="none"/>
                <w:shd w:val="clear" w:color="auto" w:fill="auto"/>
              </w:rPr>
              <w:t>现状浓度(μg/m</w:t>
            </w:r>
            <w:r>
              <w:rPr>
                <w:rFonts w:hint="default" w:ascii="Times New Roman" w:hAnsi="Times New Roman" w:eastAsia="宋体" w:cs="Times New Roman"/>
                <w:b/>
                <w:bCs/>
                <w:color w:val="auto"/>
                <w:spacing w:val="-10"/>
                <w:sz w:val="21"/>
                <w:szCs w:val="21"/>
                <w:highlight w:val="none"/>
                <w:shd w:val="clear" w:color="auto" w:fill="auto"/>
                <w:vertAlign w:val="superscript"/>
              </w:rPr>
              <w:t>3</w:t>
            </w:r>
            <w:r>
              <w:rPr>
                <w:rFonts w:hint="default" w:ascii="Times New Roman" w:hAnsi="Times New Roman" w:eastAsia="宋体" w:cs="Times New Roman"/>
                <w:b/>
                <w:bCs/>
                <w:color w:val="auto"/>
                <w:spacing w:val="-10"/>
                <w:sz w:val="21"/>
                <w:szCs w:val="21"/>
                <w:highlight w:val="none"/>
                <w:shd w:val="clear" w:color="auto" w:fill="auto"/>
              </w:rPr>
              <w:t>)</w:t>
            </w:r>
          </w:p>
        </w:tc>
        <w:tc>
          <w:tcPr>
            <w:tcW w:w="688" w:type="pct"/>
            <w:tcBorders>
              <w:tl2br w:val="nil"/>
              <w:tr2bl w:val="nil"/>
            </w:tcBorders>
            <w:noWrap w:val="0"/>
            <w:vAlign w:val="center"/>
          </w:tcPr>
          <w:p w14:paraId="07EFC4D4">
            <w:pPr>
              <w:autoSpaceDE/>
              <w:autoSpaceDN/>
              <w:spacing w:before="0" w:after="0" w:line="0" w:lineRule="atLeast"/>
              <w:ind w:left="0" w:firstLine="0"/>
              <w:jc w:val="center"/>
              <w:rPr>
                <w:rFonts w:hint="default" w:ascii="Times New Roman" w:hAnsi="Times New Roman" w:eastAsia="宋体" w:cs="Times New Roman"/>
                <w:b/>
                <w:bCs/>
                <w:color w:val="auto"/>
                <w:spacing w:val="-10"/>
                <w:sz w:val="21"/>
                <w:szCs w:val="21"/>
                <w:highlight w:val="none"/>
                <w:shd w:val="clear" w:color="auto" w:fill="auto"/>
              </w:rPr>
            </w:pPr>
            <w:r>
              <w:rPr>
                <w:rFonts w:hint="default" w:ascii="Times New Roman" w:hAnsi="Times New Roman" w:eastAsia="宋体" w:cs="Times New Roman"/>
                <w:b/>
                <w:bCs/>
                <w:color w:val="auto"/>
                <w:spacing w:val="-10"/>
                <w:sz w:val="21"/>
                <w:szCs w:val="21"/>
                <w:highlight w:val="none"/>
                <w:shd w:val="clear" w:color="auto" w:fill="auto"/>
              </w:rPr>
              <w:t>占标率(%)</w:t>
            </w:r>
          </w:p>
        </w:tc>
        <w:tc>
          <w:tcPr>
            <w:tcW w:w="513" w:type="pct"/>
            <w:tcBorders>
              <w:tl2br w:val="nil"/>
              <w:tr2bl w:val="nil"/>
            </w:tcBorders>
            <w:noWrap w:val="0"/>
            <w:vAlign w:val="center"/>
          </w:tcPr>
          <w:p w14:paraId="34B8551E">
            <w:pPr>
              <w:autoSpaceDE/>
              <w:autoSpaceDN/>
              <w:spacing w:before="0" w:after="0" w:line="0" w:lineRule="atLeast"/>
              <w:ind w:left="0" w:firstLine="0"/>
              <w:jc w:val="center"/>
              <w:rPr>
                <w:rFonts w:hint="default" w:ascii="Times New Roman" w:hAnsi="Times New Roman" w:eastAsia="宋体" w:cs="Times New Roman"/>
                <w:b/>
                <w:bCs/>
                <w:color w:val="auto"/>
                <w:spacing w:val="-10"/>
                <w:sz w:val="21"/>
                <w:szCs w:val="21"/>
                <w:highlight w:val="none"/>
                <w:shd w:val="clear" w:color="auto" w:fill="auto"/>
              </w:rPr>
            </w:pPr>
            <w:r>
              <w:rPr>
                <w:rFonts w:hint="default" w:ascii="Times New Roman" w:hAnsi="Times New Roman" w:eastAsia="宋体" w:cs="Times New Roman"/>
                <w:b/>
                <w:bCs/>
                <w:color w:val="auto"/>
                <w:spacing w:val="-10"/>
                <w:sz w:val="21"/>
                <w:szCs w:val="21"/>
                <w:highlight w:val="none"/>
                <w:shd w:val="clear" w:color="auto" w:fill="auto"/>
              </w:rPr>
              <w:t>达标情况</w:t>
            </w:r>
          </w:p>
        </w:tc>
      </w:tr>
      <w:tr w14:paraId="4C0B66A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vMerge w:val="restart"/>
            <w:tcBorders>
              <w:tl2br w:val="nil"/>
              <w:tr2bl w:val="nil"/>
            </w:tcBorders>
            <w:noWrap w:val="0"/>
            <w:vAlign w:val="center"/>
          </w:tcPr>
          <w:p w14:paraId="2EDAAB80">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color w:val="auto"/>
                <w:spacing w:val="-10"/>
                <w:sz w:val="21"/>
                <w:szCs w:val="21"/>
                <w:highlight w:val="none"/>
                <w:shd w:val="clear" w:color="auto" w:fill="auto"/>
              </w:rPr>
            </w:pPr>
            <w:r>
              <w:rPr>
                <w:rFonts w:hint="default" w:ascii="Times New Roman" w:hAnsi="Times New Roman" w:eastAsia="宋体" w:cs="Times New Roman"/>
                <w:sz w:val="21"/>
                <w:szCs w:val="21"/>
                <w:highlight w:val="none"/>
              </w:rPr>
              <w:t>SO</w:t>
            </w:r>
            <w:r>
              <w:rPr>
                <w:rFonts w:hint="default" w:ascii="Times New Roman" w:hAnsi="Times New Roman" w:eastAsia="宋体" w:cs="Times New Roman"/>
                <w:sz w:val="21"/>
                <w:szCs w:val="21"/>
                <w:highlight w:val="none"/>
                <w:vertAlign w:val="subscript"/>
              </w:rPr>
              <w:t>2</w:t>
            </w:r>
          </w:p>
        </w:tc>
        <w:tc>
          <w:tcPr>
            <w:tcW w:w="1025" w:type="pct"/>
            <w:tcBorders>
              <w:tl2br w:val="nil"/>
              <w:tr2bl w:val="nil"/>
            </w:tcBorders>
            <w:noWrap w:val="0"/>
            <w:vAlign w:val="center"/>
          </w:tcPr>
          <w:p w14:paraId="763C6BA9">
            <w:pPr>
              <w:topLinePunct/>
              <w:autoSpaceDE/>
              <w:autoSpaceDN/>
              <w:spacing w:before="0" w:after="0" w:line="0" w:lineRule="atLeast"/>
              <w:ind w:left="0" w:firstLine="0"/>
              <w:jc w:val="center"/>
              <w:rPr>
                <w:rFonts w:hint="default" w:ascii="Times New Roman" w:hAnsi="Times New Roman" w:eastAsia="宋体" w:cs="Times New Roman"/>
                <w:color w:val="auto"/>
                <w:spacing w:val="-10"/>
                <w:sz w:val="21"/>
                <w:szCs w:val="21"/>
                <w:highlight w:val="none"/>
                <w:shd w:val="clear" w:color="auto" w:fill="auto"/>
              </w:rPr>
            </w:pPr>
            <w:r>
              <w:rPr>
                <w:rFonts w:hint="default" w:ascii="Times New Roman" w:hAnsi="Times New Roman" w:eastAsia="宋体" w:cs="Times New Roman"/>
                <w:color w:val="auto"/>
                <w:spacing w:val="-10"/>
                <w:sz w:val="21"/>
                <w:szCs w:val="21"/>
                <w:highlight w:val="none"/>
                <w:shd w:val="clear" w:color="auto" w:fill="auto"/>
              </w:rPr>
              <w:t>年平均</w:t>
            </w:r>
          </w:p>
        </w:tc>
        <w:tc>
          <w:tcPr>
            <w:tcW w:w="1069" w:type="pct"/>
            <w:tcBorders>
              <w:tl2br w:val="nil"/>
              <w:tr2bl w:val="nil"/>
            </w:tcBorders>
            <w:noWrap w:val="0"/>
            <w:vAlign w:val="center"/>
          </w:tcPr>
          <w:p w14:paraId="08D9C2A4">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60</w:t>
            </w:r>
          </w:p>
        </w:tc>
        <w:tc>
          <w:tcPr>
            <w:tcW w:w="1034" w:type="pct"/>
            <w:tcBorders>
              <w:tl2br w:val="nil"/>
              <w:tr2bl w:val="nil"/>
            </w:tcBorders>
            <w:noWrap w:val="0"/>
            <w:vAlign w:val="center"/>
          </w:tcPr>
          <w:p w14:paraId="5D4E1B82">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5.6</w:t>
            </w:r>
          </w:p>
        </w:tc>
        <w:tc>
          <w:tcPr>
            <w:tcW w:w="688" w:type="pct"/>
            <w:tcBorders>
              <w:tl2br w:val="nil"/>
              <w:tr2bl w:val="nil"/>
            </w:tcBorders>
            <w:noWrap w:val="0"/>
            <w:vAlign w:val="center"/>
          </w:tcPr>
          <w:p w14:paraId="7EAD0B0F">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9.33</w:t>
            </w:r>
          </w:p>
        </w:tc>
        <w:tc>
          <w:tcPr>
            <w:tcW w:w="513" w:type="pct"/>
            <w:tcBorders>
              <w:tl2br w:val="nil"/>
              <w:tr2bl w:val="nil"/>
            </w:tcBorders>
            <w:noWrap w:val="0"/>
            <w:vAlign w:val="center"/>
          </w:tcPr>
          <w:p w14:paraId="021835AB">
            <w:pPr>
              <w:autoSpaceDE/>
              <w:autoSpaceDN/>
              <w:spacing w:before="0" w:after="0" w:line="0" w:lineRule="atLeast"/>
              <w:ind w:left="0" w:firstLine="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color w:val="auto"/>
                <w:spacing w:val="-10"/>
                <w:sz w:val="21"/>
                <w:szCs w:val="21"/>
                <w:highlight w:val="none"/>
                <w:shd w:val="clear" w:color="auto" w:fill="auto"/>
                <w:lang w:val="en-US" w:eastAsia="zh-CN"/>
              </w:rPr>
              <w:t>达标</w:t>
            </w:r>
          </w:p>
        </w:tc>
      </w:tr>
      <w:tr w14:paraId="5E5541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vMerge w:val="continue"/>
            <w:tcBorders>
              <w:tl2br w:val="nil"/>
              <w:tr2bl w:val="nil"/>
            </w:tcBorders>
            <w:noWrap w:val="0"/>
            <w:vAlign w:val="center"/>
          </w:tcPr>
          <w:p w14:paraId="6746EE3D">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rPr>
            </w:pPr>
          </w:p>
        </w:tc>
        <w:tc>
          <w:tcPr>
            <w:tcW w:w="1025" w:type="pct"/>
            <w:tcBorders>
              <w:tl2br w:val="nil"/>
              <w:tr2bl w:val="nil"/>
            </w:tcBorders>
            <w:noWrap w:val="0"/>
            <w:vAlign w:val="center"/>
          </w:tcPr>
          <w:p w14:paraId="52651F7C">
            <w:pPr>
              <w:topLinePunct/>
              <w:autoSpaceDE/>
              <w:autoSpaceDN/>
              <w:spacing w:before="0" w:after="0" w:line="0" w:lineRule="atLeast"/>
              <w:ind w:left="0" w:firstLine="0"/>
              <w:jc w:val="center"/>
              <w:rPr>
                <w:rFonts w:hint="default" w:ascii="Times New Roman" w:hAnsi="Times New Roman" w:eastAsia="宋体" w:cs="Times New Roman"/>
                <w:color w:val="auto"/>
                <w:spacing w:val="-10"/>
                <w:sz w:val="21"/>
                <w:szCs w:val="21"/>
                <w:highlight w:val="none"/>
                <w:shd w:val="clear" w:color="auto" w:fill="auto"/>
              </w:rPr>
            </w:pPr>
            <w:r>
              <w:rPr>
                <w:rFonts w:hint="eastAsia" w:cs="Times New Roman"/>
                <w:color w:val="auto"/>
                <w:spacing w:val="-10"/>
                <w:sz w:val="21"/>
                <w:szCs w:val="21"/>
                <w:highlight w:val="none"/>
                <w:shd w:val="clear" w:color="auto" w:fill="auto"/>
                <w:lang w:val="en-US" w:eastAsia="zh-CN"/>
              </w:rPr>
              <w:t>日</w:t>
            </w:r>
            <w:r>
              <w:rPr>
                <w:rFonts w:hint="default" w:ascii="Times New Roman" w:hAnsi="Times New Roman" w:eastAsia="宋体" w:cs="Times New Roman"/>
                <w:color w:val="auto"/>
                <w:spacing w:val="-10"/>
                <w:sz w:val="21"/>
                <w:szCs w:val="21"/>
                <w:highlight w:val="none"/>
                <w:shd w:val="clear" w:color="auto" w:fill="auto"/>
              </w:rPr>
              <w:t>平均</w:t>
            </w:r>
          </w:p>
        </w:tc>
        <w:tc>
          <w:tcPr>
            <w:tcW w:w="1069" w:type="pct"/>
            <w:tcBorders>
              <w:tl2br w:val="nil"/>
              <w:tr2bl w:val="nil"/>
            </w:tcBorders>
            <w:noWrap w:val="0"/>
            <w:vAlign w:val="center"/>
          </w:tcPr>
          <w:p w14:paraId="751F0538">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150</w:t>
            </w:r>
          </w:p>
        </w:tc>
        <w:tc>
          <w:tcPr>
            <w:tcW w:w="1034" w:type="pct"/>
            <w:tcBorders>
              <w:tl2br w:val="nil"/>
              <w:tr2bl w:val="nil"/>
            </w:tcBorders>
            <w:noWrap w:val="0"/>
            <w:vAlign w:val="center"/>
          </w:tcPr>
          <w:p w14:paraId="47294E92">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10</w:t>
            </w:r>
          </w:p>
        </w:tc>
        <w:tc>
          <w:tcPr>
            <w:tcW w:w="688" w:type="pct"/>
            <w:tcBorders>
              <w:tl2br w:val="nil"/>
              <w:tr2bl w:val="nil"/>
            </w:tcBorders>
            <w:noWrap w:val="0"/>
            <w:vAlign w:val="center"/>
          </w:tcPr>
          <w:p w14:paraId="4273D147">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6.67</w:t>
            </w:r>
          </w:p>
        </w:tc>
        <w:tc>
          <w:tcPr>
            <w:tcW w:w="513" w:type="pct"/>
            <w:tcBorders>
              <w:tl2br w:val="nil"/>
              <w:tr2bl w:val="nil"/>
            </w:tcBorders>
            <w:noWrap w:val="0"/>
            <w:vAlign w:val="center"/>
          </w:tcPr>
          <w:p w14:paraId="48923D4C">
            <w:pPr>
              <w:autoSpaceDE/>
              <w:autoSpaceDN/>
              <w:spacing w:before="0" w:after="0" w:line="0" w:lineRule="atLeast"/>
              <w:ind w:left="0" w:firstLine="0"/>
              <w:jc w:val="center"/>
              <w:rPr>
                <w:rFonts w:hint="default" w:ascii="Times New Roman" w:hAnsi="Times New Roman" w:eastAsia="宋体" w:cs="Times New Roman"/>
                <w:color w:val="auto"/>
                <w:spacing w:val="-10"/>
                <w:sz w:val="21"/>
                <w:szCs w:val="21"/>
                <w:highlight w:val="none"/>
                <w:shd w:val="clear" w:color="auto" w:fill="auto"/>
                <w:lang w:val="en-US" w:eastAsia="zh-CN"/>
              </w:rPr>
            </w:pPr>
            <w:r>
              <w:rPr>
                <w:rFonts w:hint="eastAsia" w:cs="Times New Roman"/>
                <w:color w:val="auto"/>
                <w:spacing w:val="-10"/>
                <w:sz w:val="21"/>
                <w:szCs w:val="21"/>
                <w:highlight w:val="none"/>
                <w:shd w:val="clear" w:color="auto" w:fill="auto"/>
                <w:lang w:val="en-US" w:eastAsia="zh-CN"/>
              </w:rPr>
              <w:t>达标</w:t>
            </w:r>
          </w:p>
        </w:tc>
      </w:tr>
      <w:tr w14:paraId="3E1F1EF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vMerge w:val="restart"/>
            <w:tcBorders>
              <w:tl2br w:val="nil"/>
              <w:tr2bl w:val="nil"/>
            </w:tcBorders>
            <w:noWrap w:val="0"/>
            <w:vAlign w:val="center"/>
          </w:tcPr>
          <w:p w14:paraId="7B095BAB">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color w:val="auto"/>
                <w:spacing w:val="-10"/>
                <w:sz w:val="21"/>
                <w:szCs w:val="21"/>
                <w:highlight w:val="none"/>
                <w:shd w:val="clear" w:color="auto" w:fill="auto"/>
              </w:rPr>
            </w:pPr>
            <w:r>
              <w:rPr>
                <w:rFonts w:hint="default" w:ascii="Times New Roman" w:hAnsi="Times New Roman" w:eastAsia="宋体" w:cs="Times New Roman"/>
                <w:sz w:val="21"/>
                <w:szCs w:val="21"/>
                <w:highlight w:val="none"/>
              </w:rPr>
              <w:t>NO</w:t>
            </w:r>
            <w:r>
              <w:rPr>
                <w:rFonts w:hint="default" w:ascii="Times New Roman" w:hAnsi="Times New Roman" w:eastAsia="宋体" w:cs="Times New Roman"/>
                <w:sz w:val="21"/>
                <w:szCs w:val="21"/>
                <w:highlight w:val="none"/>
                <w:vertAlign w:val="subscript"/>
              </w:rPr>
              <w:t>2</w:t>
            </w:r>
          </w:p>
        </w:tc>
        <w:tc>
          <w:tcPr>
            <w:tcW w:w="1025" w:type="pct"/>
            <w:tcBorders>
              <w:tl2br w:val="nil"/>
              <w:tr2bl w:val="nil"/>
            </w:tcBorders>
            <w:noWrap w:val="0"/>
            <w:vAlign w:val="center"/>
          </w:tcPr>
          <w:p w14:paraId="6775C992">
            <w:pPr>
              <w:topLinePunct/>
              <w:autoSpaceDE/>
              <w:autoSpaceDN/>
              <w:spacing w:before="0" w:after="0" w:line="0" w:lineRule="atLeast"/>
              <w:ind w:left="0" w:firstLine="0"/>
              <w:jc w:val="center"/>
              <w:rPr>
                <w:rFonts w:hint="default" w:ascii="Times New Roman" w:hAnsi="Times New Roman" w:eastAsia="宋体" w:cs="Times New Roman"/>
                <w:color w:val="auto"/>
                <w:spacing w:val="-10"/>
                <w:sz w:val="21"/>
                <w:szCs w:val="21"/>
                <w:highlight w:val="none"/>
                <w:shd w:val="clear" w:color="auto" w:fill="auto"/>
              </w:rPr>
            </w:pPr>
            <w:r>
              <w:rPr>
                <w:rFonts w:hint="default" w:ascii="Times New Roman" w:hAnsi="Times New Roman" w:eastAsia="宋体" w:cs="Times New Roman"/>
                <w:color w:val="auto"/>
                <w:spacing w:val="-10"/>
                <w:sz w:val="21"/>
                <w:szCs w:val="21"/>
                <w:highlight w:val="none"/>
                <w:shd w:val="clear" w:color="auto" w:fill="auto"/>
              </w:rPr>
              <w:t>年平均</w:t>
            </w:r>
          </w:p>
        </w:tc>
        <w:tc>
          <w:tcPr>
            <w:tcW w:w="1069" w:type="pct"/>
            <w:tcBorders>
              <w:tl2br w:val="nil"/>
              <w:tr2bl w:val="nil"/>
            </w:tcBorders>
            <w:noWrap w:val="0"/>
            <w:vAlign w:val="center"/>
          </w:tcPr>
          <w:p w14:paraId="07BB8BB4">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40</w:t>
            </w:r>
          </w:p>
        </w:tc>
        <w:tc>
          <w:tcPr>
            <w:tcW w:w="1034" w:type="pct"/>
            <w:tcBorders>
              <w:tl2br w:val="nil"/>
              <w:tr2bl w:val="nil"/>
            </w:tcBorders>
            <w:noWrap w:val="0"/>
            <w:vAlign w:val="center"/>
          </w:tcPr>
          <w:p w14:paraId="059010A6">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24.5</w:t>
            </w:r>
          </w:p>
        </w:tc>
        <w:tc>
          <w:tcPr>
            <w:tcW w:w="688" w:type="pct"/>
            <w:tcBorders>
              <w:tl2br w:val="nil"/>
              <w:tr2bl w:val="nil"/>
            </w:tcBorders>
            <w:noWrap w:val="0"/>
            <w:vAlign w:val="center"/>
          </w:tcPr>
          <w:p w14:paraId="4E578E20">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61.25</w:t>
            </w:r>
          </w:p>
        </w:tc>
        <w:tc>
          <w:tcPr>
            <w:tcW w:w="513" w:type="pct"/>
            <w:tcBorders>
              <w:tl2br w:val="nil"/>
              <w:tr2bl w:val="nil"/>
            </w:tcBorders>
            <w:shd w:val="clear" w:color="auto" w:fill="auto"/>
            <w:noWrap w:val="0"/>
            <w:vAlign w:val="center"/>
          </w:tcPr>
          <w:p w14:paraId="644A88D0">
            <w:pPr>
              <w:autoSpaceDE/>
              <w:autoSpaceDN/>
              <w:spacing w:before="0" w:after="0" w:line="0" w:lineRule="atLeast"/>
              <w:ind w:left="0" w:leftChars="0" w:firstLine="0" w:firstLineChars="0"/>
              <w:jc w:val="center"/>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color w:val="auto"/>
                <w:spacing w:val="-10"/>
                <w:sz w:val="21"/>
                <w:szCs w:val="21"/>
                <w:highlight w:val="none"/>
                <w:shd w:val="clear" w:color="auto" w:fill="auto"/>
                <w:lang w:val="en-US" w:eastAsia="zh-CN"/>
              </w:rPr>
              <w:t>达标</w:t>
            </w:r>
          </w:p>
        </w:tc>
      </w:tr>
      <w:tr w14:paraId="2C497BA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vMerge w:val="continue"/>
            <w:tcBorders>
              <w:tl2br w:val="nil"/>
              <w:tr2bl w:val="nil"/>
            </w:tcBorders>
            <w:noWrap w:val="0"/>
            <w:vAlign w:val="center"/>
          </w:tcPr>
          <w:p w14:paraId="2443E2CE">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rPr>
            </w:pPr>
          </w:p>
        </w:tc>
        <w:tc>
          <w:tcPr>
            <w:tcW w:w="1025" w:type="pct"/>
            <w:tcBorders>
              <w:tl2br w:val="nil"/>
              <w:tr2bl w:val="nil"/>
            </w:tcBorders>
            <w:noWrap w:val="0"/>
            <w:vAlign w:val="center"/>
          </w:tcPr>
          <w:p w14:paraId="2E3ABAA4">
            <w:pPr>
              <w:topLinePunct/>
              <w:autoSpaceDE/>
              <w:autoSpaceDN/>
              <w:spacing w:before="0" w:after="0" w:line="0" w:lineRule="atLeast"/>
              <w:ind w:left="0" w:firstLine="0"/>
              <w:jc w:val="center"/>
              <w:rPr>
                <w:rFonts w:hint="default" w:ascii="Times New Roman" w:hAnsi="Times New Roman" w:eastAsia="宋体" w:cs="Times New Roman"/>
                <w:color w:val="auto"/>
                <w:spacing w:val="-10"/>
                <w:sz w:val="21"/>
                <w:szCs w:val="21"/>
                <w:highlight w:val="none"/>
                <w:shd w:val="clear" w:color="auto" w:fill="auto"/>
              </w:rPr>
            </w:pPr>
            <w:r>
              <w:rPr>
                <w:rFonts w:hint="eastAsia" w:cs="Times New Roman"/>
                <w:color w:val="auto"/>
                <w:spacing w:val="-10"/>
                <w:sz w:val="21"/>
                <w:szCs w:val="21"/>
                <w:highlight w:val="none"/>
                <w:shd w:val="clear" w:color="auto" w:fill="auto"/>
                <w:lang w:val="en-US" w:eastAsia="zh-CN"/>
              </w:rPr>
              <w:t>日</w:t>
            </w:r>
            <w:r>
              <w:rPr>
                <w:rFonts w:hint="default" w:ascii="Times New Roman" w:hAnsi="Times New Roman" w:eastAsia="宋体" w:cs="Times New Roman"/>
                <w:color w:val="auto"/>
                <w:spacing w:val="-10"/>
                <w:sz w:val="21"/>
                <w:szCs w:val="21"/>
                <w:highlight w:val="none"/>
                <w:shd w:val="clear" w:color="auto" w:fill="auto"/>
              </w:rPr>
              <w:t>平均</w:t>
            </w:r>
          </w:p>
        </w:tc>
        <w:tc>
          <w:tcPr>
            <w:tcW w:w="1069" w:type="pct"/>
            <w:tcBorders>
              <w:tl2br w:val="nil"/>
              <w:tr2bl w:val="nil"/>
            </w:tcBorders>
            <w:noWrap w:val="0"/>
            <w:vAlign w:val="center"/>
          </w:tcPr>
          <w:p w14:paraId="2CB6549C">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80</w:t>
            </w:r>
          </w:p>
        </w:tc>
        <w:tc>
          <w:tcPr>
            <w:tcW w:w="1034" w:type="pct"/>
            <w:tcBorders>
              <w:tl2br w:val="nil"/>
              <w:tr2bl w:val="nil"/>
            </w:tcBorders>
            <w:noWrap w:val="0"/>
            <w:vAlign w:val="center"/>
          </w:tcPr>
          <w:p w14:paraId="44B94E83">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56</w:t>
            </w:r>
          </w:p>
        </w:tc>
        <w:tc>
          <w:tcPr>
            <w:tcW w:w="688" w:type="pct"/>
            <w:tcBorders>
              <w:tl2br w:val="nil"/>
              <w:tr2bl w:val="nil"/>
            </w:tcBorders>
            <w:noWrap w:val="0"/>
            <w:vAlign w:val="center"/>
          </w:tcPr>
          <w:p w14:paraId="08705154">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70</w:t>
            </w:r>
          </w:p>
        </w:tc>
        <w:tc>
          <w:tcPr>
            <w:tcW w:w="513" w:type="pct"/>
            <w:tcBorders>
              <w:tl2br w:val="nil"/>
              <w:tr2bl w:val="nil"/>
            </w:tcBorders>
            <w:shd w:val="clear" w:color="auto" w:fill="auto"/>
            <w:noWrap w:val="0"/>
            <w:vAlign w:val="center"/>
          </w:tcPr>
          <w:p w14:paraId="28C8B2BC">
            <w:pPr>
              <w:autoSpaceDE/>
              <w:autoSpaceDN/>
              <w:spacing w:before="0" w:after="0" w:line="0" w:lineRule="atLeast"/>
              <w:ind w:left="0" w:leftChars="0" w:firstLine="0" w:firstLineChars="0"/>
              <w:jc w:val="center"/>
              <w:rPr>
                <w:rFonts w:hint="default" w:ascii="Times New Roman" w:hAnsi="Times New Roman" w:eastAsia="宋体" w:cs="Times New Roman"/>
                <w:color w:val="auto"/>
                <w:spacing w:val="-10"/>
                <w:sz w:val="21"/>
                <w:szCs w:val="21"/>
                <w:highlight w:val="none"/>
                <w:shd w:val="clear" w:color="auto" w:fill="auto"/>
                <w:lang w:val="en-US" w:eastAsia="zh-CN" w:bidi="ar-SA"/>
              </w:rPr>
            </w:pPr>
            <w:r>
              <w:rPr>
                <w:rFonts w:hint="eastAsia" w:cs="Times New Roman"/>
                <w:color w:val="auto"/>
                <w:spacing w:val="-10"/>
                <w:sz w:val="21"/>
                <w:szCs w:val="21"/>
                <w:highlight w:val="none"/>
                <w:shd w:val="clear" w:color="auto" w:fill="auto"/>
                <w:lang w:val="en-US" w:eastAsia="zh-CN"/>
              </w:rPr>
              <w:t>达标</w:t>
            </w:r>
          </w:p>
        </w:tc>
      </w:tr>
      <w:tr w14:paraId="622011E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vMerge w:val="restart"/>
            <w:tcBorders>
              <w:tl2br w:val="nil"/>
              <w:tr2bl w:val="nil"/>
            </w:tcBorders>
            <w:noWrap w:val="0"/>
            <w:vAlign w:val="center"/>
          </w:tcPr>
          <w:p w14:paraId="14EDCDDE">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PM</w:t>
            </w:r>
            <w:r>
              <w:rPr>
                <w:rFonts w:hint="default" w:ascii="Times New Roman" w:hAnsi="Times New Roman" w:eastAsia="宋体" w:cs="Times New Roman"/>
                <w:sz w:val="21"/>
                <w:szCs w:val="21"/>
                <w:highlight w:val="none"/>
                <w:vertAlign w:val="subscript"/>
              </w:rPr>
              <w:t>10</w:t>
            </w:r>
          </w:p>
        </w:tc>
        <w:tc>
          <w:tcPr>
            <w:tcW w:w="1025" w:type="pct"/>
            <w:tcBorders>
              <w:tl2br w:val="nil"/>
              <w:tr2bl w:val="nil"/>
            </w:tcBorders>
            <w:shd w:val="clear" w:color="auto" w:fill="auto"/>
            <w:noWrap w:val="0"/>
            <w:vAlign w:val="center"/>
          </w:tcPr>
          <w:p w14:paraId="5141D570">
            <w:pPr>
              <w:topLinePunct/>
              <w:autoSpaceDE/>
              <w:autoSpaceDN/>
              <w:spacing w:before="0" w:after="0" w:line="0" w:lineRule="atLeast"/>
              <w:ind w:left="0" w:leftChars="0" w:firstLine="0" w:firstLineChars="0"/>
              <w:jc w:val="center"/>
              <w:rPr>
                <w:rFonts w:hint="default" w:ascii="Times New Roman" w:hAnsi="Times New Roman" w:eastAsia="宋体" w:cs="Times New Roman"/>
                <w:color w:val="auto"/>
                <w:spacing w:val="-10"/>
                <w:sz w:val="21"/>
                <w:szCs w:val="21"/>
                <w:highlight w:val="none"/>
                <w:shd w:val="clear" w:color="auto" w:fill="auto"/>
                <w:lang w:val="en-US" w:eastAsia="zh-CN" w:bidi="ar-SA"/>
              </w:rPr>
            </w:pPr>
            <w:r>
              <w:rPr>
                <w:rFonts w:hint="default" w:ascii="Times New Roman" w:hAnsi="Times New Roman" w:eastAsia="宋体" w:cs="Times New Roman"/>
                <w:color w:val="auto"/>
                <w:spacing w:val="-10"/>
                <w:sz w:val="21"/>
                <w:szCs w:val="21"/>
                <w:highlight w:val="none"/>
                <w:shd w:val="clear" w:color="auto" w:fill="auto"/>
              </w:rPr>
              <w:t>年平均</w:t>
            </w:r>
          </w:p>
        </w:tc>
        <w:tc>
          <w:tcPr>
            <w:tcW w:w="1069" w:type="pct"/>
            <w:tcBorders>
              <w:tl2br w:val="nil"/>
              <w:tr2bl w:val="nil"/>
            </w:tcBorders>
            <w:noWrap w:val="0"/>
            <w:vAlign w:val="center"/>
          </w:tcPr>
          <w:p w14:paraId="29BC8E1A">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60</w:t>
            </w:r>
          </w:p>
        </w:tc>
        <w:tc>
          <w:tcPr>
            <w:tcW w:w="1034" w:type="pct"/>
            <w:tcBorders>
              <w:tl2br w:val="nil"/>
              <w:tr2bl w:val="nil"/>
            </w:tcBorders>
            <w:noWrap w:val="0"/>
            <w:vAlign w:val="center"/>
          </w:tcPr>
          <w:p w14:paraId="453F6987">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256</w:t>
            </w:r>
          </w:p>
        </w:tc>
        <w:tc>
          <w:tcPr>
            <w:tcW w:w="688" w:type="pct"/>
            <w:tcBorders>
              <w:tl2br w:val="nil"/>
              <w:tr2bl w:val="nil"/>
            </w:tcBorders>
            <w:noWrap w:val="0"/>
            <w:vAlign w:val="center"/>
          </w:tcPr>
          <w:p w14:paraId="2ADE8435">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426.67</w:t>
            </w:r>
          </w:p>
        </w:tc>
        <w:tc>
          <w:tcPr>
            <w:tcW w:w="513" w:type="pct"/>
            <w:tcBorders>
              <w:tl2br w:val="nil"/>
              <w:tr2bl w:val="nil"/>
            </w:tcBorders>
            <w:shd w:val="clear" w:color="auto" w:fill="auto"/>
            <w:noWrap w:val="0"/>
            <w:vAlign w:val="center"/>
          </w:tcPr>
          <w:p w14:paraId="7150A92C">
            <w:pPr>
              <w:autoSpaceDE/>
              <w:autoSpaceDN/>
              <w:spacing w:before="0" w:after="0" w:line="0" w:lineRule="atLeast"/>
              <w:ind w:left="0" w:leftChars="0" w:firstLine="0" w:firstLineChars="0"/>
              <w:jc w:val="center"/>
              <w:rPr>
                <w:rFonts w:hint="default" w:ascii="Times New Roman" w:hAnsi="Times New Roman" w:eastAsia="宋体" w:cs="Times New Roman"/>
                <w:sz w:val="21"/>
                <w:szCs w:val="21"/>
                <w:highlight w:val="none"/>
                <w:lang w:val="en-US" w:eastAsia="zh-CN" w:bidi="ar-SA"/>
              </w:rPr>
            </w:pPr>
            <w:r>
              <w:rPr>
                <w:rFonts w:hint="eastAsia" w:cs="Times New Roman"/>
                <w:color w:val="auto"/>
                <w:spacing w:val="-10"/>
                <w:sz w:val="21"/>
                <w:szCs w:val="21"/>
                <w:highlight w:val="none"/>
                <w:shd w:val="clear" w:color="auto" w:fill="auto"/>
                <w:lang w:val="en-US" w:eastAsia="zh-CN"/>
              </w:rPr>
              <w:t>不</w:t>
            </w:r>
            <w:r>
              <w:rPr>
                <w:rFonts w:hint="default" w:ascii="Times New Roman" w:hAnsi="Times New Roman" w:eastAsia="宋体" w:cs="Times New Roman"/>
                <w:color w:val="auto"/>
                <w:spacing w:val="-10"/>
                <w:sz w:val="21"/>
                <w:szCs w:val="21"/>
                <w:highlight w:val="none"/>
                <w:shd w:val="clear" w:color="auto" w:fill="auto"/>
                <w:lang w:val="en-US" w:eastAsia="zh-CN"/>
              </w:rPr>
              <w:t>达标</w:t>
            </w:r>
          </w:p>
        </w:tc>
      </w:tr>
      <w:tr w14:paraId="1B58224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vMerge w:val="continue"/>
            <w:tcBorders>
              <w:tl2br w:val="nil"/>
              <w:tr2bl w:val="nil"/>
            </w:tcBorders>
            <w:noWrap w:val="0"/>
            <w:vAlign w:val="center"/>
          </w:tcPr>
          <w:p w14:paraId="4361D0B7">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rPr>
            </w:pPr>
          </w:p>
        </w:tc>
        <w:tc>
          <w:tcPr>
            <w:tcW w:w="1025" w:type="pct"/>
            <w:tcBorders>
              <w:tl2br w:val="nil"/>
              <w:tr2bl w:val="nil"/>
            </w:tcBorders>
            <w:shd w:val="clear" w:color="auto" w:fill="auto"/>
            <w:noWrap w:val="0"/>
            <w:vAlign w:val="center"/>
          </w:tcPr>
          <w:p w14:paraId="3104830B">
            <w:pPr>
              <w:topLinePunct/>
              <w:autoSpaceDE/>
              <w:autoSpaceDN/>
              <w:spacing w:before="0" w:after="0" w:line="0" w:lineRule="atLeast"/>
              <w:ind w:left="0" w:leftChars="0" w:firstLine="0" w:firstLineChars="0"/>
              <w:jc w:val="center"/>
              <w:rPr>
                <w:rFonts w:hint="default" w:ascii="Times New Roman" w:hAnsi="Times New Roman" w:eastAsia="宋体" w:cs="Times New Roman"/>
                <w:color w:val="auto"/>
                <w:spacing w:val="-10"/>
                <w:sz w:val="21"/>
                <w:szCs w:val="21"/>
                <w:highlight w:val="none"/>
                <w:shd w:val="clear" w:color="auto" w:fill="auto"/>
                <w:lang w:val="en-US" w:eastAsia="zh-CN" w:bidi="ar-SA"/>
              </w:rPr>
            </w:pPr>
            <w:r>
              <w:rPr>
                <w:rFonts w:hint="eastAsia" w:cs="Times New Roman"/>
                <w:color w:val="auto"/>
                <w:spacing w:val="-10"/>
                <w:sz w:val="21"/>
                <w:szCs w:val="21"/>
                <w:highlight w:val="none"/>
                <w:shd w:val="clear" w:color="auto" w:fill="auto"/>
                <w:lang w:val="en-US" w:eastAsia="zh-CN"/>
              </w:rPr>
              <w:t>日</w:t>
            </w:r>
            <w:r>
              <w:rPr>
                <w:rFonts w:hint="default" w:ascii="Times New Roman" w:hAnsi="Times New Roman" w:eastAsia="宋体" w:cs="Times New Roman"/>
                <w:color w:val="auto"/>
                <w:spacing w:val="-10"/>
                <w:sz w:val="21"/>
                <w:szCs w:val="21"/>
                <w:highlight w:val="none"/>
                <w:shd w:val="clear" w:color="auto" w:fill="auto"/>
              </w:rPr>
              <w:t>平均</w:t>
            </w:r>
          </w:p>
        </w:tc>
        <w:tc>
          <w:tcPr>
            <w:tcW w:w="1069" w:type="pct"/>
            <w:tcBorders>
              <w:tl2br w:val="nil"/>
              <w:tr2bl w:val="nil"/>
            </w:tcBorders>
            <w:noWrap w:val="0"/>
            <w:vAlign w:val="center"/>
          </w:tcPr>
          <w:p w14:paraId="69575833">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120</w:t>
            </w:r>
          </w:p>
        </w:tc>
        <w:tc>
          <w:tcPr>
            <w:tcW w:w="1034" w:type="pct"/>
            <w:tcBorders>
              <w:tl2br w:val="nil"/>
              <w:tr2bl w:val="nil"/>
            </w:tcBorders>
            <w:noWrap w:val="0"/>
            <w:vAlign w:val="center"/>
          </w:tcPr>
          <w:p w14:paraId="574EA570">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691</w:t>
            </w:r>
          </w:p>
        </w:tc>
        <w:tc>
          <w:tcPr>
            <w:tcW w:w="688" w:type="pct"/>
            <w:tcBorders>
              <w:tl2br w:val="nil"/>
              <w:tr2bl w:val="nil"/>
            </w:tcBorders>
            <w:noWrap w:val="0"/>
            <w:vAlign w:val="center"/>
          </w:tcPr>
          <w:p w14:paraId="6C7D4EAA">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575.83</w:t>
            </w:r>
          </w:p>
        </w:tc>
        <w:tc>
          <w:tcPr>
            <w:tcW w:w="513" w:type="pct"/>
            <w:tcBorders>
              <w:tl2br w:val="nil"/>
              <w:tr2bl w:val="nil"/>
            </w:tcBorders>
            <w:shd w:val="clear" w:color="auto" w:fill="auto"/>
            <w:noWrap w:val="0"/>
            <w:vAlign w:val="center"/>
          </w:tcPr>
          <w:p w14:paraId="3EBE997D">
            <w:pPr>
              <w:autoSpaceDE/>
              <w:autoSpaceDN/>
              <w:spacing w:before="0" w:after="0" w:line="0" w:lineRule="atLeast"/>
              <w:ind w:left="0" w:leftChars="0" w:firstLine="0" w:firstLineChars="0"/>
              <w:jc w:val="center"/>
              <w:rPr>
                <w:rFonts w:hint="default" w:ascii="Times New Roman" w:hAnsi="Times New Roman" w:eastAsia="宋体" w:cs="Times New Roman"/>
                <w:color w:val="auto"/>
                <w:spacing w:val="-10"/>
                <w:sz w:val="21"/>
                <w:szCs w:val="21"/>
                <w:highlight w:val="none"/>
                <w:shd w:val="clear" w:color="auto" w:fill="auto"/>
                <w:lang w:val="en-US" w:eastAsia="zh-CN" w:bidi="ar-SA"/>
              </w:rPr>
            </w:pPr>
            <w:r>
              <w:rPr>
                <w:rFonts w:hint="eastAsia" w:cs="Times New Roman"/>
                <w:color w:val="auto"/>
                <w:spacing w:val="-10"/>
                <w:sz w:val="21"/>
                <w:szCs w:val="21"/>
                <w:highlight w:val="none"/>
                <w:shd w:val="clear" w:color="auto" w:fill="auto"/>
                <w:lang w:val="en-US" w:eastAsia="zh-CN"/>
              </w:rPr>
              <w:t>不达标</w:t>
            </w:r>
          </w:p>
        </w:tc>
      </w:tr>
      <w:tr w14:paraId="685B568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vMerge w:val="restart"/>
            <w:tcBorders>
              <w:tl2br w:val="nil"/>
              <w:tr2bl w:val="nil"/>
            </w:tcBorders>
            <w:noWrap w:val="0"/>
            <w:vAlign w:val="center"/>
          </w:tcPr>
          <w:p w14:paraId="121CD2F3">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PM</w:t>
            </w:r>
            <w:r>
              <w:rPr>
                <w:rFonts w:hint="default" w:ascii="Times New Roman" w:hAnsi="Times New Roman" w:eastAsia="宋体" w:cs="Times New Roman"/>
                <w:sz w:val="21"/>
                <w:szCs w:val="21"/>
                <w:highlight w:val="none"/>
                <w:vertAlign w:val="subscript"/>
              </w:rPr>
              <w:t>2.5</w:t>
            </w:r>
          </w:p>
        </w:tc>
        <w:tc>
          <w:tcPr>
            <w:tcW w:w="1025" w:type="pct"/>
            <w:tcBorders>
              <w:tl2br w:val="nil"/>
              <w:tr2bl w:val="nil"/>
            </w:tcBorders>
            <w:shd w:val="clear" w:color="auto" w:fill="auto"/>
            <w:noWrap w:val="0"/>
            <w:vAlign w:val="center"/>
          </w:tcPr>
          <w:p w14:paraId="1392574D">
            <w:pPr>
              <w:topLinePunct/>
              <w:autoSpaceDE/>
              <w:autoSpaceDN/>
              <w:spacing w:before="0" w:after="0" w:line="0" w:lineRule="atLeast"/>
              <w:ind w:left="0" w:leftChars="0" w:firstLine="0" w:firstLineChars="0"/>
              <w:jc w:val="center"/>
              <w:rPr>
                <w:rFonts w:hint="default" w:ascii="Times New Roman" w:hAnsi="Times New Roman" w:eastAsia="宋体" w:cs="Times New Roman"/>
                <w:color w:val="auto"/>
                <w:spacing w:val="-10"/>
                <w:sz w:val="21"/>
                <w:szCs w:val="21"/>
                <w:highlight w:val="none"/>
                <w:shd w:val="clear" w:color="auto" w:fill="auto"/>
                <w:lang w:val="en-US" w:eastAsia="zh-CN" w:bidi="ar-SA"/>
              </w:rPr>
            </w:pPr>
            <w:r>
              <w:rPr>
                <w:rFonts w:hint="default" w:ascii="Times New Roman" w:hAnsi="Times New Roman" w:eastAsia="宋体" w:cs="Times New Roman"/>
                <w:color w:val="auto"/>
                <w:spacing w:val="-10"/>
                <w:sz w:val="21"/>
                <w:szCs w:val="21"/>
                <w:highlight w:val="none"/>
                <w:shd w:val="clear" w:color="auto" w:fill="auto"/>
              </w:rPr>
              <w:t>年平均</w:t>
            </w:r>
          </w:p>
        </w:tc>
        <w:tc>
          <w:tcPr>
            <w:tcW w:w="1069" w:type="pct"/>
            <w:tcBorders>
              <w:tl2br w:val="nil"/>
              <w:tr2bl w:val="nil"/>
            </w:tcBorders>
            <w:noWrap w:val="0"/>
            <w:vAlign w:val="center"/>
          </w:tcPr>
          <w:p w14:paraId="193B7170">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30</w:t>
            </w:r>
          </w:p>
        </w:tc>
        <w:tc>
          <w:tcPr>
            <w:tcW w:w="1034" w:type="pct"/>
            <w:tcBorders>
              <w:tl2br w:val="nil"/>
              <w:tr2bl w:val="nil"/>
            </w:tcBorders>
            <w:noWrap w:val="0"/>
            <w:vAlign w:val="center"/>
          </w:tcPr>
          <w:p w14:paraId="3876BEDE">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72.8</w:t>
            </w:r>
          </w:p>
        </w:tc>
        <w:tc>
          <w:tcPr>
            <w:tcW w:w="688" w:type="pct"/>
            <w:tcBorders>
              <w:tl2br w:val="nil"/>
              <w:tr2bl w:val="nil"/>
            </w:tcBorders>
            <w:noWrap w:val="0"/>
            <w:vAlign w:val="center"/>
          </w:tcPr>
          <w:p w14:paraId="67FA1C0C">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242.67</w:t>
            </w:r>
          </w:p>
        </w:tc>
        <w:tc>
          <w:tcPr>
            <w:tcW w:w="513" w:type="pct"/>
            <w:tcBorders>
              <w:tl2br w:val="nil"/>
              <w:tr2bl w:val="nil"/>
            </w:tcBorders>
            <w:shd w:val="clear" w:color="auto" w:fill="auto"/>
            <w:noWrap w:val="0"/>
            <w:vAlign w:val="center"/>
          </w:tcPr>
          <w:p w14:paraId="351ED595">
            <w:pPr>
              <w:autoSpaceDE/>
              <w:autoSpaceDN/>
              <w:spacing w:before="0" w:after="0" w:line="0" w:lineRule="atLeast"/>
              <w:ind w:left="0" w:leftChars="0" w:firstLine="0" w:firstLineChars="0"/>
              <w:jc w:val="center"/>
              <w:rPr>
                <w:rFonts w:hint="default" w:ascii="Times New Roman" w:hAnsi="Times New Roman" w:eastAsia="宋体" w:cs="Times New Roman"/>
                <w:sz w:val="21"/>
                <w:szCs w:val="21"/>
                <w:highlight w:val="none"/>
                <w:lang w:val="en-US" w:eastAsia="zh-CN" w:bidi="ar-SA"/>
              </w:rPr>
            </w:pPr>
            <w:r>
              <w:rPr>
                <w:rFonts w:hint="eastAsia" w:cs="Times New Roman"/>
                <w:color w:val="auto"/>
                <w:spacing w:val="-10"/>
                <w:sz w:val="21"/>
                <w:szCs w:val="21"/>
                <w:highlight w:val="none"/>
                <w:shd w:val="clear" w:color="auto" w:fill="auto"/>
                <w:lang w:val="en-US" w:eastAsia="zh-CN"/>
              </w:rPr>
              <w:t>不</w:t>
            </w:r>
            <w:r>
              <w:rPr>
                <w:rFonts w:hint="default" w:ascii="Times New Roman" w:hAnsi="Times New Roman" w:eastAsia="宋体" w:cs="Times New Roman"/>
                <w:color w:val="auto"/>
                <w:spacing w:val="-10"/>
                <w:sz w:val="21"/>
                <w:szCs w:val="21"/>
                <w:highlight w:val="none"/>
                <w:shd w:val="clear" w:color="auto" w:fill="auto"/>
                <w:lang w:val="en-US" w:eastAsia="zh-CN"/>
              </w:rPr>
              <w:t>达标</w:t>
            </w:r>
          </w:p>
        </w:tc>
      </w:tr>
      <w:tr w14:paraId="221B251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vMerge w:val="continue"/>
            <w:tcBorders>
              <w:tl2br w:val="nil"/>
              <w:tr2bl w:val="nil"/>
            </w:tcBorders>
            <w:noWrap w:val="0"/>
            <w:vAlign w:val="center"/>
          </w:tcPr>
          <w:p w14:paraId="0F31043E">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rPr>
            </w:pPr>
          </w:p>
        </w:tc>
        <w:tc>
          <w:tcPr>
            <w:tcW w:w="1025" w:type="pct"/>
            <w:tcBorders>
              <w:tl2br w:val="nil"/>
              <w:tr2bl w:val="nil"/>
            </w:tcBorders>
            <w:shd w:val="clear" w:color="auto" w:fill="auto"/>
            <w:noWrap w:val="0"/>
            <w:vAlign w:val="center"/>
          </w:tcPr>
          <w:p w14:paraId="6D9BEF49">
            <w:pPr>
              <w:topLinePunct/>
              <w:autoSpaceDE/>
              <w:autoSpaceDN/>
              <w:spacing w:before="0" w:after="0" w:line="0" w:lineRule="atLeast"/>
              <w:ind w:left="0" w:leftChars="0" w:firstLine="0" w:firstLineChars="0"/>
              <w:jc w:val="center"/>
              <w:rPr>
                <w:rFonts w:hint="default" w:ascii="Times New Roman" w:hAnsi="Times New Roman" w:eastAsia="宋体" w:cs="Times New Roman"/>
                <w:color w:val="auto"/>
                <w:spacing w:val="-10"/>
                <w:sz w:val="21"/>
                <w:szCs w:val="21"/>
                <w:highlight w:val="none"/>
                <w:shd w:val="clear" w:color="auto" w:fill="auto"/>
                <w:lang w:val="en-US" w:eastAsia="zh-CN" w:bidi="ar-SA"/>
              </w:rPr>
            </w:pPr>
            <w:r>
              <w:rPr>
                <w:rFonts w:hint="eastAsia" w:cs="Times New Roman"/>
                <w:color w:val="auto"/>
                <w:spacing w:val="-10"/>
                <w:sz w:val="21"/>
                <w:szCs w:val="21"/>
                <w:highlight w:val="none"/>
                <w:shd w:val="clear" w:color="auto" w:fill="auto"/>
                <w:lang w:val="en-US" w:eastAsia="zh-CN"/>
              </w:rPr>
              <w:t>日</w:t>
            </w:r>
            <w:r>
              <w:rPr>
                <w:rFonts w:hint="default" w:ascii="Times New Roman" w:hAnsi="Times New Roman" w:eastAsia="宋体" w:cs="Times New Roman"/>
                <w:color w:val="auto"/>
                <w:spacing w:val="-10"/>
                <w:sz w:val="21"/>
                <w:szCs w:val="21"/>
                <w:highlight w:val="none"/>
                <w:shd w:val="clear" w:color="auto" w:fill="auto"/>
              </w:rPr>
              <w:t>平均</w:t>
            </w:r>
          </w:p>
        </w:tc>
        <w:tc>
          <w:tcPr>
            <w:tcW w:w="1069" w:type="pct"/>
            <w:tcBorders>
              <w:tl2br w:val="nil"/>
              <w:tr2bl w:val="nil"/>
            </w:tcBorders>
            <w:noWrap w:val="0"/>
            <w:vAlign w:val="center"/>
          </w:tcPr>
          <w:p w14:paraId="099D8E2A">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60</w:t>
            </w:r>
          </w:p>
        </w:tc>
        <w:tc>
          <w:tcPr>
            <w:tcW w:w="1034" w:type="pct"/>
            <w:tcBorders>
              <w:tl2br w:val="nil"/>
              <w:tr2bl w:val="nil"/>
            </w:tcBorders>
            <w:noWrap w:val="0"/>
            <w:vAlign w:val="center"/>
          </w:tcPr>
          <w:p w14:paraId="236ABF16">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177</w:t>
            </w:r>
          </w:p>
        </w:tc>
        <w:tc>
          <w:tcPr>
            <w:tcW w:w="688" w:type="pct"/>
            <w:tcBorders>
              <w:tl2br w:val="nil"/>
              <w:tr2bl w:val="nil"/>
            </w:tcBorders>
            <w:noWrap w:val="0"/>
            <w:vAlign w:val="center"/>
          </w:tcPr>
          <w:p w14:paraId="5B9C2324">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295</w:t>
            </w:r>
          </w:p>
        </w:tc>
        <w:tc>
          <w:tcPr>
            <w:tcW w:w="513" w:type="pct"/>
            <w:tcBorders>
              <w:tl2br w:val="nil"/>
              <w:tr2bl w:val="nil"/>
            </w:tcBorders>
            <w:shd w:val="clear" w:color="auto" w:fill="auto"/>
            <w:noWrap w:val="0"/>
            <w:vAlign w:val="center"/>
          </w:tcPr>
          <w:p w14:paraId="55F599B3">
            <w:pPr>
              <w:autoSpaceDE/>
              <w:autoSpaceDN/>
              <w:spacing w:before="0" w:after="0" w:line="0" w:lineRule="atLeast"/>
              <w:ind w:left="0" w:leftChars="0" w:firstLine="0" w:firstLineChars="0"/>
              <w:jc w:val="center"/>
              <w:rPr>
                <w:rFonts w:hint="default" w:ascii="Times New Roman" w:hAnsi="Times New Roman" w:eastAsia="宋体" w:cs="Times New Roman"/>
                <w:color w:val="auto"/>
                <w:spacing w:val="-10"/>
                <w:sz w:val="21"/>
                <w:szCs w:val="21"/>
                <w:highlight w:val="none"/>
                <w:shd w:val="clear" w:color="auto" w:fill="auto"/>
                <w:lang w:val="en-US" w:eastAsia="zh-CN" w:bidi="ar-SA"/>
              </w:rPr>
            </w:pPr>
            <w:r>
              <w:rPr>
                <w:rFonts w:hint="eastAsia" w:cs="Times New Roman"/>
                <w:color w:val="auto"/>
                <w:spacing w:val="-10"/>
                <w:sz w:val="21"/>
                <w:szCs w:val="21"/>
                <w:highlight w:val="none"/>
                <w:shd w:val="clear" w:color="auto" w:fill="auto"/>
                <w:lang w:val="en-US" w:eastAsia="zh-CN"/>
              </w:rPr>
              <w:t>不达标</w:t>
            </w:r>
          </w:p>
        </w:tc>
      </w:tr>
      <w:tr w14:paraId="5641C7F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7" w:hRule="atLeast"/>
          <w:jc w:val="center"/>
        </w:trPr>
        <w:tc>
          <w:tcPr>
            <w:tcW w:w="668" w:type="pct"/>
            <w:tcBorders>
              <w:tl2br w:val="nil"/>
              <w:tr2bl w:val="nil"/>
            </w:tcBorders>
            <w:noWrap w:val="0"/>
            <w:vAlign w:val="center"/>
          </w:tcPr>
          <w:p w14:paraId="35E9D7A8">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color w:val="auto"/>
                <w:spacing w:val="-10"/>
                <w:sz w:val="21"/>
                <w:szCs w:val="21"/>
                <w:highlight w:val="none"/>
                <w:shd w:val="clear" w:color="auto" w:fill="auto"/>
              </w:rPr>
            </w:pPr>
            <w:r>
              <w:rPr>
                <w:rFonts w:hint="default" w:ascii="Times New Roman" w:hAnsi="Times New Roman" w:eastAsia="宋体" w:cs="Times New Roman"/>
                <w:sz w:val="21"/>
                <w:szCs w:val="21"/>
                <w:highlight w:val="none"/>
              </w:rPr>
              <w:t>CO</w:t>
            </w:r>
          </w:p>
        </w:tc>
        <w:tc>
          <w:tcPr>
            <w:tcW w:w="1025" w:type="pct"/>
            <w:tcBorders>
              <w:tl2br w:val="nil"/>
              <w:tr2bl w:val="nil"/>
            </w:tcBorders>
            <w:noWrap w:val="0"/>
            <w:vAlign w:val="center"/>
          </w:tcPr>
          <w:p w14:paraId="5F86579A">
            <w:pPr>
              <w:topLinePunct/>
              <w:autoSpaceDE/>
              <w:autoSpaceDN/>
              <w:spacing w:before="0" w:after="0" w:line="0" w:lineRule="atLeast"/>
              <w:ind w:left="0" w:firstLine="0"/>
              <w:jc w:val="center"/>
              <w:rPr>
                <w:rFonts w:hint="default" w:ascii="Times New Roman" w:hAnsi="Times New Roman" w:eastAsia="宋体" w:cs="Times New Roman"/>
                <w:color w:val="auto"/>
                <w:spacing w:val="-10"/>
                <w:sz w:val="21"/>
                <w:szCs w:val="21"/>
                <w:highlight w:val="none"/>
                <w:shd w:val="clear" w:color="auto" w:fill="auto"/>
                <w:lang w:eastAsia="zh-CN"/>
              </w:rPr>
            </w:pPr>
            <w:r>
              <w:rPr>
                <w:rFonts w:hint="eastAsia" w:cs="Times New Roman"/>
                <w:color w:val="auto"/>
                <w:spacing w:val="-10"/>
                <w:sz w:val="21"/>
                <w:szCs w:val="21"/>
                <w:highlight w:val="none"/>
                <w:shd w:val="clear" w:color="auto" w:fill="auto"/>
                <w:lang w:val="en-US" w:eastAsia="zh-CN"/>
              </w:rPr>
              <w:t>日</w:t>
            </w:r>
            <w:r>
              <w:rPr>
                <w:rFonts w:hint="default" w:ascii="Times New Roman" w:hAnsi="Times New Roman" w:eastAsia="宋体" w:cs="Times New Roman"/>
                <w:color w:val="auto"/>
                <w:spacing w:val="-10"/>
                <w:sz w:val="21"/>
                <w:szCs w:val="21"/>
                <w:highlight w:val="none"/>
                <w:shd w:val="clear" w:color="auto" w:fill="auto"/>
              </w:rPr>
              <w:t>平均</w:t>
            </w:r>
          </w:p>
        </w:tc>
        <w:tc>
          <w:tcPr>
            <w:tcW w:w="1069" w:type="pct"/>
            <w:tcBorders>
              <w:tl2br w:val="nil"/>
              <w:tr2bl w:val="nil"/>
            </w:tcBorders>
            <w:noWrap w:val="0"/>
            <w:vAlign w:val="center"/>
          </w:tcPr>
          <w:p w14:paraId="005AE4E6">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4</w:t>
            </w:r>
            <w:r>
              <w:rPr>
                <w:rFonts w:hint="default" w:ascii="Times New Roman" w:hAnsi="Times New Roman" w:cs="Times New Roman"/>
                <w:sz w:val="21"/>
                <w:szCs w:val="21"/>
                <w:highlight w:val="none"/>
                <w:lang w:val="en-US" w:eastAsia="zh-CN"/>
              </w:rPr>
              <w:t>000</w:t>
            </w:r>
          </w:p>
        </w:tc>
        <w:tc>
          <w:tcPr>
            <w:tcW w:w="1034" w:type="pct"/>
            <w:tcBorders>
              <w:tl2br w:val="nil"/>
              <w:tr2bl w:val="nil"/>
            </w:tcBorders>
            <w:noWrap w:val="0"/>
            <w:vAlign w:val="center"/>
          </w:tcPr>
          <w:p w14:paraId="7985FA6D">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sz w:val="21"/>
                <w:szCs w:val="21"/>
                <w:highlight w:val="none"/>
                <w:lang w:val="en-US" w:eastAsia="zh-CN"/>
              </w:rPr>
              <w:t>1700</w:t>
            </w:r>
          </w:p>
        </w:tc>
        <w:tc>
          <w:tcPr>
            <w:tcW w:w="688" w:type="pct"/>
            <w:tcBorders>
              <w:tl2br w:val="nil"/>
              <w:tr2bl w:val="nil"/>
            </w:tcBorders>
            <w:noWrap w:val="0"/>
            <w:vAlign w:val="center"/>
          </w:tcPr>
          <w:p w14:paraId="6B804ED8">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42.5</w:t>
            </w:r>
          </w:p>
        </w:tc>
        <w:tc>
          <w:tcPr>
            <w:tcW w:w="513" w:type="pct"/>
            <w:tcBorders>
              <w:tl2br w:val="nil"/>
              <w:tr2bl w:val="nil"/>
            </w:tcBorders>
            <w:noWrap w:val="0"/>
            <w:vAlign w:val="center"/>
          </w:tcPr>
          <w:p w14:paraId="45919D60">
            <w:pPr>
              <w:autoSpaceDE/>
              <w:autoSpaceDN/>
              <w:spacing w:before="0" w:after="0" w:line="0" w:lineRule="atLeast"/>
              <w:ind w:left="0" w:firstLine="0"/>
              <w:jc w:val="center"/>
              <w:rPr>
                <w:rFonts w:hint="default" w:ascii="Times New Roman" w:hAnsi="Times New Roman" w:eastAsia="宋体" w:cs="Times New Roman"/>
                <w:color w:val="auto"/>
                <w:spacing w:val="-10"/>
                <w:sz w:val="21"/>
                <w:szCs w:val="21"/>
                <w:highlight w:val="none"/>
                <w:shd w:val="clear" w:color="auto" w:fill="auto"/>
              </w:rPr>
            </w:pPr>
            <w:r>
              <w:rPr>
                <w:rFonts w:hint="default" w:ascii="Times New Roman" w:hAnsi="Times New Roman" w:eastAsia="宋体" w:cs="Times New Roman"/>
                <w:color w:val="auto"/>
                <w:spacing w:val="-10"/>
                <w:sz w:val="21"/>
                <w:szCs w:val="21"/>
                <w:highlight w:val="none"/>
                <w:shd w:val="clear" w:color="auto" w:fill="auto"/>
                <w:lang w:val="en-US" w:eastAsia="zh-CN"/>
              </w:rPr>
              <w:t>达标</w:t>
            </w:r>
          </w:p>
        </w:tc>
      </w:tr>
      <w:tr w14:paraId="617CE3C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668" w:type="pct"/>
            <w:tcBorders>
              <w:tl2br w:val="nil"/>
              <w:tr2bl w:val="nil"/>
            </w:tcBorders>
            <w:noWrap w:val="0"/>
            <w:vAlign w:val="center"/>
          </w:tcPr>
          <w:p w14:paraId="3BDC4FFC">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color w:val="auto"/>
                <w:spacing w:val="-10"/>
                <w:sz w:val="21"/>
                <w:szCs w:val="21"/>
                <w:highlight w:val="none"/>
                <w:shd w:val="clear" w:color="auto" w:fill="auto"/>
              </w:rPr>
            </w:pPr>
            <w:r>
              <w:rPr>
                <w:rFonts w:hint="default" w:ascii="Times New Roman" w:hAnsi="Times New Roman" w:eastAsia="宋体" w:cs="Times New Roman"/>
                <w:sz w:val="21"/>
                <w:szCs w:val="21"/>
                <w:highlight w:val="none"/>
              </w:rPr>
              <w:t>O</w:t>
            </w:r>
            <w:r>
              <w:rPr>
                <w:rFonts w:hint="default" w:ascii="Times New Roman" w:hAnsi="Times New Roman" w:eastAsia="宋体" w:cs="Times New Roman"/>
                <w:sz w:val="21"/>
                <w:szCs w:val="21"/>
                <w:highlight w:val="none"/>
                <w:vertAlign w:val="subscript"/>
              </w:rPr>
              <w:t>3</w:t>
            </w:r>
          </w:p>
        </w:tc>
        <w:tc>
          <w:tcPr>
            <w:tcW w:w="1025" w:type="pct"/>
            <w:tcBorders>
              <w:tl2br w:val="nil"/>
              <w:tr2bl w:val="nil"/>
            </w:tcBorders>
            <w:noWrap w:val="0"/>
            <w:vAlign w:val="center"/>
          </w:tcPr>
          <w:p w14:paraId="713C50CE">
            <w:pPr>
              <w:topLinePunct/>
              <w:autoSpaceDE/>
              <w:autoSpaceDN/>
              <w:spacing w:before="0" w:after="0" w:line="0" w:lineRule="atLeast"/>
              <w:ind w:left="0" w:firstLine="0"/>
              <w:jc w:val="center"/>
              <w:rPr>
                <w:rFonts w:hint="default" w:ascii="Times New Roman" w:hAnsi="Times New Roman" w:eastAsia="宋体" w:cs="Times New Roman"/>
                <w:color w:val="auto"/>
                <w:spacing w:val="-10"/>
                <w:sz w:val="21"/>
                <w:szCs w:val="21"/>
                <w:highlight w:val="none"/>
                <w:shd w:val="clear" w:color="auto" w:fill="auto"/>
              </w:rPr>
            </w:pPr>
            <w:r>
              <w:rPr>
                <w:rFonts w:hint="default" w:ascii="Times New Roman" w:hAnsi="Times New Roman" w:eastAsia="宋体" w:cs="Times New Roman"/>
                <w:color w:val="auto"/>
                <w:spacing w:val="-10"/>
                <w:sz w:val="21"/>
                <w:szCs w:val="21"/>
                <w:highlight w:val="none"/>
                <w:shd w:val="clear" w:color="auto" w:fill="auto"/>
              </w:rPr>
              <w:t>日最大8小时平均</w:t>
            </w:r>
          </w:p>
        </w:tc>
        <w:tc>
          <w:tcPr>
            <w:tcW w:w="1069" w:type="pct"/>
            <w:tcBorders>
              <w:tl2br w:val="nil"/>
              <w:tr2bl w:val="nil"/>
            </w:tcBorders>
            <w:noWrap w:val="0"/>
            <w:vAlign w:val="center"/>
          </w:tcPr>
          <w:p w14:paraId="21AAC8FB">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160</w:t>
            </w:r>
          </w:p>
        </w:tc>
        <w:tc>
          <w:tcPr>
            <w:tcW w:w="1034" w:type="pct"/>
            <w:tcBorders>
              <w:tl2br w:val="nil"/>
              <w:tr2bl w:val="nil"/>
            </w:tcBorders>
            <w:noWrap w:val="0"/>
            <w:vAlign w:val="center"/>
          </w:tcPr>
          <w:p w14:paraId="6A722825">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sz w:val="21"/>
                <w:szCs w:val="21"/>
                <w:highlight w:val="none"/>
                <w:lang w:val="en-US" w:eastAsia="zh-CN"/>
              </w:rPr>
              <w:t>1</w:t>
            </w:r>
            <w:r>
              <w:rPr>
                <w:rFonts w:hint="eastAsia" w:ascii="Times New Roman" w:hAnsi="Times New Roman" w:cs="Times New Roman"/>
                <w:sz w:val="21"/>
                <w:szCs w:val="21"/>
                <w:highlight w:val="none"/>
                <w:lang w:val="en-US" w:eastAsia="zh-CN"/>
              </w:rPr>
              <w:t>26</w:t>
            </w:r>
          </w:p>
        </w:tc>
        <w:tc>
          <w:tcPr>
            <w:tcW w:w="688" w:type="pct"/>
            <w:tcBorders>
              <w:tl2br w:val="nil"/>
              <w:tr2bl w:val="nil"/>
            </w:tcBorders>
            <w:noWrap w:val="0"/>
            <w:vAlign w:val="center"/>
          </w:tcPr>
          <w:p w14:paraId="6AB1FD80">
            <w:pPr>
              <w:pStyle w:val="192"/>
              <w:keepNext w:val="0"/>
              <w:keepLines w:val="0"/>
              <w:pageBreakBefore w:val="0"/>
              <w:widowControl w:val="0"/>
              <w:kinsoku/>
              <w:wordWrap/>
              <w:overflowPunct/>
              <w:topLinePunct w:val="0"/>
              <w:autoSpaceDE w:val="0"/>
              <w:autoSpaceDN w:val="0"/>
              <w:bidi w:val="0"/>
              <w:adjustRightInd/>
              <w:snapToGrid w:val="0"/>
              <w:spacing w:before="0" w:after="0" w:line="240" w:lineRule="auto"/>
              <w:ind w:left="0" w:leftChars="0" w:right="0" w:rightChars="0" w:firstLine="0" w:firstLineChars="0"/>
              <w:textAlignment w:val="baseline"/>
              <w:rPr>
                <w:rFonts w:hint="default" w:ascii="Times New Roman" w:hAnsi="Times New Roman" w:eastAsia="宋体" w:cs="Times New Roman"/>
                <w:sz w:val="21"/>
                <w:szCs w:val="21"/>
                <w:highlight w:val="none"/>
                <w:lang w:val="en-US" w:eastAsia="zh-CN"/>
              </w:rPr>
            </w:pPr>
            <w:r>
              <w:rPr>
                <w:rFonts w:hint="eastAsia" w:ascii="Times New Roman" w:hAnsi="Times New Roman" w:cs="Times New Roman"/>
                <w:sz w:val="21"/>
                <w:szCs w:val="21"/>
                <w:highlight w:val="none"/>
                <w:lang w:val="en-US" w:eastAsia="zh-CN"/>
              </w:rPr>
              <w:t>78.75</w:t>
            </w:r>
          </w:p>
        </w:tc>
        <w:tc>
          <w:tcPr>
            <w:tcW w:w="513" w:type="pct"/>
            <w:tcBorders>
              <w:tl2br w:val="nil"/>
              <w:tr2bl w:val="nil"/>
            </w:tcBorders>
            <w:noWrap w:val="0"/>
            <w:vAlign w:val="center"/>
          </w:tcPr>
          <w:p w14:paraId="002F94F4">
            <w:pPr>
              <w:autoSpaceDE/>
              <w:autoSpaceDN/>
              <w:spacing w:before="0" w:after="0" w:line="0" w:lineRule="atLeast"/>
              <w:ind w:left="0" w:firstLine="0"/>
              <w:jc w:val="center"/>
              <w:rPr>
                <w:rFonts w:hint="default" w:ascii="Times New Roman" w:hAnsi="Times New Roman" w:eastAsia="宋体" w:cs="Times New Roman"/>
                <w:color w:val="auto"/>
                <w:spacing w:val="-10"/>
                <w:sz w:val="21"/>
                <w:szCs w:val="21"/>
                <w:highlight w:val="none"/>
                <w:shd w:val="clear" w:color="auto" w:fill="auto"/>
              </w:rPr>
            </w:pPr>
            <w:r>
              <w:rPr>
                <w:rFonts w:hint="default" w:ascii="Times New Roman" w:hAnsi="Times New Roman" w:eastAsia="宋体" w:cs="Times New Roman"/>
                <w:color w:val="auto"/>
                <w:spacing w:val="-10"/>
                <w:sz w:val="21"/>
                <w:szCs w:val="21"/>
                <w:highlight w:val="none"/>
                <w:shd w:val="clear" w:color="auto" w:fill="auto"/>
                <w:lang w:val="en-US" w:eastAsia="zh-CN"/>
              </w:rPr>
              <w:t>达标</w:t>
            </w:r>
          </w:p>
        </w:tc>
      </w:tr>
    </w:tbl>
    <w:p w14:paraId="158257F7">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根据上表可知，202</w:t>
      </w:r>
      <w:r>
        <w:rPr>
          <w:rFonts w:hint="eastAsia"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年</w:t>
      </w:r>
      <w:r>
        <w:rPr>
          <w:rFonts w:hint="eastAsia" w:eastAsia="宋体" w:cs="Times New Roman"/>
          <w:color w:val="auto"/>
          <w:sz w:val="24"/>
          <w:szCs w:val="24"/>
          <w:highlight w:val="none"/>
          <w:lang w:val="en-US" w:eastAsia="zh-CN"/>
        </w:rPr>
        <w:t>项目所在</w:t>
      </w:r>
      <w:r>
        <w:rPr>
          <w:rFonts w:hint="default" w:ascii="Times New Roman" w:hAnsi="Times New Roman" w:eastAsia="宋体" w:cs="Times New Roman"/>
          <w:color w:val="auto"/>
          <w:sz w:val="24"/>
          <w:szCs w:val="24"/>
          <w:highlight w:val="none"/>
          <w:lang w:val="en-US" w:eastAsia="zh-CN"/>
        </w:rPr>
        <w:t>区域大气污染物中除PM</w:t>
      </w:r>
      <w:r>
        <w:rPr>
          <w:rFonts w:hint="default" w:ascii="Times New Roman" w:hAnsi="Times New Roman" w:eastAsia="宋体" w:cs="Times New Roman"/>
          <w:color w:val="auto"/>
          <w:sz w:val="24"/>
          <w:szCs w:val="24"/>
          <w:highlight w:val="none"/>
          <w:vertAlign w:val="subscript"/>
          <w:lang w:val="en-US" w:eastAsia="zh-CN"/>
        </w:rPr>
        <w:t>2.5</w:t>
      </w:r>
      <w:r>
        <w:rPr>
          <w:rFonts w:hint="default" w:ascii="Times New Roman" w:hAnsi="Times New Roman" w:eastAsia="宋体" w:cs="Times New Roman"/>
          <w:color w:val="auto"/>
          <w:sz w:val="24"/>
          <w:szCs w:val="24"/>
          <w:highlight w:val="none"/>
          <w:lang w:val="en-US" w:eastAsia="zh-CN"/>
        </w:rPr>
        <w:t>与PM</w:t>
      </w:r>
      <w:r>
        <w:rPr>
          <w:rFonts w:hint="default" w:ascii="Times New Roman" w:hAnsi="Times New Roman" w:eastAsia="宋体" w:cs="Times New Roman"/>
          <w:color w:val="auto"/>
          <w:sz w:val="24"/>
          <w:szCs w:val="24"/>
          <w:highlight w:val="none"/>
          <w:vertAlign w:val="subscript"/>
          <w:lang w:val="en-US" w:eastAsia="zh-CN"/>
        </w:rPr>
        <w:t>10</w:t>
      </w:r>
      <w:r>
        <w:rPr>
          <w:rFonts w:hint="default" w:ascii="Times New Roman" w:hAnsi="Times New Roman" w:eastAsia="宋体" w:cs="Times New Roman"/>
          <w:color w:val="auto"/>
          <w:sz w:val="24"/>
          <w:szCs w:val="24"/>
          <w:highlight w:val="none"/>
          <w:lang w:val="en-US" w:eastAsia="zh-CN"/>
        </w:rPr>
        <w:t>外，SO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、NO</w:t>
      </w:r>
      <w:r>
        <w:rPr>
          <w:rFonts w:hint="default" w:ascii="Times New Roman" w:hAnsi="Times New Roman" w:eastAsia="宋体" w:cs="Times New Roman"/>
          <w:color w:val="auto"/>
          <w:sz w:val="24"/>
          <w:szCs w:val="24"/>
          <w:highlight w:val="none"/>
          <w:vertAlign w:val="subscript"/>
          <w:lang w:val="en-US" w:eastAsia="zh-CN"/>
        </w:rPr>
        <w:t>2</w:t>
      </w:r>
      <w:r>
        <w:rPr>
          <w:rFonts w:hint="default" w:ascii="Times New Roman" w:hAnsi="Times New Roman" w:eastAsia="宋体" w:cs="Times New Roman"/>
          <w:color w:val="auto"/>
          <w:sz w:val="24"/>
          <w:szCs w:val="24"/>
          <w:highlight w:val="none"/>
          <w:lang w:val="en-US" w:eastAsia="zh-CN"/>
        </w:rPr>
        <w:t>年平均质量浓度、CO及O</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特定百分数浓度均满足《环境空气质量标准》（GB3095-2026）中过渡阶段二级标准，因此，项目所在区域属于大气不达标区，超标原因为项目区地处南疆，位于沙漠边缘，背景因素所致。</w:t>
      </w:r>
    </w:p>
    <w:p w14:paraId="0DF678F3">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（2）特征污染物补充监测评价</w:t>
      </w:r>
    </w:p>
    <w:p w14:paraId="0FECC6AF">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①监测因子</w:t>
      </w:r>
    </w:p>
    <w:p w14:paraId="7D55B640">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根据项目实际情况，结合《排污许可证申请与核发技术规范 水泥工业》（HJ847-2017），本项目大气环境特征污染物确定为TSP。</w:t>
      </w:r>
    </w:p>
    <w:p w14:paraId="256F744E">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②监测点位</w:t>
      </w:r>
    </w:p>
    <w:p w14:paraId="0038DDE0">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次评价引用新疆兴发化工有限公司《新疆兴发100吨/年催化剂项目环境影响报告书》中于对项目区下风向TSP的监测数据，监测单位为阿克苏源德环境检测有限公司，采样时间为2025年8月11日~2025年8月18日，详情见表4.2-2。</w:t>
      </w:r>
    </w:p>
    <w:p w14:paraId="562AEA58">
      <w:pPr>
        <w:pStyle w:val="51"/>
        <w:keepNext w:val="0"/>
        <w:keepLines w:val="0"/>
        <w:pageBreakBefore w:val="0"/>
        <w:widowControl w:val="0"/>
        <w:kinsoku/>
        <w:wordWrap/>
        <w:overflowPunct/>
        <w:topLinePunct w:val="0"/>
        <w:autoSpaceDE w:val="0"/>
        <w:autoSpaceDN w:val="0"/>
        <w:bidi w:val="0"/>
        <w:adjustRightInd w:val="0"/>
        <w:snapToGrid/>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表4.</w:t>
      </w:r>
      <w:r>
        <w:rPr>
          <w:rFonts w:hint="default"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-2 大气现状监测一览表</w:t>
      </w:r>
    </w:p>
    <w:tbl>
      <w:tblPr>
        <w:tblStyle w:val="40"/>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2343"/>
        <w:gridCol w:w="2999"/>
        <w:gridCol w:w="1204"/>
      </w:tblGrid>
      <w:tr w14:paraId="3113EE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54" w:type="pct"/>
            <w:tcBorders>
              <w:tl2br w:val="nil"/>
              <w:tr2bl w:val="nil"/>
            </w:tcBorders>
            <w:noWrap w:val="0"/>
            <w:vAlign w:val="center"/>
          </w:tcPr>
          <w:p w14:paraId="43BDC50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采样点位</w:t>
            </w:r>
          </w:p>
        </w:tc>
        <w:tc>
          <w:tcPr>
            <w:tcW w:w="1376" w:type="pct"/>
            <w:tcBorders>
              <w:tl2br w:val="nil"/>
              <w:tr2bl w:val="nil"/>
            </w:tcBorders>
            <w:noWrap w:val="0"/>
            <w:vAlign w:val="center"/>
          </w:tcPr>
          <w:p w14:paraId="47C7CD4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监测时间</w:t>
            </w:r>
          </w:p>
        </w:tc>
        <w:tc>
          <w:tcPr>
            <w:tcW w:w="1761" w:type="pct"/>
            <w:tcBorders>
              <w:tl2br w:val="nil"/>
              <w:tr2bl w:val="nil"/>
            </w:tcBorders>
            <w:noWrap w:val="0"/>
            <w:vAlign w:val="center"/>
          </w:tcPr>
          <w:p w14:paraId="737061F4">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监测频次</w:t>
            </w:r>
          </w:p>
        </w:tc>
        <w:tc>
          <w:tcPr>
            <w:tcW w:w="707" w:type="pct"/>
            <w:tcBorders>
              <w:tl2br w:val="nil"/>
              <w:tr2bl w:val="nil"/>
            </w:tcBorders>
            <w:noWrap w:val="0"/>
            <w:vAlign w:val="center"/>
          </w:tcPr>
          <w:p w14:paraId="01DA2C1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highlight w:val="none"/>
                <w:vertAlign w:val="baseline"/>
                <w:lang w:val="en-US" w:eastAsia="zh-CN"/>
              </w:rPr>
            </w:pPr>
            <w:r>
              <w:rPr>
                <w:rFonts w:hint="default" w:ascii="Times New Roman" w:hAnsi="Times New Roman" w:eastAsia="宋体" w:cs="Times New Roman"/>
                <w:b/>
                <w:bCs/>
                <w:color w:val="auto"/>
                <w:sz w:val="21"/>
                <w:szCs w:val="21"/>
                <w:highlight w:val="none"/>
                <w:vertAlign w:val="baseline"/>
                <w:lang w:val="en-US" w:eastAsia="zh-CN"/>
              </w:rPr>
              <w:t>监测项目</w:t>
            </w:r>
          </w:p>
        </w:tc>
      </w:tr>
      <w:tr w14:paraId="05F3CA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54" w:type="pct"/>
            <w:tcBorders>
              <w:tl2br w:val="nil"/>
              <w:tr2bl w:val="nil"/>
            </w:tcBorders>
            <w:noWrap w:val="0"/>
            <w:vAlign w:val="center"/>
          </w:tcPr>
          <w:p w14:paraId="738A7B4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项目区</w:t>
            </w:r>
            <w:r>
              <w:rPr>
                <w:rFonts w:hint="default" w:ascii="Times New Roman" w:hAnsi="Times New Roman" w:eastAsia="宋体" w:cs="Times New Roman"/>
                <w:color w:val="auto"/>
                <w:sz w:val="21"/>
                <w:szCs w:val="21"/>
                <w:highlight w:val="none"/>
                <w:vertAlign w:val="baseline"/>
                <w:lang w:val="en-US" w:eastAsia="zh-CN"/>
              </w:rPr>
              <w:t>下风向</w:t>
            </w:r>
            <w:r>
              <w:rPr>
                <w:rFonts w:hint="default" w:ascii="Times New Roman" w:hAnsi="Times New Roman" w:cs="Times New Roman"/>
                <w:color w:val="auto"/>
                <w:sz w:val="21"/>
                <w:szCs w:val="21"/>
                <w:highlight w:val="none"/>
                <w:vertAlign w:val="baseline"/>
                <w:lang w:val="en-US" w:eastAsia="zh-CN"/>
              </w:rPr>
              <w:t>1</w:t>
            </w:r>
            <w:r>
              <w:rPr>
                <w:rFonts w:hint="default" w:ascii="Times New Roman" w:hAnsi="Times New Roman" w:eastAsia="宋体" w:cs="Times New Roman"/>
                <w:color w:val="auto"/>
                <w:sz w:val="21"/>
                <w:szCs w:val="21"/>
                <w:highlight w:val="none"/>
                <w:vertAlign w:val="baseline"/>
                <w:lang w:val="en-US" w:eastAsia="zh-CN"/>
              </w:rPr>
              <w:t>#</w:t>
            </w:r>
          </w:p>
        </w:tc>
        <w:tc>
          <w:tcPr>
            <w:tcW w:w="1376" w:type="pct"/>
            <w:tcBorders>
              <w:tl2br w:val="nil"/>
              <w:tr2bl w:val="nil"/>
            </w:tcBorders>
            <w:noWrap w:val="0"/>
            <w:vAlign w:val="center"/>
          </w:tcPr>
          <w:p w14:paraId="066911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202</w:t>
            </w:r>
            <w:r>
              <w:rPr>
                <w:rFonts w:hint="default" w:ascii="Times New Roman" w:hAnsi="Times New Roman" w:cs="Times New Roman"/>
                <w:color w:val="auto"/>
                <w:sz w:val="21"/>
                <w:szCs w:val="21"/>
                <w:highlight w:val="none"/>
                <w:vertAlign w:val="baseline"/>
                <w:lang w:val="en-US" w:eastAsia="zh-CN"/>
              </w:rPr>
              <w:t>5.8</w:t>
            </w:r>
            <w:r>
              <w:rPr>
                <w:rFonts w:hint="default"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cs="Times New Roman"/>
                <w:color w:val="auto"/>
                <w:sz w:val="21"/>
                <w:szCs w:val="21"/>
                <w:highlight w:val="none"/>
                <w:vertAlign w:val="baseline"/>
                <w:lang w:val="en-US" w:eastAsia="zh-CN"/>
              </w:rPr>
              <w:t>11~</w:t>
            </w:r>
            <w:r>
              <w:rPr>
                <w:rFonts w:hint="default" w:ascii="Times New Roman" w:hAnsi="Times New Roman" w:eastAsia="宋体" w:cs="Times New Roman"/>
                <w:color w:val="auto"/>
                <w:sz w:val="21"/>
                <w:szCs w:val="21"/>
                <w:highlight w:val="none"/>
                <w:vertAlign w:val="baseline"/>
                <w:lang w:val="en-US" w:eastAsia="zh-CN"/>
              </w:rPr>
              <w:t>202</w:t>
            </w:r>
            <w:r>
              <w:rPr>
                <w:rFonts w:hint="default" w:ascii="Times New Roman" w:hAnsi="Times New Roman" w:cs="Times New Roman"/>
                <w:color w:val="auto"/>
                <w:sz w:val="21"/>
                <w:szCs w:val="21"/>
                <w:highlight w:val="none"/>
                <w:vertAlign w:val="baseline"/>
                <w:lang w:val="en-US" w:eastAsia="zh-CN"/>
              </w:rPr>
              <w:t>5.8</w:t>
            </w:r>
            <w:r>
              <w:rPr>
                <w:rFonts w:hint="default"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cs="Times New Roman"/>
                <w:color w:val="auto"/>
                <w:sz w:val="21"/>
                <w:szCs w:val="21"/>
                <w:highlight w:val="none"/>
                <w:vertAlign w:val="baseline"/>
                <w:lang w:val="en-US" w:eastAsia="zh-CN"/>
              </w:rPr>
              <w:t>18</w:t>
            </w:r>
          </w:p>
        </w:tc>
        <w:tc>
          <w:tcPr>
            <w:tcW w:w="1761" w:type="pct"/>
            <w:tcBorders>
              <w:tl2br w:val="nil"/>
              <w:tr2bl w:val="nil"/>
            </w:tcBorders>
            <w:noWrap w:val="0"/>
            <w:vAlign w:val="center"/>
          </w:tcPr>
          <w:p w14:paraId="0F0DB3F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连续监测</w:t>
            </w:r>
            <w:r>
              <w:rPr>
                <w:rFonts w:hint="default" w:ascii="Times New Roman" w:hAnsi="Times New Roman" w:cs="Times New Roman"/>
                <w:color w:val="auto"/>
                <w:sz w:val="21"/>
                <w:szCs w:val="21"/>
                <w:highlight w:val="none"/>
                <w:vertAlign w:val="baseline"/>
                <w:lang w:val="en-US" w:eastAsia="zh-CN"/>
              </w:rPr>
              <w:t>7</w:t>
            </w:r>
            <w:r>
              <w:rPr>
                <w:rFonts w:hint="default" w:ascii="Times New Roman" w:hAnsi="Times New Roman" w:eastAsia="宋体" w:cs="Times New Roman"/>
                <w:color w:val="auto"/>
                <w:sz w:val="21"/>
                <w:szCs w:val="21"/>
                <w:highlight w:val="none"/>
                <w:vertAlign w:val="baseline"/>
                <w:lang w:val="en-US" w:eastAsia="zh-CN"/>
              </w:rPr>
              <w:t>天</w:t>
            </w:r>
          </w:p>
        </w:tc>
        <w:tc>
          <w:tcPr>
            <w:tcW w:w="707" w:type="pct"/>
            <w:tcBorders>
              <w:tl2br w:val="nil"/>
              <w:tr2bl w:val="nil"/>
            </w:tcBorders>
            <w:noWrap w:val="0"/>
            <w:vAlign w:val="center"/>
          </w:tcPr>
          <w:p w14:paraId="08F2B1D2">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TSP</w:t>
            </w:r>
          </w:p>
        </w:tc>
      </w:tr>
    </w:tbl>
    <w:p w14:paraId="1BE66609">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cs="Times New Roman"/>
          <w:b w:val="0"/>
          <w:bCs/>
          <w:color w:val="auto"/>
          <w:sz w:val="24"/>
          <w:szCs w:val="24"/>
          <w:highlight w:val="none"/>
          <w:lang w:val="en-US" w:eastAsia="zh-CN"/>
        </w:rPr>
        <w:t>③</w:t>
      </w:r>
      <w:r>
        <w:rPr>
          <w:rFonts w:hint="default" w:ascii="Times New Roman" w:hAnsi="Times New Roman" w:eastAsia="宋体" w:cs="Times New Roman"/>
          <w:b w:val="0"/>
          <w:bCs/>
          <w:color w:val="auto"/>
          <w:sz w:val="24"/>
          <w:szCs w:val="24"/>
          <w:highlight w:val="none"/>
          <w:lang w:val="en-US" w:eastAsia="zh-CN"/>
        </w:rPr>
        <w:t>评价方法</w:t>
      </w:r>
    </w:p>
    <w:p w14:paraId="2ACD4CFC">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在本评价中，采用单因子污染指数法对大气污染物进行评价和分析，其计算公式为：</w:t>
      </w:r>
    </w:p>
    <w:p w14:paraId="4E55A52C">
      <w:pPr>
        <w:keepNext w:val="0"/>
        <w:keepLines w:val="0"/>
        <w:pageBreakBefore w:val="0"/>
        <w:widowControl w:val="0"/>
        <w:kinsoku/>
        <w:wordWrap/>
        <w:overflowPunct/>
        <w:topLinePunct w:val="0"/>
        <w:bidi w:val="0"/>
        <w:snapToGrid/>
        <w:spacing w:line="360" w:lineRule="auto"/>
        <w:ind w:firstLine="480" w:firstLineChars="20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P</w:t>
      </w:r>
      <w:r>
        <w:rPr>
          <w:rFonts w:hint="default" w:ascii="Times New Roman" w:hAnsi="Times New Roman" w:eastAsia="宋体" w:cs="Times New Roman"/>
          <w:color w:val="auto"/>
          <w:sz w:val="24"/>
          <w:szCs w:val="24"/>
          <w:highlight w:val="none"/>
          <w:vertAlign w:val="subscript"/>
          <w:lang w:val="en-US" w:eastAsia="zh-CN"/>
        </w:rPr>
        <w:t>i</w:t>
      </w:r>
      <w:r>
        <w:rPr>
          <w:rFonts w:hint="default" w:ascii="Times New Roman" w:hAnsi="Times New Roman" w:eastAsia="宋体" w:cs="Times New Roman"/>
          <w:color w:val="auto"/>
          <w:sz w:val="24"/>
          <w:szCs w:val="24"/>
          <w:highlight w:val="none"/>
          <w:lang w:val="en-US" w:eastAsia="zh-CN"/>
        </w:rPr>
        <w:t>=Q</w:t>
      </w:r>
      <w:r>
        <w:rPr>
          <w:rFonts w:hint="default" w:ascii="Times New Roman" w:hAnsi="Times New Roman" w:eastAsia="宋体" w:cs="Times New Roman"/>
          <w:color w:val="auto"/>
          <w:sz w:val="24"/>
          <w:szCs w:val="24"/>
          <w:highlight w:val="none"/>
          <w:vertAlign w:val="subscript"/>
          <w:lang w:val="en-US" w:eastAsia="zh-CN"/>
        </w:rPr>
        <w:t>i</w:t>
      </w:r>
      <w:r>
        <w:rPr>
          <w:rFonts w:hint="default" w:ascii="Times New Roman" w:hAnsi="Times New Roman" w:eastAsia="宋体" w:cs="Times New Roman"/>
          <w:color w:val="auto"/>
          <w:sz w:val="24"/>
          <w:szCs w:val="24"/>
          <w:highlight w:val="none"/>
          <w:lang w:val="en-US" w:eastAsia="zh-CN"/>
        </w:rPr>
        <w:t>/C</w:t>
      </w:r>
      <w:r>
        <w:rPr>
          <w:rFonts w:hint="default" w:ascii="Times New Roman" w:hAnsi="Times New Roman" w:eastAsia="宋体" w:cs="Times New Roman"/>
          <w:color w:val="auto"/>
          <w:sz w:val="24"/>
          <w:szCs w:val="24"/>
          <w:highlight w:val="none"/>
          <w:vertAlign w:val="subscript"/>
          <w:lang w:val="en-US" w:eastAsia="zh-CN"/>
        </w:rPr>
        <w:t>oi</w:t>
      </w:r>
    </w:p>
    <w:p w14:paraId="6FED961D">
      <w:pPr>
        <w:keepNext w:val="0"/>
        <w:keepLines w:val="0"/>
        <w:pageBreakBefore w:val="0"/>
        <w:widowControl w:val="0"/>
        <w:kinsoku/>
        <w:wordWrap/>
        <w:overflowPunct/>
        <w:topLinePunct w:val="0"/>
        <w:bidi w:val="0"/>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式中：P</w:t>
      </w:r>
      <w:r>
        <w:rPr>
          <w:rFonts w:hint="default" w:ascii="Times New Roman" w:hAnsi="Times New Roman" w:eastAsia="宋体" w:cs="Times New Roman"/>
          <w:color w:val="auto"/>
          <w:sz w:val="24"/>
          <w:szCs w:val="24"/>
          <w:highlight w:val="none"/>
          <w:vertAlign w:val="subscript"/>
          <w:lang w:val="en-US" w:eastAsia="zh-CN"/>
        </w:rPr>
        <w:t>i</w:t>
      </w:r>
      <w:r>
        <w:rPr>
          <w:rFonts w:hint="default" w:ascii="Times New Roman" w:hAnsi="Times New Roman" w:eastAsia="宋体" w:cs="Times New Roman"/>
          <w:color w:val="auto"/>
          <w:sz w:val="24"/>
          <w:szCs w:val="24"/>
          <w:highlight w:val="none"/>
          <w:lang w:val="en-US" w:eastAsia="zh-CN"/>
        </w:rPr>
        <w:t>——i污染物污染指数</w:t>
      </w:r>
      <w:r>
        <w:rPr>
          <w:rFonts w:hint="default" w:ascii="Times New Roman" w:hAnsi="Times New Roman" w:cs="Times New Roman"/>
          <w:color w:val="auto"/>
          <w:sz w:val="24"/>
          <w:szCs w:val="24"/>
          <w:highlight w:val="none"/>
          <w:lang w:val="en-US" w:eastAsia="zh-CN"/>
        </w:rPr>
        <w:t>；</w:t>
      </w:r>
    </w:p>
    <w:p w14:paraId="396FB0B9">
      <w:pPr>
        <w:keepNext w:val="0"/>
        <w:keepLines w:val="0"/>
        <w:pageBreakBefore w:val="0"/>
        <w:widowControl w:val="0"/>
        <w:kinsoku/>
        <w:wordWrap/>
        <w:overflowPunct/>
        <w:topLinePunct w:val="0"/>
        <w:bidi w:val="0"/>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vertAlign w:val="baseline"/>
          <w:lang w:val="en-US" w:eastAsia="zh-CN"/>
        </w:rPr>
      </w:pPr>
      <w:r>
        <w:rPr>
          <w:rFonts w:hint="default" w:ascii="Times New Roman" w:hAnsi="Times New Roman" w:eastAsia="宋体" w:cs="Times New Roman"/>
          <w:color w:val="auto"/>
          <w:sz w:val="24"/>
          <w:szCs w:val="24"/>
          <w:highlight w:val="none"/>
          <w:lang w:val="en-US" w:eastAsia="zh-CN"/>
        </w:rPr>
        <w:t>Q</w:t>
      </w:r>
      <w:r>
        <w:rPr>
          <w:rFonts w:hint="default" w:ascii="Times New Roman" w:hAnsi="Times New Roman" w:eastAsia="宋体" w:cs="Times New Roman"/>
          <w:color w:val="auto"/>
          <w:sz w:val="24"/>
          <w:szCs w:val="24"/>
          <w:highlight w:val="none"/>
          <w:vertAlign w:val="subscript"/>
          <w:lang w:val="en-US" w:eastAsia="zh-CN"/>
        </w:rPr>
        <w:t>i</w:t>
      </w:r>
      <w:r>
        <w:rPr>
          <w:rFonts w:hint="default" w:ascii="Times New Roman" w:hAnsi="Times New Roman" w:eastAsia="宋体" w:cs="Times New Roman"/>
          <w:color w:val="auto"/>
          <w:sz w:val="24"/>
          <w:szCs w:val="24"/>
          <w:highlight w:val="none"/>
          <w:lang w:val="en-US" w:eastAsia="zh-CN"/>
        </w:rPr>
        <w:t>——i污染物现状监测浓度，mg/m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vertAlign w:val="baseline"/>
          <w:lang w:val="en-US" w:eastAsia="zh-CN"/>
        </w:rPr>
        <w:t>；</w:t>
      </w:r>
    </w:p>
    <w:p w14:paraId="2D6BD3D3">
      <w:pPr>
        <w:keepNext w:val="0"/>
        <w:keepLines w:val="0"/>
        <w:pageBreakBefore w:val="0"/>
        <w:widowControl w:val="0"/>
        <w:kinsoku/>
        <w:wordWrap/>
        <w:overflowPunct/>
        <w:topLinePunct w:val="0"/>
        <w:bidi w:val="0"/>
        <w:snapToGrid/>
        <w:spacing w:line="360" w:lineRule="auto"/>
        <w:ind w:firstLine="1200" w:firstLineChars="5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C</w:t>
      </w:r>
      <w:r>
        <w:rPr>
          <w:rFonts w:hint="default" w:ascii="Times New Roman" w:hAnsi="Times New Roman" w:eastAsia="宋体" w:cs="Times New Roman"/>
          <w:color w:val="auto"/>
          <w:sz w:val="24"/>
          <w:szCs w:val="24"/>
          <w:highlight w:val="none"/>
          <w:vertAlign w:val="subscript"/>
          <w:lang w:val="en-US" w:eastAsia="zh-CN"/>
        </w:rPr>
        <w:t>oi</w:t>
      </w:r>
      <w:r>
        <w:rPr>
          <w:rFonts w:hint="default" w:ascii="Times New Roman" w:hAnsi="Times New Roman" w:eastAsia="宋体" w:cs="Times New Roman"/>
          <w:color w:val="auto"/>
          <w:sz w:val="24"/>
          <w:szCs w:val="24"/>
          <w:highlight w:val="none"/>
          <w:lang w:val="en-US" w:eastAsia="zh-CN"/>
        </w:rPr>
        <w:t>——污染物评价标准，mg/m</w:t>
      </w:r>
      <w:r>
        <w:rPr>
          <w:rFonts w:hint="default" w:ascii="Times New Roman" w:hAnsi="Times New Roman" w:eastAsia="宋体" w:cs="Times New Roman"/>
          <w:color w:val="auto"/>
          <w:sz w:val="24"/>
          <w:szCs w:val="24"/>
          <w:highlight w:val="none"/>
          <w:vertAlign w:val="superscript"/>
          <w:lang w:val="en-US" w:eastAsia="zh-CN"/>
        </w:rPr>
        <w:t>3</w:t>
      </w:r>
      <w:r>
        <w:rPr>
          <w:rFonts w:hint="default" w:ascii="Times New Roman" w:hAnsi="Times New Roman" w:cs="Times New Roman"/>
          <w:color w:val="auto"/>
          <w:sz w:val="24"/>
          <w:szCs w:val="24"/>
          <w:highlight w:val="none"/>
          <w:vertAlign w:val="baseline"/>
          <w:lang w:val="en-US" w:eastAsia="zh-CN"/>
        </w:rPr>
        <w:t>。</w:t>
      </w:r>
    </w:p>
    <w:p w14:paraId="3E5CA640">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④评价结果</w:t>
      </w:r>
    </w:p>
    <w:p w14:paraId="60CDC881">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采用标准指数法对现状监测值进行评价，评价结果见表4.2-3所示：</w:t>
      </w:r>
    </w:p>
    <w:p w14:paraId="67BA767B">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rPr>
        <w:t>表4.</w:t>
      </w:r>
      <w:r>
        <w:rPr>
          <w:rFonts w:hint="default" w:ascii="Times New Roman" w:hAnsi="Times New Roman" w:cs="Times New Roman"/>
          <w:b/>
          <w:bCs w:val="0"/>
          <w:color w:val="auto"/>
          <w:sz w:val="24"/>
          <w:szCs w:val="24"/>
          <w:highlight w:val="none"/>
          <w:lang w:val="en-US" w:eastAsia="zh-CN"/>
        </w:rPr>
        <w:t>2</w:t>
      </w:r>
      <w:r>
        <w:rPr>
          <w:rFonts w:hint="default" w:ascii="Times New Roman" w:hAnsi="Times New Roman" w:eastAsia="宋体" w:cs="Times New Roman"/>
          <w:b/>
          <w:bCs w:val="0"/>
          <w:color w:val="auto"/>
          <w:sz w:val="24"/>
          <w:szCs w:val="24"/>
          <w:highlight w:val="none"/>
          <w:lang w:val="en-US" w:eastAsia="zh-CN"/>
        </w:rPr>
        <w:t>-3 大气环境现状监测数据表</w:t>
      </w:r>
    </w:p>
    <w:tbl>
      <w:tblPr>
        <w:tblStyle w:val="40"/>
        <w:tblW w:w="4996"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11"/>
        <w:gridCol w:w="1063"/>
        <w:gridCol w:w="1679"/>
        <w:gridCol w:w="1679"/>
        <w:gridCol w:w="1166"/>
        <w:gridCol w:w="1456"/>
        <w:gridCol w:w="855"/>
      </w:tblGrid>
      <w:tr w14:paraId="46F4AD9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7" w:hRule="atLeast"/>
        </w:trPr>
        <w:tc>
          <w:tcPr>
            <w:tcW w:w="359" w:type="pct"/>
            <w:vMerge w:val="restart"/>
            <w:tcBorders>
              <w:tl2br w:val="nil"/>
              <w:tr2bl w:val="nil"/>
            </w:tcBorders>
            <w:noWrap w:val="0"/>
            <w:vAlign w:val="center"/>
          </w:tcPr>
          <w:p w14:paraId="1E54DE7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监测因子</w:t>
            </w:r>
          </w:p>
        </w:tc>
        <w:tc>
          <w:tcPr>
            <w:tcW w:w="624" w:type="pct"/>
            <w:vMerge w:val="restart"/>
            <w:tcBorders>
              <w:tl2br w:val="nil"/>
              <w:tr2bl w:val="nil"/>
            </w:tcBorders>
            <w:noWrap w:val="0"/>
            <w:vAlign w:val="center"/>
          </w:tcPr>
          <w:p w14:paraId="7E816EB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点位名称</w:t>
            </w:r>
          </w:p>
        </w:tc>
        <w:tc>
          <w:tcPr>
            <w:tcW w:w="986" w:type="pct"/>
            <w:vMerge w:val="restart"/>
            <w:tcBorders>
              <w:tl2br w:val="nil"/>
              <w:tr2bl w:val="nil"/>
            </w:tcBorders>
            <w:noWrap w:val="0"/>
            <w:vAlign w:val="center"/>
          </w:tcPr>
          <w:p w14:paraId="45D6051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坐标</w:t>
            </w:r>
          </w:p>
        </w:tc>
        <w:tc>
          <w:tcPr>
            <w:tcW w:w="986" w:type="pct"/>
            <w:vMerge w:val="restart"/>
            <w:tcBorders>
              <w:tl2br w:val="nil"/>
              <w:tr2bl w:val="nil"/>
            </w:tcBorders>
            <w:noWrap w:val="0"/>
            <w:vAlign w:val="center"/>
          </w:tcPr>
          <w:p w14:paraId="1BDB57BB">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监测时间</w:t>
            </w:r>
          </w:p>
        </w:tc>
        <w:tc>
          <w:tcPr>
            <w:tcW w:w="1540" w:type="pct"/>
            <w:gridSpan w:val="2"/>
            <w:tcBorders>
              <w:tl2br w:val="nil"/>
              <w:tr2bl w:val="nil"/>
            </w:tcBorders>
            <w:noWrap w:val="0"/>
            <w:vAlign w:val="center"/>
          </w:tcPr>
          <w:p w14:paraId="28D2990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日平均值</w:t>
            </w:r>
            <w:r>
              <w:rPr>
                <w:rFonts w:hint="default" w:ascii="Times New Roman" w:hAnsi="Times New Roman" w:cs="Times New Roman"/>
                <w:b/>
                <w:bCs/>
                <w:sz w:val="21"/>
                <w:szCs w:val="21"/>
                <w:highlight w:val="none"/>
                <w:lang w:val="en-US" w:eastAsia="zh-CN"/>
              </w:rPr>
              <w:t>（</w:t>
            </w:r>
            <w:r>
              <w:rPr>
                <w:rFonts w:hint="default" w:ascii="Times New Roman" w:hAnsi="Times New Roman" w:cs="Times New Roman"/>
                <w:b w:val="0"/>
                <w:bCs w:val="0"/>
                <w:sz w:val="21"/>
                <w:szCs w:val="21"/>
                <w:highlight w:val="none"/>
                <w:lang w:val="en-US" w:eastAsia="zh-CN"/>
              </w:rPr>
              <w:t>μ</w:t>
            </w:r>
            <w:r>
              <w:rPr>
                <w:rFonts w:hint="default" w:ascii="Times New Roman" w:hAnsi="Times New Roman" w:eastAsia="宋体" w:cs="Times New Roman"/>
                <w:b w:val="0"/>
                <w:bCs w:val="0"/>
                <w:sz w:val="21"/>
                <w:szCs w:val="21"/>
                <w:highlight w:val="none"/>
                <w:lang w:val="en-US" w:eastAsia="zh-CN"/>
              </w:rPr>
              <w:t>g/m</w:t>
            </w:r>
            <w:r>
              <w:rPr>
                <w:rFonts w:hint="default" w:ascii="Times New Roman" w:hAnsi="Times New Roman" w:eastAsia="宋体" w:cs="Times New Roman"/>
                <w:b w:val="0"/>
                <w:bCs w:val="0"/>
                <w:sz w:val="21"/>
                <w:szCs w:val="21"/>
                <w:highlight w:val="none"/>
                <w:vertAlign w:val="superscript"/>
                <w:lang w:val="en-US" w:eastAsia="zh-CN"/>
              </w:rPr>
              <w:t>3</w:t>
            </w:r>
            <w:r>
              <w:rPr>
                <w:rFonts w:hint="default" w:ascii="Times New Roman" w:hAnsi="Times New Roman" w:cs="Times New Roman"/>
                <w:b/>
                <w:bCs/>
                <w:sz w:val="21"/>
                <w:szCs w:val="21"/>
                <w:highlight w:val="none"/>
                <w:lang w:val="en-US" w:eastAsia="zh-CN"/>
              </w:rPr>
              <w:t>）</w:t>
            </w:r>
          </w:p>
        </w:tc>
        <w:tc>
          <w:tcPr>
            <w:tcW w:w="502" w:type="pct"/>
            <w:vMerge w:val="restart"/>
            <w:tcBorders>
              <w:tl2br w:val="nil"/>
              <w:tr2bl w:val="nil"/>
            </w:tcBorders>
            <w:noWrap w:val="0"/>
            <w:vAlign w:val="center"/>
          </w:tcPr>
          <w:p w14:paraId="389A88F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P</w:t>
            </w:r>
            <w:r>
              <w:rPr>
                <w:rFonts w:hint="default" w:ascii="Times New Roman" w:hAnsi="Times New Roman" w:eastAsia="宋体" w:cs="Times New Roman"/>
                <w:b/>
                <w:bCs/>
                <w:sz w:val="21"/>
                <w:szCs w:val="21"/>
                <w:highlight w:val="none"/>
                <w:vertAlign w:val="subscript"/>
                <w:lang w:val="en-US" w:eastAsia="zh-CN"/>
              </w:rPr>
              <w:t>i</w:t>
            </w:r>
            <w:r>
              <w:rPr>
                <w:rFonts w:hint="default" w:ascii="Times New Roman" w:hAnsi="Times New Roman" w:eastAsia="宋体" w:cs="Times New Roman"/>
                <w:b/>
                <w:bCs/>
                <w:sz w:val="21"/>
                <w:szCs w:val="21"/>
                <w:highlight w:val="none"/>
                <w:lang w:val="en-US" w:eastAsia="zh-CN"/>
              </w:rPr>
              <w:t>值</w:t>
            </w:r>
          </w:p>
        </w:tc>
      </w:tr>
      <w:tr w14:paraId="1150AF0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359" w:type="pct"/>
            <w:vMerge w:val="continue"/>
            <w:tcBorders>
              <w:tl2br w:val="nil"/>
              <w:tr2bl w:val="nil"/>
            </w:tcBorders>
            <w:noWrap w:val="0"/>
            <w:vAlign w:val="center"/>
          </w:tcPr>
          <w:p w14:paraId="203D984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624" w:type="pct"/>
            <w:vMerge w:val="continue"/>
            <w:tcBorders>
              <w:tl2br w:val="nil"/>
              <w:tr2bl w:val="nil"/>
            </w:tcBorders>
            <w:noWrap w:val="0"/>
            <w:vAlign w:val="center"/>
          </w:tcPr>
          <w:p w14:paraId="06C7B2B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vMerge w:val="continue"/>
            <w:tcBorders>
              <w:tl2br w:val="nil"/>
              <w:tr2bl w:val="nil"/>
            </w:tcBorders>
            <w:noWrap w:val="0"/>
            <w:vAlign w:val="center"/>
          </w:tcPr>
          <w:p w14:paraId="016D4E2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vMerge w:val="continue"/>
            <w:tcBorders>
              <w:tl2br w:val="nil"/>
              <w:tr2bl w:val="nil"/>
            </w:tcBorders>
            <w:noWrap w:val="0"/>
            <w:vAlign w:val="center"/>
          </w:tcPr>
          <w:p w14:paraId="78CBB6B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685" w:type="pct"/>
            <w:tcBorders>
              <w:tl2br w:val="nil"/>
              <w:tr2bl w:val="nil"/>
            </w:tcBorders>
            <w:noWrap w:val="0"/>
            <w:vAlign w:val="center"/>
          </w:tcPr>
          <w:p w14:paraId="18E9A9B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监测结果</w:t>
            </w:r>
          </w:p>
        </w:tc>
        <w:tc>
          <w:tcPr>
            <w:tcW w:w="854" w:type="pct"/>
            <w:tcBorders>
              <w:tl2br w:val="nil"/>
              <w:tr2bl w:val="nil"/>
            </w:tcBorders>
            <w:noWrap w:val="0"/>
            <w:vAlign w:val="center"/>
          </w:tcPr>
          <w:p w14:paraId="4E2AB30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eastAsia="zh-CN"/>
              </w:rPr>
            </w:pPr>
            <w:r>
              <w:rPr>
                <w:rFonts w:hint="default" w:ascii="Times New Roman" w:hAnsi="Times New Roman" w:eastAsia="宋体" w:cs="Times New Roman"/>
                <w:b/>
                <w:bCs/>
                <w:sz w:val="21"/>
                <w:szCs w:val="21"/>
                <w:highlight w:val="none"/>
                <w:lang w:val="en-US" w:eastAsia="zh-CN"/>
              </w:rPr>
              <w:t>评价标准值</w:t>
            </w:r>
          </w:p>
        </w:tc>
        <w:tc>
          <w:tcPr>
            <w:tcW w:w="502" w:type="pct"/>
            <w:vMerge w:val="continue"/>
            <w:tcBorders>
              <w:tl2br w:val="nil"/>
              <w:tr2bl w:val="nil"/>
            </w:tcBorders>
            <w:noWrap w:val="0"/>
            <w:vAlign w:val="center"/>
          </w:tcPr>
          <w:p w14:paraId="55CA3CA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r>
      <w:tr w14:paraId="522D855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9" w:type="pct"/>
            <w:vMerge w:val="restart"/>
            <w:tcBorders>
              <w:tl2br w:val="nil"/>
              <w:tr2bl w:val="nil"/>
            </w:tcBorders>
            <w:noWrap w:val="0"/>
            <w:vAlign w:val="center"/>
          </w:tcPr>
          <w:p w14:paraId="18C58CE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TSP</w:t>
            </w:r>
          </w:p>
        </w:tc>
        <w:tc>
          <w:tcPr>
            <w:tcW w:w="624" w:type="pct"/>
            <w:vMerge w:val="restart"/>
            <w:tcBorders>
              <w:tl2br w:val="nil"/>
              <w:tr2bl w:val="nil"/>
            </w:tcBorders>
            <w:noWrap w:val="0"/>
            <w:vAlign w:val="center"/>
          </w:tcPr>
          <w:p w14:paraId="3560931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项目区下风向1#</w:t>
            </w:r>
          </w:p>
        </w:tc>
        <w:tc>
          <w:tcPr>
            <w:tcW w:w="986" w:type="pct"/>
            <w:vMerge w:val="restart"/>
            <w:tcBorders>
              <w:tl2br w:val="nil"/>
              <w:tr2bl w:val="nil"/>
            </w:tcBorders>
            <w:shd w:val="clear" w:color="auto" w:fill="auto"/>
            <w:noWrap w:val="0"/>
            <w:vAlign w:val="center"/>
          </w:tcPr>
          <w:p w14:paraId="2B344214">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eastAsia="宋体" w:cs="Times New Roman"/>
                <w:b w:val="0"/>
                <w:bCs/>
                <w:color w:val="auto"/>
                <w:kern w:val="2"/>
                <w:sz w:val="21"/>
                <w:szCs w:val="21"/>
                <w:u w:val="none"/>
                <w:lang w:val="en-US" w:eastAsia="zh-CN"/>
              </w:rPr>
              <w:t>E</w:t>
            </w:r>
            <w:r>
              <w:rPr>
                <w:rFonts w:hint="default" w:ascii="Times New Roman" w:hAnsi="Times New Roman" w:cs="Times New Roman"/>
                <w:sz w:val="21"/>
                <w:szCs w:val="21"/>
                <w:lang w:val="en-US" w:eastAsia="zh-CN"/>
              </w:rPr>
              <w:t>80°8′57″</w:t>
            </w:r>
          </w:p>
          <w:p w14:paraId="66C07BA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b w:val="0"/>
                <w:bCs w:val="0"/>
                <w:sz w:val="21"/>
                <w:szCs w:val="21"/>
                <w:highlight w:val="none"/>
                <w:lang w:val="en-US" w:eastAsia="zh-CN"/>
              </w:rPr>
            </w:pPr>
            <w:r>
              <w:rPr>
                <w:rFonts w:hint="default" w:ascii="Times New Roman" w:hAnsi="Times New Roman" w:eastAsia="宋体" w:cs="Times New Roman"/>
                <w:b w:val="0"/>
                <w:bCs/>
                <w:color w:val="auto"/>
                <w:kern w:val="2"/>
                <w:sz w:val="21"/>
                <w:szCs w:val="21"/>
                <w:u w:val="none"/>
                <w:lang w:val="en-US" w:eastAsia="zh-CN"/>
              </w:rPr>
              <w:t>N</w:t>
            </w:r>
            <w:r>
              <w:rPr>
                <w:rFonts w:hint="default" w:ascii="Times New Roman" w:hAnsi="Times New Roman" w:cs="Times New Roman"/>
                <w:sz w:val="21"/>
                <w:szCs w:val="21"/>
                <w:lang w:val="en-US" w:eastAsia="zh-CN"/>
              </w:rPr>
              <w:t>41°3′40″</w:t>
            </w:r>
          </w:p>
        </w:tc>
        <w:tc>
          <w:tcPr>
            <w:tcW w:w="986" w:type="pct"/>
            <w:tcBorders>
              <w:tl2br w:val="nil"/>
              <w:tr2bl w:val="nil"/>
            </w:tcBorders>
            <w:shd w:val="clear" w:color="auto" w:fill="auto"/>
            <w:noWrap w:val="0"/>
            <w:vAlign w:val="center"/>
          </w:tcPr>
          <w:p w14:paraId="720572E6">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pacing w:val="-20"/>
                <w:sz w:val="21"/>
                <w:szCs w:val="21"/>
                <w:highlight w:val="none"/>
                <w:lang w:val="en-US" w:eastAsia="zh-CN"/>
              </w:rPr>
              <w:t>8月11日-8月12日</w:t>
            </w:r>
          </w:p>
        </w:tc>
        <w:tc>
          <w:tcPr>
            <w:tcW w:w="685" w:type="pct"/>
            <w:tcBorders>
              <w:tl2br w:val="nil"/>
              <w:tr2bl w:val="nil"/>
            </w:tcBorders>
            <w:shd w:val="clear" w:color="auto" w:fill="auto"/>
            <w:noWrap w:val="0"/>
            <w:vAlign w:val="center"/>
          </w:tcPr>
          <w:p w14:paraId="6A0B3F08">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191</w:t>
            </w:r>
          </w:p>
        </w:tc>
        <w:tc>
          <w:tcPr>
            <w:tcW w:w="854" w:type="pct"/>
            <w:vMerge w:val="restart"/>
            <w:tcBorders>
              <w:tl2br w:val="nil"/>
              <w:tr2bl w:val="nil"/>
            </w:tcBorders>
            <w:noWrap w:val="0"/>
            <w:vAlign w:val="center"/>
          </w:tcPr>
          <w:p w14:paraId="7ACB9F2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r>
              <w:rPr>
                <w:rFonts w:hint="default" w:ascii="Times New Roman" w:hAnsi="Times New Roman" w:cs="Times New Roman"/>
                <w:b w:val="0"/>
                <w:bCs w:val="0"/>
                <w:sz w:val="21"/>
                <w:szCs w:val="21"/>
                <w:highlight w:val="none"/>
                <w:lang w:val="en-US" w:eastAsia="zh-CN"/>
              </w:rPr>
              <w:t>300</w:t>
            </w:r>
          </w:p>
        </w:tc>
        <w:tc>
          <w:tcPr>
            <w:tcW w:w="502" w:type="pct"/>
            <w:tcBorders>
              <w:tl2br w:val="nil"/>
              <w:tr2bl w:val="nil"/>
            </w:tcBorders>
            <w:shd w:val="clear" w:color="auto" w:fill="auto"/>
            <w:noWrap w:val="0"/>
            <w:vAlign w:val="center"/>
          </w:tcPr>
          <w:p w14:paraId="2D70EE6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1"/>
                <w:szCs w:val="21"/>
                <w:highlight w:val="none"/>
                <w:lang w:val="en-US" w:eastAsia="zh-CN" w:bidi="ar-SA"/>
              </w:rPr>
            </w:pPr>
            <w:r>
              <w:rPr>
                <w:rFonts w:hint="default" w:ascii="Times New Roman" w:hAnsi="Times New Roman" w:cs="Times New Roman"/>
                <w:b w:val="0"/>
                <w:bCs w:val="0"/>
                <w:sz w:val="21"/>
                <w:szCs w:val="21"/>
                <w:highlight w:val="none"/>
                <w:lang w:val="en-US" w:eastAsia="zh-CN" w:bidi="ar-SA"/>
              </w:rPr>
              <w:t>63.7</w:t>
            </w:r>
          </w:p>
        </w:tc>
      </w:tr>
      <w:tr w14:paraId="35B909C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9" w:type="pct"/>
            <w:vMerge w:val="continue"/>
            <w:tcBorders>
              <w:tl2br w:val="nil"/>
              <w:tr2bl w:val="nil"/>
            </w:tcBorders>
            <w:noWrap w:val="0"/>
            <w:vAlign w:val="center"/>
          </w:tcPr>
          <w:p w14:paraId="4D154B4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624" w:type="pct"/>
            <w:vMerge w:val="continue"/>
            <w:tcBorders>
              <w:tl2br w:val="nil"/>
              <w:tr2bl w:val="nil"/>
            </w:tcBorders>
            <w:noWrap w:val="0"/>
            <w:vAlign w:val="center"/>
          </w:tcPr>
          <w:p w14:paraId="0867083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vMerge w:val="continue"/>
            <w:tcBorders>
              <w:tl2br w:val="nil"/>
              <w:tr2bl w:val="nil"/>
            </w:tcBorders>
            <w:shd w:val="clear" w:color="auto" w:fill="auto"/>
            <w:noWrap w:val="0"/>
            <w:vAlign w:val="center"/>
          </w:tcPr>
          <w:p w14:paraId="6BD8DCC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tcBorders>
              <w:tl2br w:val="nil"/>
              <w:tr2bl w:val="nil"/>
            </w:tcBorders>
            <w:shd w:val="clear" w:color="auto" w:fill="auto"/>
            <w:noWrap w:val="0"/>
            <w:vAlign w:val="center"/>
          </w:tcPr>
          <w:p w14:paraId="7F32FC22">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pacing w:val="-20"/>
                <w:sz w:val="21"/>
                <w:szCs w:val="21"/>
                <w:highlight w:val="none"/>
                <w:lang w:val="en-US" w:eastAsia="zh-CN"/>
              </w:rPr>
              <w:t>8月12日-8月13日</w:t>
            </w:r>
          </w:p>
        </w:tc>
        <w:tc>
          <w:tcPr>
            <w:tcW w:w="685" w:type="pct"/>
            <w:tcBorders>
              <w:tl2br w:val="nil"/>
              <w:tr2bl w:val="nil"/>
            </w:tcBorders>
            <w:shd w:val="clear" w:color="auto" w:fill="auto"/>
            <w:noWrap w:val="0"/>
            <w:vAlign w:val="center"/>
          </w:tcPr>
          <w:p w14:paraId="0E15E121">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174</w:t>
            </w:r>
          </w:p>
        </w:tc>
        <w:tc>
          <w:tcPr>
            <w:tcW w:w="854" w:type="pct"/>
            <w:vMerge w:val="continue"/>
            <w:tcBorders>
              <w:tl2br w:val="nil"/>
              <w:tr2bl w:val="nil"/>
            </w:tcBorders>
            <w:noWrap w:val="0"/>
            <w:vAlign w:val="center"/>
          </w:tcPr>
          <w:p w14:paraId="7D79179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502" w:type="pct"/>
            <w:tcBorders>
              <w:tl2br w:val="nil"/>
              <w:tr2bl w:val="nil"/>
            </w:tcBorders>
            <w:shd w:val="clear" w:color="auto" w:fill="auto"/>
            <w:noWrap w:val="0"/>
            <w:vAlign w:val="center"/>
          </w:tcPr>
          <w:p w14:paraId="2D237D67">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1"/>
                <w:szCs w:val="21"/>
                <w:highlight w:val="none"/>
                <w:lang w:val="en-US" w:eastAsia="zh-CN" w:bidi="ar-SA"/>
              </w:rPr>
            </w:pPr>
            <w:r>
              <w:rPr>
                <w:rFonts w:hint="default" w:ascii="Times New Roman" w:hAnsi="Times New Roman" w:cs="Times New Roman"/>
                <w:b w:val="0"/>
                <w:bCs w:val="0"/>
                <w:sz w:val="21"/>
                <w:szCs w:val="21"/>
                <w:highlight w:val="none"/>
                <w:lang w:val="en-US" w:eastAsia="zh-CN" w:bidi="ar-SA"/>
              </w:rPr>
              <w:t>58</w:t>
            </w:r>
          </w:p>
        </w:tc>
      </w:tr>
      <w:tr w14:paraId="1182A19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9" w:type="pct"/>
            <w:vMerge w:val="continue"/>
            <w:tcBorders>
              <w:tl2br w:val="nil"/>
              <w:tr2bl w:val="nil"/>
            </w:tcBorders>
            <w:noWrap w:val="0"/>
            <w:vAlign w:val="center"/>
          </w:tcPr>
          <w:p w14:paraId="2F55DFE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624" w:type="pct"/>
            <w:vMerge w:val="continue"/>
            <w:tcBorders>
              <w:tl2br w:val="nil"/>
              <w:tr2bl w:val="nil"/>
            </w:tcBorders>
            <w:noWrap w:val="0"/>
            <w:vAlign w:val="center"/>
          </w:tcPr>
          <w:p w14:paraId="5716E4C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vMerge w:val="continue"/>
            <w:tcBorders>
              <w:tl2br w:val="nil"/>
              <w:tr2bl w:val="nil"/>
            </w:tcBorders>
            <w:shd w:val="clear" w:color="auto" w:fill="auto"/>
            <w:noWrap w:val="0"/>
            <w:vAlign w:val="center"/>
          </w:tcPr>
          <w:p w14:paraId="7D682F6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tcBorders>
              <w:tl2br w:val="nil"/>
              <w:tr2bl w:val="nil"/>
            </w:tcBorders>
            <w:shd w:val="clear" w:color="auto" w:fill="auto"/>
            <w:noWrap w:val="0"/>
            <w:vAlign w:val="center"/>
          </w:tcPr>
          <w:p w14:paraId="6140F09B">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pacing w:val="-20"/>
                <w:sz w:val="21"/>
                <w:szCs w:val="21"/>
                <w:highlight w:val="none"/>
                <w:lang w:val="en-US" w:eastAsia="zh-CN"/>
              </w:rPr>
              <w:t>8月13日-8月14日</w:t>
            </w:r>
          </w:p>
        </w:tc>
        <w:tc>
          <w:tcPr>
            <w:tcW w:w="685" w:type="pct"/>
            <w:tcBorders>
              <w:tl2br w:val="nil"/>
              <w:tr2bl w:val="nil"/>
            </w:tcBorders>
            <w:shd w:val="clear" w:color="auto" w:fill="auto"/>
            <w:noWrap w:val="0"/>
            <w:vAlign w:val="center"/>
          </w:tcPr>
          <w:p w14:paraId="0F29D70A">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186</w:t>
            </w:r>
          </w:p>
        </w:tc>
        <w:tc>
          <w:tcPr>
            <w:tcW w:w="854" w:type="pct"/>
            <w:vMerge w:val="continue"/>
            <w:tcBorders>
              <w:tl2br w:val="nil"/>
              <w:tr2bl w:val="nil"/>
            </w:tcBorders>
            <w:noWrap w:val="0"/>
            <w:vAlign w:val="center"/>
          </w:tcPr>
          <w:p w14:paraId="135A3E3C">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502" w:type="pct"/>
            <w:tcBorders>
              <w:tl2br w:val="nil"/>
              <w:tr2bl w:val="nil"/>
            </w:tcBorders>
            <w:shd w:val="clear" w:color="auto" w:fill="auto"/>
            <w:noWrap w:val="0"/>
            <w:vAlign w:val="center"/>
          </w:tcPr>
          <w:p w14:paraId="4B6E9A74">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b w:val="0"/>
                <w:bCs w:val="0"/>
                <w:sz w:val="21"/>
                <w:szCs w:val="21"/>
                <w:highlight w:val="none"/>
                <w:lang w:val="en-US" w:eastAsia="zh-CN" w:bidi="ar-SA"/>
              </w:rPr>
            </w:pPr>
            <w:r>
              <w:rPr>
                <w:rFonts w:hint="default" w:ascii="Times New Roman" w:hAnsi="Times New Roman" w:cs="Times New Roman"/>
                <w:b w:val="0"/>
                <w:bCs w:val="0"/>
                <w:sz w:val="21"/>
                <w:szCs w:val="21"/>
                <w:highlight w:val="none"/>
                <w:lang w:val="en-US" w:eastAsia="zh-CN" w:bidi="ar-SA"/>
              </w:rPr>
              <w:t>62</w:t>
            </w:r>
          </w:p>
        </w:tc>
      </w:tr>
      <w:tr w14:paraId="3DCD901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9" w:type="pct"/>
            <w:vMerge w:val="continue"/>
            <w:tcBorders>
              <w:tl2br w:val="nil"/>
              <w:tr2bl w:val="nil"/>
            </w:tcBorders>
            <w:noWrap w:val="0"/>
            <w:vAlign w:val="center"/>
          </w:tcPr>
          <w:p w14:paraId="5491832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624" w:type="pct"/>
            <w:vMerge w:val="continue"/>
            <w:tcBorders>
              <w:tl2br w:val="nil"/>
              <w:tr2bl w:val="nil"/>
            </w:tcBorders>
            <w:noWrap w:val="0"/>
            <w:vAlign w:val="center"/>
          </w:tcPr>
          <w:p w14:paraId="222247FA">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vMerge w:val="continue"/>
            <w:tcBorders>
              <w:tl2br w:val="nil"/>
              <w:tr2bl w:val="nil"/>
            </w:tcBorders>
            <w:shd w:val="clear" w:color="auto" w:fill="auto"/>
            <w:noWrap w:val="0"/>
            <w:vAlign w:val="center"/>
          </w:tcPr>
          <w:p w14:paraId="0F723269">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tcBorders>
              <w:tl2br w:val="nil"/>
              <w:tr2bl w:val="nil"/>
            </w:tcBorders>
            <w:shd w:val="clear" w:color="auto" w:fill="auto"/>
            <w:noWrap w:val="0"/>
            <w:vAlign w:val="center"/>
          </w:tcPr>
          <w:p w14:paraId="7802D3DD">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color w:val="auto"/>
                <w:spacing w:val="-20"/>
                <w:sz w:val="21"/>
                <w:szCs w:val="21"/>
                <w:highlight w:val="none"/>
                <w:lang w:val="en-US" w:eastAsia="zh-CN"/>
              </w:rPr>
              <w:t>8月14日-8月15日</w:t>
            </w:r>
          </w:p>
        </w:tc>
        <w:tc>
          <w:tcPr>
            <w:tcW w:w="685" w:type="pct"/>
            <w:tcBorders>
              <w:tl2br w:val="nil"/>
              <w:tr2bl w:val="nil"/>
            </w:tcBorders>
            <w:shd w:val="clear" w:color="auto" w:fill="auto"/>
            <w:noWrap w:val="0"/>
            <w:vAlign w:val="center"/>
          </w:tcPr>
          <w:p w14:paraId="6B184323">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200</w:t>
            </w:r>
          </w:p>
        </w:tc>
        <w:tc>
          <w:tcPr>
            <w:tcW w:w="854" w:type="pct"/>
            <w:vMerge w:val="continue"/>
            <w:tcBorders>
              <w:tl2br w:val="nil"/>
              <w:tr2bl w:val="nil"/>
            </w:tcBorders>
            <w:noWrap w:val="0"/>
            <w:vAlign w:val="center"/>
          </w:tcPr>
          <w:p w14:paraId="6000E0B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502" w:type="pct"/>
            <w:tcBorders>
              <w:tl2br w:val="nil"/>
              <w:tr2bl w:val="nil"/>
            </w:tcBorders>
            <w:shd w:val="clear" w:color="auto" w:fill="auto"/>
            <w:noWrap w:val="0"/>
            <w:vAlign w:val="center"/>
          </w:tcPr>
          <w:p w14:paraId="628825A6">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val="en-US" w:eastAsia="zh-CN" w:bidi="ar"/>
              </w:rPr>
              <w:t>66.7</w:t>
            </w:r>
          </w:p>
        </w:tc>
      </w:tr>
      <w:tr w14:paraId="225632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9" w:type="pct"/>
            <w:vMerge w:val="continue"/>
            <w:tcBorders>
              <w:tl2br w:val="nil"/>
              <w:tr2bl w:val="nil"/>
            </w:tcBorders>
            <w:noWrap w:val="0"/>
            <w:vAlign w:val="center"/>
          </w:tcPr>
          <w:p w14:paraId="2884C144">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624" w:type="pct"/>
            <w:vMerge w:val="continue"/>
            <w:tcBorders>
              <w:tl2br w:val="nil"/>
              <w:tr2bl w:val="nil"/>
            </w:tcBorders>
            <w:noWrap w:val="0"/>
            <w:vAlign w:val="center"/>
          </w:tcPr>
          <w:p w14:paraId="2178677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vMerge w:val="continue"/>
            <w:tcBorders>
              <w:tl2br w:val="nil"/>
              <w:tr2bl w:val="nil"/>
            </w:tcBorders>
            <w:shd w:val="clear" w:color="auto" w:fill="auto"/>
            <w:noWrap w:val="0"/>
            <w:vAlign w:val="center"/>
          </w:tcPr>
          <w:p w14:paraId="491E8A2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tcBorders>
              <w:tl2br w:val="nil"/>
              <w:tr2bl w:val="nil"/>
            </w:tcBorders>
            <w:shd w:val="clear" w:color="auto" w:fill="auto"/>
            <w:noWrap w:val="0"/>
            <w:vAlign w:val="center"/>
          </w:tcPr>
          <w:p w14:paraId="218971D3">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color w:val="auto"/>
                <w:spacing w:val="-20"/>
                <w:sz w:val="21"/>
                <w:szCs w:val="21"/>
                <w:highlight w:val="none"/>
                <w:lang w:val="en-US" w:eastAsia="zh-CN"/>
              </w:rPr>
              <w:t>8月15日-8月16日</w:t>
            </w:r>
          </w:p>
        </w:tc>
        <w:tc>
          <w:tcPr>
            <w:tcW w:w="685" w:type="pct"/>
            <w:tcBorders>
              <w:tl2br w:val="nil"/>
              <w:tr2bl w:val="nil"/>
            </w:tcBorders>
            <w:shd w:val="clear" w:color="auto" w:fill="auto"/>
            <w:noWrap w:val="0"/>
            <w:vAlign w:val="center"/>
          </w:tcPr>
          <w:p w14:paraId="0342E3FC">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196</w:t>
            </w:r>
          </w:p>
        </w:tc>
        <w:tc>
          <w:tcPr>
            <w:tcW w:w="854" w:type="pct"/>
            <w:vMerge w:val="continue"/>
            <w:tcBorders>
              <w:tl2br w:val="nil"/>
              <w:tr2bl w:val="nil"/>
            </w:tcBorders>
            <w:noWrap w:val="0"/>
            <w:vAlign w:val="center"/>
          </w:tcPr>
          <w:p w14:paraId="0FF7EB32">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502" w:type="pct"/>
            <w:tcBorders>
              <w:tl2br w:val="nil"/>
              <w:tr2bl w:val="nil"/>
            </w:tcBorders>
            <w:shd w:val="clear" w:color="auto" w:fill="auto"/>
            <w:noWrap w:val="0"/>
            <w:vAlign w:val="center"/>
          </w:tcPr>
          <w:p w14:paraId="03D52D8A">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val="en-US" w:eastAsia="zh-CN" w:bidi="ar"/>
              </w:rPr>
              <w:t>65.3</w:t>
            </w:r>
          </w:p>
        </w:tc>
      </w:tr>
      <w:tr w14:paraId="6A58BA3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9" w:type="pct"/>
            <w:vMerge w:val="continue"/>
            <w:tcBorders>
              <w:tl2br w:val="nil"/>
              <w:tr2bl w:val="nil"/>
            </w:tcBorders>
            <w:noWrap w:val="0"/>
            <w:vAlign w:val="center"/>
          </w:tcPr>
          <w:p w14:paraId="443EB95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624" w:type="pct"/>
            <w:vMerge w:val="continue"/>
            <w:tcBorders>
              <w:tl2br w:val="nil"/>
              <w:tr2bl w:val="nil"/>
            </w:tcBorders>
            <w:noWrap w:val="0"/>
            <w:vAlign w:val="center"/>
          </w:tcPr>
          <w:p w14:paraId="50CB989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vMerge w:val="continue"/>
            <w:tcBorders>
              <w:tl2br w:val="nil"/>
              <w:tr2bl w:val="nil"/>
            </w:tcBorders>
            <w:shd w:val="clear" w:color="auto" w:fill="auto"/>
            <w:noWrap w:val="0"/>
            <w:vAlign w:val="center"/>
          </w:tcPr>
          <w:p w14:paraId="4F3595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tcBorders>
              <w:tl2br w:val="nil"/>
              <w:tr2bl w:val="nil"/>
            </w:tcBorders>
            <w:shd w:val="clear" w:color="auto" w:fill="auto"/>
            <w:noWrap w:val="0"/>
            <w:vAlign w:val="center"/>
          </w:tcPr>
          <w:p w14:paraId="52578511">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pacing w:val="-20"/>
                <w:sz w:val="21"/>
                <w:szCs w:val="21"/>
                <w:highlight w:val="none"/>
                <w:lang w:val="en-US" w:eastAsia="zh-CN"/>
              </w:rPr>
              <w:t>8月16日-8月17日</w:t>
            </w:r>
          </w:p>
        </w:tc>
        <w:tc>
          <w:tcPr>
            <w:tcW w:w="685" w:type="pct"/>
            <w:tcBorders>
              <w:tl2br w:val="nil"/>
              <w:tr2bl w:val="nil"/>
            </w:tcBorders>
            <w:shd w:val="clear" w:color="auto" w:fill="auto"/>
            <w:noWrap w:val="0"/>
            <w:vAlign w:val="center"/>
          </w:tcPr>
          <w:p w14:paraId="540D858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168</w:t>
            </w:r>
          </w:p>
        </w:tc>
        <w:tc>
          <w:tcPr>
            <w:tcW w:w="854" w:type="pct"/>
            <w:vMerge w:val="continue"/>
            <w:tcBorders>
              <w:tl2br w:val="nil"/>
              <w:tr2bl w:val="nil"/>
            </w:tcBorders>
            <w:noWrap w:val="0"/>
            <w:vAlign w:val="center"/>
          </w:tcPr>
          <w:p w14:paraId="407AB380">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502" w:type="pct"/>
            <w:tcBorders>
              <w:tl2br w:val="nil"/>
              <w:tr2bl w:val="nil"/>
            </w:tcBorders>
            <w:shd w:val="clear" w:color="auto" w:fill="auto"/>
            <w:noWrap w:val="0"/>
            <w:vAlign w:val="center"/>
          </w:tcPr>
          <w:p w14:paraId="0D023ADB">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val="en-US" w:eastAsia="zh-CN" w:bidi="ar"/>
              </w:rPr>
              <w:t>56</w:t>
            </w:r>
          </w:p>
        </w:tc>
      </w:tr>
      <w:tr w14:paraId="64481AB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9" w:type="pct"/>
            <w:vMerge w:val="continue"/>
            <w:tcBorders>
              <w:tl2br w:val="nil"/>
              <w:tr2bl w:val="nil"/>
            </w:tcBorders>
            <w:noWrap w:val="0"/>
            <w:vAlign w:val="center"/>
          </w:tcPr>
          <w:p w14:paraId="53B91825">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624" w:type="pct"/>
            <w:vMerge w:val="continue"/>
            <w:tcBorders>
              <w:tl2br w:val="nil"/>
              <w:tr2bl w:val="nil"/>
            </w:tcBorders>
            <w:noWrap w:val="0"/>
            <w:vAlign w:val="center"/>
          </w:tcPr>
          <w:p w14:paraId="7A15AF0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vMerge w:val="continue"/>
            <w:tcBorders>
              <w:tl2br w:val="nil"/>
              <w:tr2bl w:val="nil"/>
            </w:tcBorders>
            <w:shd w:val="clear" w:color="auto" w:fill="auto"/>
            <w:noWrap w:val="0"/>
            <w:vAlign w:val="center"/>
          </w:tcPr>
          <w:p w14:paraId="186390A7">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986" w:type="pct"/>
            <w:tcBorders>
              <w:tl2br w:val="nil"/>
              <w:tr2bl w:val="nil"/>
            </w:tcBorders>
            <w:shd w:val="clear" w:color="auto" w:fill="auto"/>
            <w:noWrap w:val="0"/>
            <w:vAlign w:val="center"/>
          </w:tcPr>
          <w:p w14:paraId="598F5C45">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pacing w:val="-20"/>
                <w:sz w:val="21"/>
                <w:szCs w:val="21"/>
                <w:highlight w:val="none"/>
                <w:lang w:val="en-US" w:eastAsia="zh-CN"/>
              </w:rPr>
              <w:t>8月17日-8月18日</w:t>
            </w:r>
          </w:p>
        </w:tc>
        <w:tc>
          <w:tcPr>
            <w:tcW w:w="685" w:type="pct"/>
            <w:tcBorders>
              <w:tl2br w:val="nil"/>
              <w:tr2bl w:val="nil"/>
            </w:tcBorders>
            <w:shd w:val="clear" w:color="auto" w:fill="auto"/>
            <w:noWrap w:val="0"/>
            <w:vAlign w:val="center"/>
          </w:tcPr>
          <w:p w14:paraId="63DB73C7">
            <w:pPr>
              <w:keepNext w:val="0"/>
              <w:keepLines w:val="0"/>
              <w:pageBreakBefore w:val="0"/>
              <w:kinsoku/>
              <w:wordWrap/>
              <w:overflowPunct/>
              <w:topLinePunct w:val="0"/>
              <w:autoSpaceDE/>
              <w:autoSpaceDN/>
              <w:bidi w:val="0"/>
              <w:adjustRightInd/>
              <w:snapToGrid/>
              <w:spacing w:line="240" w:lineRule="exact"/>
              <w:jc w:val="center"/>
              <w:textAlignment w:val="auto"/>
              <w:rPr>
                <w:rFonts w:hint="default" w:ascii="Times New Roman" w:hAnsi="Times New Roman" w:eastAsia="宋体" w:cs="Times New Roman"/>
                <w:b w:val="0"/>
                <w:bCs w:val="0"/>
                <w:color w:val="auto"/>
                <w:kern w:val="2"/>
                <w:sz w:val="21"/>
                <w:szCs w:val="21"/>
                <w:lang w:val="en-US" w:eastAsia="zh-CN" w:bidi="ar-SA"/>
              </w:rPr>
            </w:pPr>
            <w:r>
              <w:rPr>
                <w:rFonts w:hint="default" w:ascii="Times New Roman" w:hAnsi="Times New Roman" w:cs="Times New Roman"/>
                <w:color w:val="auto"/>
                <w:sz w:val="21"/>
                <w:szCs w:val="21"/>
                <w:highlight w:val="none"/>
                <w:lang w:val="en-US" w:eastAsia="zh-CN"/>
              </w:rPr>
              <w:t>181</w:t>
            </w:r>
          </w:p>
        </w:tc>
        <w:tc>
          <w:tcPr>
            <w:tcW w:w="854" w:type="pct"/>
            <w:vMerge w:val="continue"/>
            <w:tcBorders>
              <w:tl2br w:val="nil"/>
              <w:tr2bl w:val="nil"/>
            </w:tcBorders>
            <w:noWrap w:val="0"/>
            <w:vAlign w:val="center"/>
          </w:tcPr>
          <w:p w14:paraId="3ACF63D1">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1"/>
                <w:szCs w:val="21"/>
                <w:highlight w:val="none"/>
                <w:lang w:val="en-US" w:eastAsia="zh-CN"/>
              </w:rPr>
            </w:pPr>
          </w:p>
        </w:tc>
        <w:tc>
          <w:tcPr>
            <w:tcW w:w="502" w:type="pct"/>
            <w:tcBorders>
              <w:tl2br w:val="nil"/>
              <w:tr2bl w:val="nil"/>
            </w:tcBorders>
            <w:shd w:val="clear" w:color="auto" w:fill="auto"/>
            <w:noWrap w:val="0"/>
            <w:vAlign w:val="center"/>
          </w:tcPr>
          <w:p w14:paraId="68A1FFF9">
            <w:pPr>
              <w:keepNext w:val="0"/>
              <w:keepLines w:val="0"/>
              <w:widowControl/>
              <w:suppressLineNumbers w:val="0"/>
              <w:ind w:left="0" w:leftChars="0" w:right="0" w:rightChars="0" w:firstLine="0" w:firstLineChars="0"/>
              <w:jc w:val="center"/>
              <w:textAlignment w:val="center"/>
              <w:rPr>
                <w:rFonts w:hint="default" w:ascii="Times New Roman" w:hAnsi="Times New Roman" w:eastAsia="宋体" w:cs="Times New Roman"/>
                <w:i w:val="0"/>
                <w:iCs w:val="0"/>
                <w:color w:val="000000"/>
                <w:kern w:val="0"/>
                <w:sz w:val="21"/>
                <w:szCs w:val="21"/>
                <w:highlight w:val="none"/>
                <w:u w:val="none"/>
                <w:lang w:val="en-US" w:eastAsia="zh-CN" w:bidi="ar"/>
              </w:rPr>
            </w:pPr>
            <w:r>
              <w:rPr>
                <w:rFonts w:hint="default" w:ascii="Times New Roman" w:hAnsi="Times New Roman" w:cs="Times New Roman"/>
                <w:i w:val="0"/>
                <w:iCs w:val="0"/>
                <w:color w:val="000000"/>
                <w:kern w:val="0"/>
                <w:sz w:val="21"/>
                <w:szCs w:val="21"/>
                <w:highlight w:val="none"/>
                <w:u w:val="none"/>
                <w:lang w:val="en-US" w:eastAsia="zh-CN" w:bidi="ar"/>
              </w:rPr>
              <w:t>60.3</w:t>
            </w:r>
          </w:p>
        </w:tc>
      </w:tr>
    </w:tbl>
    <w:p w14:paraId="1E724FEE">
      <w:pPr>
        <w:pStyle w:val="190"/>
        <w:keepNext w:val="0"/>
        <w:keepLines w:val="0"/>
        <w:pageBreakBefore w:val="0"/>
        <w:widowControl/>
        <w:kinsoku/>
        <w:wordWrap/>
        <w:overflowPunct/>
        <w:topLinePunct w:val="0"/>
        <w:autoSpaceDE/>
        <w:autoSpaceDN/>
        <w:bidi w:val="0"/>
        <w:adjustRightInd w:val="0"/>
        <w:snapToGrid w:val="0"/>
        <w:spacing w:before="0" w:after="0" w:line="360" w:lineRule="auto"/>
        <w:ind w:firstLine="480" w:firstLineChars="200"/>
        <w:jc w:val="both"/>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根据表4.2-3可知，项目区下风向TSP日均值满足《环境空气质量标准》（GB3095-2026）中过渡阶段二级标准。</w:t>
      </w:r>
    </w:p>
    <w:p w14:paraId="38D1B494">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4.</w:t>
      </w:r>
      <w:r>
        <w:rPr>
          <w:rFonts w:hint="default" w:ascii="Times New Roman" w:hAnsi="Times New Roman" w:cs="Times New Roman"/>
          <w:b/>
          <w:bCs/>
          <w:sz w:val="24"/>
          <w:szCs w:val="16"/>
          <w:highlight w:val="none"/>
          <w:lang w:val="en-US" w:eastAsia="zh-CN"/>
        </w:rPr>
        <w:t>2</w:t>
      </w:r>
      <w:r>
        <w:rPr>
          <w:rFonts w:hint="default" w:ascii="Times New Roman" w:hAnsi="Times New Roman" w:eastAsia="宋体" w:cs="Times New Roman"/>
          <w:b/>
          <w:bCs/>
          <w:sz w:val="24"/>
          <w:szCs w:val="16"/>
          <w:highlight w:val="none"/>
        </w:rPr>
        <w:t>.</w:t>
      </w:r>
      <w:r>
        <w:rPr>
          <w:rFonts w:hint="default" w:ascii="Times New Roman" w:hAnsi="Times New Roman" w:eastAsia="宋体" w:cs="Times New Roman"/>
          <w:b/>
          <w:bCs/>
          <w:sz w:val="24"/>
          <w:szCs w:val="16"/>
          <w:highlight w:val="none"/>
          <w:lang w:val="en-US" w:eastAsia="zh-CN"/>
        </w:rPr>
        <w:t>4土壤</w:t>
      </w:r>
      <w:r>
        <w:rPr>
          <w:rFonts w:hint="default" w:ascii="Times New Roman" w:hAnsi="Times New Roman" w:eastAsia="宋体" w:cs="Times New Roman"/>
          <w:b/>
          <w:bCs/>
          <w:sz w:val="24"/>
          <w:szCs w:val="16"/>
          <w:highlight w:val="none"/>
        </w:rPr>
        <w:t>环境</w:t>
      </w:r>
      <w:r>
        <w:rPr>
          <w:rFonts w:hint="default" w:ascii="Times New Roman" w:hAnsi="Times New Roman" w:eastAsia="宋体" w:cs="Times New Roman"/>
          <w:b/>
          <w:bCs/>
          <w:sz w:val="24"/>
          <w:szCs w:val="16"/>
          <w:highlight w:val="none"/>
          <w:lang w:val="en-US" w:eastAsia="zh-CN"/>
        </w:rPr>
        <w:t>质量</w:t>
      </w:r>
      <w:r>
        <w:rPr>
          <w:rFonts w:hint="default" w:ascii="Times New Roman" w:hAnsi="Times New Roman" w:eastAsia="宋体" w:cs="Times New Roman"/>
          <w:b/>
          <w:bCs/>
          <w:sz w:val="24"/>
          <w:szCs w:val="16"/>
          <w:highlight w:val="none"/>
        </w:rPr>
        <w:t>现状调查</w:t>
      </w:r>
    </w:p>
    <w:p w14:paraId="2531E72C">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（1）监测布点与监测因子</w:t>
      </w:r>
    </w:p>
    <w:p w14:paraId="025A239D">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本次环评土壤环境现状监测</w:t>
      </w:r>
      <w:r>
        <w:rPr>
          <w:rFonts w:hint="default" w:ascii="Times New Roman" w:hAnsi="Times New Roman" w:cs="Times New Roman"/>
          <w:sz w:val="24"/>
          <w:szCs w:val="24"/>
          <w:highlight w:val="none"/>
          <w:lang w:val="en-US" w:eastAsia="zh-CN"/>
        </w:rPr>
        <w:t>共</w:t>
      </w:r>
      <w:r>
        <w:rPr>
          <w:rFonts w:hint="default" w:ascii="Times New Roman" w:hAnsi="Times New Roman" w:eastAsia="宋体" w:cs="Times New Roman"/>
          <w:sz w:val="24"/>
          <w:szCs w:val="24"/>
          <w:highlight w:val="none"/>
          <w:lang w:val="en-US" w:eastAsia="zh-CN"/>
        </w:rPr>
        <w:t>设置</w:t>
      </w:r>
      <w:r>
        <w:rPr>
          <w:rFonts w:hint="default" w:ascii="Times New Roman" w:hAnsi="Times New Roman" w:cs="Times New Roman"/>
          <w:sz w:val="24"/>
          <w:szCs w:val="24"/>
          <w:highlight w:val="none"/>
          <w:lang w:val="en-US" w:eastAsia="zh-CN"/>
        </w:rPr>
        <w:t>6</w:t>
      </w:r>
      <w:r>
        <w:rPr>
          <w:rFonts w:hint="default" w:ascii="Times New Roman" w:hAnsi="Times New Roman" w:eastAsia="宋体" w:cs="Times New Roman"/>
          <w:sz w:val="24"/>
          <w:szCs w:val="24"/>
          <w:highlight w:val="none"/>
          <w:lang w:val="en-US" w:eastAsia="zh-CN"/>
        </w:rPr>
        <w:t>个</w:t>
      </w:r>
      <w:r>
        <w:rPr>
          <w:rFonts w:hint="default" w:ascii="Times New Roman" w:hAnsi="Times New Roman" w:eastAsia="宋体" w:cs="Times New Roman"/>
          <w:sz w:val="24"/>
          <w:szCs w:val="24"/>
          <w:highlight w:val="none"/>
        </w:rPr>
        <w:t>监测</w:t>
      </w:r>
      <w:r>
        <w:rPr>
          <w:rFonts w:hint="default" w:ascii="Times New Roman" w:hAnsi="Times New Roman" w:cs="Times New Roman"/>
          <w:sz w:val="24"/>
          <w:szCs w:val="24"/>
          <w:highlight w:val="none"/>
          <w:lang w:val="en-US" w:eastAsia="zh-CN"/>
        </w:rPr>
        <w:t>点位，其中企业占地范围内设置3个柱状样监测点和1个表层样监测点</w:t>
      </w:r>
      <w:r>
        <w:rPr>
          <w:rFonts w:hint="default" w:ascii="Times New Roman" w:hAnsi="Times New Roman" w:eastAsia="宋体" w:cs="Times New Roman"/>
          <w:sz w:val="24"/>
          <w:szCs w:val="24"/>
          <w:highlight w:val="none"/>
        </w:rPr>
        <w:t>，委托</w:t>
      </w:r>
      <w:r>
        <w:rPr>
          <w:rFonts w:hint="eastAsia" w:cs="Times New Roman"/>
          <w:sz w:val="24"/>
          <w:szCs w:val="24"/>
          <w:highlight w:val="none"/>
          <w:lang w:val="en-US" w:eastAsia="zh-CN"/>
        </w:rPr>
        <w:t>新疆中测测试有限责任公司</w:t>
      </w:r>
      <w:r>
        <w:rPr>
          <w:rFonts w:hint="default" w:ascii="Times New Roman" w:hAnsi="Times New Roman" w:eastAsia="宋体" w:cs="Times New Roman"/>
          <w:sz w:val="24"/>
          <w:szCs w:val="24"/>
          <w:highlight w:val="none"/>
        </w:rPr>
        <w:t>进行</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于20</w:t>
      </w:r>
      <w:r>
        <w:rPr>
          <w:rFonts w:hint="default" w:ascii="Times New Roman" w:hAnsi="Times New Roman" w:eastAsia="宋体" w:cs="Times New Roman"/>
          <w:sz w:val="24"/>
          <w:szCs w:val="24"/>
          <w:highlight w:val="none"/>
          <w:lang w:val="en-US" w:eastAsia="zh-CN"/>
        </w:rPr>
        <w:t>2</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rPr>
        <w:t>年</w:t>
      </w:r>
      <w:r>
        <w:rPr>
          <w:rFonts w:hint="default" w:ascii="Times New Roman" w:hAnsi="Times New Roman" w:cs="Times New Roman"/>
          <w:sz w:val="24"/>
          <w:szCs w:val="24"/>
          <w:highlight w:val="none"/>
          <w:lang w:val="en-US" w:eastAsia="zh-CN"/>
        </w:rPr>
        <w:t>1</w:t>
      </w:r>
      <w:r>
        <w:rPr>
          <w:rFonts w:hint="eastAsia" w:cs="Times New Roman"/>
          <w:sz w:val="24"/>
          <w:szCs w:val="24"/>
          <w:highlight w:val="none"/>
          <w:lang w:val="en-US" w:eastAsia="zh-CN"/>
        </w:rPr>
        <w:t>1</w:t>
      </w:r>
      <w:r>
        <w:rPr>
          <w:rFonts w:hint="default" w:ascii="Times New Roman" w:hAnsi="Times New Roman" w:eastAsia="宋体" w:cs="Times New Roman"/>
          <w:sz w:val="24"/>
          <w:szCs w:val="24"/>
          <w:highlight w:val="none"/>
        </w:rPr>
        <w:t>月</w:t>
      </w:r>
      <w:r>
        <w:rPr>
          <w:rFonts w:hint="eastAsia" w:cs="Times New Roman"/>
          <w:sz w:val="24"/>
          <w:szCs w:val="24"/>
          <w:highlight w:val="none"/>
          <w:lang w:val="en-US" w:eastAsia="zh-CN"/>
        </w:rPr>
        <w:t>18</w:t>
      </w:r>
      <w:r>
        <w:rPr>
          <w:rFonts w:hint="default" w:ascii="Times New Roman" w:hAnsi="Times New Roman" w:eastAsia="宋体" w:cs="Times New Roman"/>
          <w:sz w:val="24"/>
          <w:szCs w:val="24"/>
          <w:highlight w:val="none"/>
        </w:rPr>
        <w:t>日进行</w:t>
      </w:r>
      <w:r>
        <w:rPr>
          <w:rFonts w:hint="default" w:ascii="Times New Roman" w:hAnsi="Times New Roman" w:eastAsia="宋体" w:cs="Times New Roman"/>
          <w:sz w:val="24"/>
          <w:szCs w:val="24"/>
          <w:highlight w:val="none"/>
          <w:lang w:val="en-US" w:eastAsia="zh-CN"/>
        </w:rPr>
        <w:t>采样</w:t>
      </w: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企业占地范围外设置2个表层样监测点，引用《新疆兴发100吨/年催化剂项目环境影响报告书》中的土壤监测数据，监测单位为阿克苏源德环境检测有限公司，采样时间为2025年8月14日，项目监测点及监测因子见下表4.2-7</w:t>
      </w:r>
      <w:r>
        <w:rPr>
          <w:rFonts w:hint="default" w:ascii="Times New Roman" w:hAnsi="Times New Roman" w:eastAsia="宋体" w:cs="Times New Roman"/>
          <w:sz w:val="24"/>
          <w:szCs w:val="24"/>
          <w:highlight w:val="none"/>
        </w:rPr>
        <w:t>。</w:t>
      </w:r>
    </w:p>
    <w:p w14:paraId="216C730A">
      <w:pPr>
        <w:pageBreakBefore w:val="0"/>
        <w:widowControl/>
        <w:kinsoku/>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表4.2-7 项目土壤现状监测点位及监测因子一览表</w:t>
      </w:r>
    </w:p>
    <w:tbl>
      <w:tblPr>
        <w:tblStyle w:val="39"/>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032"/>
        <w:gridCol w:w="1318"/>
        <w:gridCol w:w="895"/>
        <w:gridCol w:w="951"/>
        <w:gridCol w:w="4155"/>
      </w:tblGrid>
      <w:tr w14:paraId="05D04B9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621" w:type="pct"/>
            <w:tcBorders>
              <w:tl2br w:val="nil"/>
              <w:tr2bl w:val="nil"/>
            </w:tcBorders>
            <w:noWrap w:val="0"/>
            <w:vAlign w:val="center"/>
          </w:tcPr>
          <w:p w14:paraId="6F1027EF">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rPr>
            </w:pPr>
            <w:r>
              <w:rPr>
                <w:rFonts w:hint="default" w:ascii="Times New Roman" w:hAnsi="Times New Roman" w:eastAsia="宋体" w:cs="Times New Roman"/>
                <w:b/>
                <w:bCs w:val="0"/>
                <w:color w:val="auto"/>
                <w:kern w:val="2"/>
                <w:sz w:val="21"/>
                <w:szCs w:val="21"/>
                <w:u w:val="none"/>
              </w:rPr>
              <w:t>监测点位</w:t>
            </w:r>
          </w:p>
        </w:tc>
        <w:tc>
          <w:tcPr>
            <w:tcW w:w="776" w:type="pct"/>
            <w:tcBorders>
              <w:tl2br w:val="nil"/>
              <w:tr2bl w:val="nil"/>
            </w:tcBorders>
            <w:noWrap w:val="0"/>
            <w:vAlign w:val="center"/>
          </w:tcPr>
          <w:p w14:paraId="2D5C6444">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lang w:val="en-US" w:eastAsia="zh-CN"/>
              </w:rPr>
            </w:pPr>
            <w:r>
              <w:rPr>
                <w:rFonts w:hint="default" w:ascii="Times New Roman" w:hAnsi="Times New Roman" w:eastAsia="宋体" w:cs="Times New Roman"/>
                <w:b/>
                <w:bCs w:val="0"/>
                <w:color w:val="auto"/>
                <w:kern w:val="2"/>
                <w:sz w:val="21"/>
                <w:szCs w:val="21"/>
                <w:u w:val="none"/>
                <w:lang w:val="en-US" w:eastAsia="zh-CN"/>
              </w:rPr>
              <w:t>坐标</w:t>
            </w:r>
          </w:p>
        </w:tc>
        <w:tc>
          <w:tcPr>
            <w:tcW w:w="539" w:type="pct"/>
            <w:tcBorders>
              <w:tl2br w:val="nil"/>
              <w:tr2bl w:val="nil"/>
            </w:tcBorders>
            <w:noWrap w:val="0"/>
            <w:vAlign w:val="center"/>
          </w:tcPr>
          <w:p w14:paraId="12AFB9CA">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rPr>
            </w:pPr>
            <w:r>
              <w:rPr>
                <w:rFonts w:hint="default" w:ascii="Times New Roman" w:hAnsi="Times New Roman" w:eastAsia="宋体" w:cs="Times New Roman"/>
                <w:b/>
                <w:bCs w:val="0"/>
                <w:color w:val="auto"/>
                <w:kern w:val="2"/>
                <w:sz w:val="21"/>
                <w:szCs w:val="21"/>
                <w:u w:val="none"/>
              </w:rPr>
              <w:t>与</w:t>
            </w:r>
            <w:r>
              <w:rPr>
                <w:rFonts w:hint="default" w:ascii="Times New Roman" w:hAnsi="Times New Roman" w:eastAsia="宋体" w:cs="Times New Roman"/>
                <w:b/>
                <w:bCs w:val="0"/>
                <w:color w:val="auto"/>
                <w:kern w:val="2"/>
                <w:sz w:val="21"/>
                <w:szCs w:val="21"/>
                <w:u w:val="none"/>
                <w:lang w:val="en-US" w:eastAsia="zh-CN"/>
              </w:rPr>
              <w:t>厂区</w:t>
            </w:r>
            <w:r>
              <w:rPr>
                <w:rFonts w:hint="default" w:ascii="Times New Roman" w:hAnsi="Times New Roman" w:eastAsia="宋体" w:cs="Times New Roman"/>
                <w:b/>
                <w:bCs w:val="0"/>
                <w:color w:val="auto"/>
                <w:kern w:val="2"/>
                <w:sz w:val="21"/>
                <w:szCs w:val="21"/>
                <w:u w:val="none"/>
              </w:rPr>
              <w:t>位置关系</w:t>
            </w:r>
          </w:p>
        </w:tc>
        <w:tc>
          <w:tcPr>
            <w:tcW w:w="572" w:type="pct"/>
            <w:tcBorders>
              <w:tl2br w:val="nil"/>
              <w:tr2bl w:val="nil"/>
            </w:tcBorders>
            <w:noWrap w:val="0"/>
            <w:vAlign w:val="center"/>
          </w:tcPr>
          <w:p w14:paraId="43A91D20">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rPr>
            </w:pPr>
            <w:r>
              <w:rPr>
                <w:rFonts w:hint="default" w:ascii="Times New Roman" w:hAnsi="Times New Roman" w:eastAsia="宋体" w:cs="Times New Roman"/>
                <w:b/>
                <w:bCs w:val="0"/>
                <w:color w:val="auto"/>
                <w:kern w:val="2"/>
                <w:sz w:val="21"/>
                <w:szCs w:val="21"/>
                <w:u w:val="none"/>
              </w:rPr>
              <w:t>备注</w:t>
            </w:r>
          </w:p>
        </w:tc>
        <w:tc>
          <w:tcPr>
            <w:tcW w:w="2489" w:type="pct"/>
            <w:tcBorders>
              <w:tl2br w:val="nil"/>
              <w:tr2bl w:val="nil"/>
            </w:tcBorders>
            <w:noWrap w:val="0"/>
            <w:vAlign w:val="center"/>
          </w:tcPr>
          <w:p w14:paraId="7BB087D8">
            <w:pPr>
              <w:pStyle w:val="214"/>
              <w:autoSpaceDE/>
              <w:autoSpaceDN/>
              <w:spacing w:before="0" w:after="0" w:line="240" w:lineRule="auto"/>
              <w:ind w:left="0" w:firstLine="0"/>
              <w:jc w:val="center"/>
              <w:rPr>
                <w:rFonts w:hint="default" w:ascii="Times New Roman" w:hAnsi="Times New Roman" w:eastAsia="宋体" w:cs="Times New Roman"/>
                <w:b/>
                <w:bCs w:val="0"/>
                <w:color w:val="auto"/>
                <w:kern w:val="2"/>
                <w:sz w:val="21"/>
                <w:szCs w:val="21"/>
                <w:u w:val="none"/>
              </w:rPr>
            </w:pPr>
            <w:r>
              <w:rPr>
                <w:rFonts w:hint="default" w:ascii="Times New Roman" w:hAnsi="Times New Roman" w:cs="Times New Roman"/>
                <w:b/>
                <w:bCs w:val="0"/>
                <w:color w:val="000000" w:themeColor="text1"/>
                <w:sz w:val="21"/>
                <w:szCs w:val="21"/>
                <w14:textFill>
                  <w14:solidFill>
                    <w14:schemeClr w14:val="tx1"/>
                  </w14:solidFill>
                </w14:textFill>
              </w:rPr>
              <w:t>监测因子</w:t>
            </w:r>
          </w:p>
        </w:tc>
      </w:tr>
      <w:tr w14:paraId="09CBF8D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621" w:type="pct"/>
            <w:tcBorders>
              <w:tl2br w:val="nil"/>
              <w:tr2bl w:val="nil"/>
            </w:tcBorders>
            <w:noWrap w:val="0"/>
            <w:vAlign w:val="center"/>
          </w:tcPr>
          <w:p w14:paraId="77512AFF">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1#水泥窑装置区</w:t>
            </w:r>
          </w:p>
        </w:tc>
        <w:tc>
          <w:tcPr>
            <w:tcW w:w="776" w:type="pct"/>
            <w:tcBorders>
              <w:tl2br w:val="nil"/>
              <w:tr2bl w:val="nil"/>
            </w:tcBorders>
            <w:noWrap w:val="0"/>
            <w:vAlign w:val="center"/>
          </w:tcPr>
          <w:p w14:paraId="5C6E043D">
            <w:pPr>
              <w:pStyle w:val="214"/>
              <w:autoSpaceDE/>
              <w:autoSpaceDN/>
              <w:spacing w:before="0" w:after="0" w:line="240" w:lineRule="auto"/>
              <w:ind w:left="0" w:firstLine="0"/>
              <w:jc w:val="center"/>
              <w:rPr>
                <w:rFonts w:hint="default" w:ascii="Times New Roman" w:hAnsi="Times New Roman"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E80°6′56.798″</w:t>
            </w:r>
          </w:p>
          <w:p w14:paraId="77450381">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N41°4′6.433″</w:t>
            </w:r>
          </w:p>
        </w:tc>
        <w:tc>
          <w:tcPr>
            <w:tcW w:w="539" w:type="pct"/>
            <w:tcBorders>
              <w:tl2br w:val="nil"/>
              <w:tr2bl w:val="nil"/>
            </w:tcBorders>
            <w:noWrap w:val="0"/>
            <w:vAlign w:val="center"/>
          </w:tcPr>
          <w:p w14:paraId="190EE6D6">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厂区内</w:t>
            </w:r>
          </w:p>
        </w:tc>
        <w:tc>
          <w:tcPr>
            <w:tcW w:w="572" w:type="pct"/>
            <w:tcBorders>
              <w:tl2br w:val="nil"/>
              <w:tr2bl w:val="nil"/>
            </w:tcBorders>
            <w:noWrap w:val="0"/>
            <w:vAlign w:val="center"/>
          </w:tcPr>
          <w:p w14:paraId="6473A285">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柱状样</w:t>
            </w:r>
          </w:p>
        </w:tc>
        <w:tc>
          <w:tcPr>
            <w:tcW w:w="2489" w:type="pct"/>
            <w:tcBorders>
              <w:tl2br w:val="nil"/>
              <w:tr2bl w:val="nil"/>
            </w:tcBorders>
            <w:noWrap w:val="0"/>
            <w:vAlign w:val="center"/>
          </w:tcPr>
          <w:p w14:paraId="3017E4BF">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砷、镉、铬（六价）、铜、铅、汞、镍、四氯化碳、氯仿、氯甲烷、1，1-二氯乙烷、1，2-二氯乙烷、1，1-二氯乙烯、顺-1，2-二氯乙烯、反-1，2-二氯乙烯、二氯甲烷、1，2-二氯丙烷、1，1，1，2-四氯乙烷、1，1，2，2-四氯乙烷、四氯乙烯、1，1，1-三氯乙烯、1，1，2-三氯乙烷、三氯乙烯、1，2，3-三氯丙烷、氯乙烯、苯、氯苯、1，2-二氯苯、1，4-二氯苯、乙苯、苯乙烯、甲苯、间二甲苯+对二甲苯、邻二甲苯、硝基苯、苯胺、2-氯酚、苯并[a]蒽、苯并[a]芘、苯并[b]荧蒽、苯并[K]荧蒽、䓛、二苯并[a，h]蒽、茚并[1，2，3-cd]芘、萘、pH值、全盐量</w:t>
            </w:r>
          </w:p>
        </w:tc>
      </w:tr>
      <w:tr w14:paraId="3F7D239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621" w:type="pct"/>
            <w:tcBorders>
              <w:tl2br w:val="nil"/>
              <w:tr2bl w:val="nil"/>
            </w:tcBorders>
            <w:noWrap w:val="0"/>
            <w:vAlign w:val="center"/>
          </w:tcPr>
          <w:p w14:paraId="205332A4">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2#</w:t>
            </w:r>
            <w:r>
              <w:rPr>
                <w:rFonts w:hint="default" w:ascii="Times New Roman" w:hAnsi="Times New Roman" w:eastAsia="宋体" w:cs="Times New Roman"/>
                <w:b w:val="0"/>
                <w:bCs/>
                <w:color w:val="auto"/>
                <w:kern w:val="2"/>
                <w:sz w:val="21"/>
                <w:szCs w:val="21"/>
                <w:highlight w:val="none"/>
                <w:u w:val="none"/>
                <w:lang w:val="en-US" w:eastAsia="zh-CN"/>
              </w:rPr>
              <w:t>固态废物运输路线</w:t>
            </w:r>
          </w:p>
        </w:tc>
        <w:tc>
          <w:tcPr>
            <w:tcW w:w="776" w:type="pct"/>
            <w:tcBorders>
              <w:tl2br w:val="nil"/>
              <w:tr2bl w:val="nil"/>
            </w:tcBorders>
            <w:noWrap w:val="0"/>
            <w:vAlign w:val="center"/>
          </w:tcPr>
          <w:p w14:paraId="0FFAA842">
            <w:pPr>
              <w:pStyle w:val="214"/>
              <w:autoSpaceDE/>
              <w:autoSpaceDN/>
              <w:spacing w:before="0" w:after="0" w:line="240" w:lineRule="auto"/>
              <w:ind w:left="0" w:firstLine="0"/>
              <w:jc w:val="center"/>
              <w:rPr>
                <w:rFonts w:hint="default" w:ascii="Times New Roman" w:hAnsi="Times New Roman"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E80°7′1.350″</w:t>
            </w:r>
          </w:p>
          <w:p w14:paraId="7E8C220E">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N41°3′53.359″</w:t>
            </w:r>
          </w:p>
        </w:tc>
        <w:tc>
          <w:tcPr>
            <w:tcW w:w="539" w:type="pct"/>
            <w:tcBorders>
              <w:tl2br w:val="nil"/>
              <w:tr2bl w:val="nil"/>
            </w:tcBorders>
            <w:noWrap w:val="0"/>
            <w:vAlign w:val="center"/>
          </w:tcPr>
          <w:p w14:paraId="2CF5A90F">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厂区内</w:t>
            </w:r>
          </w:p>
        </w:tc>
        <w:tc>
          <w:tcPr>
            <w:tcW w:w="572" w:type="pct"/>
            <w:tcBorders>
              <w:tl2br w:val="nil"/>
              <w:tr2bl w:val="nil"/>
            </w:tcBorders>
            <w:noWrap w:val="0"/>
            <w:vAlign w:val="center"/>
          </w:tcPr>
          <w:p w14:paraId="5572EEB8">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cs="Times New Roman"/>
                <w:b w:val="0"/>
                <w:bCs/>
                <w:color w:val="auto"/>
                <w:kern w:val="2"/>
                <w:sz w:val="21"/>
                <w:szCs w:val="21"/>
                <w:u w:val="none"/>
                <w:lang w:val="en-US" w:eastAsia="zh-CN"/>
              </w:rPr>
              <w:t>柱状样</w:t>
            </w:r>
          </w:p>
        </w:tc>
        <w:tc>
          <w:tcPr>
            <w:tcW w:w="2489" w:type="pct"/>
            <w:tcBorders>
              <w:tl2br w:val="nil"/>
              <w:tr2bl w:val="nil"/>
            </w:tcBorders>
            <w:noWrap w:val="0"/>
            <w:vAlign w:val="center"/>
          </w:tcPr>
          <w:p w14:paraId="3590FD8A">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pH、砷、镉、铬（六价）、铜、铅、汞、镍、全盐量</w:t>
            </w:r>
          </w:p>
        </w:tc>
      </w:tr>
      <w:tr w14:paraId="6819CFD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621" w:type="pct"/>
            <w:tcBorders>
              <w:tl2br w:val="nil"/>
              <w:tr2bl w:val="nil"/>
            </w:tcBorders>
            <w:noWrap w:val="0"/>
            <w:vAlign w:val="center"/>
          </w:tcPr>
          <w:p w14:paraId="4759AEAB">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3#液态废物管输路线阀门、法兰等接口</w:t>
            </w:r>
          </w:p>
        </w:tc>
        <w:tc>
          <w:tcPr>
            <w:tcW w:w="776" w:type="pct"/>
            <w:tcBorders>
              <w:tl2br w:val="nil"/>
              <w:tr2bl w:val="nil"/>
            </w:tcBorders>
            <w:noWrap w:val="0"/>
            <w:vAlign w:val="center"/>
          </w:tcPr>
          <w:p w14:paraId="2679E957">
            <w:pPr>
              <w:pStyle w:val="214"/>
              <w:autoSpaceDE/>
              <w:autoSpaceDN/>
              <w:spacing w:before="0" w:after="0" w:line="240" w:lineRule="auto"/>
              <w:ind w:left="0" w:firstLine="0"/>
              <w:jc w:val="center"/>
              <w:rPr>
                <w:rFonts w:hint="default" w:ascii="Times New Roman" w:hAnsi="Times New Roman"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E80°6′58.727″</w:t>
            </w:r>
          </w:p>
          <w:p w14:paraId="42B7ED77">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N41°4′7.466″</w:t>
            </w:r>
          </w:p>
        </w:tc>
        <w:tc>
          <w:tcPr>
            <w:tcW w:w="539" w:type="pct"/>
            <w:tcBorders>
              <w:tl2br w:val="nil"/>
              <w:tr2bl w:val="nil"/>
            </w:tcBorders>
            <w:noWrap w:val="0"/>
            <w:vAlign w:val="center"/>
          </w:tcPr>
          <w:p w14:paraId="5762234A">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厂区内</w:t>
            </w:r>
          </w:p>
        </w:tc>
        <w:tc>
          <w:tcPr>
            <w:tcW w:w="572" w:type="pct"/>
            <w:tcBorders>
              <w:tl2br w:val="nil"/>
              <w:tr2bl w:val="nil"/>
            </w:tcBorders>
            <w:noWrap w:val="0"/>
            <w:vAlign w:val="center"/>
          </w:tcPr>
          <w:p w14:paraId="653A3CD8">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cs="Times New Roman"/>
                <w:b w:val="0"/>
                <w:bCs/>
                <w:color w:val="auto"/>
                <w:kern w:val="2"/>
                <w:sz w:val="21"/>
                <w:szCs w:val="21"/>
                <w:u w:val="none"/>
                <w:lang w:val="en-US" w:eastAsia="zh-CN"/>
              </w:rPr>
              <w:t>柱状样</w:t>
            </w:r>
          </w:p>
        </w:tc>
        <w:tc>
          <w:tcPr>
            <w:tcW w:w="2489" w:type="pct"/>
            <w:tcBorders>
              <w:tl2br w:val="nil"/>
              <w:tr2bl w:val="nil"/>
            </w:tcBorders>
            <w:noWrap w:val="0"/>
            <w:vAlign w:val="center"/>
          </w:tcPr>
          <w:p w14:paraId="25CCF36B">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pH、砷、镉、铬（六价）、铜、铅、汞、镍、全盐量</w:t>
            </w:r>
          </w:p>
        </w:tc>
      </w:tr>
      <w:tr w14:paraId="19C07E2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621" w:type="pct"/>
            <w:tcBorders>
              <w:tl2br w:val="nil"/>
              <w:tr2bl w:val="nil"/>
            </w:tcBorders>
            <w:noWrap w:val="0"/>
            <w:vAlign w:val="center"/>
          </w:tcPr>
          <w:p w14:paraId="5C4A20DD">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4#厂区空地</w:t>
            </w:r>
          </w:p>
        </w:tc>
        <w:tc>
          <w:tcPr>
            <w:tcW w:w="776" w:type="pct"/>
            <w:tcBorders>
              <w:tl2br w:val="nil"/>
              <w:tr2bl w:val="nil"/>
            </w:tcBorders>
            <w:noWrap w:val="0"/>
            <w:vAlign w:val="center"/>
          </w:tcPr>
          <w:p w14:paraId="783446BD">
            <w:pPr>
              <w:pStyle w:val="214"/>
              <w:autoSpaceDE/>
              <w:autoSpaceDN/>
              <w:spacing w:before="0" w:after="0" w:line="240" w:lineRule="auto"/>
              <w:ind w:left="0" w:firstLine="0"/>
              <w:jc w:val="center"/>
              <w:rPr>
                <w:rFonts w:hint="default" w:ascii="Times New Roman" w:hAnsi="Times New Roman"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E80°6′43.910″</w:t>
            </w:r>
          </w:p>
          <w:p w14:paraId="43FC4120">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cs="Times New Roman"/>
                <w:b w:val="0"/>
                <w:bCs/>
                <w:color w:val="auto"/>
                <w:kern w:val="2"/>
                <w:sz w:val="21"/>
                <w:szCs w:val="21"/>
                <w:u w:val="none"/>
                <w:lang w:val="en-US" w:eastAsia="zh-CN"/>
              </w:rPr>
              <w:t>N41°3′59.285″</w:t>
            </w:r>
          </w:p>
        </w:tc>
        <w:tc>
          <w:tcPr>
            <w:tcW w:w="539" w:type="pct"/>
            <w:tcBorders>
              <w:tl2br w:val="nil"/>
              <w:tr2bl w:val="nil"/>
            </w:tcBorders>
            <w:noWrap w:val="0"/>
            <w:vAlign w:val="center"/>
          </w:tcPr>
          <w:p w14:paraId="16560E6C">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厂区内</w:t>
            </w:r>
          </w:p>
        </w:tc>
        <w:tc>
          <w:tcPr>
            <w:tcW w:w="572" w:type="pct"/>
            <w:tcBorders>
              <w:tl2br w:val="nil"/>
              <w:tr2bl w:val="nil"/>
            </w:tcBorders>
            <w:noWrap w:val="0"/>
            <w:vAlign w:val="center"/>
          </w:tcPr>
          <w:p w14:paraId="52D40CE9">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lang w:eastAsia="zh-CN"/>
              </w:rPr>
            </w:pPr>
            <w:r>
              <w:rPr>
                <w:rFonts w:hint="default" w:ascii="Times New Roman" w:hAnsi="Times New Roman" w:cs="Times New Roman"/>
                <w:b w:val="0"/>
                <w:bCs/>
                <w:color w:val="auto"/>
                <w:kern w:val="2"/>
                <w:sz w:val="21"/>
                <w:szCs w:val="21"/>
                <w:u w:val="none"/>
                <w:lang w:val="en-US" w:eastAsia="zh-CN"/>
              </w:rPr>
              <w:t>表层样</w:t>
            </w:r>
          </w:p>
        </w:tc>
        <w:tc>
          <w:tcPr>
            <w:tcW w:w="2489" w:type="pct"/>
            <w:tcBorders>
              <w:tl2br w:val="nil"/>
              <w:tr2bl w:val="nil"/>
            </w:tcBorders>
            <w:noWrap w:val="0"/>
            <w:vAlign w:val="center"/>
          </w:tcPr>
          <w:p w14:paraId="6AA7C93A">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pH、砷、镉、铬（六价）、铜、铅、汞、镍、全盐量</w:t>
            </w:r>
          </w:p>
        </w:tc>
      </w:tr>
      <w:tr w14:paraId="146AB03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621" w:type="pct"/>
            <w:tcBorders>
              <w:tl2br w:val="nil"/>
              <w:tr2bl w:val="nil"/>
            </w:tcBorders>
            <w:noWrap w:val="0"/>
            <w:vAlign w:val="center"/>
          </w:tcPr>
          <w:p w14:paraId="45F07B2D">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5#厂区北侧占地范围外</w:t>
            </w:r>
          </w:p>
        </w:tc>
        <w:tc>
          <w:tcPr>
            <w:tcW w:w="776" w:type="pct"/>
            <w:tcBorders>
              <w:tl2br w:val="nil"/>
              <w:tr2bl w:val="nil"/>
            </w:tcBorders>
            <w:noWrap w:val="0"/>
            <w:vAlign w:val="center"/>
          </w:tcPr>
          <w:p w14:paraId="7F448B12">
            <w:pPr>
              <w:pStyle w:val="214"/>
              <w:autoSpaceDE/>
              <w:autoSpaceDN/>
              <w:spacing w:before="0" w:after="0" w:line="240" w:lineRule="auto"/>
              <w:ind w:left="0" w:firstLine="0"/>
              <w:jc w:val="center"/>
              <w:rPr>
                <w:rFonts w:hint="default" w:ascii="Times New Roman" w:hAnsi="Times New Roman"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E80°6′57.727″</w:t>
            </w:r>
          </w:p>
          <w:p w14:paraId="7D84C5A5">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rPr>
            </w:pPr>
            <w:r>
              <w:rPr>
                <w:rFonts w:hint="default" w:ascii="Times New Roman" w:hAnsi="Times New Roman" w:cs="Times New Roman"/>
                <w:b w:val="0"/>
                <w:bCs/>
                <w:color w:val="auto"/>
                <w:kern w:val="2"/>
                <w:sz w:val="21"/>
                <w:szCs w:val="21"/>
                <w:u w:val="none"/>
                <w:lang w:val="en-US" w:eastAsia="zh-CN"/>
              </w:rPr>
              <w:t>N41°3′46.424″</w:t>
            </w:r>
          </w:p>
        </w:tc>
        <w:tc>
          <w:tcPr>
            <w:tcW w:w="539" w:type="pct"/>
            <w:tcBorders>
              <w:tl2br w:val="nil"/>
              <w:tr2bl w:val="nil"/>
            </w:tcBorders>
            <w:noWrap w:val="0"/>
            <w:vAlign w:val="center"/>
          </w:tcPr>
          <w:p w14:paraId="01FF30E7">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厂区外</w:t>
            </w:r>
          </w:p>
        </w:tc>
        <w:tc>
          <w:tcPr>
            <w:tcW w:w="572" w:type="pct"/>
            <w:tcBorders>
              <w:tl2br w:val="nil"/>
              <w:tr2bl w:val="nil"/>
            </w:tcBorders>
            <w:noWrap w:val="0"/>
            <w:vAlign w:val="center"/>
          </w:tcPr>
          <w:p w14:paraId="655D1463">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cs="Times New Roman"/>
                <w:b w:val="0"/>
                <w:bCs/>
                <w:color w:val="auto"/>
                <w:kern w:val="2"/>
                <w:sz w:val="21"/>
                <w:szCs w:val="21"/>
                <w:u w:val="none"/>
                <w:lang w:val="en-US" w:eastAsia="zh-CN"/>
              </w:rPr>
              <w:t>表层样</w:t>
            </w:r>
          </w:p>
        </w:tc>
        <w:tc>
          <w:tcPr>
            <w:tcW w:w="2489" w:type="pct"/>
            <w:vMerge w:val="restart"/>
            <w:tcBorders>
              <w:tl2br w:val="nil"/>
              <w:tr2bl w:val="nil"/>
            </w:tcBorders>
            <w:noWrap w:val="0"/>
            <w:vAlign w:val="center"/>
          </w:tcPr>
          <w:p w14:paraId="4A146FE8">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eastAsia="宋体" w:cs="Times New Roman"/>
                <w:b w:val="0"/>
                <w:bCs/>
                <w:color w:val="auto"/>
                <w:kern w:val="2"/>
                <w:sz w:val="21"/>
                <w:szCs w:val="21"/>
                <w:u w:val="none"/>
              </w:rPr>
              <w:t>砷、镉、铬（六价）、铜、铅、汞、镍、四氯化碳、氯仿、氯甲烷、1，1-二氯乙烷、1，2-二氯乙烷、1，1-二氯乙烯、顺-1，2-二氯乙烯、反-1，2-二氯乙烯、二氯甲烷、1，2-二氯丙烷、1，1，1，2-四氯乙烷、1，1，2，2-四氯乙烷、四氯乙烯、1，1，1-三氯乙烯、1，1，2-三氯乙烷、三氯乙烯、1，2，3-三氯丙烷、氯乙烯、苯、氯苯、1，2-二氯苯、1，4-二氯苯、乙苯、苯乙烯、甲苯、间二甲苯+对二甲苯、邻二甲苯、硝基苯、苯胺、2-氯酚、苯并[a]蒽、苯并[a]芘、苯并[b]荧蒽、苯并[K]荧蒽、䓛、二苯并[a，h]蒽、茚并[1，2，3-cd]芘、萘</w:t>
            </w:r>
          </w:p>
        </w:tc>
      </w:tr>
      <w:tr w14:paraId="7B53109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c>
          <w:tcPr>
            <w:tcW w:w="621" w:type="pct"/>
            <w:tcBorders>
              <w:tl2br w:val="nil"/>
              <w:tr2bl w:val="nil"/>
            </w:tcBorders>
            <w:noWrap w:val="0"/>
            <w:vAlign w:val="center"/>
          </w:tcPr>
          <w:p w14:paraId="3A65D4A3">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6#厂区南侧占地范围外</w:t>
            </w:r>
          </w:p>
        </w:tc>
        <w:tc>
          <w:tcPr>
            <w:tcW w:w="776" w:type="pct"/>
            <w:tcBorders>
              <w:tl2br w:val="nil"/>
              <w:tr2bl w:val="nil"/>
            </w:tcBorders>
            <w:noWrap w:val="0"/>
            <w:vAlign w:val="center"/>
          </w:tcPr>
          <w:p w14:paraId="48EE25E3">
            <w:pPr>
              <w:pStyle w:val="214"/>
              <w:autoSpaceDE/>
              <w:autoSpaceDN/>
              <w:spacing w:before="0" w:after="0" w:line="240" w:lineRule="auto"/>
              <w:ind w:left="0" w:firstLine="0"/>
              <w:jc w:val="center"/>
              <w:rPr>
                <w:rFonts w:hint="default" w:ascii="Times New Roman" w:hAnsi="Times New Roman"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E80°7′10.751″</w:t>
            </w:r>
          </w:p>
          <w:p w14:paraId="5A28C755">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rPr>
            </w:pPr>
            <w:r>
              <w:rPr>
                <w:rFonts w:hint="default" w:ascii="Times New Roman" w:hAnsi="Times New Roman" w:cs="Times New Roman"/>
                <w:b w:val="0"/>
                <w:bCs/>
                <w:color w:val="auto"/>
                <w:kern w:val="2"/>
                <w:sz w:val="21"/>
                <w:szCs w:val="21"/>
                <w:u w:val="none"/>
                <w:lang w:val="en-US" w:eastAsia="zh-CN"/>
              </w:rPr>
              <w:t>N41°4′17.187″</w:t>
            </w:r>
          </w:p>
        </w:tc>
        <w:tc>
          <w:tcPr>
            <w:tcW w:w="539" w:type="pct"/>
            <w:tcBorders>
              <w:tl2br w:val="nil"/>
              <w:tr2bl w:val="nil"/>
            </w:tcBorders>
            <w:noWrap w:val="0"/>
            <w:vAlign w:val="center"/>
          </w:tcPr>
          <w:p w14:paraId="2F224472">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highlight w:val="none"/>
                <w:u w:val="none"/>
                <w:lang w:val="en-US" w:eastAsia="zh-CN"/>
              </w:rPr>
            </w:pPr>
            <w:r>
              <w:rPr>
                <w:rFonts w:hint="default" w:ascii="Times New Roman" w:hAnsi="Times New Roman" w:cs="Times New Roman"/>
                <w:b w:val="0"/>
                <w:bCs/>
                <w:color w:val="auto"/>
                <w:kern w:val="2"/>
                <w:sz w:val="21"/>
                <w:szCs w:val="21"/>
                <w:highlight w:val="none"/>
                <w:u w:val="none"/>
                <w:lang w:val="en-US" w:eastAsia="zh-CN"/>
              </w:rPr>
              <w:t>厂区外</w:t>
            </w:r>
          </w:p>
        </w:tc>
        <w:tc>
          <w:tcPr>
            <w:tcW w:w="572" w:type="pct"/>
            <w:tcBorders>
              <w:tl2br w:val="nil"/>
              <w:tr2bl w:val="nil"/>
            </w:tcBorders>
            <w:noWrap w:val="0"/>
            <w:vAlign w:val="center"/>
          </w:tcPr>
          <w:p w14:paraId="1571BEA2">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r>
              <w:rPr>
                <w:rFonts w:hint="default" w:ascii="Times New Roman" w:hAnsi="Times New Roman" w:cs="Times New Roman"/>
                <w:b w:val="0"/>
                <w:bCs/>
                <w:color w:val="auto"/>
                <w:kern w:val="2"/>
                <w:sz w:val="21"/>
                <w:szCs w:val="21"/>
                <w:u w:val="none"/>
                <w:lang w:val="en-US" w:eastAsia="zh-CN"/>
              </w:rPr>
              <w:t>表层样</w:t>
            </w:r>
          </w:p>
        </w:tc>
        <w:tc>
          <w:tcPr>
            <w:tcW w:w="2489" w:type="pct"/>
            <w:vMerge w:val="continue"/>
            <w:tcBorders>
              <w:tl2br w:val="nil"/>
              <w:tr2bl w:val="nil"/>
            </w:tcBorders>
            <w:noWrap w:val="0"/>
            <w:vAlign w:val="center"/>
          </w:tcPr>
          <w:p w14:paraId="413A0EF9">
            <w:pPr>
              <w:pStyle w:val="214"/>
              <w:autoSpaceDE/>
              <w:autoSpaceDN/>
              <w:spacing w:before="0" w:after="0" w:line="240" w:lineRule="auto"/>
              <w:ind w:left="0" w:firstLine="0"/>
              <w:jc w:val="center"/>
              <w:rPr>
                <w:rFonts w:hint="default" w:ascii="Times New Roman" w:hAnsi="Times New Roman" w:eastAsia="宋体" w:cs="Times New Roman"/>
                <w:b w:val="0"/>
                <w:bCs/>
                <w:color w:val="auto"/>
                <w:kern w:val="2"/>
                <w:sz w:val="21"/>
                <w:szCs w:val="21"/>
                <w:u w:val="none"/>
              </w:rPr>
            </w:pPr>
          </w:p>
        </w:tc>
      </w:tr>
    </w:tbl>
    <w:p w14:paraId="6B90DF31">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（2）评价标准</w:t>
      </w:r>
    </w:p>
    <w:p w14:paraId="3BB41893">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本次土壤环境质量评价采用《土壤环境质量标准</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建设用地土壤污染风险管控标准》（GB36600-2018）第二类用地筛选值。</w:t>
      </w:r>
    </w:p>
    <w:p w14:paraId="40D14FAE">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（3）监测与评价结果统计</w:t>
      </w:r>
    </w:p>
    <w:p w14:paraId="7DE581BE">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①占地范围内</w:t>
      </w:r>
    </w:p>
    <w:p w14:paraId="0664C58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highlight w:val="none"/>
          <w:lang w:val="en-US" w:eastAsia="zh-CN"/>
        </w:rPr>
      </w:pPr>
      <w:r>
        <w:rPr>
          <w:rFonts w:hint="default" w:ascii="Times New Roman" w:hAnsi="Times New Roman" w:cs="Times New Roman"/>
          <w:b/>
          <w:bCs/>
          <w:highlight w:val="none"/>
          <w:lang w:val="en-US" w:eastAsia="zh-CN"/>
        </w:rPr>
        <w:t>表4.2-8 土壤理化性质调查表</w:t>
      </w:r>
    </w:p>
    <w:tbl>
      <w:tblPr>
        <w:tblStyle w:val="39"/>
        <w:tblW w:w="506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01"/>
        <w:gridCol w:w="2499"/>
        <w:gridCol w:w="1604"/>
        <w:gridCol w:w="217"/>
        <w:gridCol w:w="663"/>
        <w:gridCol w:w="1109"/>
        <w:gridCol w:w="1718"/>
      </w:tblGrid>
      <w:tr w14:paraId="30F033C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842" w:type="pct"/>
            <w:gridSpan w:val="2"/>
            <w:tcBorders>
              <w:tl2br w:val="nil"/>
              <w:tr2bl w:val="nil"/>
            </w:tcBorders>
            <w:vAlign w:val="center"/>
          </w:tcPr>
          <w:p w14:paraId="323A8BE2">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监测</w:t>
            </w:r>
            <w:r>
              <w:rPr>
                <w:rFonts w:hint="default" w:ascii="Times New Roman" w:hAnsi="Times New Roman" w:eastAsia="宋体" w:cs="Times New Roman"/>
                <w:b/>
                <w:bCs/>
                <w:sz w:val="21"/>
                <w:szCs w:val="21"/>
              </w:rPr>
              <w:t>点位</w:t>
            </w:r>
          </w:p>
        </w:tc>
        <w:tc>
          <w:tcPr>
            <w:tcW w:w="953" w:type="pct"/>
            <w:tcBorders>
              <w:tl2br w:val="nil"/>
              <w:tr2bl w:val="nil"/>
            </w:tcBorders>
            <w:vAlign w:val="center"/>
          </w:tcPr>
          <w:p w14:paraId="188EE367">
            <w:pPr>
              <w:autoSpaceDE/>
              <w:autoSpaceDN/>
              <w:spacing w:before="0" w:after="0" w:line="240" w:lineRule="auto"/>
              <w:ind w:lef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color w:val="000000"/>
                <w:sz w:val="21"/>
                <w:szCs w:val="21"/>
                <w:lang w:val="en-US" w:eastAsia="zh-CN"/>
              </w:rPr>
              <w:t>水泥窑装置区1#柱状样</w:t>
            </w:r>
          </w:p>
        </w:tc>
        <w:tc>
          <w:tcPr>
            <w:tcW w:w="523" w:type="pct"/>
            <w:gridSpan w:val="2"/>
            <w:tcBorders>
              <w:tl2br w:val="nil"/>
              <w:tr2bl w:val="nil"/>
            </w:tcBorders>
            <w:vAlign w:val="center"/>
          </w:tcPr>
          <w:p w14:paraId="56821435">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时间</w:t>
            </w:r>
          </w:p>
        </w:tc>
        <w:tc>
          <w:tcPr>
            <w:tcW w:w="1679" w:type="pct"/>
            <w:gridSpan w:val="2"/>
            <w:tcBorders>
              <w:tl2br w:val="nil"/>
              <w:tr2bl w:val="nil"/>
            </w:tcBorders>
            <w:vAlign w:val="center"/>
          </w:tcPr>
          <w:p w14:paraId="0362A9A0">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2025年11月20日～11月24日</w:t>
            </w:r>
          </w:p>
        </w:tc>
      </w:tr>
      <w:tr w14:paraId="07CD412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842" w:type="pct"/>
            <w:gridSpan w:val="2"/>
            <w:tcBorders>
              <w:tl2br w:val="nil"/>
              <w:tr2bl w:val="nil"/>
            </w:tcBorders>
            <w:vAlign w:val="center"/>
          </w:tcPr>
          <w:p w14:paraId="685BE3C7">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经度</w:t>
            </w:r>
          </w:p>
        </w:tc>
        <w:tc>
          <w:tcPr>
            <w:tcW w:w="953" w:type="pct"/>
            <w:tcBorders>
              <w:tl2br w:val="nil"/>
              <w:tr2bl w:val="nil"/>
            </w:tcBorders>
            <w:vAlign w:val="center"/>
          </w:tcPr>
          <w:p w14:paraId="10ABE536">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80.112535</w:t>
            </w:r>
          </w:p>
        </w:tc>
        <w:tc>
          <w:tcPr>
            <w:tcW w:w="523" w:type="pct"/>
            <w:gridSpan w:val="2"/>
            <w:tcBorders>
              <w:tl2br w:val="nil"/>
              <w:tr2bl w:val="nil"/>
            </w:tcBorders>
            <w:vAlign w:val="center"/>
          </w:tcPr>
          <w:p w14:paraId="6AF3E4A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纬度</w:t>
            </w:r>
          </w:p>
        </w:tc>
        <w:tc>
          <w:tcPr>
            <w:tcW w:w="1679" w:type="pct"/>
            <w:gridSpan w:val="2"/>
            <w:tcBorders>
              <w:tl2br w:val="nil"/>
              <w:tr2bl w:val="nil"/>
            </w:tcBorders>
            <w:vAlign w:val="center"/>
          </w:tcPr>
          <w:p w14:paraId="77222555">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41.067372</w:t>
            </w:r>
          </w:p>
        </w:tc>
      </w:tr>
      <w:tr w14:paraId="720EEA2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842" w:type="pct"/>
            <w:gridSpan w:val="2"/>
            <w:tcBorders>
              <w:tl2br w:val="nil"/>
              <w:tr2bl w:val="nil"/>
            </w:tcBorders>
            <w:vAlign w:val="center"/>
          </w:tcPr>
          <w:p w14:paraId="3FE265C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层次</w:t>
            </w:r>
          </w:p>
        </w:tc>
        <w:tc>
          <w:tcPr>
            <w:tcW w:w="1082" w:type="pct"/>
            <w:gridSpan w:val="2"/>
            <w:tcBorders>
              <w:tl2br w:val="nil"/>
              <w:tr2bl w:val="nil"/>
            </w:tcBorders>
            <w:vAlign w:val="center"/>
          </w:tcPr>
          <w:p w14:paraId="232A109D">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表层</w:t>
            </w:r>
            <w:r>
              <w:rPr>
                <w:rFonts w:hint="default" w:ascii="Times New Roman" w:hAnsi="Times New Roman" w:eastAsia="宋体" w:cs="Times New Roman"/>
                <w:sz w:val="21"/>
                <w:szCs w:val="21"/>
                <w:lang w:val="en-US" w:eastAsia="zh-CN"/>
              </w:rPr>
              <w:t>样</w:t>
            </w:r>
            <w:r>
              <w:rPr>
                <w:rFonts w:hint="default" w:ascii="Times New Roman" w:hAnsi="Times New Roman" w:eastAsia="宋体" w:cs="Times New Roman"/>
                <w:b w:val="0"/>
                <w:bCs w:val="0"/>
                <w:color w:val="auto"/>
                <w:sz w:val="21"/>
                <w:szCs w:val="21"/>
                <w:lang w:val="en-US" w:eastAsia="zh-CN"/>
              </w:rPr>
              <w:t>（0.2m）</w:t>
            </w:r>
          </w:p>
        </w:tc>
        <w:tc>
          <w:tcPr>
            <w:tcW w:w="1053" w:type="pct"/>
            <w:gridSpan w:val="2"/>
            <w:tcBorders>
              <w:tl2br w:val="nil"/>
              <w:tr2bl w:val="nil"/>
            </w:tcBorders>
            <w:vAlign w:val="center"/>
          </w:tcPr>
          <w:p w14:paraId="476B8B50">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中层</w:t>
            </w:r>
            <w:r>
              <w:rPr>
                <w:rFonts w:hint="default" w:ascii="Times New Roman" w:hAnsi="Times New Roman" w:eastAsia="宋体" w:cs="Times New Roman"/>
                <w:sz w:val="21"/>
                <w:szCs w:val="21"/>
                <w:lang w:val="en-US" w:eastAsia="zh-CN"/>
              </w:rPr>
              <w:t>样</w:t>
            </w:r>
            <w:r>
              <w:rPr>
                <w:rFonts w:hint="default" w:ascii="Times New Roman" w:hAnsi="Times New Roman" w:eastAsia="宋体" w:cs="Times New Roman"/>
                <w:b w:val="0"/>
                <w:bCs w:val="0"/>
                <w:color w:val="auto"/>
                <w:sz w:val="21"/>
                <w:szCs w:val="21"/>
                <w:lang w:val="en-US" w:eastAsia="zh-CN"/>
              </w:rPr>
              <w:t>（1.0m）</w:t>
            </w:r>
          </w:p>
        </w:tc>
        <w:tc>
          <w:tcPr>
            <w:tcW w:w="1021" w:type="pct"/>
            <w:tcBorders>
              <w:tl2br w:val="nil"/>
              <w:tr2bl w:val="nil"/>
            </w:tcBorders>
            <w:vAlign w:val="center"/>
          </w:tcPr>
          <w:p w14:paraId="06C046B1">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深层样（2.0m）</w:t>
            </w:r>
          </w:p>
        </w:tc>
      </w:tr>
      <w:tr w14:paraId="15F3F14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restart"/>
            <w:tcBorders>
              <w:tl2br w:val="nil"/>
              <w:tr2bl w:val="nil"/>
            </w:tcBorders>
            <w:vAlign w:val="center"/>
          </w:tcPr>
          <w:p w14:paraId="653BC1B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现场记录</w:t>
            </w:r>
          </w:p>
        </w:tc>
        <w:tc>
          <w:tcPr>
            <w:tcW w:w="1485" w:type="pct"/>
            <w:tcBorders>
              <w:tl2br w:val="nil"/>
              <w:tr2bl w:val="nil"/>
            </w:tcBorders>
            <w:vAlign w:val="center"/>
          </w:tcPr>
          <w:p w14:paraId="594D057A">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颜色</w:t>
            </w:r>
          </w:p>
        </w:tc>
        <w:tc>
          <w:tcPr>
            <w:tcW w:w="1082" w:type="pct"/>
            <w:gridSpan w:val="2"/>
            <w:tcBorders>
              <w:tl2br w:val="nil"/>
              <w:tr2bl w:val="nil"/>
            </w:tcBorders>
            <w:shd w:val="clear" w:color="auto" w:fill="auto"/>
            <w:vAlign w:val="center"/>
          </w:tcPr>
          <w:p w14:paraId="404B599B">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b w:val="0"/>
                <w:bCs w:val="0"/>
                <w:color w:val="auto"/>
                <w:sz w:val="21"/>
                <w:szCs w:val="21"/>
                <w:lang w:val="en-US" w:eastAsia="zh-CN"/>
              </w:rPr>
              <w:t>浅棕</w:t>
            </w:r>
          </w:p>
        </w:tc>
        <w:tc>
          <w:tcPr>
            <w:tcW w:w="1053" w:type="pct"/>
            <w:gridSpan w:val="2"/>
            <w:tcBorders>
              <w:tl2br w:val="nil"/>
              <w:tr2bl w:val="nil"/>
            </w:tcBorders>
            <w:shd w:val="clear" w:color="auto" w:fill="auto"/>
            <w:vAlign w:val="center"/>
          </w:tcPr>
          <w:p w14:paraId="640BEDC5">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b w:val="0"/>
                <w:bCs w:val="0"/>
                <w:color w:val="auto"/>
                <w:sz w:val="21"/>
                <w:szCs w:val="21"/>
                <w:lang w:val="en-US" w:eastAsia="zh-CN"/>
              </w:rPr>
              <w:t>棕</w:t>
            </w:r>
          </w:p>
        </w:tc>
        <w:tc>
          <w:tcPr>
            <w:tcW w:w="1021" w:type="pct"/>
            <w:tcBorders>
              <w:tl2br w:val="nil"/>
              <w:tr2bl w:val="nil"/>
            </w:tcBorders>
            <w:shd w:val="clear" w:color="auto" w:fill="auto"/>
            <w:vAlign w:val="center"/>
          </w:tcPr>
          <w:p w14:paraId="4E12A0B0">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b w:val="0"/>
                <w:bCs w:val="0"/>
                <w:color w:val="auto"/>
                <w:sz w:val="21"/>
                <w:szCs w:val="21"/>
                <w:lang w:val="en-US" w:eastAsia="zh-CN"/>
              </w:rPr>
              <w:t>棕</w:t>
            </w:r>
          </w:p>
        </w:tc>
      </w:tr>
      <w:tr w14:paraId="6A5CFBD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54703985">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227A92E3">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结构</w:t>
            </w:r>
          </w:p>
        </w:tc>
        <w:tc>
          <w:tcPr>
            <w:tcW w:w="1082" w:type="pct"/>
            <w:gridSpan w:val="2"/>
            <w:tcBorders>
              <w:tl2br w:val="nil"/>
              <w:tr2bl w:val="nil"/>
            </w:tcBorders>
            <w:shd w:val="clear" w:color="auto" w:fill="auto"/>
            <w:vAlign w:val="center"/>
          </w:tcPr>
          <w:p w14:paraId="6DD6265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单粒状</w:t>
            </w:r>
          </w:p>
        </w:tc>
        <w:tc>
          <w:tcPr>
            <w:tcW w:w="1053" w:type="pct"/>
            <w:gridSpan w:val="2"/>
            <w:tcBorders>
              <w:tl2br w:val="nil"/>
              <w:tr2bl w:val="nil"/>
            </w:tcBorders>
            <w:shd w:val="clear" w:color="auto" w:fill="auto"/>
            <w:vAlign w:val="center"/>
          </w:tcPr>
          <w:p w14:paraId="172E1A1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单粒状</w:t>
            </w:r>
          </w:p>
        </w:tc>
        <w:tc>
          <w:tcPr>
            <w:tcW w:w="1021" w:type="pct"/>
            <w:tcBorders>
              <w:tl2br w:val="nil"/>
              <w:tr2bl w:val="nil"/>
            </w:tcBorders>
            <w:shd w:val="clear" w:color="auto" w:fill="auto"/>
            <w:vAlign w:val="center"/>
          </w:tcPr>
          <w:p w14:paraId="5DCD3663">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单粒状</w:t>
            </w:r>
          </w:p>
        </w:tc>
      </w:tr>
      <w:tr w14:paraId="2C2B418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5EFF425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70F2CF6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质地</w:t>
            </w:r>
          </w:p>
        </w:tc>
        <w:tc>
          <w:tcPr>
            <w:tcW w:w="1082" w:type="pct"/>
            <w:gridSpan w:val="2"/>
            <w:tcBorders>
              <w:tl2br w:val="nil"/>
              <w:tr2bl w:val="nil"/>
            </w:tcBorders>
            <w:shd w:val="clear" w:color="auto" w:fill="auto"/>
            <w:vAlign w:val="center"/>
          </w:tcPr>
          <w:p w14:paraId="094A9E4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沙壤土</w:t>
            </w:r>
          </w:p>
        </w:tc>
        <w:tc>
          <w:tcPr>
            <w:tcW w:w="1053" w:type="pct"/>
            <w:gridSpan w:val="2"/>
            <w:tcBorders>
              <w:tl2br w:val="nil"/>
              <w:tr2bl w:val="nil"/>
            </w:tcBorders>
            <w:shd w:val="clear" w:color="auto" w:fill="auto"/>
            <w:vAlign w:val="center"/>
          </w:tcPr>
          <w:p w14:paraId="6B6B842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沙壤土</w:t>
            </w:r>
          </w:p>
        </w:tc>
        <w:tc>
          <w:tcPr>
            <w:tcW w:w="1021" w:type="pct"/>
            <w:tcBorders>
              <w:tl2br w:val="nil"/>
              <w:tr2bl w:val="nil"/>
            </w:tcBorders>
            <w:shd w:val="clear" w:color="auto" w:fill="auto"/>
            <w:vAlign w:val="center"/>
          </w:tcPr>
          <w:p w14:paraId="771C6336">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沙壤土</w:t>
            </w:r>
          </w:p>
        </w:tc>
      </w:tr>
      <w:tr w14:paraId="03229B6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4DE1E1C7">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30DB9212">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砂砾含量</w:t>
            </w:r>
          </w:p>
        </w:tc>
        <w:tc>
          <w:tcPr>
            <w:tcW w:w="1082" w:type="pct"/>
            <w:gridSpan w:val="2"/>
            <w:tcBorders>
              <w:tl2br w:val="nil"/>
              <w:tr2bl w:val="nil"/>
            </w:tcBorders>
            <w:shd w:val="clear" w:color="auto" w:fill="auto"/>
            <w:vAlign w:val="center"/>
          </w:tcPr>
          <w:p w14:paraId="7CB8D61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7.0%</w:t>
            </w:r>
          </w:p>
        </w:tc>
        <w:tc>
          <w:tcPr>
            <w:tcW w:w="1053" w:type="pct"/>
            <w:gridSpan w:val="2"/>
            <w:tcBorders>
              <w:tl2br w:val="nil"/>
              <w:tr2bl w:val="nil"/>
            </w:tcBorders>
            <w:shd w:val="clear" w:color="auto" w:fill="auto"/>
            <w:vAlign w:val="center"/>
          </w:tcPr>
          <w:p w14:paraId="58478AB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7.0%</w:t>
            </w:r>
          </w:p>
        </w:tc>
        <w:tc>
          <w:tcPr>
            <w:tcW w:w="1021" w:type="pct"/>
            <w:tcBorders>
              <w:tl2br w:val="nil"/>
              <w:tr2bl w:val="nil"/>
            </w:tcBorders>
            <w:shd w:val="clear" w:color="auto" w:fill="auto"/>
            <w:vAlign w:val="center"/>
          </w:tcPr>
          <w:p w14:paraId="4823B9E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7.1%</w:t>
            </w:r>
          </w:p>
        </w:tc>
      </w:tr>
      <w:tr w14:paraId="11CE1A9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5540524F">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635AF8A0">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其他异物</w:t>
            </w:r>
          </w:p>
        </w:tc>
        <w:tc>
          <w:tcPr>
            <w:tcW w:w="1082" w:type="pct"/>
            <w:gridSpan w:val="2"/>
            <w:tcBorders>
              <w:tl2br w:val="nil"/>
              <w:tr2bl w:val="nil"/>
            </w:tcBorders>
            <w:shd w:val="clear" w:color="auto" w:fill="auto"/>
            <w:vAlign w:val="center"/>
          </w:tcPr>
          <w:p w14:paraId="6F229C69">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无</w:t>
            </w:r>
          </w:p>
        </w:tc>
        <w:tc>
          <w:tcPr>
            <w:tcW w:w="1053" w:type="pct"/>
            <w:gridSpan w:val="2"/>
            <w:tcBorders>
              <w:tl2br w:val="nil"/>
              <w:tr2bl w:val="nil"/>
            </w:tcBorders>
            <w:shd w:val="clear" w:color="auto" w:fill="auto"/>
            <w:vAlign w:val="center"/>
          </w:tcPr>
          <w:p w14:paraId="2B521275">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无</w:t>
            </w:r>
          </w:p>
        </w:tc>
        <w:tc>
          <w:tcPr>
            <w:tcW w:w="1021" w:type="pct"/>
            <w:tcBorders>
              <w:tl2br w:val="nil"/>
              <w:tr2bl w:val="nil"/>
            </w:tcBorders>
            <w:shd w:val="clear" w:color="auto" w:fill="auto"/>
            <w:vAlign w:val="center"/>
          </w:tcPr>
          <w:p w14:paraId="648C2E4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无</w:t>
            </w:r>
          </w:p>
        </w:tc>
      </w:tr>
      <w:tr w14:paraId="0BE3FB5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restart"/>
            <w:tcBorders>
              <w:tl2br w:val="nil"/>
              <w:tr2bl w:val="nil"/>
            </w:tcBorders>
            <w:vAlign w:val="center"/>
          </w:tcPr>
          <w:p w14:paraId="56A176D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实验室测定</w:t>
            </w:r>
          </w:p>
        </w:tc>
        <w:tc>
          <w:tcPr>
            <w:tcW w:w="1485" w:type="pct"/>
            <w:tcBorders>
              <w:tl2br w:val="nil"/>
              <w:tr2bl w:val="nil"/>
            </w:tcBorders>
            <w:vAlign w:val="center"/>
          </w:tcPr>
          <w:p w14:paraId="0C1EE89F">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rPr>
              <w:t>pH值</w:t>
            </w:r>
            <w:r>
              <w:rPr>
                <w:rFonts w:hint="default" w:ascii="Times New Roman" w:hAnsi="Times New Roman" w:eastAsia="宋体" w:cs="Times New Roman"/>
                <w:b/>
                <w:bCs/>
                <w:sz w:val="21"/>
                <w:szCs w:val="21"/>
                <w:highlight w:val="none"/>
                <w:lang w:eastAsia="zh-CN"/>
              </w:rPr>
              <w:t>（无量纲）</w:t>
            </w:r>
          </w:p>
        </w:tc>
        <w:tc>
          <w:tcPr>
            <w:tcW w:w="1082" w:type="pct"/>
            <w:gridSpan w:val="2"/>
            <w:tcBorders>
              <w:tl2br w:val="nil"/>
              <w:tr2bl w:val="nil"/>
            </w:tcBorders>
            <w:shd w:val="clear" w:color="auto" w:fill="auto"/>
            <w:vAlign w:val="center"/>
          </w:tcPr>
          <w:p w14:paraId="43917C8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7.8</w:t>
            </w:r>
          </w:p>
        </w:tc>
        <w:tc>
          <w:tcPr>
            <w:tcW w:w="1053" w:type="pct"/>
            <w:gridSpan w:val="2"/>
            <w:tcBorders>
              <w:tl2br w:val="nil"/>
              <w:tr2bl w:val="nil"/>
            </w:tcBorders>
            <w:shd w:val="clear" w:color="auto" w:fill="auto"/>
            <w:vAlign w:val="center"/>
          </w:tcPr>
          <w:p w14:paraId="6DBC6AF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7.7</w:t>
            </w:r>
          </w:p>
        </w:tc>
        <w:tc>
          <w:tcPr>
            <w:tcW w:w="1021" w:type="pct"/>
            <w:tcBorders>
              <w:tl2br w:val="nil"/>
              <w:tr2bl w:val="nil"/>
            </w:tcBorders>
            <w:shd w:val="clear" w:color="auto" w:fill="auto"/>
            <w:vAlign w:val="center"/>
          </w:tcPr>
          <w:p w14:paraId="56729E64">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7.7</w:t>
            </w:r>
          </w:p>
        </w:tc>
      </w:tr>
      <w:tr w14:paraId="44500A9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2A4ED368">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617956A2">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rPr>
              <w:t>阳离子交换量</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color w:val="auto"/>
                <w:kern w:val="0"/>
                <w:sz w:val="21"/>
                <w:szCs w:val="21"/>
                <w:highlight w:val="none"/>
                <w:lang w:val="en-US" w:eastAsia="zh-CN" w:bidi="ar"/>
              </w:rPr>
              <w:t>cmol/kg</w:t>
            </w:r>
            <w:r>
              <w:rPr>
                <w:rFonts w:hint="default" w:ascii="Times New Roman" w:hAnsi="Times New Roman" w:eastAsia="宋体" w:cs="Times New Roman"/>
                <w:b/>
                <w:bCs/>
                <w:sz w:val="21"/>
                <w:szCs w:val="21"/>
                <w:highlight w:val="none"/>
                <w:lang w:eastAsia="zh-CN"/>
              </w:rPr>
              <w:t>）</w:t>
            </w:r>
          </w:p>
        </w:tc>
        <w:tc>
          <w:tcPr>
            <w:tcW w:w="1082" w:type="pct"/>
            <w:gridSpan w:val="2"/>
            <w:tcBorders>
              <w:tl2br w:val="nil"/>
              <w:tr2bl w:val="nil"/>
            </w:tcBorders>
            <w:shd w:val="clear" w:color="auto" w:fill="auto"/>
            <w:vAlign w:val="center"/>
          </w:tcPr>
          <w:p w14:paraId="3DFF0CC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11.4</w:t>
            </w:r>
          </w:p>
        </w:tc>
        <w:tc>
          <w:tcPr>
            <w:tcW w:w="1053" w:type="pct"/>
            <w:gridSpan w:val="2"/>
            <w:tcBorders>
              <w:tl2br w:val="nil"/>
              <w:tr2bl w:val="nil"/>
            </w:tcBorders>
            <w:shd w:val="clear" w:color="auto" w:fill="auto"/>
            <w:vAlign w:val="center"/>
          </w:tcPr>
          <w:p w14:paraId="0D83CC4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7.36</w:t>
            </w:r>
          </w:p>
        </w:tc>
        <w:tc>
          <w:tcPr>
            <w:tcW w:w="1021" w:type="pct"/>
            <w:tcBorders>
              <w:tl2br w:val="nil"/>
              <w:tr2bl w:val="nil"/>
            </w:tcBorders>
            <w:shd w:val="clear" w:color="auto" w:fill="auto"/>
            <w:vAlign w:val="center"/>
          </w:tcPr>
          <w:p w14:paraId="00A07C1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4.65</w:t>
            </w:r>
          </w:p>
        </w:tc>
      </w:tr>
      <w:tr w14:paraId="7C78143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295440C1">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3EDFD820">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氧化还原电位</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mV</w:t>
            </w:r>
            <w:r>
              <w:rPr>
                <w:rFonts w:hint="default" w:ascii="Times New Roman" w:hAnsi="Times New Roman" w:eastAsia="宋体" w:cs="Times New Roman"/>
                <w:b/>
                <w:bCs/>
                <w:sz w:val="21"/>
                <w:szCs w:val="21"/>
                <w:highlight w:val="none"/>
                <w:lang w:eastAsia="zh-CN"/>
              </w:rPr>
              <w:t>）</w:t>
            </w:r>
          </w:p>
        </w:tc>
        <w:tc>
          <w:tcPr>
            <w:tcW w:w="1082" w:type="pct"/>
            <w:gridSpan w:val="2"/>
            <w:tcBorders>
              <w:tl2br w:val="nil"/>
              <w:tr2bl w:val="nil"/>
            </w:tcBorders>
            <w:shd w:val="clear" w:color="auto" w:fill="auto"/>
            <w:vAlign w:val="center"/>
          </w:tcPr>
          <w:p w14:paraId="42BDE41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513</w:t>
            </w:r>
          </w:p>
        </w:tc>
        <w:tc>
          <w:tcPr>
            <w:tcW w:w="1053" w:type="pct"/>
            <w:gridSpan w:val="2"/>
            <w:tcBorders>
              <w:tl2br w:val="nil"/>
              <w:tr2bl w:val="nil"/>
            </w:tcBorders>
            <w:shd w:val="clear" w:color="auto" w:fill="auto"/>
            <w:vAlign w:val="center"/>
          </w:tcPr>
          <w:p w14:paraId="573FB81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496</w:t>
            </w:r>
          </w:p>
        </w:tc>
        <w:tc>
          <w:tcPr>
            <w:tcW w:w="1021" w:type="pct"/>
            <w:tcBorders>
              <w:tl2br w:val="nil"/>
              <w:tr2bl w:val="nil"/>
            </w:tcBorders>
            <w:shd w:val="clear" w:color="auto" w:fill="auto"/>
            <w:vAlign w:val="center"/>
          </w:tcPr>
          <w:p w14:paraId="3E83516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475</w:t>
            </w:r>
          </w:p>
        </w:tc>
      </w:tr>
      <w:tr w14:paraId="55FD7B9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1E4B8EEB">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173C28D7">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饱和导水率（cm/s）</w:t>
            </w:r>
          </w:p>
        </w:tc>
        <w:tc>
          <w:tcPr>
            <w:tcW w:w="1082" w:type="pct"/>
            <w:gridSpan w:val="2"/>
            <w:tcBorders>
              <w:tl2br w:val="nil"/>
              <w:tr2bl w:val="nil"/>
            </w:tcBorders>
            <w:shd w:val="clear" w:color="auto" w:fill="auto"/>
            <w:vAlign w:val="center"/>
          </w:tcPr>
          <w:p w14:paraId="080CFA7C">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8.5</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-4</w:t>
            </w:r>
          </w:p>
        </w:tc>
        <w:tc>
          <w:tcPr>
            <w:tcW w:w="1053" w:type="pct"/>
            <w:gridSpan w:val="2"/>
            <w:tcBorders>
              <w:tl2br w:val="nil"/>
              <w:tr2bl w:val="nil"/>
            </w:tcBorders>
            <w:shd w:val="clear" w:color="auto" w:fill="auto"/>
            <w:vAlign w:val="center"/>
          </w:tcPr>
          <w:p w14:paraId="71C40CB8">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8.2</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-4</w:t>
            </w:r>
          </w:p>
        </w:tc>
        <w:tc>
          <w:tcPr>
            <w:tcW w:w="1021" w:type="pct"/>
            <w:tcBorders>
              <w:tl2br w:val="nil"/>
              <w:tr2bl w:val="nil"/>
            </w:tcBorders>
            <w:shd w:val="clear" w:color="auto" w:fill="auto"/>
            <w:vAlign w:val="center"/>
          </w:tcPr>
          <w:p w14:paraId="679ECE12">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8.6</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-4</w:t>
            </w:r>
          </w:p>
        </w:tc>
      </w:tr>
      <w:tr w14:paraId="0151C13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4CFAC6A6">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10189CB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土壤容重（kg/m</w:t>
            </w:r>
            <w:r>
              <w:rPr>
                <w:rFonts w:hint="default" w:ascii="Times New Roman" w:hAnsi="Times New Roman" w:eastAsia="宋体" w:cs="Times New Roman"/>
                <w:b/>
                <w:bCs/>
                <w:sz w:val="21"/>
                <w:szCs w:val="21"/>
                <w:highlight w:val="none"/>
                <w:vertAlign w:val="superscript"/>
              </w:rPr>
              <w:t>3</w:t>
            </w:r>
            <w:r>
              <w:rPr>
                <w:rFonts w:hint="default" w:ascii="Times New Roman" w:hAnsi="Times New Roman" w:eastAsia="宋体" w:cs="Times New Roman"/>
                <w:b/>
                <w:bCs/>
                <w:sz w:val="21"/>
                <w:szCs w:val="21"/>
                <w:highlight w:val="none"/>
              </w:rPr>
              <w:t>）</w:t>
            </w:r>
          </w:p>
        </w:tc>
        <w:tc>
          <w:tcPr>
            <w:tcW w:w="1082" w:type="pct"/>
            <w:gridSpan w:val="2"/>
            <w:tcBorders>
              <w:tl2br w:val="nil"/>
              <w:tr2bl w:val="nil"/>
            </w:tcBorders>
            <w:shd w:val="clear" w:color="auto" w:fill="auto"/>
            <w:vAlign w:val="center"/>
          </w:tcPr>
          <w:p w14:paraId="45A1A823">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1.17</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3</w:t>
            </w:r>
          </w:p>
        </w:tc>
        <w:tc>
          <w:tcPr>
            <w:tcW w:w="1053" w:type="pct"/>
            <w:gridSpan w:val="2"/>
            <w:tcBorders>
              <w:tl2br w:val="nil"/>
              <w:tr2bl w:val="nil"/>
            </w:tcBorders>
            <w:shd w:val="clear" w:color="auto" w:fill="auto"/>
            <w:vAlign w:val="center"/>
          </w:tcPr>
          <w:p w14:paraId="036F9FD6">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1.13</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3</w:t>
            </w:r>
          </w:p>
        </w:tc>
        <w:tc>
          <w:tcPr>
            <w:tcW w:w="1021" w:type="pct"/>
            <w:tcBorders>
              <w:tl2br w:val="nil"/>
              <w:tr2bl w:val="nil"/>
            </w:tcBorders>
            <w:shd w:val="clear" w:color="auto" w:fill="auto"/>
            <w:vAlign w:val="center"/>
          </w:tcPr>
          <w:p w14:paraId="7A1D702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1.16</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3</w:t>
            </w:r>
          </w:p>
        </w:tc>
      </w:tr>
      <w:tr w14:paraId="469A173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7AA62F7B">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267CAC4F">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孔隙度</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w:t>
            </w:r>
            <w:r>
              <w:rPr>
                <w:rFonts w:hint="default" w:ascii="Times New Roman" w:hAnsi="Times New Roman" w:eastAsia="宋体" w:cs="Times New Roman"/>
                <w:b/>
                <w:bCs/>
                <w:sz w:val="21"/>
                <w:szCs w:val="21"/>
                <w:highlight w:val="none"/>
                <w:lang w:eastAsia="zh-CN"/>
              </w:rPr>
              <w:t>）</w:t>
            </w:r>
          </w:p>
        </w:tc>
        <w:tc>
          <w:tcPr>
            <w:tcW w:w="1082" w:type="pct"/>
            <w:gridSpan w:val="2"/>
            <w:tcBorders>
              <w:tl2br w:val="nil"/>
              <w:tr2bl w:val="nil"/>
            </w:tcBorders>
            <w:shd w:val="clear" w:color="auto" w:fill="auto"/>
            <w:vAlign w:val="center"/>
          </w:tcPr>
          <w:p w14:paraId="23C1141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46.5</w:t>
            </w:r>
          </w:p>
        </w:tc>
        <w:tc>
          <w:tcPr>
            <w:tcW w:w="1053" w:type="pct"/>
            <w:gridSpan w:val="2"/>
            <w:tcBorders>
              <w:tl2br w:val="nil"/>
              <w:tr2bl w:val="nil"/>
            </w:tcBorders>
            <w:shd w:val="clear" w:color="auto" w:fill="auto"/>
            <w:vAlign w:val="center"/>
          </w:tcPr>
          <w:p w14:paraId="1D7B4A74">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45.6</w:t>
            </w:r>
          </w:p>
        </w:tc>
        <w:tc>
          <w:tcPr>
            <w:tcW w:w="1021" w:type="pct"/>
            <w:tcBorders>
              <w:tl2br w:val="nil"/>
              <w:tr2bl w:val="nil"/>
            </w:tcBorders>
            <w:shd w:val="clear" w:color="auto" w:fill="auto"/>
            <w:vAlign w:val="center"/>
          </w:tcPr>
          <w:p w14:paraId="5FFA3BB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45.2</w:t>
            </w:r>
          </w:p>
        </w:tc>
      </w:tr>
      <w:tr w14:paraId="1F782B1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842" w:type="pct"/>
            <w:gridSpan w:val="2"/>
            <w:tcBorders>
              <w:tl2br w:val="nil"/>
              <w:tr2bl w:val="nil"/>
            </w:tcBorders>
            <w:vAlign w:val="center"/>
          </w:tcPr>
          <w:p w14:paraId="008A9805">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监测</w:t>
            </w:r>
            <w:r>
              <w:rPr>
                <w:rFonts w:hint="default" w:ascii="Times New Roman" w:hAnsi="Times New Roman" w:eastAsia="宋体" w:cs="Times New Roman"/>
                <w:b/>
                <w:bCs/>
                <w:sz w:val="21"/>
                <w:szCs w:val="21"/>
              </w:rPr>
              <w:t>点位</w:t>
            </w:r>
          </w:p>
        </w:tc>
        <w:tc>
          <w:tcPr>
            <w:tcW w:w="953" w:type="pct"/>
            <w:tcBorders>
              <w:tl2br w:val="nil"/>
              <w:tr2bl w:val="nil"/>
            </w:tcBorders>
            <w:vAlign w:val="center"/>
          </w:tcPr>
          <w:p w14:paraId="5FC8407A">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固态废物运输路线</w:t>
            </w:r>
          </w:p>
          <w:p w14:paraId="18271AEF">
            <w:pPr>
              <w:autoSpaceDE/>
              <w:autoSpaceDN/>
              <w:spacing w:before="0" w:after="0" w:line="240" w:lineRule="auto"/>
              <w:ind w:lef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color w:val="000000"/>
                <w:sz w:val="21"/>
                <w:szCs w:val="21"/>
                <w:lang w:val="en-US" w:eastAsia="zh-CN"/>
              </w:rPr>
              <w:t>2#柱状样</w:t>
            </w:r>
          </w:p>
        </w:tc>
        <w:tc>
          <w:tcPr>
            <w:tcW w:w="523" w:type="pct"/>
            <w:gridSpan w:val="2"/>
            <w:tcBorders>
              <w:tl2br w:val="nil"/>
              <w:tr2bl w:val="nil"/>
            </w:tcBorders>
            <w:vAlign w:val="center"/>
          </w:tcPr>
          <w:p w14:paraId="0C06B2D7">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时间</w:t>
            </w:r>
          </w:p>
        </w:tc>
        <w:tc>
          <w:tcPr>
            <w:tcW w:w="1679" w:type="pct"/>
            <w:gridSpan w:val="2"/>
            <w:tcBorders>
              <w:tl2br w:val="nil"/>
              <w:tr2bl w:val="nil"/>
            </w:tcBorders>
            <w:vAlign w:val="center"/>
          </w:tcPr>
          <w:p w14:paraId="2285AFA2">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2025年11月20日～11月24日</w:t>
            </w:r>
          </w:p>
        </w:tc>
      </w:tr>
      <w:tr w14:paraId="2003D5C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842" w:type="pct"/>
            <w:gridSpan w:val="2"/>
            <w:tcBorders>
              <w:tl2br w:val="nil"/>
              <w:tr2bl w:val="nil"/>
            </w:tcBorders>
            <w:vAlign w:val="center"/>
          </w:tcPr>
          <w:p w14:paraId="45DC3A20">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经度</w:t>
            </w:r>
          </w:p>
        </w:tc>
        <w:tc>
          <w:tcPr>
            <w:tcW w:w="953" w:type="pct"/>
            <w:tcBorders>
              <w:tl2br w:val="nil"/>
              <w:tr2bl w:val="nil"/>
            </w:tcBorders>
            <w:vAlign w:val="center"/>
          </w:tcPr>
          <w:p w14:paraId="6205CEB1">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80.114152</w:t>
            </w:r>
          </w:p>
        </w:tc>
        <w:tc>
          <w:tcPr>
            <w:tcW w:w="523" w:type="pct"/>
            <w:gridSpan w:val="2"/>
            <w:tcBorders>
              <w:tl2br w:val="nil"/>
              <w:tr2bl w:val="nil"/>
            </w:tcBorders>
            <w:vAlign w:val="center"/>
          </w:tcPr>
          <w:p w14:paraId="6143065B">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纬度</w:t>
            </w:r>
          </w:p>
        </w:tc>
        <w:tc>
          <w:tcPr>
            <w:tcW w:w="1679" w:type="pct"/>
            <w:gridSpan w:val="2"/>
            <w:tcBorders>
              <w:tl2br w:val="nil"/>
              <w:tr2bl w:val="nil"/>
            </w:tcBorders>
            <w:vAlign w:val="center"/>
          </w:tcPr>
          <w:p w14:paraId="0EFFBDD2">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41.064152</w:t>
            </w:r>
          </w:p>
        </w:tc>
      </w:tr>
      <w:tr w14:paraId="6A4F228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842" w:type="pct"/>
            <w:gridSpan w:val="2"/>
            <w:tcBorders>
              <w:tl2br w:val="nil"/>
              <w:tr2bl w:val="nil"/>
            </w:tcBorders>
            <w:vAlign w:val="center"/>
          </w:tcPr>
          <w:p w14:paraId="785430F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层次</w:t>
            </w:r>
          </w:p>
        </w:tc>
        <w:tc>
          <w:tcPr>
            <w:tcW w:w="1082" w:type="pct"/>
            <w:gridSpan w:val="2"/>
            <w:tcBorders>
              <w:tl2br w:val="nil"/>
              <w:tr2bl w:val="nil"/>
            </w:tcBorders>
            <w:vAlign w:val="center"/>
          </w:tcPr>
          <w:p w14:paraId="5F7F5ED6">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表层</w:t>
            </w:r>
            <w:r>
              <w:rPr>
                <w:rFonts w:hint="default" w:ascii="Times New Roman" w:hAnsi="Times New Roman" w:eastAsia="宋体" w:cs="Times New Roman"/>
                <w:sz w:val="21"/>
                <w:szCs w:val="21"/>
                <w:lang w:val="en-US" w:eastAsia="zh-CN"/>
              </w:rPr>
              <w:t>样</w:t>
            </w:r>
            <w:r>
              <w:rPr>
                <w:rFonts w:hint="default" w:ascii="Times New Roman" w:hAnsi="Times New Roman" w:eastAsia="宋体" w:cs="Times New Roman"/>
                <w:b w:val="0"/>
                <w:bCs w:val="0"/>
                <w:color w:val="auto"/>
                <w:sz w:val="21"/>
                <w:szCs w:val="21"/>
                <w:lang w:val="en-US" w:eastAsia="zh-CN"/>
              </w:rPr>
              <w:t>（0.2m）</w:t>
            </w:r>
          </w:p>
        </w:tc>
        <w:tc>
          <w:tcPr>
            <w:tcW w:w="1053" w:type="pct"/>
            <w:gridSpan w:val="2"/>
            <w:tcBorders>
              <w:tl2br w:val="nil"/>
              <w:tr2bl w:val="nil"/>
            </w:tcBorders>
            <w:vAlign w:val="center"/>
          </w:tcPr>
          <w:p w14:paraId="1FF5161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中层</w:t>
            </w:r>
            <w:r>
              <w:rPr>
                <w:rFonts w:hint="default" w:ascii="Times New Roman" w:hAnsi="Times New Roman" w:eastAsia="宋体" w:cs="Times New Roman"/>
                <w:sz w:val="21"/>
                <w:szCs w:val="21"/>
                <w:lang w:val="en-US" w:eastAsia="zh-CN"/>
              </w:rPr>
              <w:t>样</w:t>
            </w:r>
            <w:r>
              <w:rPr>
                <w:rFonts w:hint="default" w:ascii="Times New Roman" w:hAnsi="Times New Roman" w:eastAsia="宋体" w:cs="Times New Roman"/>
                <w:b w:val="0"/>
                <w:bCs w:val="0"/>
                <w:color w:val="auto"/>
                <w:sz w:val="21"/>
                <w:szCs w:val="21"/>
                <w:lang w:val="en-US" w:eastAsia="zh-CN"/>
              </w:rPr>
              <w:t>（1.0m）</w:t>
            </w:r>
          </w:p>
        </w:tc>
        <w:tc>
          <w:tcPr>
            <w:tcW w:w="1021" w:type="pct"/>
            <w:tcBorders>
              <w:tl2br w:val="nil"/>
              <w:tr2bl w:val="nil"/>
            </w:tcBorders>
            <w:vAlign w:val="center"/>
          </w:tcPr>
          <w:p w14:paraId="0ED8F93B">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深层样（2.0m）</w:t>
            </w:r>
          </w:p>
        </w:tc>
      </w:tr>
      <w:tr w14:paraId="74C56FE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restart"/>
            <w:tcBorders>
              <w:tl2br w:val="nil"/>
              <w:tr2bl w:val="nil"/>
            </w:tcBorders>
            <w:vAlign w:val="center"/>
          </w:tcPr>
          <w:p w14:paraId="3627307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现场记录</w:t>
            </w:r>
          </w:p>
        </w:tc>
        <w:tc>
          <w:tcPr>
            <w:tcW w:w="1485" w:type="pct"/>
            <w:tcBorders>
              <w:tl2br w:val="nil"/>
              <w:tr2bl w:val="nil"/>
            </w:tcBorders>
            <w:vAlign w:val="center"/>
          </w:tcPr>
          <w:p w14:paraId="3A03F132">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颜色</w:t>
            </w:r>
          </w:p>
        </w:tc>
        <w:tc>
          <w:tcPr>
            <w:tcW w:w="1082" w:type="pct"/>
            <w:gridSpan w:val="2"/>
            <w:tcBorders>
              <w:tl2br w:val="nil"/>
              <w:tr2bl w:val="nil"/>
            </w:tcBorders>
            <w:shd w:val="clear" w:color="auto" w:fill="auto"/>
            <w:vAlign w:val="center"/>
          </w:tcPr>
          <w:p w14:paraId="2B42B3E1">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b w:val="0"/>
                <w:bCs w:val="0"/>
                <w:color w:val="auto"/>
                <w:sz w:val="21"/>
                <w:szCs w:val="21"/>
                <w:lang w:val="en-US" w:eastAsia="zh-CN"/>
              </w:rPr>
              <w:t>浅棕</w:t>
            </w:r>
          </w:p>
        </w:tc>
        <w:tc>
          <w:tcPr>
            <w:tcW w:w="1053" w:type="pct"/>
            <w:gridSpan w:val="2"/>
            <w:tcBorders>
              <w:tl2br w:val="nil"/>
              <w:tr2bl w:val="nil"/>
            </w:tcBorders>
            <w:shd w:val="clear" w:color="auto" w:fill="auto"/>
            <w:vAlign w:val="center"/>
          </w:tcPr>
          <w:p w14:paraId="7756FAC4">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b w:val="0"/>
                <w:bCs w:val="0"/>
                <w:color w:val="auto"/>
                <w:sz w:val="21"/>
                <w:szCs w:val="21"/>
                <w:lang w:val="en-US" w:eastAsia="zh-CN"/>
              </w:rPr>
              <w:t>浅棕</w:t>
            </w:r>
          </w:p>
        </w:tc>
        <w:tc>
          <w:tcPr>
            <w:tcW w:w="1021" w:type="pct"/>
            <w:tcBorders>
              <w:tl2br w:val="nil"/>
              <w:tr2bl w:val="nil"/>
            </w:tcBorders>
            <w:shd w:val="clear" w:color="auto" w:fill="auto"/>
            <w:vAlign w:val="center"/>
          </w:tcPr>
          <w:p w14:paraId="0A74AC9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b w:val="0"/>
                <w:bCs w:val="0"/>
                <w:color w:val="auto"/>
                <w:sz w:val="21"/>
                <w:szCs w:val="21"/>
                <w:lang w:val="en-US" w:eastAsia="zh-CN"/>
              </w:rPr>
              <w:t>棕</w:t>
            </w:r>
          </w:p>
        </w:tc>
      </w:tr>
      <w:tr w14:paraId="406B89F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34EEBB4F">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6B725AF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结构</w:t>
            </w:r>
          </w:p>
        </w:tc>
        <w:tc>
          <w:tcPr>
            <w:tcW w:w="1082" w:type="pct"/>
            <w:gridSpan w:val="2"/>
            <w:tcBorders>
              <w:tl2br w:val="nil"/>
              <w:tr2bl w:val="nil"/>
            </w:tcBorders>
            <w:shd w:val="clear" w:color="auto" w:fill="auto"/>
            <w:vAlign w:val="center"/>
          </w:tcPr>
          <w:p w14:paraId="30D66E44">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单粒状</w:t>
            </w:r>
          </w:p>
        </w:tc>
        <w:tc>
          <w:tcPr>
            <w:tcW w:w="1053" w:type="pct"/>
            <w:gridSpan w:val="2"/>
            <w:tcBorders>
              <w:tl2br w:val="nil"/>
              <w:tr2bl w:val="nil"/>
            </w:tcBorders>
            <w:shd w:val="clear" w:color="auto" w:fill="auto"/>
            <w:vAlign w:val="center"/>
          </w:tcPr>
          <w:p w14:paraId="255A044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单粒状</w:t>
            </w:r>
          </w:p>
        </w:tc>
        <w:tc>
          <w:tcPr>
            <w:tcW w:w="1021" w:type="pct"/>
            <w:tcBorders>
              <w:tl2br w:val="nil"/>
              <w:tr2bl w:val="nil"/>
            </w:tcBorders>
            <w:shd w:val="clear" w:color="auto" w:fill="auto"/>
            <w:vAlign w:val="center"/>
          </w:tcPr>
          <w:p w14:paraId="3F8E9A35">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单粒状</w:t>
            </w:r>
          </w:p>
        </w:tc>
      </w:tr>
      <w:tr w14:paraId="7035615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35DF1DB5">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7A09CC3A">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质地</w:t>
            </w:r>
          </w:p>
        </w:tc>
        <w:tc>
          <w:tcPr>
            <w:tcW w:w="1082" w:type="pct"/>
            <w:gridSpan w:val="2"/>
            <w:tcBorders>
              <w:tl2br w:val="nil"/>
              <w:tr2bl w:val="nil"/>
            </w:tcBorders>
            <w:shd w:val="clear" w:color="auto" w:fill="auto"/>
            <w:vAlign w:val="center"/>
          </w:tcPr>
          <w:p w14:paraId="7E787022">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沙壤土</w:t>
            </w:r>
          </w:p>
        </w:tc>
        <w:tc>
          <w:tcPr>
            <w:tcW w:w="1053" w:type="pct"/>
            <w:gridSpan w:val="2"/>
            <w:tcBorders>
              <w:tl2br w:val="nil"/>
              <w:tr2bl w:val="nil"/>
            </w:tcBorders>
            <w:shd w:val="clear" w:color="auto" w:fill="auto"/>
            <w:vAlign w:val="center"/>
          </w:tcPr>
          <w:p w14:paraId="5CAF2C6C">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沙壤土</w:t>
            </w:r>
          </w:p>
        </w:tc>
        <w:tc>
          <w:tcPr>
            <w:tcW w:w="1021" w:type="pct"/>
            <w:tcBorders>
              <w:tl2br w:val="nil"/>
              <w:tr2bl w:val="nil"/>
            </w:tcBorders>
            <w:shd w:val="clear" w:color="auto" w:fill="auto"/>
            <w:vAlign w:val="center"/>
          </w:tcPr>
          <w:p w14:paraId="6D465A68">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沙壤土</w:t>
            </w:r>
          </w:p>
        </w:tc>
      </w:tr>
      <w:tr w14:paraId="6A13370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6F3DE1CF">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0CE7737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砂砾含量</w:t>
            </w:r>
          </w:p>
        </w:tc>
        <w:tc>
          <w:tcPr>
            <w:tcW w:w="1082" w:type="pct"/>
            <w:gridSpan w:val="2"/>
            <w:tcBorders>
              <w:tl2br w:val="nil"/>
              <w:tr2bl w:val="nil"/>
            </w:tcBorders>
            <w:shd w:val="clear" w:color="auto" w:fill="auto"/>
            <w:vAlign w:val="center"/>
          </w:tcPr>
          <w:p w14:paraId="11061D39">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6.9%</w:t>
            </w:r>
          </w:p>
        </w:tc>
        <w:tc>
          <w:tcPr>
            <w:tcW w:w="1053" w:type="pct"/>
            <w:gridSpan w:val="2"/>
            <w:tcBorders>
              <w:tl2br w:val="nil"/>
              <w:tr2bl w:val="nil"/>
            </w:tcBorders>
            <w:shd w:val="clear" w:color="auto" w:fill="auto"/>
            <w:vAlign w:val="center"/>
          </w:tcPr>
          <w:p w14:paraId="165D692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7.2%</w:t>
            </w:r>
          </w:p>
        </w:tc>
        <w:tc>
          <w:tcPr>
            <w:tcW w:w="1021" w:type="pct"/>
            <w:tcBorders>
              <w:tl2br w:val="nil"/>
              <w:tr2bl w:val="nil"/>
            </w:tcBorders>
            <w:shd w:val="clear" w:color="auto" w:fill="auto"/>
            <w:vAlign w:val="center"/>
          </w:tcPr>
          <w:p w14:paraId="21B51239">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7.1%</w:t>
            </w:r>
          </w:p>
        </w:tc>
      </w:tr>
      <w:tr w14:paraId="51C5939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42AB714A">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00ECE172">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其他异物</w:t>
            </w:r>
          </w:p>
        </w:tc>
        <w:tc>
          <w:tcPr>
            <w:tcW w:w="1082" w:type="pct"/>
            <w:gridSpan w:val="2"/>
            <w:tcBorders>
              <w:tl2br w:val="nil"/>
              <w:tr2bl w:val="nil"/>
            </w:tcBorders>
            <w:shd w:val="clear" w:color="auto" w:fill="auto"/>
            <w:vAlign w:val="center"/>
          </w:tcPr>
          <w:p w14:paraId="255D05C1">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无</w:t>
            </w:r>
          </w:p>
        </w:tc>
        <w:tc>
          <w:tcPr>
            <w:tcW w:w="1053" w:type="pct"/>
            <w:gridSpan w:val="2"/>
            <w:tcBorders>
              <w:tl2br w:val="nil"/>
              <w:tr2bl w:val="nil"/>
            </w:tcBorders>
            <w:shd w:val="clear" w:color="auto" w:fill="auto"/>
            <w:vAlign w:val="center"/>
          </w:tcPr>
          <w:p w14:paraId="7FBA7B5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无</w:t>
            </w:r>
          </w:p>
        </w:tc>
        <w:tc>
          <w:tcPr>
            <w:tcW w:w="1021" w:type="pct"/>
            <w:tcBorders>
              <w:tl2br w:val="nil"/>
              <w:tr2bl w:val="nil"/>
            </w:tcBorders>
            <w:shd w:val="clear" w:color="auto" w:fill="auto"/>
            <w:vAlign w:val="center"/>
          </w:tcPr>
          <w:p w14:paraId="62167AD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无</w:t>
            </w:r>
          </w:p>
        </w:tc>
      </w:tr>
      <w:tr w14:paraId="09DF323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restart"/>
            <w:tcBorders>
              <w:tl2br w:val="nil"/>
              <w:tr2bl w:val="nil"/>
            </w:tcBorders>
            <w:vAlign w:val="center"/>
          </w:tcPr>
          <w:p w14:paraId="1B69022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实验室测定</w:t>
            </w:r>
          </w:p>
        </w:tc>
        <w:tc>
          <w:tcPr>
            <w:tcW w:w="1485" w:type="pct"/>
            <w:tcBorders>
              <w:tl2br w:val="nil"/>
              <w:tr2bl w:val="nil"/>
            </w:tcBorders>
            <w:vAlign w:val="center"/>
          </w:tcPr>
          <w:p w14:paraId="38EEF205">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rPr>
              <w:t>pH值</w:t>
            </w:r>
            <w:r>
              <w:rPr>
                <w:rFonts w:hint="default" w:ascii="Times New Roman" w:hAnsi="Times New Roman" w:eastAsia="宋体" w:cs="Times New Roman"/>
                <w:b/>
                <w:bCs/>
                <w:sz w:val="21"/>
                <w:szCs w:val="21"/>
                <w:highlight w:val="none"/>
                <w:lang w:eastAsia="zh-CN"/>
              </w:rPr>
              <w:t>（无量纲）</w:t>
            </w:r>
          </w:p>
        </w:tc>
        <w:tc>
          <w:tcPr>
            <w:tcW w:w="1082" w:type="pct"/>
            <w:gridSpan w:val="2"/>
            <w:tcBorders>
              <w:tl2br w:val="nil"/>
              <w:tr2bl w:val="nil"/>
            </w:tcBorders>
            <w:shd w:val="clear" w:color="auto" w:fill="auto"/>
            <w:vAlign w:val="center"/>
          </w:tcPr>
          <w:p w14:paraId="0F509382">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7.8</w:t>
            </w:r>
          </w:p>
        </w:tc>
        <w:tc>
          <w:tcPr>
            <w:tcW w:w="1053" w:type="pct"/>
            <w:gridSpan w:val="2"/>
            <w:tcBorders>
              <w:tl2br w:val="nil"/>
              <w:tr2bl w:val="nil"/>
            </w:tcBorders>
            <w:shd w:val="clear" w:color="auto" w:fill="auto"/>
            <w:vAlign w:val="center"/>
          </w:tcPr>
          <w:p w14:paraId="64C79448">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7.8</w:t>
            </w:r>
          </w:p>
        </w:tc>
        <w:tc>
          <w:tcPr>
            <w:tcW w:w="1021" w:type="pct"/>
            <w:tcBorders>
              <w:tl2br w:val="nil"/>
              <w:tr2bl w:val="nil"/>
            </w:tcBorders>
            <w:shd w:val="clear" w:color="auto" w:fill="auto"/>
            <w:vAlign w:val="center"/>
          </w:tcPr>
          <w:p w14:paraId="1AD187C9">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7.8</w:t>
            </w:r>
          </w:p>
        </w:tc>
      </w:tr>
      <w:tr w14:paraId="6032CE6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1393C0C8">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343A4D70">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rPr>
              <w:t>阳离子交换量</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color w:val="auto"/>
                <w:kern w:val="0"/>
                <w:sz w:val="21"/>
                <w:szCs w:val="21"/>
                <w:highlight w:val="none"/>
                <w:lang w:val="en-US" w:eastAsia="zh-CN" w:bidi="ar"/>
              </w:rPr>
              <w:t>cmol/kg</w:t>
            </w:r>
            <w:r>
              <w:rPr>
                <w:rFonts w:hint="default" w:ascii="Times New Roman" w:hAnsi="Times New Roman" w:eastAsia="宋体" w:cs="Times New Roman"/>
                <w:b/>
                <w:bCs/>
                <w:sz w:val="21"/>
                <w:szCs w:val="21"/>
                <w:highlight w:val="none"/>
                <w:lang w:eastAsia="zh-CN"/>
              </w:rPr>
              <w:t>）</w:t>
            </w:r>
          </w:p>
        </w:tc>
        <w:tc>
          <w:tcPr>
            <w:tcW w:w="1082" w:type="pct"/>
            <w:gridSpan w:val="2"/>
            <w:tcBorders>
              <w:tl2br w:val="nil"/>
              <w:tr2bl w:val="nil"/>
            </w:tcBorders>
            <w:shd w:val="clear" w:color="auto" w:fill="auto"/>
            <w:vAlign w:val="center"/>
          </w:tcPr>
          <w:p w14:paraId="1C523BFB">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8.96</w:t>
            </w:r>
          </w:p>
        </w:tc>
        <w:tc>
          <w:tcPr>
            <w:tcW w:w="1053" w:type="pct"/>
            <w:gridSpan w:val="2"/>
            <w:tcBorders>
              <w:tl2br w:val="nil"/>
              <w:tr2bl w:val="nil"/>
            </w:tcBorders>
            <w:shd w:val="clear" w:color="auto" w:fill="auto"/>
            <w:vAlign w:val="center"/>
          </w:tcPr>
          <w:p w14:paraId="50B2501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13.30</w:t>
            </w:r>
          </w:p>
        </w:tc>
        <w:tc>
          <w:tcPr>
            <w:tcW w:w="1021" w:type="pct"/>
            <w:tcBorders>
              <w:tl2br w:val="nil"/>
              <w:tr2bl w:val="nil"/>
            </w:tcBorders>
            <w:shd w:val="clear" w:color="auto" w:fill="auto"/>
            <w:vAlign w:val="center"/>
          </w:tcPr>
          <w:p w14:paraId="5A79D4B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13.22</w:t>
            </w:r>
          </w:p>
        </w:tc>
      </w:tr>
      <w:tr w14:paraId="4F1612D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1B466475">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3E362EF5">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氧化还原电位</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mV</w:t>
            </w:r>
            <w:r>
              <w:rPr>
                <w:rFonts w:hint="default" w:ascii="Times New Roman" w:hAnsi="Times New Roman" w:eastAsia="宋体" w:cs="Times New Roman"/>
                <w:b/>
                <w:bCs/>
                <w:sz w:val="21"/>
                <w:szCs w:val="21"/>
                <w:highlight w:val="none"/>
                <w:lang w:eastAsia="zh-CN"/>
              </w:rPr>
              <w:t>）</w:t>
            </w:r>
          </w:p>
        </w:tc>
        <w:tc>
          <w:tcPr>
            <w:tcW w:w="1082" w:type="pct"/>
            <w:gridSpan w:val="2"/>
            <w:tcBorders>
              <w:tl2br w:val="nil"/>
              <w:tr2bl w:val="nil"/>
            </w:tcBorders>
            <w:shd w:val="clear" w:color="auto" w:fill="auto"/>
            <w:vAlign w:val="center"/>
          </w:tcPr>
          <w:p w14:paraId="42E063B3">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523</w:t>
            </w:r>
          </w:p>
        </w:tc>
        <w:tc>
          <w:tcPr>
            <w:tcW w:w="1053" w:type="pct"/>
            <w:gridSpan w:val="2"/>
            <w:tcBorders>
              <w:tl2br w:val="nil"/>
              <w:tr2bl w:val="nil"/>
            </w:tcBorders>
            <w:shd w:val="clear" w:color="auto" w:fill="auto"/>
            <w:vAlign w:val="center"/>
          </w:tcPr>
          <w:p w14:paraId="7022900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498</w:t>
            </w:r>
          </w:p>
        </w:tc>
        <w:tc>
          <w:tcPr>
            <w:tcW w:w="1021" w:type="pct"/>
            <w:tcBorders>
              <w:tl2br w:val="nil"/>
              <w:tr2bl w:val="nil"/>
            </w:tcBorders>
            <w:shd w:val="clear" w:color="auto" w:fill="auto"/>
            <w:vAlign w:val="center"/>
          </w:tcPr>
          <w:p w14:paraId="089F77DD">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482</w:t>
            </w:r>
          </w:p>
        </w:tc>
      </w:tr>
      <w:tr w14:paraId="5DFB7DE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32048E40">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5DEDFFF9">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饱和导水率（cm/s）</w:t>
            </w:r>
          </w:p>
        </w:tc>
        <w:tc>
          <w:tcPr>
            <w:tcW w:w="1082" w:type="pct"/>
            <w:gridSpan w:val="2"/>
            <w:tcBorders>
              <w:tl2br w:val="nil"/>
              <w:tr2bl w:val="nil"/>
            </w:tcBorders>
            <w:shd w:val="clear" w:color="auto" w:fill="auto"/>
            <w:vAlign w:val="center"/>
          </w:tcPr>
          <w:p w14:paraId="189805B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8.7</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-4</w:t>
            </w:r>
          </w:p>
        </w:tc>
        <w:tc>
          <w:tcPr>
            <w:tcW w:w="1053" w:type="pct"/>
            <w:gridSpan w:val="2"/>
            <w:tcBorders>
              <w:tl2br w:val="nil"/>
              <w:tr2bl w:val="nil"/>
            </w:tcBorders>
            <w:shd w:val="clear" w:color="auto" w:fill="auto"/>
            <w:vAlign w:val="center"/>
          </w:tcPr>
          <w:p w14:paraId="3EABD315">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8.7</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-4</w:t>
            </w:r>
          </w:p>
        </w:tc>
        <w:tc>
          <w:tcPr>
            <w:tcW w:w="1021" w:type="pct"/>
            <w:tcBorders>
              <w:tl2br w:val="nil"/>
              <w:tr2bl w:val="nil"/>
            </w:tcBorders>
            <w:shd w:val="clear" w:color="auto" w:fill="auto"/>
            <w:vAlign w:val="center"/>
          </w:tcPr>
          <w:p w14:paraId="6A570A52">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8.2</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-4</w:t>
            </w:r>
          </w:p>
        </w:tc>
      </w:tr>
      <w:tr w14:paraId="10C7DD0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75B62F06">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57A0882F">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土壤容重（kg/m</w:t>
            </w:r>
            <w:r>
              <w:rPr>
                <w:rFonts w:hint="default" w:ascii="Times New Roman" w:hAnsi="Times New Roman" w:eastAsia="宋体" w:cs="Times New Roman"/>
                <w:b/>
                <w:bCs/>
                <w:sz w:val="21"/>
                <w:szCs w:val="21"/>
                <w:highlight w:val="none"/>
                <w:vertAlign w:val="superscript"/>
              </w:rPr>
              <w:t>3</w:t>
            </w:r>
            <w:r>
              <w:rPr>
                <w:rFonts w:hint="default" w:ascii="Times New Roman" w:hAnsi="Times New Roman" w:eastAsia="宋体" w:cs="Times New Roman"/>
                <w:b/>
                <w:bCs/>
                <w:sz w:val="21"/>
                <w:szCs w:val="21"/>
                <w:highlight w:val="none"/>
              </w:rPr>
              <w:t>）</w:t>
            </w:r>
          </w:p>
        </w:tc>
        <w:tc>
          <w:tcPr>
            <w:tcW w:w="1082" w:type="pct"/>
            <w:gridSpan w:val="2"/>
            <w:tcBorders>
              <w:tl2br w:val="nil"/>
              <w:tr2bl w:val="nil"/>
            </w:tcBorders>
            <w:shd w:val="clear" w:color="auto" w:fill="auto"/>
            <w:vAlign w:val="center"/>
          </w:tcPr>
          <w:p w14:paraId="3451C37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1.19</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3</w:t>
            </w:r>
          </w:p>
        </w:tc>
        <w:tc>
          <w:tcPr>
            <w:tcW w:w="1053" w:type="pct"/>
            <w:gridSpan w:val="2"/>
            <w:tcBorders>
              <w:tl2br w:val="nil"/>
              <w:tr2bl w:val="nil"/>
            </w:tcBorders>
            <w:shd w:val="clear" w:color="auto" w:fill="auto"/>
            <w:vAlign w:val="center"/>
          </w:tcPr>
          <w:p w14:paraId="11E4EB9B">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1.15</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3</w:t>
            </w:r>
          </w:p>
        </w:tc>
        <w:tc>
          <w:tcPr>
            <w:tcW w:w="1021" w:type="pct"/>
            <w:tcBorders>
              <w:tl2br w:val="nil"/>
              <w:tr2bl w:val="nil"/>
            </w:tcBorders>
            <w:shd w:val="clear" w:color="auto" w:fill="auto"/>
            <w:vAlign w:val="center"/>
          </w:tcPr>
          <w:p w14:paraId="3C8F872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1.16</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3</w:t>
            </w:r>
          </w:p>
        </w:tc>
      </w:tr>
      <w:tr w14:paraId="6687D3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10120A51">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3884BF3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孔隙度</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w:t>
            </w:r>
            <w:r>
              <w:rPr>
                <w:rFonts w:hint="default" w:ascii="Times New Roman" w:hAnsi="Times New Roman" w:eastAsia="宋体" w:cs="Times New Roman"/>
                <w:b/>
                <w:bCs/>
                <w:sz w:val="21"/>
                <w:szCs w:val="21"/>
                <w:highlight w:val="none"/>
                <w:lang w:eastAsia="zh-CN"/>
              </w:rPr>
              <w:t>）</w:t>
            </w:r>
          </w:p>
        </w:tc>
        <w:tc>
          <w:tcPr>
            <w:tcW w:w="1082" w:type="pct"/>
            <w:gridSpan w:val="2"/>
            <w:tcBorders>
              <w:tl2br w:val="nil"/>
              <w:tr2bl w:val="nil"/>
            </w:tcBorders>
            <w:shd w:val="clear" w:color="auto" w:fill="auto"/>
            <w:vAlign w:val="center"/>
          </w:tcPr>
          <w:p w14:paraId="7CCFE25D">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47.2</w:t>
            </w:r>
          </w:p>
        </w:tc>
        <w:tc>
          <w:tcPr>
            <w:tcW w:w="1053" w:type="pct"/>
            <w:gridSpan w:val="2"/>
            <w:tcBorders>
              <w:tl2br w:val="nil"/>
              <w:tr2bl w:val="nil"/>
            </w:tcBorders>
            <w:shd w:val="clear" w:color="auto" w:fill="auto"/>
            <w:vAlign w:val="center"/>
          </w:tcPr>
          <w:p w14:paraId="314C1800">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46.8</w:t>
            </w:r>
          </w:p>
        </w:tc>
        <w:tc>
          <w:tcPr>
            <w:tcW w:w="1021" w:type="pct"/>
            <w:tcBorders>
              <w:tl2br w:val="nil"/>
              <w:tr2bl w:val="nil"/>
            </w:tcBorders>
            <w:shd w:val="clear" w:color="auto" w:fill="auto"/>
            <w:vAlign w:val="center"/>
          </w:tcPr>
          <w:p w14:paraId="5FAC2E84">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45.8</w:t>
            </w:r>
          </w:p>
        </w:tc>
      </w:tr>
      <w:tr w14:paraId="3ABB106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842" w:type="pct"/>
            <w:gridSpan w:val="2"/>
            <w:tcBorders>
              <w:tl2br w:val="nil"/>
              <w:tr2bl w:val="nil"/>
            </w:tcBorders>
            <w:vAlign w:val="center"/>
          </w:tcPr>
          <w:p w14:paraId="411AD58A">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lang w:val="en-US" w:eastAsia="zh-CN"/>
              </w:rPr>
              <w:t>监测</w:t>
            </w:r>
            <w:r>
              <w:rPr>
                <w:rFonts w:hint="default" w:ascii="Times New Roman" w:hAnsi="Times New Roman" w:eastAsia="宋体" w:cs="Times New Roman"/>
                <w:b/>
                <w:bCs/>
                <w:sz w:val="21"/>
                <w:szCs w:val="21"/>
              </w:rPr>
              <w:t>点位</w:t>
            </w:r>
          </w:p>
        </w:tc>
        <w:tc>
          <w:tcPr>
            <w:tcW w:w="953" w:type="pct"/>
            <w:tcBorders>
              <w:tl2br w:val="nil"/>
              <w:tr2bl w:val="nil"/>
            </w:tcBorders>
            <w:vAlign w:val="center"/>
          </w:tcPr>
          <w:p w14:paraId="480BCF2B">
            <w:pPr>
              <w:autoSpaceDE/>
              <w:autoSpaceDN/>
              <w:spacing w:before="0" w:after="0" w:line="240" w:lineRule="auto"/>
              <w:ind w:lef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color w:val="000000"/>
                <w:sz w:val="21"/>
                <w:szCs w:val="21"/>
                <w:lang w:val="en-US" w:eastAsia="zh-CN"/>
              </w:rPr>
              <w:t>厂区空地3#柱状样</w:t>
            </w:r>
          </w:p>
        </w:tc>
        <w:tc>
          <w:tcPr>
            <w:tcW w:w="523" w:type="pct"/>
            <w:gridSpan w:val="2"/>
            <w:tcBorders>
              <w:tl2br w:val="nil"/>
              <w:tr2bl w:val="nil"/>
            </w:tcBorders>
            <w:vAlign w:val="center"/>
          </w:tcPr>
          <w:p w14:paraId="0A2A8463">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时间</w:t>
            </w:r>
          </w:p>
        </w:tc>
        <w:tc>
          <w:tcPr>
            <w:tcW w:w="1679" w:type="pct"/>
            <w:gridSpan w:val="2"/>
            <w:tcBorders>
              <w:tl2br w:val="nil"/>
              <w:tr2bl w:val="nil"/>
            </w:tcBorders>
            <w:vAlign w:val="center"/>
          </w:tcPr>
          <w:p w14:paraId="2718AC1C">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2025年11月20日～11月24日</w:t>
            </w:r>
          </w:p>
        </w:tc>
      </w:tr>
      <w:tr w14:paraId="01F3DF7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842" w:type="pct"/>
            <w:gridSpan w:val="2"/>
            <w:tcBorders>
              <w:tl2br w:val="nil"/>
              <w:tr2bl w:val="nil"/>
            </w:tcBorders>
            <w:vAlign w:val="center"/>
          </w:tcPr>
          <w:p w14:paraId="3CF75DB7">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经度</w:t>
            </w:r>
          </w:p>
        </w:tc>
        <w:tc>
          <w:tcPr>
            <w:tcW w:w="953" w:type="pct"/>
            <w:tcBorders>
              <w:tl2br w:val="nil"/>
              <w:tr2bl w:val="nil"/>
            </w:tcBorders>
            <w:vAlign w:val="center"/>
          </w:tcPr>
          <w:p w14:paraId="4878C58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80.109123</w:t>
            </w:r>
          </w:p>
        </w:tc>
        <w:tc>
          <w:tcPr>
            <w:tcW w:w="523" w:type="pct"/>
            <w:gridSpan w:val="2"/>
            <w:tcBorders>
              <w:tl2br w:val="nil"/>
              <w:tr2bl w:val="nil"/>
            </w:tcBorders>
            <w:vAlign w:val="center"/>
          </w:tcPr>
          <w:p w14:paraId="34D9AAF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纬度</w:t>
            </w:r>
          </w:p>
        </w:tc>
        <w:tc>
          <w:tcPr>
            <w:tcW w:w="1679" w:type="pct"/>
            <w:gridSpan w:val="2"/>
            <w:tcBorders>
              <w:tl2br w:val="nil"/>
              <w:tr2bl w:val="nil"/>
            </w:tcBorders>
            <w:vAlign w:val="center"/>
          </w:tcPr>
          <w:p w14:paraId="1A217E2A">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sz w:val="21"/>
                <w:szCs w:val="21"/>
                <w:lang w:val="en-US" w:eastAsia="zh-CN"/>
              </w:rPr>
            </w:pPr>
            <w:r>
              <w:rPr>
                <w:rFonts w:hint="default" w:ascii="Times New Roman" w:hAnsi="Times New Roman" w:eastAsia="宋体" w:cs="Times New Roman"/>
                <w:b w:val="0"/>
                <w:bCs w:val="0"/>
                <w:sz w:val="21"/>
                <w:szCs w:val="21"/>
                <w:lang w:val="en-US" w:eastAsia="zh-CN"/>
              </w:rPr>
              <w:t>41.064380</w:t>
            </w:r>
          </w:p>
        </w:tc>
      </w:tr>
      <w:tr w14:paraId="5ADF9A3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1842" w:type="pct"/>
            <w:gridSpan w:val="2"/>
            <w:tcBorders>
              <w:tl2br w:val="nil"/>
              <w:tr2bl w:val="nil"/>
            </w:tcBorders>
            <w:vAlign w:val="center"/>
          </w:tcPr>
          <w:p w14:paraId="01424C9B">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层次</w:t>
            </w:r>
          </w:p>
        </w:tc>
        <w:tc>
          <w:tcPr>
            <w:tcW w:w="1082" w:type="pct"/>
            <w:gridSpan w:val="2"/>
            <w:tcBorders>
              <w:tl2br w:val="nil"/>
              <w:tr2bl w:val="nil"/>
            </w:tcBorders>
            <w:vAlign w:val="center"/>
          </w:tcPr>
          <w:p w14:paraId="188F31D7">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表层</w:t>
            </w:r>
            <w:r>
              <w:rPr>
                <w:rFonts w:hint="default" w:ascii="Times New Roman" w:hAnsi="Times New Roman" w:eastAsia="宋体" w:cs="Times New Roman"/>
                <w:sz w:val="21"/>
                <w:szCs w:val="21"/>
                <w:lang w:val="en-US" w:eastAsia="zh-CN"/>
              </w:rPr>
              <w:t>样</w:t>
            </w:r>
            <w:r>
              <w:rPr>
                <w:rFonts w:hint="default" w:ascii="Times New Roman" w:hAnsi="Times New Roman" w:eastAsia="宋体" w:cs="Times New Roman"/>
                <w:b w:val="0"/>
                <w:bCs w:val="0"/>
                <w:color w:val="auto"/>
                <w:sz w:val="21"/>
                <w:szCs w:val="21"/>
                <w:lang w:val="en-US" w:eastAsia="zh-CN"/>
              </w:rPr>
              <w:t>（0.2m）</w:t>
            </w:r>
          </w:p>
        </w:tc>
        <w:tc>
          <w:tcPr>
            <w:tcW w:w="1053" w:type="pct"/>
            <w:gridSpan w:val="2"/>
            <w:tcBorders>
              <w:tl2br w:val="nil"/>
              <w:tr2bl w:val="nil"/>
            </w:tcBorders>
            <w:vAlign w:val="center"/>
          </w:tcPr>
          <w:p w14:paraId="7FC6018B">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中层</w:t>
            </w:r>
            <w:r>
              <w:rPr>
                <w:rFonts w:hint="default" w:ascii="Times New Roman" w:hAnsi="Times New Roman" w:eastAsia="宋体" w:cs="Times New Roman"/>
                <w:sz w:val="21"/>
                <w:szCs w:val="21"/>
                <w:lang w:val="en-US" w:eastAsia="zh-CN"/>
              </w:rPr>
              <w:t>样</w:t>
            </w:r>
            <w:r>
              <w:rPr>
                <w:rFonts w:hint="default" w:ascii="Times New Roman" w:hAnsi="Times New Roman" w:eastAsia="宋体" w:cs="Times New Roman"/>
                <w:b w:val="0"/>
                <w:bCs w:val="0"/>
                <w:color w:val="auto"/>
                <w:sz w:val="21"/>
                <w:szCs w:val="21"/>
                <w:lang w:val="en-US" w:eastAsia="zh-CN"/>
              </w:rPr>
              <w:t>（1.0m）</w:t>
            </w:r>
          </w:p>
        </w:tc>
        <w:tc>
          <w:tcPr>
            <w:tcW w:w="1021" w:type="pct"/>
            <w:tcBorders>
              <w:tl2br w:val="nil"/>
              <w:tr2bl w:val="nil"/>
            </w:tcBorders>
            <w:vAlign w:val="center"/>
          </w:tcPr>
          <w:p w14:paraId="4085BC7C">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深层样（2.0m）</w:t>
            </w:r>
          </w:p>
        </w:tc>
      </w:tr>
      <w:tr w14:paraId="00C1439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restart"/>
            <w:tcBorders>
              <w:tl2br w:val="nil"/>
              <w:tr2bl w:val="nil"/>
            </w:tcBorders>
            <w:vAlign w:val="center"/>
          </w:tcPr>
          <w:p w14:paraId="2852F20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现场记录</w:t>
            </w:r>
          </w:p>
        </w:tc>
        <w:tc>
          <w:tcPr>
            <w:tcW w:w="1485" w:type="pct"/>
            <w:tcBorders>
              <w:tl2br w:val="nil"/>
              <w:tr2bl w:val="nil"/>
            </w:tcBorders>
            <w:vAlign w:val="center"/>
          </w:tcPr>
          <w:p w14:paraId="3E0D0793">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颜色</w:t>
            </w:r>
          </w:p>
        </w:tc>
        <w:tc>
          <w:tcPr>
            <w:tcW w:w="1082" w:type="pct"/>
            <w:gridSpan w:val="2"/>
            <w:tcBorders>
              <w:tl2br w:val="nil"/>
              <w:tr2bl w:val="nil"/>
            </w:tcBorders>
            <w:shd w:val="clear" w:color="auto" w:fill="auto"/>
            <w:vAlign w:val="center"/>
          </w:tcPr>
          <w:p w14:paraId="0B757B4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b w:val="0"/>
                <w:bCs w:val="0"/>
                <w:color w:val="auto"/>
                <w:sz w:val="21"/>
                <w:szCs w:val="21"/>
                <w:lang w:val="en-US" w:eastAsia="zh-CN"/>
              </w:rPr>
              <w:t>浅棕</w:t>
            </w:r>
          </w:p>
        </w:tc>
        <w:tc>
          <w:tcPr>
            <w:tcW w:w="1053" w:type="pct"/>
            <w:gridSpan w:val="2"/>
            <w:tcBorders>
              <w:tl2br w:val="nil"/>
              <w:tr2bl w:val="nil"/>
            </w:tcBorders>
            <w:shd w:val="clear" w:color="auto" w:fill="auto"/>
            <w:vAlign w:val="center"/>
          </w:tcPr>
          <w:p w14:paraId="6E6D578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b w:val="0"/>
                <w:bCs w:val="0"/>
                <w:color w:val="auto"/>
                <w:sz w:val="21"/>
                <w:szCs w:val="21"/>
                <w:lang w:val="en-US" w:eastAsia="zh-CN"/>
              </w:rPr>
              <w:t>棕</w:t>
            </w:r>
          </w:p>
        </w:tc>
        <w:tc>
          <w:tcPr>
            <w:tcW w:w="1021" w:type="pct"/>
            <w:tcBorders>
              <w:tl2br w:val="nil"/>
              <w:tr2bl w:val="nil"/>
            </w:tcBorders>
            <w:shd w:val="clear" w:color="auto" w:fill="auto"/>
            <w:vAlign w:val="center"/>
          </w:tcPr>
          <w:p w14:paraId="0DFFCF8C">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sz w:val="21"/>
                <w:szCs w:val="21"/>
                <w:lang w:val="en-US" w:eastAsia="zh-CN" w:bidi="ar-SA"/>
              </w:rPr>
            </w:pPr>
            <w:r>
              <w:rPr>
                <w:rFonts w:hint="default" w:ascii="Times New Roman" w:hAnsi="Times New Roman" w:cs="Times New Roman"/>
                <w:b w:val="0"/>
                <w:bCs w:val="0"/>
                <w:color w:val="auto"/>
                <w:sz w:val="21"/>
                <w:szCs w:val="21"/>
                <w:lang w:val="en-US" w:eastAsia="zh-CN"/>
              </w:rPr>
              <w:t>棕</w:t>
            </w:r>
          </w:p>
        </w:tc>
      </w:tr>
      <w:tr w14:paraId="20B9488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3F6B2D5D">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0C85C249">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结构</w:t>
            </w:r>
          </w:p>
        </w:tc>
        <w:tc>
          <w:tcPr>
            <w:tcW w:w="1082" w:type="pct"/>
            <w:gridSpan w:val="2"/>
            <w:tcBorders>
              <w:tl2br w:val="nil"/>
              <w:tr2bl w:val="nil"/>
            </w:tcBorders>
            <w:shd w:val="clear" w:color="auto" w:fill="auto"/>
            <w:vAlign w:val="center"/>
          </w:tcPr>
          <w:p w14:paraId="51FDC3B4">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单粒状</w:t>
            </w:r>
          </w:p>
        </w:tc>
        <w:tc>
          <w:tcPr>
            <w:tcW w:w="1053" w:type="pct"/>
            <w:gridSpan w:val="2"/>
            <w:tcBorders>
              <w:tl2br w:val="nil"/>
              <w:tr2bl w:val="nil"/>
            </w:tcBorders>
            <w:shd w:val="clear" w:color="auto" w:fill="auto"/>
            <w:vAlign w:val="center"/>
          </w:tcPr>
          <w:p w14:paraId="5E86D573">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单粒状</w:t>
            </w:r>
          </w:p>
        </w:tc>
        <w:tc>
          <w:tcPr>
            <w:tcW w:w="1021" w:type="pct"/>
            <w:tcBorders>
              <w:tl2br w:val="nil"/>
              <w:tr2bl w:val="nil"/>
            </w:tcBorders>
            <w:shd w:val="clear" w:color="auto" w:fill="auto"/>
            <w:vAlign w:val="center"/>
          </w:tcPr>
          <w:p w14:paraId="6A21C2F8">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单粒状</w:t>
            </w:r>
          </w:p>
        </w:tc>
      </w:tr>
      <w:tr w14:paraId="2CD4F3A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2C5A1E91">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4486B74D">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质地</w:t>
            </w:r>
          </w:p>
        </w:tc>
        <w:tc>
          <w:tcPr>
            <w:tcW w:w="1082" w:type="pct"/>
            <w:gridSpan w:val="2"/>
            <w:tcBorders>
              <w:tl2br w:val="nil"/>
              <w:tr2bl w:val="nil"/>
            </w:tcBorders>
            <w:shd w:val="clear" w:color="auto" w:fill="auto"/>
            <w:vAlign w:val="center"/>
          </w:tcPr>
          <w:p w14:paraId="6999ECF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沙壤土</w:t>
            </w:r>
          </w:p>
        </w:tc>
        <w:tc>
          <w:tcPr>
            <w:tcW w:w="1053" w:type="pct"/>
            <w:gridSpan w:val="2"/>
            <w:tcBorders>
              <w:tl2br w:val="nil"/>
              <w:tr2bl w:val="nil"/>
            </w:tcBorders>
            <w:shd w:val="clear" w:color="auto" w:fill="auto"/>
            <w:vAlign w:val="center"/>
          </w:tcPr>
          <w:p w14:paraId="4C5E46C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沙壤土</w:t>
            </w:r>
          </w:p>
        </w:tc>
        <w:tc>
          <w:tcPr>
            <w:tcW w:w="1021" w:type="pct"/>
            <w:tcBorders>
              <w:tl2br w:val="nil"/>
              <w:tr2bl w:val="nil"/>
            </w:tcBorders>
            <w:shd w:val="clear" w:color="auto" w:fill="auto"/>
            <w:vAlign w:val="center"/>
          </w:tcPr>
          <w:p w14:paraId="77DB5BC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沙壤土</w:t>
            </w:r>
          </w:p>
        </w:tc>
      </w:tr>
      <w:tr w14:paraId="60D192A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2D7CA9AC">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5072A561">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砂砾含量</w:t>
            </w:r>
          </w:p>
        </w:tc>
        <w:tc>
          <w:tcPr>
            <w:tcW w:w="1082" w:type="pct"/>
            <w:gridSpan w:val="2"/>
            <w:tcBorders>
              <w:tl2br w:val="nil"/>
              <w:tr2bl w:val="nil"/>
            </w:tcBorders>
            <w:shd w:val="clear" w:color="auto" w:fill="auto"/>
            <w:vAlign w:val="center"/>
          </w:tcPr>
          <w:p w14:paraId="12A674E3">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6.8%</w:t>
            </w:r>
          </w:p>
        </w:tc>
        <w:tc>
          <w:tcPr>
            <w:tcW w:w="1053" w:type="pct"/>
            <w:gridSpan w:val="2"/>
            <w:tcBorders>
              <w:tl2br w:val="nil"/>
              <w:tr2bl w:val="nil"/>
            </w:tcBorders>
            <w:shd w:val="clear" w:color="auto" w:fill="auto"/>
            <w:vAlign w:val="center"/>
          </w:tcPr>
          <w:p w14:paraId="572389F1">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7.2%</w:t>
            </w:r>
          </w:p>
        </w:tc>
        <w:tc>
          <w:tcPr>
            <w:tcW w:w="1021" w:type="pct"/>
            <w:tcBorders>
              <w:tl2br w:val="nil"/>
              <w:tr2bl w:val="nil"/>
            </w:tcBorders>
            <w:shd w:val="clear" w:color="auto" w:fill="auto"/>
            <w:vAlign w:val="center"/>
          </w:tcPr>
          <w:p w14:paraId="7DA0C8A8">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6.8%</w:t>
            </w:r>
          </w:p>
        </w:tc>
      </w:tr>
      <w:tr w14:paraId="15CC43C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40053DD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1F89448B">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其他异物</w:t>
            </w:r>
          </w:p>
        </w:tc>
        <w:tc>
          <w:tcPr>
            <w:tcW w:w="1082" w:type="pct"/>
            <w:gridSpan w:val="2"/>
            <w:tcBorders>
              <w:tl2br w:val="nil"/>
              <w:tr2bl w:val="nil"/>
            </w:tcBorders>
            <w:shd w:val="clear" w:color="auto" w:fill="auto"/>
            <w:vAlign w:val="center"/>
          </w:tcPr>
          <w:p w14:paraId="05D1CED2">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无</w:t>
            </w:r>
          </w:p>
        </w:tc>
        <w:tc>
          <w:tcPr>
            <w:tcW w:w="1053" w:type="pct"/>
            <w:gridSpan w:val="2"/>
            <w:tcBorders>
              <w:tl2br w:val="nil"/>
              <w:tr2bl w:val="nil"/>
            </w:tcBorders>
            <w:shd w:val="clear" w:color="auto" w:fill="auto"/>
            <w:vAlign w:val="center"/>
          </w:tcPr>
          <w:p w14:paraId="285B351D">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无</w:t>
            </w:r>
          </w:p>
        </w:tc>
        <w:tc>
          <w:tcPr>
            <w:tcW w:w="1021" w:type="pct"/>
            <w:tcBorders>
              <w:tl2br w:val="nil"/>
              <w:tr2bl w:val="nil"/>
            </w:tcBorders>
            <w:shd w:val="clear" w:color="auto" w:fill="auto"/>
            <w:vAlign w:val="center"/>
          </w:tcPr>
          <w:p w14:paraId="1E05E074">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cs="Times New Roman"/>
                <w:b w:val="0"/>
                <w:bCs w:val="0"/>
                <w:color w:val="auto"/>
                <w:kern w:val="2"/>
                <w:sz w:val="21"/>
                <w:szCs w:val="21"/>
                <w:highlight w:val="none"/>
                <w:lang w:val="en-US" w:eastAsia="zh-CN" w:bidi="ar-SA"/>
              </w:rPr>
              <w:t>无</w:t>
            </w:r>
          </w:p>
        </w:tc>
      </w:tr>
      <w:tr w14:paraId="617900A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restart"/>
            <w:tcBorders>
              <w:tl2br w:val="nil"/>
              <w:tr2bl w:val="nil"/>
            </w:tcBorders>
            <w:vAlign w:val="center"/>
          </w:tcPr>
          <w:p w14:paraId="5459DF94">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实验室测定</w:t>
            </w:r>
          </w:p>
        </w:tc>
        <w:tc>
          <w:tcPr>
            <w:tcW w:w="1485" w:type="pct"/>
            <w:tcBorders>
              <w:tl2br w:val="nil"/>
              <w:tr2bl w:val="nil"/>
            </w:tcBorders>
            <w:vAlign w:val="center"/>
          </w:tcPr>
          <w:p w14:paraId="066522F1">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rPr>
              <w:t>pH值</w:t>
            </w:r>
            <w:r>
              <w:rPr>
                <w:rFonts w:hint="default" w:ascii="Times New Roman" w:hAnsi="Times New Roman" w:eastAsia="宋体" w:cs="Times New Roman"/>
                <w:b/>
                <w:bCs/>
                <w:sz w:val="21"/>
                <w:szCs w:val="21"/>
                <w:highlight w:val="none"/>
                <w:lang w:eastAsia="zh-CN"/>
              </w:rPr>
              <w:t>（无量纲）</w:t>
            </w:r>
          </w:p>
        </w:tc>
        <w:tc>
          <w:tcPr>
            <w:tcW w:w="1082" w:type="pct"/>
            <w:gridSpan w:val="2"/>
            <w:tcBorders>
              <w:tl2br w:val="nil"/>
              <w:tr2bl w:val="nil"/>
            </w:tcBorders>
            <w:shd w:val="clear" w:color="auto" w:fill="auto"/>
            <w:vAlign w:val="center"/>
          </w:tcPr>
          <w:p w14:paraId="2001869D">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7.8</w:t>
            </w:r>
          </w:p>
        </w:tc>
        <w:tc>
          <w:tcPr>
            <w:tcW w:w="1053" w:type="pct"/>
            <w:gridSpan w:val="2"/>
            <w:tcBorders>
              <w:tl2br w:val="nil"/>
              <w:tr2bl w:val="nil"/>
            </w:tcBorders>
            <w:shd w:val="clear" w:color="auto" w:fill="auto"/>
            <w:vAlign w:val="center"/>
          </w:tcPr>
          <w:p w14:paraId="42073DB6">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7.6</w:t>
            </w:r>
          </w:p>
        </w:tc>
        <w:tc>
          <w:tcPr>
            <w:tcW w:w="1021" w:type="pct"/>
            <w:tcBorders>
              <w:tl2br w:val="nil"/>
              <w:tr2bl w:val="nil"/>
            </w:tcBorders>
            <w:shd w:val="clear" w:color="auto" w:fill="auto"/>
            <w:vAlign w:val="center"/>
          </w:tcPr>
          <w:p w14:paraId="0B0D9EB7">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7.5</w:t>
            </w:r>
          </w:p>
        </w:tc>
      </w:tr>
      <w:tr w14:paraId="3DC7064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2620C151">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621B1197">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rPr>
              <w:t>阳离子交换量</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color w:val="auto"/>
                <w:kern w:val="0"/>
                <w:sz w:val="21"/>
                <w:szCs w:val="21"/>
                <w:highlight w:val="none"/>
                <w:lang w:val="en-US" w:eastAsia="zh-CN" w:bidi="ar"/>
              </w:rPr>
              <w:t>cmol/kg</w:t>
            </w:r>
            <w:r>
              <w:rPr>
                <w:rFonts w:hint="default" w:ascii="Times New Roman" w:hAnsi="Times New Roman" w:eastAsia="宋体" w:cs="Times New Roman"/>
                <w:b/>
                <w:bCs/>
                <w:sz w:val="21"/>
                <w:szCs w:val="21"/>
                <w:highlight w:val="none"/>
                <w:lang w:eastAsia="zh-CN"/>
              </w:rPr>
              <w:t>）</w:t>
            </w:r>
          </w:p>
        </w:tc>
        <w:tc>
          <w:tcPr>
            <w:tcW w:w="1082" w:type="pct"/>
            <w:gridSpan w:val="2"/>
            <w:tcBorders>
              <w:tl2br w:val="nil"/>
              <w:tr2bl w:val="nil"/>
            </w:tcBorders>
            <w:shd w:val="clear" w:color="auto" w:fill="auto"/>
            <w:vAlign w:val="center"/>
          </w:tcPr>
          <w:p w14:paraId="614F706C">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9.42</w:t>
            </w:r>
          </w:p>
        </w:tc>
        <w:tc>
          <w:tcPr>
            <w:tcW w:w="1053" w:type="pct"/>
            <w:gridSpan w:val="2"/>
            <w:tcBorders>
              <w:tl2br w:val="nil"/>
              <w:tr2bl w:val="nil"/>
            </w:tcBorders>
            <w:shd w:val="clear" w:color="auto" w:fill="auto"/>
            <w:vAlign w:val="center"/>
          </w:tcPr>
          <w:p w14:paraId="16878416">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3.34</w:t>
            </w:r>
          </w:p>
        </w:tc>
        <w:tc>
          <w:tcPr>
            <w:tcW w:w="1021" w:type="pct"/>
            <w:tcBorders>
              <w:tl2br w:val="nil"/>
              <w:tr2bl w:val="nil"/>
            </w:tcBorders>
            <w:shd w:val="clear" w:color="auto" w:fill="auto"/>
            <w:vAlign w:val="center"/>
          </w:tcPr>
          <w:p w14:paraId="49A24AE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3.28</w:t>
            </w:r>
          </w:p>
        </w:tc>
      </w:tr>
      <w:tr w14:paraId="1D5B26A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466978C9">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132BCDEE">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氧化还原电位</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mV</w:t>
            </w:r>
            <w:r>
              <w:rPr>
                <w:rFonts w:hint="default" w:ascii="Times New Roman" w:hAnsi="Times New Roman" w:eastAsia="宋体" w:cs="Times New Roman"/>
                <w:b/>
                <w:bCs/>
                <w:sz w:val="21"/>
                <w:szCs w:val="21"/>
                <w:highlight w:val="none"/>
                <w:lang w:eastAsia="zh-CN"/>
              </w:rPr>
              <w:t>）</w:t>
            </w:r>
          </w:p>
        </w:tc>
        <w:tc>
          <w:tcPr>
            <w:tcW w:w="1082" w:type="pct"/>
            <w:gridSpan w:val="2"/>
            <w:tcBorders>
              <w:tl2br w:val="nil"/>
              <w:tr2bl w:val="nil"/>
            </w:tcBorders>
            <w:shd w:val="clear" w:color="auto" w:fill="auto"/>
            <w:vAlign w:val="center"/>
          </w:tcPr>
          <w:p w14:paraId="7E0F4E13">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504</w:t>
            </w:r>
          </w:p>
        </w:tc>
        <w:tc>
          <w:tcPr>
            <w:tcW w:w="1053" w:type="pct"/>
            <w:gridSpan w:val="2"/>
            <w:tcBorders>
              <w:tl2br w:val="nil"/>
              <w:tr2bl w:val="nil"/>
            </w:tcBorders>
            <w:shd w:val="clear" w:color="auto" w:fill="auto"/>
            <w:vAlign w:val="center"/>
          </w:tcPr>
          <w:p w14:paraId="40FEA85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483</w:t>
            </w:r>
          </w:p>
        </w:tc>
        <w:tc>
          <w:tcPr>
            <w:tcW w:w="1021" w:type="pct"/>
            <w:tcBorders>
              <w:tl2br w:val="nil"/>
              <w:tr2bl w:val="nil"/>
            </w:tcBorders>
            <w:shd w:val="clear" w:color="auto" w:fill="auto"/>
            <w:vAlign w:val="center"/>
          </w:tcPr>
          <w:p w14:paraId="1B56B63C">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461</w:t>
            </w:r>
          </w:p>
        </w:tc>
      </w:tr>
      <w:tr w14:paraId="736B412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7182D67A">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232839F0">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饱和导水率（cm/s）</w:t>
            </w:r>
          </w:p>
        </w:tc>
        <w:tc>
          <w:tcPr>
            <w:tcW w:w="1082" w:type="pct"/>
            <w:gridSpan w:val="2"/>
            <w:tcBorders>
              <w:tl2br w:val="nil"/>
              <w:tr2bl w:val="nil"/>
            </w:tcBorders>
            <w:shd w:val="clear" w:color="auto" w:fill="auto"/>
            <w:vAlign w:val="center"/>
          </w:tcPr>
          <w:p w14:paraId="6251EE3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8.1</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-4</w:t>
            </w:r>
          </w:p>
        </w:tc>
        <w:tc>
          <w:tcPr>
            <w:tcW w:w="1053" w:type="pct"/>
            <w:gridSpan w:val="2"/>
            <w:tcBorders>
              <w:tl2br w:val="nil"/>
              <w:tr2bl w:val="nil"/>
            </w:tcBorders>
            <w:shd w:val="clear" w:color="auto" w:fill="auto"/>
            <w:vAlign w:val="center"/>
          </w:tcPr>
          <w:p w14:paraId="37B1752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8.0</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-4</w:t>
            </w:r>
          </w:p>
        </w:tc>
        <w:tc>
          <w:tcPr>
            <w:tcW w:w="1021" w:type="pct"/>
            <w:tcBorders>
              <w:tl2br w:val="nil"/>
              <w:tr2bl w:val="nil"/>
            </w:tcBorders>
            <w:shd w:val="clear" w:color="auto" w:fill="auto"/>
            <w:vAlign w:val="center"/>
          </w:tcPr>
          <w:p w14:paraId="76D651AA">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8.1</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-4</w:t>
            </w:r>
          </w:p>
        </w:tc>
      </w:tr>
      <w:tr w14:paraId="39F3099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76FC0283">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140DEB73">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土壤容重（kg/m</w:t>
            </w:r>
            <w:r>
              <w:rPr>
                <w:rFonts w:hint="default" w:ascii="Times New Roman" w:hAnsi="Times New Roman" w:eastAsia="宋体" w:cs="Times New Roman"/>
                <w:b/>
                <w:bCs/>
                <w:sz w:val="21"/>
                <w:szCs w:val="21"/>
                <w:highlight w:val="none"/>
                <w:vertAlign w:val="superscript"/>
              </w:rPr>
              <w:t>3</w:t>
            </w:r>
            <w:r>
              <w:rPr>
                <w:rFonts w:hint="default" w:ascii="Times New Roman" w:hAnsi="Times New Roman" w:eastAsia="宋体" w:cs="Times New Roman"/>
                <w:b/>
                <w:bCs/>
                <w:sz w:val="21"/>
                <w:szCs w:val="21"/>
                <w:highlight w:val="none"/>
              </w:rPr>
              <w:t>）</w:t>
            </w:r>
          </w:p>
        </w:tc>
        <w:tc>
          <w:tcPr>
            <w:tcW w:w="1082" w:type="pct"/>
            <w:gridSpan w:val="2"/>
            <w:tcBorders>
              <w:tl2br w:val="nil"/>
              <w:tr2bl w:val="nil"/>
            </w:tcBorders>
            <w:shd w:val="clear" w:color="auto" w:fill="auto"/>
            <w:vAlign w:val="center"/>
          </w:tcPr>
          <w:p w14:paraId="68002B45">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1.13</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3</w:t>
            </w:r>
          </w:p>
        </w:tc>
        <w:tc>
          <w:tcPr>
            <w:tcW w:w="1053" w:type="pct"/>
            <w:gridSpan w:val="2"/>
            <w:tcBorders>
              <w:tl2br w:val="nil"/>
              <w:tr2bl w:val="nil"/>
            </w:tcBorders>
            <w:shd w:val="clear" w:color="auto" w:fill="auto"/>
            <w:vAlign w:val="center"/>
          </w:tcPr>
          <w:p w14:paraId="66A346BE">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1.10</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3</w:t>
            </w:r>
          </w:p>
        </w:tc>
        <w:tc>
          <w:tcPr>
            <w:tcW w:w="1021" w:type="pct"/>
            <w:tcBorders>
              <w:tl2br w:val="nil"/>
              <w:tr2bl w:val="nil"/>
            </w:tcBorders>
            <w:shd w:val="clear" w:color="auto" w:fill="auto"/>
            <w:vAlign w:val="center"/>
          </w:tcPr>
          <w:p w14:paraId="52629750">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1.11</w:t>
            </w:r>
            <w:r>
              <w:rPr>
                <w:rFonts w:hint="default" w:ascii="Times New Roman" w:hAnsi="Times New Roman" w:cs="Times New Roman"/>
                <w:color w:val="000000"/>
                <w:sz w:val="21"/>
                <w:szCs w:val="21"/>
                <w:highlight w:val="none"/>
                <w:lang w:val="en-US" w:eastAsia="zh-CN"/>
              </w:rPr>
              <w:t>×10</w:t>
            </w:r>
            <w:r>
              <w:rPr>
                <w:rFonts w:hint="default" w:ascii="Times New Roman" w:hAnsi="Times New Roman" w:cs="Times New Roman"/>
                <w:color w:val="000000"/>
                <w:sz w:val="21"/>
                <w:szCs w:val="21"/>
                <w:highlight w:val="none"/>
                <w:vertAlign w:val="superscript"/>
                <w:lang w:val="en-US" w:eastAsia="zh-CN"/>
              </w:rPr>
              <w:t>3</w:t>
            </w:r>
          </w:p>
        </w:tc>
      </w:tr>
      <w:tr w14:paraId="2D7B9A0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cantSplit/>
          <w:trHeight w:val="369" w:hRule="atLeast"/>
          <w:jc w:val="center"/>
        </w:trPr>
        <w:tc>
          <w:tcPr>
            <w:tcW w:w="357" w:type="pct"/>
            <w:vMerge w:val="continue"/>
            <w:tcBorders>
              <w:tl2br w:val="nil"/>
              <w:tr2bl w:val="nil"/>
            </w:tcBorders>
            <w:vAlign w:val="center"/>
          </w:tcPr>
          <w:p w14:paraId="72E3B6F8">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sz w:val="21"/>
                <w:szCs w:val="21"/>
                <w:highlight w:val="none"/>
              </w:rPr>
            </w:pPr>
          </w:p>
        </w:tc>
        <w:tc>
          <w:tcPr>
            <w:tcW w:w="1485" w:type="pct"/>
            <w:tcBorders>
              <w:tl2br w:val="nil"/>
              <w:tr2bl w:val="nil"/>
            </w:tcBorders>
            <w:vAlign w:val="center"/>
          </w:tcPr>
          <w:p w14:paraId="123A742D">
            <w:pPr>
              <w:keepNext w:val="0"/>
              <w:keepLines w:val="0"/>
              <w:suppressLineNumbers w:val="0"/>
              <w:autoSpaceDE/>
              <w:autoSpaceDN/>
              <w:spacing w:before="0" w:beforeAutospacing="0" w:after="0" w:afterAutospacing="0" w:line="240" w:lineRule="auto"/>
              <w:ind w:left="0" w:right="0" w:firstLine="0"/>
              <w:jc w:val="center"/>
              <w:rPr>
                <w:rFonts w:hint="default" w:ascii="Times New Roman" w:hAnsi="Times New Roman" w:eastAsia="宋体" w:cs="Times New Roman"/>
                <w:b/>
                <w:bCs/>
                <w:kern w:val="2"/>
                <w:sz w:val="21"/>
                <w:szCs w:val="21"/>
                <w:highlight w:val="none"/>
                <w:lang w:val="en-US" w:eastAsia="zh-CN" w:bidi="ar-SA"/>
              </w:rPr>
            </w:pPr>
            <w:r>
              <w:rPr>
                <w:rFonts w:hint="default" w:ascii="Times New Roman" w:hAnsi="Times New Roman" w:eastAsia="宋体" w:cs="Times New Roman"/>
                <w:b/>
                <w:bCs/>
                <w:sz w:val="21"/>
                <w:szCs w:val="21"/>
                <w:highlight w:val="none"/>
              </w:rPr>
              <w:t>孔隙度</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w:t>
            </w:r>
            <w:r>
              <w:rPr>
                <w:rFonts w:hint="default" w:ascii="Times New Roman" w:hAnsi="Times New Roman" w:eastAsia="宋体" w:cs="Times New Roman"/>
                <w:b/>
                <w:bCs/>
                <w:sz w:val="21"/>
                <w:szCs w:val="21"/>
                <w:highlight w:val="none"/>
                <w:lang w:eastAsia="zh-CN"/>
              </w:rPr>
              <w:t>）</w:t>
            </w:r>
          </w:p>
        </w:tc>
        <w:tc>
          <w:tcPr>
            <w:tcW w:w="1082" w:type="pct"/>
            <w:gridSpan w:val="2"/>
            <w:tcBorders>
              <w:tl2br w:val="nil"/>
              <w:tr2bl w:val="nil"/>
            </w:tcBorders>
            <w:shd w:val="clear" w:color="auto" w:fill="auto"/>
            <w:vAlign w:val="center"/>
          </w:tcPr>
          <w:p w14:paraId="530D4F2C">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45.2</w:t>
            </w:r>
          </w:p>
        </w:tc>
        <w:tc>
          <w:tcPr>
            <w:tcW w:w="1053" w:type="pct"/>
            <w:gridSpan w:val="2"/>
            <w:tcBorders>
              <w:tl2br w:val="nil"/>
              <w:tr2bl w:val="nil"/>
            </w:tcBorders>
            <w:shd w:val="clear" w:color="auto" w:fill="auto"/>
            <w:vAlign w:val="center"/>
          </w:tcPr>
          <w:p w14:paraId="44D8FCDF">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45.1</w:t>
            </w:r>
          </w:p>
        </w:tc>
        <w:tc>
          <w:tcPr>
            <w:tcW w:w="1021" w:type="pct"/>
            <w:tcBorders>
              <w:tl2br w:val="nil"/>
              <w:tr2bl w:val="nil"/>
            </w:tcBorders>
            <w:shd w:val="clear" w:color="auto" w:fill="auto"/>
            <w:vAlign w:val="center"/>
          </w:tcPr>
          <w:p w14:paraId="4F52F948">
            <w:pPr>
              <w:keepNext w:val="0"/>
              <w:keepLines w:val="0"/>
              <w:suppressLineNumbers w:val="0"/>
              <w:autoSpaceDE/>
              <w:autoSpaceDN/>
              <w:spacing w:before="0" w:beforeAutospacing="0" w:after="0" w:afterAutospacing="0" w:line="240" w:lineRule="auto"/>
              <w:ind w:left="0" w:leftChars="0" w:right="0" w:rightChars="0" w:firstLine="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eastAsia="宋体" w:cs="Times New Roman"/>
                <w:color w:val="000000"/>
                <w:kern w:val="2"/>
                <w:sz w:val="21"/>
                <w:szCs w:val="21"/>
                <w:highlight w:val="none"/>
                <w:lang w:val="en-US" w:eastAsia="zh-CN" w:bidi="ar-SA"/>
              </w:rPr>
              <w:t>45.3</w:t>
            </w:r>
          </w:p>
        </w:tc>
      </w:tr>
    </w:tbl>
    <w:p w14:paraId="17ABB209">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土壤质量现状监测及评价结果详见表4.</w:t>
      </w: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9</w:t>
      </w:r>
      <w:r>
        <w:rPr>
          <w:rFonts w:hint="default" w:ascii="Times New Roman" w:hAnsi="Times New Roman" w:eastAsia="宋体" w:cs="Times New Roman"/>
          <w:sz w:val="24"/>
          <w:szCs w:val="24"/>
          <w:highlight w:val="none"/>
        </w:rPr>
        <w:t>。</w:t>
      </w:r>
    </w:p>
    <w:p w14:paraId="660181F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表4.</w:t>
      </w:r>
      <w:r>
        <w:rPr>
          <w:rFonts w:hint="default" w:ascii="Times New Roman" w:hAnsi="Times New Roman" w:cs="Times New Roman"/>
          <w:b/>
          <w:bCs/>
          <w:sz w:val="24"/>
          <w:szCs w:val="24"/>
          <w:highlight w:val="none"/>
          <w:lang w:val="en-US" w:eastAsia="zh-CN"/>
        </w:rPr>
        <w:t>2-9</w:t>
      </w:r>
      <w:r>
        <w:rPr>
          <w:rFonts w:hint="default" w:ascii="Times New Roman" w:hAnsi="Times New Roman" w:eastAsia="宋体" w:cs="Times New Roman"/>
          <w:b/>
          <w:bCs/>
          <w:sz w:val="24"/>
          <w:szCs w:val="24"/>
          <w:highlight w:val="none"/>
        </w:rPr>
        <w:t xml:space="preserve"> 土壤现状监测及评价结果表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0"/>
        <w:gridCol w:w="3"/>
        <w:gridCol w:w="791"/>
        <w:gridCol w:w="500"/>
        <w:gridCol w:w="192"/>
        <w:gridCol w:w="614"/>
        <w:gridCol w:w="794"/>
        <w:gridCol w:w="335"/>
        <w:gridCol w:w="485"/>
        <w:gridCol w:w="721"/>
        <w:gridCol w:w="538"/>
        <w:gridCol w:w="111"/>
        <w:gridCol w:w="706"/>
        <w:gridCol w:w="926"/>
        <w:gridCol w:w="680"/>
        <w:gridCol w:w="723"/>
        <w:gridCol w:w="6"/>
      </w:tblGrid>
      <w:tr w14:paraId="0F02875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0" w:type="pct"/>
            <w:gridSpan w:val="2"/>
            <w:vMerge w:val="restart"/>
            <w:tcBorders>
              <w:tl2br w:val="nil"/>
              <w:tr2bl w:val="nil"/>
            </w:tcBorders>
            <w:vAlign w:val="center"/>
          </w:tcPr>
          <w:p w14:paraId="14F2F222">
            <w:pPr>
              <w:autoSpaceDE/>
              <w:autoSpaceDN/>
              <w:spacing w:before="0" w:after="0" w:line="240" w:lineRule="auto"/>
              <w:ind w:lef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color w:val="000000"/>
                <w:sz w:val="21"/>
                <w:szCs w:val="21"/>
              </w:rPr>
              <w:t>序号</w:t>
            </w:r>
          </w:p>
        </w:tc>
        <w:tc>
          <w:tcPr>
            <w:tcW w:w="464" w:type="pct"/>
            <w:vMerge w:val="restart"/>
            <w:tcBorders>
              <w:tl2br w:val="nil"/>
              <w:tr2bl w:val="nil"/>
            </w:tcBorders>
            <w:vAlign w:val="center"/>
          </w:tcPr>
          <w:p w14:paraId="220A54D6">
            <w:pPr>
              <w:autoSpaceDE/>
              <w:autoSpaceDN/>
              <w:spacing w:before="0" w:after="0" w:line="240" w:lineRule="auto"/>
              <w:ind w:left="0" w:firstLine="0"/>
              <w:jc w:val="center"/>
              <w:rPr>
                <w:rFonts w:hint="default" w:ascii="Times New Roman" w:hAnsi="Times New Roman" w:eastAsia="宋体" w:cs="Times New Roman"/>
                <w:b/>
                <w:bCs/>
                <w:sz w:val="21"/>
                <w:szCs w:val="21"/>
              </w:rPr>
            </w:pPr>
            <w:r>
              <w:rPr>
                <w:rFonts w:hint="default" w:ascii="Times New Roman" w:hAnsi="Times New Roman" w:cs="Times New Roman"/>
                <w:b/>
                <w:bCs/>
                <w:color w:val="000000"/>
                <w:sz w:val="21"/>
                <w:szCs w:val="21"/>
                <w:lang w:val="en-US" w:eastAsia="zh-CN"/>
              </w:rPr>
              <w:t>监测</w:t>
            </w:r>
            <w:r>
              <w:rPr>
                <w:rFonts w:hint="default" w:ascii="Times New Roman" w:hAnsi="Times New Roman" w:eastAsia="宋体" w:cs="Times New Roman"/>
                <w:b/>
                <w:bCs/>
                <w:color w:val="000000"/>
                <w:sz w:val="21"/>
                <w:szCs w:val="21"/>
              </w:rPr>
              <w:t>项目</w:t>
            </w:r>
          </w:p>
        </w:tc>
        <w:tc>
          <w:tcPr>
            <w:tcW w:w="406" w:type="pct"/>
            <w:gridSpan w:val="2"/>
            <w:vMerge w:val="restart"/>
            <w:tcBorders>
              <w:tl2br w:val="nil"/>
              <w:tr2bl w:val="nil"/>
            </w:tcBorders>
            <w:vAlign w:val="center"/>
          </w:tcPr>
          <w:p w14:paraId="47280374">
            <w:pPr>
              <w:autoSpaceDE/>
              <w:autoSpaceDN/>
              <w:spacing w:before="0" w:after="0" w:line="240" w:lineRule="auto"/>
              <w:ind w:left="0" w:firstLine="0"/>
              <w:jc w:val="center"/>
              <w:rPr>
                <w:rFonts w:hint="default" w:ascii="Times New Roman" w:hAnsi="Times New Roman" w:eastAsia="宋体" w:cs="Times New Roman"/>
                <w:b/>
                <w:bCs/>
                <w:color w:val="000000"/>
                <w:sz w:val="21"/>
                <w:szCs w:val="21"/>
              </w:rPr>
            </w:pPr>
            <w:r>
              <w:rPr>
                <w:rFonts w:hint="default" w:ascii="Times New Roman" w:hAnsi="Times New Roman" w:eastAsia="宋体" w:cs="Times New Roman"/>
                <w:b/>
                <w:bCs/>
                <w:color w:val="000000"/>
                <w:sz w:val="21"/>
                <w:szCs w:val="21"/>
              </w:rPr>
              <w:t>单位</w:t>
            </w:r>
          </w:p>
        </w:tc>
        <w:tc>
          <w:tcPr>
            <w:tcW w:w="3070" w:type="pct"/>
            <w:gridSpan w:val="9"/>
            <w:tcBorders>
              <w:tl2br w:val="nil"/>
              <w:tr2bl w:val="nil"/>
            </w:tcBorders>
            <w:shd w:val="clear" w:color="auto" w:fill="auto"/>
            <w:vAlign w:val="center"/>
          </w:tcPr>
          <w:p w14:paraId="7FDD8431">
            <w:pPr>
              <w:autoSpaceDE/>
              <w:autoSpaceDN/>
              <w:spacing w:before="0" w:after="0" w:line="240" w:lineRule="auto"/>
              <w:ind w:left="0" w:firstLine="0"/>
              <w:jc w:val="center"/>
              <w:rPr>
                <w:rFonts w:hint="default" w:ascii="Times New Roman" w:hAnsi="Times New Roman" w:eastAsia="宋体"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监测结果</w:t>
            </w:r>
          </w:p>
        </w:tc>
        <w:tc>
          <w:tcPr>
            <w:tcW w:w="399" w:type="pct"/>
            <w:vMerge w:val="restart"/>
            <w:tcBorders>
              <w:tl2br w:val="nil"/>
              <w:tr2bl w:val="nil"/>
            </w:tcBorders>
            <w:vAlign w:val="center"/>
          </w:tcPr>
          <w:p w14:paraId="0452F863">
            <w:pPr>
              <w:autoSpaceDE/>
              <w:autoSpaceDN/>
              <w:spacing w:before="0" w:after="0" w:line="240" w:lineRule="auto"/>
              <w:ind w:lef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限值</w:t>
            </w:r>
          </w:p>
        </w:tc>
        <w:tc>
          <w:tcPr>
            <w:tcW w:w="427" w:type="pct"/>
            <w:gridSpan w:val="2"/>
            <w:vMerge w:val="restart"/>
            <w:tcBorders>
              <w:tl2br w:val="nil"/>
              <w:tr2bl w:val="nil"/>
            </w:tcBorders>
            <w:vAlign w:val="center"/>
          </w:tcPr>
          <w:p w14:paraId="787A3CBB">
            <w:pPr>
              <w:autoSpaceDE/>
              <w:autoSpaceDN/>
              <w:spacing w:before="0" w:after="0" w:line="240" w:lineRule="auto"/>
              <w:ind w:left="0" w:firstLine="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检出限</w:t>
            </w:r>
          </w:p>
        </w:tc>
      </w:tr>
      <w:tr w14:paraId="6CECBFC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30" w:type="pct"/>
            <w:gridSpan w:val="2"/>
            <w:vMerge w:val="continue"/>
            <w:tcBorders>
              <w:tl2br w:val="nil"/>
              <w:tr2bl w:val="nil"/>
            </w:tcBorders>
            <w:vAlign w:val="center"/>
          </w:tcPr>
          <w:p w14:paraId="62808614">
            <w:pPr>
              <w:autoSpaceDE/>
              <w:autoSpaceDN/>
              <w:spacing w:before="0" w:after="0" w:line="240" w:lineRule="auto"/>
              <w:ind w:left="0" w:firstLine="0"/>
              <w:jc w:val="center"/>
              <w:rPr>
                <w:rFonts w:hint="default" w:ascii="Times New Roman" w:hAnsi="Times New Roman" w:eastAsia="宋体" w:cs="Times New Roman"/>
                <w:b/>
                <w:bCs/>
                <w:color w:val="000000"/>
                <w:sz w:val="21"/>
                <w:szCs w:val="21"/>
              </w:rPr>
            </w:pPr>
          </w:p>
        </w:tc>
        <w:tc>
          <w:tcPr>
            <w:tcW w:w="464" w:type="pct"/>
            <w:vMerge w:val="continue"/>
            <w:tcBorders>
              <w:tl2br w:val="nil"/>
              <w:tr2bl w:val="nil"/>
            </w:tcBorders>
            <w:vAlign w:val="center"/>
          </w:tcPr>
          <w:p w14:paraId="1A771817">
            <w:pPr>
              <w:autoSpaceDE/>
              <w:autoSpaceDN/>
              <w:spacing w:before="0" w:after="0" w:line="240" w:lineRule="auto"/>
              <w:ind w:left="0" w:firstLine="0"/>
              <w:jc w:val="center"/>
              <w:rPr>
                <w:rFonts w:hint="default" w:ascii="Times New Roman" w:hAnsi="Times New Roman" w:eastAsia="宋体" w:cs="Times New Roman"/>
                <w:b/>
                <w:bCs/>
                <w:color w:val="000000"/>
                <w:sz w:val="21"/>
                <w:szCs w:val="21"/>
              </w:rPr>
            </w:pPr>
          </w:p>
        </w:tc>
        <w:tc>
          <w:tcPr>
            <w:tcW w:w="406" w:type="pct"/>
            <w:gridSpan w:val="2"/>
            <w:vMerge w:val="continue"/>
            <w:tcBorders>
              <w:tl2br w:val="nil"/>
              <w:tr2bl w:val="nil"/>
            </w:tcBorders>
            <w:vAlign w:val="center"/>
          </w:tcPr>
          <w:p w14:paraId="00BEFA65">
            <w:pPr>
              <w:autoSpaceDE/>
              <w:autoSpaceDN/>
              <w:spacing w:before="0" w:after="0" w:line="240" w:lineRule="auto"/>
              <w:ind w:left="0" w:firstLine="0"/>
              <w:jc w:val="center"/>
              <w:rPr>
                <w:rFonts w:hint="default" w:ascii="Times New Roman" w:hAnsi="Times New Roman" w:eastAsia="宋体" w:cs="Times New Roman"/>
                <w:b/>
                <w:bCs/>
                <w:color w:val="000000"/>
                <w:sz w:val="21"/>
                <w:szCs w:val="21"/>
              </w:rPr>
            </w:pPr>
          </w:p>
        </w:tc>
        <w:tc>
          <w:tcPr>
            <w:tcW w:w="1023" w:type="pct"/>
            <w:gridSpan w:val="3"/>
            <w:tcBorders>
              <w:tl2br w:val="nil"/>
              <w:tr2bl w:val="nil"/>
            </w:tcBorders>
            <w:shd w:val="clear" w:color="auto" w:fill="auto"/>
            <w:vAlign w:val="center"/>
          </w:tcPr>
          <w:p w14:paraId="3DE96820">
            <w:pPr>
              <w:autoSpaceDE/>
              <w:autoSpaceDN/>
              <w:spacing w:before="0" w:after="0" w:line="240" w:lineRule="auto"/>
              <w:ind w:left="0" w:firstLine="0"/>
              <w:jc w:val="center"/>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水泥窑装置区1#柱状样（表层0.2m）</w:t>
            </w:r>
          </w:p>
        </w:tc>
        <w:tc>
          <w:tcPr>
            <w:tcW w:w="1023" w:type="pct"/>
            <w:gridSpan w:val="3"/>
            <w:tcBorders>
              <w:tl2br w:val="nil"/>
              <w:tr2bl w:val="nil"/>
            </w:tcBorders>
            <w:shd w:val="clear" w:color="auto" w:fill="auto"/>
            <w:vAlign w:val="center"/>
          </w:tcPr>
          <w:p w14:paraId="5DC96DC1">
            <w:pPr>
              <w:autoSpaceDE/>
              <w:autoSpaceDN/>
              <w:spacing w:before="0" w:after="0" w:line="240" w:lineRule="auto"/>
              <w:ind w:left="0" w:firstLine="0"/>
              <w:jc w:val="center"/>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水泥窑装置区1#柱状样（中层1.0m）</w:t>
            </w:r>
          </w:p>
        </w:tc>
        <w:tc>
          <w:tcPr>
            <w:tcW w:w="1023" w:type="pct"/>
            <w:gridSpan w:val="3"/>
            <w:tcBorders>
              <w:tl2br w:val="nil"/>
              <w:tr2bl w:val="nil"/>
            </w:tcBorders>
            <w:shd w:val="clear" w:color="auto" w:fill="auto"/>
            <w:vAlign w:val="center"/>
          </w:tcPr>
          <w:p w14:paraId="36876583">
            <w:pPr>
              <w:autoSpaceDE/>
              <w:autoSpaceDN/>
              <w:spacing w:before="0" w:after="0" w:line="240" w:lineRule="auto"/>
              <w:ind w:left="0" w:firstLine="0"/>
              <w:jc w:val="center"/>
              <w:rPr>
                <w:rFonts w:hint="default" w:ascii="Times New Roman" w:hAnsi="Times New Roman" w:eastAsia="宋体" w:cs="Times New Roman"/>
                <w:b/>
                <w:bCs/>
                <w:color w:val="000000"/>
                <w:sz w:val="21"/>
                <w:szCs w:val="21"/>
                <w:lang w:val="en-US" w:eastAsia="zh-CN"/>
              </w:rPr>
            </w:pPr>
            <w:r>
              <w:rPr>
                <w:rFonts w:hint="default" w:ascii="Times New Roman" w:hAnsi="Times New Roman" w:eastAsia="宋体" w:cs="Times New Roman"/>
                <w:b/>
                <w:bCs/>
                <w:color w:val="000000"/>
                <w:sz w:val="21"/>
                <w:szCs w:val="21"/>
                <w:lang w:val="en-US" w:eastAsia="zh-CN"/>
              </w:rPr>
              <w:t>水泥窑装置区1#柱状样（深层2.0m）</w:t>
            </w:r>
          </w:p>
        </w:tc>
        <w:tc>
          <w:tcPr>
            <w:tcW w:w="399" w:type="pct"/>
            <w:vMerge w:val="continue"/>
            <w:tcBorders>
              <w:tl2br w:val="nil"/>
              <w:tr2bl w:val="nil"/>
            </w:tcBorders>
            <w:vAlign w:val="center"/>
          </w:tcPr>
          <w:p w14:paraId="77529DCA">
            <w:pPr>
              <w:autoSpaceDE/>
              <w:autoSpaceDN/>
              <w:spacing w:before="0" w:after="0" w:line="240" w:lineRule="auto"/>
              <w:ind w:left="0" w:firstLine="0"/>
              <w:jc w:val="center"/>
              <w:rPr>
                <w:rFonts w:hint="default" w:ascii="Times New Roman" w:hAnsi="Times New Roman" w:eastAsia="宋体" w:cs="Times New Roman"/>
                <w:b/>
                <w:bCs/>
                <w:sz w:val="21"/>
                <w:szCs w:val="21"/>
              </w:rPr>
            </w:pPr>
          </w:p>
        </w:tc>
        <w:tc>
          <w:tcPr>
            <w:tcW w:w="427" w:type="pct"/>
            <w:gridSpan w:val="2"/>
            <w:vMerge w:val="continue"/>
            <w:tcBorders>
              <w:tl2br w:val="nil"/>
              <w:tr2bl w:val="nil"/>
            </w:tcBorders>
            <w:vAlign w:val="center"/>
          </w:tcPr>
          <w:p w14:paraId="1BA97432">
            <w:pPr>
              <w:autoSpaceDE/>
              <w:autoSpaceDN/>
              <w:spacing w:before="0" w:after="0" w:line="240" w:lineRule="auto"/>
              <w:ind w:left="0" w:firstLine="0"/>
              <w:jc w:val="center"/>
              <w:rPr>
                <w:rFonts w:hint="default" w:ascii="Times New Roman" w:hAnsi="Times New Roman" w:eastAsia="宋体" w:cs="Times New Roman"/>
                <w:b/>
                <w:bCs/>
                <w:sz w:val="21"/>
                <w:szCs w:val="21"/>
              </w:rPr>
            </w:pPr>
          </w:p>
        </w:tc>
      </w:tr>
      <w:tr w14:paraId="5B8FFC5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1C9CF647">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464" w:type="pct"/>
            <w:tcBorders>
              <w:tl2br w:val="nil"/>
              <w:tr2bl w:val="nil"/>
            </w:tcBorders>
            <w:vAlign w:val="center"/>
          </w:tcPr>
          <w:p w14:paraId="7A3FAB1F">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六价铬</w:t>
            </w:r>
          </w:p>
        </w:tc>
        <w:tc>
          <w:tcPr>
            <w:tcW w:w="406" w:type="pct"/>
            <w:gridSpan w:val="2"/>
            <w:tcBorders>
              <w:tl2br w:val="nil"/>
              <w:tr2bl w:val="nil"/>
            </w:tcBorders>
            <w:vAlign w:val="center"/>
          </w:tcPr>
          <w:p w14:paraId="15FDCF3A">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46A43CA3">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3E943D08">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03F004BB">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3C7EE8DD">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5.7</w:t>
            </w:r>
          </w:p>
        </w:tc>
        <w:tc>
          <w:tcPr>
            <w:tcW w:w="427" w:type="pct"/>
            <w:gridSpan w:val="2"/>
            <w:tcBorders>
              <w:tl2br w:val="nil"/>
              <w:tr2bl w:val="nil"/>
            </w:tcBorders>
            <w:vAlign w:val="center"/>
          </w:tcPr>
          <w:p w14:paraId="5DF8FE0A">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0.5</w:t>
            </w:r>
          </w:p>
        </w:tc>
      </w:tr>
      <w:tr w14:paraId="5AD480A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287FA1AC">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464" w:type="pct"/>
            <w:tcBorders>
              <w:tl2br w:val="nil"/>
              <w:tr2bl w:val="nil"/>
            </w:tcBorders>
            <w:vAlign w:val="center"/>
          </w:tcPr>
          <w:p w14:paraId="72EF4271">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铅</w:t>
            </w:r>
          </w:p>
        </w:tc>
        <w:tc>
          <w:tcPr>
            <w:tcW w:w="406" w:type="pct"/>
            <w:gridSpan w:val="2"/>
            <w:tcBorders>
              <w:tl2br w:val="nil"/>
              <w:tr2bl w:val="nil"/>
            </w:tcBorders>
            <w:vAlign w:val="center"/>
          </w:tcPr>
          <w:p w14:paraId="432CD503">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58279203">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13.8</w:t>
            </w:r>
          </w:p>
        </w:tc>
        <w:tc>
          <w:tcPr>
            <w:tcW w:w="1023" w:type="pct"/>
            <w:gridSpan w:val="3"/>
            <w:tcBorders>
              <w:tl2br w:val="nil"/>
              <w:tr2bl w:val="nil"/>
            </w:tcBorders>
            <w:vAlign w:val="center"/>
          </w:tcPr>
          <w:p w14:paraId="28E6D970">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11.3</w:t>
            </w:r>
          </w:p>
        </w:tc>
        <w:tc>
          <w:tcPr>
            <w:tcW w:w="1023" w:type="pct"/>
            <w:gridSpan w:val="3"/>
            <w:tcBorders>
              <w:tl2br w:val="nil"/>
              <w:tr2bl w:val="nil"/>
            </w:tcBorders>
            <w:vAlign w:val="center"/>
          </w:tcPr>
          <w:p w14:paraId="23EA53B6">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11.0</w:t>
            </w:r>
          </w:p>
        </w:tc>
        <w:tc>
          <w:tcPr>
            <w:tcW w:w="399" w:type="pct"/>
            <w:tcBorders>
              <w:tl2br w:val="nil"/>
              <w:tr2bl w:val="nil"/>
            </w:tcBorders>
            <w:shd w:val="clear" w:color="auto" w:fill="auto"/>
            <w:vAlign w:val="center"/>
          </w:tcPr>
          <w:p w14:paraId="3BDDCFF5">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800</w:t>
            </w:r>
          </w:p>
        </w:tc>
        <w:tc>
          <w:tcPr>
            <w:tcW w:w="427" w:type="pct"/>
            <w:gridSpan w:val="2"/>
            <w:tcBorders>
              <w:tl2br w:val="nil"/>
              <w:tr2bl w:val="nil"/>
            </w:tcBorders>
            <w:vAlign w:val="center"/>
          </w:tcPr>
          <w:p w14:paraId="040D3AC5">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0.1</w:t>
            </w:r>
          </w:p>
        </w:tc>
      </w:tr>
      <w:tr w14:paraId="5755D19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37A4A5CE">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464" w:type="pct"/>
            <w:tcBorders>
              <w:tl2br w:val="nil"/>
              <w:tr2bl w:val="nil"/>
            </w:tcBorders>
            <w:vAlign w:val="center"/>
          </w:tcPr>
          <w:p w14:paraId="7483C85E">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镉</w:t>
            </w:r>
          </w:p>
        </w:tc>
        <w:tc>
          <w:tcPr>
            <w:tcW w:w="406" w:type="pct"/>
            <w:gridSpan w:val="2"/>
            <w:tcBorders>
              <w:tl2br w:val="nil"/>
              <w:tr2bl w:val="nil"/>
            </w:tcBorders>
            <w:vAlign w:val="center"/>
          </w:tcPr>
          <w:p w14:paraId="7315ACF0">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4DA385A5">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0.09</w:t>
            </w:r>
          </w:p>
        </w:tc>
        <w:tc>
          <w:tcPr>
            <w:tcW w:w="1023" w:type="pct"/>
            <w:gridSpan w:val="3"/>
            <w:tcBorders>
              <w:tl2br w:val="nil"/>
              <w:tr2bl w:val="nil"/>
            </w:tcBorders>
            <w:vAlign w:val="center"/>
          </w:tcPr>
          <w:p w14:paraId="759C0906">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0.08</w:t>
            </w:r>
          </w:p>
        </w:tc>
        <w:tc>
          <w:tcPr>
            <w:tcW w:w="1023" w:type="pct"/>
            <w:gridSpan w:val="3"/>
            <w:tcBorders>
              <w:tl2br w:val="nil"/>
              <w:tr2bl w:val="nil"/>
            </w:tcBorders>
            <w:vAlign w:val="center"/>
          </w:tcPr>
          <w:p w14:paraId="53E023FA">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0.09</w:t>
            </w:r>
          </w:p>
        </w:tc>
        <w:tc>
          <w:tcPr>
            <w:tcW w:w="399" w:type="pct"/>
            <w:tcBorders>
              <w:tl2br w:val="nil"/>
              <w:tr2bl w:val="nil"/>
            </w:tcBorders>
            <w:shd w:val="clear" w:color="auto" w:fill="auto"/>
            <w:vAlign w:val="center"/>
          </w:tcPr>
          <w:p w14:paraId="6ECA39AB">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65</w:t>
            </w:r>
          </w:p>
        </w:tc>
        <w:tc>
          <w:tcPr>
            <w:tcW w:w="427" w:type="pct"/>
            <w:gridSpan w:val="2"/>
            <w:tcBorders>
              <w:tl2br w:val="nil"/>
              <w:tr2bl w:val="nil"/>
            </w:tcBorders>
            <w:vAlign w:val="center"/>
          </w:tcPr>
          <w:p w14:paraId="1F8AA3D3">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0.01</w:t>
            </w:r>
          </w:p>
        </w:tc>
      </w:tr>
      <w:tr w14:paraId="4B84156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007D287B">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464" w:type="pct"/>
            <w:tcBorders>
              <w:tl2br w:val="nil"/>
              <w:tr2bl w:val="nil"/>
            </w:tcBorders>
            <w:vAlign w:val="center"/>
          </w:tcPr>
          <w:p w14:paraId="6CBB46B6">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铜</w:t>
            </w:r>
          </w:p>
        </w:tc>
        <w:tc>
          <w:tcPr>
            <w:tcW w:w="406" w:type="pct"/>
            <w:gridSpan w:val="2"/>
            <w:tcBorders>
              <w:tl2br w:val="nil"/>
              <w:tr2bl w:val="nil"/>
            </w:tcBorders>
            <w:vAlign w:val="center"/>
          </w:tcPr>
          <w:p w14:paraId="42E01185">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3DC2817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w:t>
            </w:r>
          </w:p>
        </w:tc>
        <w:tc>
          <w:tcPr>
            <w:tcW w:w="1023" w:type="pct"/>
            <w:gridSpan w:val="3"/>
            <w:tcBorders>
              <w:tl2br w:val="nil"/>
              <w:tr2bl w:val="nil"/>
            </w:tcBorders>
            <w:vAlign w:val="center"/>
          </w:tcPr>
          <w:p w14:paraId="7604C2C5">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11</w:t>
            </w:r>
          </w:p>
        </w:tc>
        <w:tc>
          <w:tcPr>
            <w:tcW w:w="1023" w:type="pct"/>
            <w:gridSpan w:val="3"/>
            <w:tcBorders>
              <w:tl2br w:val="nil"/>
              <w:tr2bl w:val="nil"/>
            </w:tcBorders>
            <w:vAlign w:val="center"/>
          </w:tcPr>
          <w:p w14:paraId="4897CF1B">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10</w:t>
            </w:r>
          </w:p>
        </w:tc>
        <w:tc>
          <w:tcPr>
            <w:tcW w:w="399" w:type="pct"/>
            <w:tcBorders>
              <w:tl2br w:val="nil"/>
              <w:tr2bl w:val="nil"/>
            </w:tcBorders>
            <w:shd w:val="clear" w:color="auto" w:fill="auto"/>
            <w:vAlign w:val="center"/>
          </w:tcPr>
          <w:p w14:paraId="3C8C397A">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18000</w:t>
            </w:r>
          </w:p>
        </w:tc>
        <w:tc>
          <w:tcPr>
            <w:tcW w:w="427" w:type="pct"/>
            <w:gridSpan w:val="2"/>
            <w:tcBorders>
              <w:tl2br w:val="nil"/>
              <w:tr2bl w:val="nil"/>
            </w:tcBorders>
            <w:vAlign w:val="center"/>
          </w:tcPr>
          <w:p w14:paraId="6CD31145">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r>
      <w:tr w14:paraId="53398E0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5ECEABBD">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464" w:type="pct"/>
            <w:tcBorders>
              <w:tl2br w:val="nil"/>
              <w:tr2bl w:val="nil"/>
            </w:tcBorders>
            <w:vAlign w:val="center"/>
          </w:tcPr>
          <w:p w14:paraId="1F53428D">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镍</w:t>
            </w:r>
          </w:p>
        </w:tc>
        <w:tc>
          <w:tcPr>
            <w:tcW w:w="406" w:type="pct"/>
            <w:gridSpan w:val="2"/>
            <w:tcBorders>
              <w:tl2br w:val="nil"/>
              <w:tr2bl w:val="nil"/>
            </w:tcBorders>
            <w:vAlign w:val="center"/>
          </w:tcPr>
          <w:p w14:paraId="59B63A37">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52329DA2">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27</w:t>
            </w:r>
          </w:p>
        </w:tc>
        <w:tc>
          <w:tcPr>
            <w:tcW w:w="1023" w:type="pct"/>
            <w:gridSpan w:val="3"/>
            <w:tcBorders>
              <w:tl2br w:val="nil"/>
              <w:tr2bl w:val="nil"/>
            </w:tcBorders>
            <w:vAlign w:val="center"/>
          </w:tcPr>
          <w:p w14:paraId="4869EA7A">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31</w:t>
            </w:r>
          </w:p>
        </w:tc>
        <w:tc>
          <w:tcPr>
            <w:tcW w:w="1023" w:type="pct"/>
            <w:gridSpan w:val="3"/>
            <w:tcBorders>
              <w:tl2br w:val="nil"/>
              <w:tr2bl w:val="nil"/>
            </w:tcBorders>
            <w:vAlign w:val="center"/>
          </w:tcPr>
          <w:p w14:paraId="10C6DB41">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29</w:t>
            </w:r>
          </w:p>
        </w:tc>
        <w:tc>
          <w:tcPr>
            <w:tcW w:w="399" w:type="pct"/>
            <w:tcBorders>
              <w:tl2br w:val="nil"/>
              <w:tr2bl w:val="nil"/>
            </w:tcBorders>
            <w:shd w:val="clear" w:color="auto" w:fill="auto"/>
            <w:vAlign w:val="center"/>
          </w:tcPr>
          <w:p w14:paraId="652EE804">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900</w:t>
            </w:r>
          </w:p>
        </w:tc>
        <w:tc>
          <w:tcPr>
            <w:tcW w:w="427" w:type="pct"/>
            <w:gridSpan w:val="2"/>
            <w:tcBorders>
              <w:tl2br w:val="nil"/>
              <w:tr2bl w:val="nil"/>
            </w:tcBorders>
            <w:vAlign w:val="center"/>
          </w:tcPr>
          <w:p w14:paraId="433852F7">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r>
      <w:tr w14:paraId="7D65B36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56EE5C0D">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464" w:type="pct"/>
            <w:tcBorders>
              <w:tl2br w:val="nil"/>
              <w:tr2bl w:val="nil"/>
            </w:tcBorders>
            <w:vAlign w:val="center"/>
          </w:tcPr>
          <w:p w14:paraId="2B12EFAC">
            <w:pPr>
              <w:autoSpaceDE/>
              <w:autoSpaceDN/>
              <w:spacing w:before="0" w:after="0" w:line="240" w:lineRule="auto"/>
              <w:ind w:left="0" w:firstLine="0"/>
              <w:jc w:val="center"/>
              <w:rPr>
                <w:rFonts w:hint="default" w:ascii="Times New Roman" w:hAnsi="Times New Roman" w:eastAsia="宋体" w:cs="Times New Roman"/>
                <w:color w:val="000000"/>
                <w:kern w:val="1"/>
                <w:sz w:val="21"/>
                <w:szCs w:val="21"/>
              </w:rPr>
            </w:pPr>
            <w:r>
              <w:rPr>
                <w:rFonts w:hint="default" w:ascii="Times New Roman" w:hAnsi="Times New Roman" w:eastAsia="宋体" w:cs="Times New Roman"/>
                <w:color w:val="000000"/>
                <w:kern w:val="1"/>
                <w:sz w:val="21"/>
                <w:szCs w:val="21"/>
              </w:rPr>
              <w:t>汞</w:t>
            </w:r>
          </w:p>
        </w:tc>
        <w:tc>
          <w:tcPr>
            <w:tcW w:w="406" w:type="pct"/>
            <w:gridSpan w:val="2"/>
            <w:tcBorders>
              <w:tl2br w:val="nil"/>
              <w:tr2bl w:val="nil"/>
            </w:tcBorders>
            <w:vAlign w:val="center"/>
          </w:tcPr>
          <w:p w14:paraId="72DF61D1">
            <w:pPr>
              <w:autoSpaceDE/>
              <w:autoSpaceDN/>
              <w:spacing w:before="0" w:after="0" w:line="240" w:lineRule="auto"/>
              <w:ind w:left="0" w:firstLine="0"/>
              <w:jc w:val="center"/>
              <w:rPr>
                <w:rFonts w:hint="default" w:ascii="Times New Roman" w:hAnsi="Times New Roman" w:eastAsia="宋体" w:cs="Times New Roman"/>
                <w:bCs/>
                <w:kern w:val="0"/>
                <w:sz w:val="21"/>
                <w:szCs w:val="21"/>
                <w:lang w:bidi="ar"/>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2F64266F">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0.0149</w:t>
            </w:r>
          </w:p>
        </w:tc>
        <w:tc>
          <w:tcPr>
            <w:tcW w:w="1023" w:type="pct"/>
            <w:gridSpan w:val="3"/>
            <w:tcBorders>
              <w:tl2br w:val="nil"/>
              <w:tr2bl w:val="nil"/>
            </w:tcBorders>
            <w:vAlign w:val="center"/>
          </w:tcPr>
          <w:p w14:paraId="602E968C">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0.0174</w:t>
            </w:r>
          </w:p>
        </w:tc>
        <w:tc>
          <w:tcPr>
            <w:tcW w:w="1023" w:type="pct"/>
            <w:gridSpan w:val="3"/>
            <w:tcBorders>
              <w:tl2br w:val="nil"/>
              <w:tr2bl w:val="nil"/>
            </w:tcBorders>
            <w:vAlign w:val="center"/>
          </w:tcPr>
          <w:p w14:paraId="18BEB263">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0.0158</w:t>
            </w:r>
          </w:p>
        </w:tc>
        <w:tc>
          <w:tcPr>
            <w:tcW w:w="399" w:type="pct"/>
            <w:tcBorders>
              <w:tl2br w:val="nil"/>
              <w:tr2bl w:val="nil"/>
            </w:tcBorders>
            <w:shd w:val="clear" w:color="auto" w:fill="auto"/>
            <w:vAlign w:val="center"/>
          </w:tcPr>
          <w:p w14:paraId="4AC81FD5">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38</w:t>
            </w:r>
          </w:p>
        </w:tc>
        <w:tc>
          <w:tcPr>
            <w:tcW w:w="427" w:type="pct"/>
            <w:gridSpan w:val="2"/>
            <w:tcBorders>
              <w:tl2br w:val="nil"/>
              <w:tr2bl w:val="nil"/>
            </w:tcBorders>
            <w:vAlign w:val="center"/>
          </w:tcPr>
          <w:p w14:paraId="4D9605D5">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0.002</w:t>
            </w:r>
          </w:p>
        </w:tc>
      </w:tr>
      <w:tr w14:paraId="43A0F4C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721CE49D">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464" w:type="pct"/>
            <w:tcBorders>
              <w:tl2br w:val="nil"/>
              <w:tr2bl w:val="nil"/>
            </w:tcBorders>
            <w:vAlign w:val="center"/>
          </w:tcPr>
          <w:p w14:paraId="231AF9D0">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砷</w:t>
            </w:r>
          </w:p>
        </w:tc>
        <w:tc>
          <w:tcPr>
            <w:tcW w:w="406" w:type="pct"/>
            <w:gridSpan w:val="2"/>
            <w:tcBorders>
              <w:tl2br w:val="nil"/>
              <w:tr2bl w:val="nil"/>
            </w:tcBorders>
            <w:vAlign w:val="center"/>
          </w:tcPr>
          <w:p w14:paraId="666ACD42">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0EC6FA45">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14.1</w:t>
            </w:r>
          </w:p>
        </w:tc>
        <w:tc>
          <w:tcPr>
            <w:tcW w:w="1023" w:type="pct"/>
            <w:gridSpan w:val="3"/>
            <w:tcBorders>
              <w:tl2br w:val="nil"/>
              <w:tr2bl w:val="nil"/>
            </w:tcBorders>
            <w:vAlign w:val="center"/>
          </w:tcPr>
          <w:p w14:paraId="16BDDD14">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12.7</w:t>
            </w:r>
          </w:p>
        </w:tc>
        <w:tc>
          <w:tcPr>
            <w:tcW w:w="1023" w:type="pct"/>
            <w:gridSpan w:val="3"/>
            <w:tcBorders>
              <w:tl2br w:val="nil"/>
              <w:tr2bl w:val="nil"/>
            </w:tcBorders>
            <w:vAlign w:val="center"/>
          </w:tcPr>
          <w:p w14:paraId="3A936C93">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eastAsia="宋体" w:cs="Times New Roman"/>
                <w:color w:val="000000"/>
                <w:sz w:val="21"/>
                <w:szCs w:val="21"/>
                <w:lang w:val="en-US" w:eastAsia="zh-CN"/>
              </w:rPr>
              <w:t>13.1</w:t>
            </w:r>
          </w:p>
        </w:tc>
        <w:tc>
          <w:tcPr>
            <w:tcW w:w="399" w:type="pct"/>
            <w:tcBorders>
              <w:tl2br w:val="nil"/>
              <w:tr2bl w:val="nil"/>
            </w:tcBorders>
            <w:shd w:val="clear" w:color="auto" w:fill="auto"/>
            <w:vAlign w:val="center"/>
          </w:tcPr>
          <w:p w14:paraId="729BBA48">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60</w:t>
            </w:r>
          </w:p>
        </w:tc>
        <w:tc>
          <w:tcPr>
            <w:tcW w:w="427" w:type="pct"/>
            <w:gridSpan w:val="2"/>
            <w:tcBorders>
              <w:tl2br w:val="nil"/>
              <w:tr2bl w:val="nil"/>
            </w:tcBorders>
            <w:vAlign w:val="center"/>
          </w:tcPr>
          <w:p w14:paraId="2E049060">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0.01</w:t>
            </w:r>
          </w:p>
        </w:tc>
      </w:tr>
      <w:tr w14:paraId="17E162E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4C281AFC">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c>
          <w:tcPr>
            <w:tcW w:w="464" w:type="pct"/>
            <w:tcBorders>
              <w:tl2br w:val="nil"/>
              <w:tr2bl w:val="nil"/>
            </w:tcBorders>
            <w:vAlign w:val="center"/>
          </w:tcPr>
          <w:p w14:paraId="0406021B">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四氯化碳</w:t>
            </w:r>
          </w:p>
        </w:tc>
        <w:tc>
          <w:tcPr>
            <w:tcW w:w="406" w:type="pct"/>
            <w:gridSpan w:val="2"/>
            <w:tcBorders>
              <w:tl2br w:val="nil"/>
              <w:tr2bl w:val="nil"/>
            </w:tcBorders>
            <w:vAlign w:val="center"/>
          </w:tcPr>
          <w:p w14:paraId="1A61455A">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618C5C12">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2D1255CC">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44FF95B5">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2E3177B9">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2.8</w:t>
            </w:r>
          </w:p>
        </w:tc>
        <w:tc>
          <w:tcPr>
            <w:tcW w:w="427" w:type="pct"/>
            <w:gridSpan w:val="2"/>
            <w:tcBorders>
              <w:tl2br w:val="nil"/>
              <w:tr2bl w:val="nil"/>
            </w:tcBorders>
            <w:vAlign w:val="center"/>
          </w:tcPr>
          <w:p w14:paraId="6609C19C">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13</w:t>
            </w:r>
          </w:p>
        </w:tc>
      </w:tr>
      <w:tr w14:paraId="6CA4949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791E615E">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w:t>
            </w:r>
          </w:p>
        </w:tc>
        <w:tc>
          <w:tcPr>
            <w:tcW w:w="464" w:type="pct"/>
            <w:tcBorders>
              <w:tl2br w:val="nil"/>
              <w:tr2bl w:val="nil"/>
            </w:tcBorders>
            <w:vAlign w:val="center"/>
          </w:tcPr>
          <w:p w14:paraId="38B2C235">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氯仿</w:t>
            </w:r>
          </w:p>
        </w:tc>
        <w:tc>
          <w:tcPr>
            <w:tcW w:w="406" w:type="pct"/>
            <w:gridSpan w:val="2"/>
            <w:tcBorders>
              <w:tl2br w:val="nil"/>
              <w:tr2bl w:val="nil"/>
            </w:tcBorders>
            <w:vAlign w:val="center"/>
          </w:tcPr>
          <w:p w14:paraId="4728E4FA">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29A1B577">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7BBB1A1D">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24970503">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05E054BC">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0.9</w:t>
            </w:r>
          </w:p>
        </w:tc>
        <w:tc>
          <w:tcPr>
            <w:tcW w:w="427" w:type="pct"/>
            <w:gridSpan w:val="2"/>
            <w:tcBorders>
              <w:tl2br w:val="nil"/>
              <w:tr2bl w:val="nil"/>
            </w:tcBorders>
            <w:vAlign w:val="center"/>
          </w:tcPr>
          <w:p w14:paraId="6E16231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11</w:t>
            </w:r>
          </w:p>
        </w:tc>
      </w:tr>
      <w:tr w14:paraId="2DBDB90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2EADA97B">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10</w:t>
            </w:r>
          </w:p>
        </w:tc>
        <w:tc>
          <w:tcPr>
            <w:tcW w:w="464" w:type="pct"/>
            <w:tcBorders>
              <w:tl2br w:val="nil"/>
              <w:tr2bl w:val="nil"/>
            </w:tcBorders>
            <w:vAlign w:val="center"/>
          </w:tcPr>
          <w:p w14:paraId="2F8DC767">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氯甲烷</w:t>
            </w:r>
          </w:p>
        </w:tc>
        <w:tc>
          <w:tcPr>
            <w:tcW w:w="406" w:type="pct"/>
            <w:gridSpan w:val="2"/>
            <w:tcBorders>
              <w:tl2br w:val="nil"/>
              <w:tr2bl w:val="nil"/>
            </w:tcBorders>
            <w:vAlign w:val="center"/>
          </w:tcPr>
          <w:p w14:paraId="27CF2DB8">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7D0BB870">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14F8A0FC">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0DBEABD3">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36620742">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37</w:t>
            </w:r>
          </w:p>
        </w:tc>
        <w:tc>
          <w:tcPr>
            <w:tcW w:w="427" w:type="pct"/>
            <w:gridSpan w:val="2"/>
            <w:tcBorders>
              <w:tl2br w:val="nil"/>
              <w:tr2bl w:val="nil"/>
            </w:tcBorders>
            <w:vAlign w:val="center"/>
          </w:tcPr>
          <w:p w14:paraId="2CB5079F">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10</w:t>
            </w:r>
          </w:p>
        </w:tc>
      </w:tr>
      <w:tr w14:paraId="444A83E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25397D03">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w:t>
            </w:r>
          </w:p>
        </w:tc>
        <w:tc>
          <w:tcPr>
            <w:tcW w:w="464" w:type="pct"/>
            <w:tcBorders>
              <w:tl2br w:val="nil"/>
              <w:tr2bl w:val="nil"/>
            </w:tcBorders>
            <w:vAlign w:val="center"/>
          </w:tcPr>
          <w:p w14:paraId="1E4B230E">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1,1-二氯乙烷</w:t>
            </w:r>
          </w:p>
        </w:tc>
        <w:tc>
          <w:tcPr>
            <w:tcW w:w="406" w:type="pct"/>
            <w:gridSpan w:val="2"/>
            <w:tcBorders>
              <w:tl2br w:val="nil"/>
              <w:tr2bl w:val="nil"/>
            </w:tcBorders>
            <w:vAlign w:val="center"/>
          </w:tcPr>
          <w:p w14:paraId="3C0B433B">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748CE112">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083A192E">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70728E22">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24BB2386">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9</w:t>
            </w:r>
          </w:p>
        </w:tc>
        <w:tc>
          <w:tcPr>
            <w:tcW w:w="427" w:type="pct"/>
            <w:gridSpan w:val="2"/>
            <w:tcBorders>
              <w:tl2br w:val="nil"/>
              <w:tr2bl w:val="nil"/>
            </w:tcBorders>
            <w:vAlign w:val="center"/>
          </w:tcPr>
          <w:p w14:paraId="4C7F8F35">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12</w:t>
            </w:r>
          </w:p>
        </w:tc>
      </w:tr>
      <w:tr w14:paraId="05E891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73FC2DDB">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p>
        </w:tc>
        <w:tc>
          <w:tcPr>
            <w:tcW w:w="464" w:type="pct"/>
            <w:tcBorders>
              <w:tl2br w:val="nil"/>
              <w:tr2bl w:val="nil"/>
            </w:tcBorders>
            <w:vAlign w:val="center"/>
          </w:tcPr>
          <w:p w14:paraId="6D0C0D80">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1,2-二氯乙烷</w:t>
            </w:r>
          </w:p>
        </w:tc>
        <w:tc>
          <w:tcPr>
            <w:tcW w:w="406" w:type="pct"/>
            <w:gridSpan w:val="2"/>
            <w:tcBorders>
              <w:tl2br w:val="nil"/>
              <w:tr2bl w:val="nil"/>
            </w:tcBorders>
            <w:vAlign w:val="center"/>
          </w:tcPr>
          <w:p w14:paraId="05DEDBB1">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45BE03EC">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07621FAB">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3A3EA0A6">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22BB0113">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w:t>
            </w:r>
          </w:p>
        </w:tc>
        <w:tc>
          <w:tcPr>
            <w:tcW w:w="427" w:type="pct"/>
            <w:gridSpan w:val="2"/>
            <w:tcBorders>
              <w:tl2br w:val="nil"/>
              <w:tr2bl w:val="nil"/>
            </w:tcBorders>
            <w:vAlign w:val="center"/>
          </w:tcPr>
          <w:p w14:paraId="6ABAE155">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13</w:t>
            </w:r>
          </w:p>
        </w:tc>
      </w:tr>
      <w:tr w14:paraId="7B11957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51744D49">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p>
        </w:tc>
        <w:tc>
          <w:tcPr>
            <w:tcW w:w="464" w:type="pct"/>
            <w:tcBorders>
              <w:tl2br w:val="nil"/>
              <w:tr2bl w:val="nil"/>
            </w:tcBorders>
            <w:vAlign w:val="center"/>
          </w:tcPr>
          <w:p w14:paraId="50C463AB">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1,1-二氯乙烯</w:t>
            </w:r>
          </w:p>
        </w:tc>
        <w:tc>
          <w:tcPr>
            <w:tcW w:w="406" w:type="pct"/>
            <w:gridSpan w:val="2"/>
            <w:tcBorders>
              <w:tl2br w:val="nil"/>
              <w:tr2bl w:val="nil"/>
            </w:tcBorders>
            <w:vAlign w:val="center"/>
          </w:tcPr>
          <w:p w14:paraId="4998C44D">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670DE98E">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009D1B56">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75D607C0">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1612A2C8">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66</w:t>
            </w:r>
          </w:p>
        </w:tc>
        <w:tc>
          <w:tcPr>
            <w:tcW w:w="427" w:type="pct"/>
            <w:gridSpan w:val="2"/>
            <w:tcBorders>
              <w:tl2br w:val="nil"/>
              <w:tr2bl w:val="nil"/>
            </w:tcBorders>
            <w:vAlign w:val="center"/>
          </w:tcPr>
          <w:p w14:paraId="639C960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10</w:t>
            </w:r>
          </w:p>
        </w:tc>
      </w:tr>
      <w:tr w14:paraId="697E38F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74EFA446">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14</w:t>
            </w:r>
          </w:p>
        </w:tc>
        <w:tc>
          <w:tcPr>
            <w:tcW w:w="464" w:type="pct"/>
            <w:tcBorders>
              <w:tl2br w:val="nil"/>
              <w:tr2bl w:val="nil"/>
            </w:tcBorders>
            <w:vAlign w:val="center"/>
          </w:tcPr>
          <w:p w14:paraId="44B7BB5F">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顺-1,2-二氯乙烯</w:t>
            </w:r>
          </w:p>
        </w:tc>
        <w:tc>
          <w:tcPr>
            <w:tcW w:w="406" w:type="pct"/>
            <w:gridSpan w:val="2"/>
            <w:tcBorders>
              <w:tl2br w:val="nil"/>
              <w:tr2bl w:val="nil"/>
            </w:tcBorders>
            <w:vAlign w:val="center"/>
          </w:tcPr>
          <w:p w14:paraId="6E146034">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379F5033">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4873A888">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2C0E5FF5">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6B3BF556">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596</w:t>
            </w:r>
          </w:p>
        </w:tc>
        <w:tc>
          <w:tcPr>
            <w:tcW w:w="427" w:type="pct"/>
            <w:gridSpan w:val="2"/>
            <w:tcBorders>
              <w:tl2br w:val="nil"/>
              <w:tr2bl w:val="nil"/>
            </w:tcBorders>
            <w:vAlign w:val="center"/>
          </w:tcPr>
          <w:p w14:paraId="27EE1A1E">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13</w:t>
            </w:r>
          </w:p>
        </w:tc>
      </w:tr>
      <w:tr w14:paraId="3916CFC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75CC9C45">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15</w:t>
            </w:r>
          </w:p>
        </w:tc>
        <w:tc>
          <w:tcPr>
            <w:tcW w:w="464" w:type="pct"/>
            <w:tcBorders>
              <w:tl2br w:val="nil"/>
              <w:tr2bl w:val="nil"/>
            </w:tcBorders>
            <w:vAlign w:val="center"/>
          </w:tcPr>
          <w:p w14:paraId="000FB0F3">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反-1,2-二氯乙烯</w:t>
            </w:r>
          </w:p>
        </w:tc>
        <w:tc>
          <w:tcPr>
            <w:tcW w:w="406" w:type="pct"/>
            <w:gridSpan w:val="2"/>
            <w:tcBorders>
              <w:tl2br w:val="nil"/>
              <w:tr2bl w:val="nil"/>
            </w:tcBorders>
            <w:vAlign w:val="center"/>
          </w:tcPr>
          <w:p w14:paraId="1AC2E534">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6FEB62CC">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45A151DB">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599A3EBF">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207D2878">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54</w:t>
            </w:r>
          </w:p>
        </w:tc>
        <w:tc>
          <w:tcPr>
            <w:tcW w:w="427" w:type="pct"/>
            <w:gridSpan w:val="2"/>
            <w:tcBorders>
              <w:tl2br w:val="nil"/>
              <w:tr2bl w:val="nil"/>
            </w:tcBorders>
            <w:vAlign w:val="center"/>
          </w:tcPr>
          <w:p w14:paraId="73C8ED4D">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14</w:t>
            </w:r>
          </w:p>
        </w:tc>
      </w:tr>
      <w:tr w14:paraId="68D0183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196FFC10">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16</w:t>
            </w:r>
          </w:p>
        </w:tc>
        <w:tc>
          <w:tcPr>
            <w:tcW w:w="464" w:type="pct"/>
            <w:tcBorders>
              <w:tl2br w:val="nil"/>
              <w:tr2bl w:val="nil"/>
            </w:tcBorders>
            <w:vAlign w:val="center"/>
          </w:tcPr>
          <w:p w14:paraId="0AC7686A">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二氯甲烷</w:t>
            </w:r>
          </w:p>
        </w:tc>
        <w:tc>
          <w:tcPr>
            <w:tcW w:w="406" w:type="pct"/>
            <w:gridSpan w:val="2"/>
            <w:tcBorders>
              <w:tl2br w:val="nil"/>
              <w:tr2bl w:val="nil"/>
            </w:tcBorders>
            <w:vAlign w:val="center"/>
          </w:tcPr>
          <w:p w14:paraId="3220F7D8">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237E41CB">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2BAD88A6">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4F9E6071">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545C7264">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616</w:t>
            </w:r>
          </w:p>
        </w:tc>
        <w:tc>
          <w:tcPr>
            <w:tcW w:w="427" w:type="pct"/>
            <w:gridSpan w:val="2"/>
            <w:tcBorders>
              <w:tl2br w:val="nil"/>
              <w:tr2bl w:val="nil"/>
            </w:tcBorders>
            <w:vAlign w:val="center"/>
          </w:tcPr>
          <w:p w14:paraId="403205FD">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15</w:t>
            </w:r>
          </w:p>
        </w:tc>
      </w:tr>
      <w:tr w14:paraId="261DF26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66079777">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17</w:t>
            </w:r>
          </w:p>
        </w:tc>
        <w:tc>
          <w:tcPr>
            <w:tcW w:w="464" w:type="pct"/>
            <w:tcBorders>
              <w:tl2br w:val="nil"/>
              <w:tr2bl w:val="nil"/>
            </w:tcBorders>
            <w:vAlign w:val="center"/>
          </w:tcPr>
          <w:p w14:paraId="47DB20E5">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1,2-二氯丙烷</w:t>
            </w:r>
          </w:p>
        </w:tc>
        <w:tc>
          <w:tcPr>
            <w:tcW w:w="406" w:type="pct"/>
            <w:gridSpan w:val="2"/>
            <w:tcBorders>
              <w:tl2br w:val="nil"/>
              <w:tr2bl w:val="nil"/>
            </w:tcBorders>
            <w:vAlign w:val="center"/>
          </w:tcPr>
          <w:p w14:paraId="033552FE">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2CEFA2B2">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4D8F7F76">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56253827">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53AD36D8">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w:t>
            </w:r>
          </w:p>
        </w:tc>
        <w:tc>
          <w:tcPr>
            <w:tcW w:w="427" w:type="pct"/>
            <w:gridSpan w:val="2"/>
            <w:tcBorders>
              <w:tl2br w:val="nil"/>
              <w:tr2bl w:val="nil"/>
            </w:tcBorders>
            <w:vAlign w:val="center"/>
          </w:tcPr>
          <w:p w14:paraId="14590AA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11</w:t>
            </w:r>
          </w:p>
        </w:tc>
      </w:tr>
      <w:tr w14:paraId="42B7D3D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186A26E6">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18</w:t>
            </w:r>
          </w:p>
        </w:tc>
        <w:tc>
          <w:tcPr>
            <w:tcW w:w="464" w:type="pct"/>
            <w:tcBorders>
              <w:tl2br w:val="nil"/>
              <w:tr2bl w:val="nil"/>
            </w:tcBorders>
            <w:vAlign w:val="center"/>
          </w:tcPr>
          <w:p w14:paraId="7C424E76">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1,1,1,2-四氯乙烷</w:t>
            </w:r>
          </w:p>
        </w:tc>
        <w:tc>
          <w:tcPr>
            <w:tcW w:w="406" w:type="pct"/>
            <w:gridSpan w:val="2"/>
            <w:tcBorders>
              <w:tl2br w:val="nil"/>
              <w:tr2bl w:val="nil"/>
            </w:tcBorders>
            <w:vAlign w:val="center"/>
          </w:tcPr>
          <w:p w14:paraId="566A2F5C">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3F68001D">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38DCBF32">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1E3ECBBE">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76DAC2A7">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10</w:t>
            </w:r>
          </w:p>
        </w:tc>
        <w:tc>
          <w:tcPr>
            <w:tcW w:w="427" w:type="pct"/>
            <w:gridSpan w:val="2"/>
            <w:tcBorders>
              <w:tl2br w:val="nil"/>
              <w:tr2bl w:val="nil"/>
            </w:tcBorders>
            <w:vAlign w:val="center"/>
          </w:tcPr>
          <w:p w14:paraId="0319874E">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12</w:t>
            </w:r>
          </w:p>
        </w:tc>
      </w:tr>
      <w:tr w14:paraId="28CB3A6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7656652B">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19</w:t>
            </w:r>
          </w:p>
        </w:tc>
        <w:tc>
          <w:tcPr>
            <w:tcW w:w="464" w:type="pct"/>
            <w:tcBorders>
              <w:tl2br w:val="nil"/>
              <w:tr2bl w:val="nil"/>
            </w:tcBorders>
            <w:vAlign w:val="center"/>
          </w:tcPr>
          <w:p w14:paraId="7CF80A05">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color w:val="000000"/>
                <w:kern w:val="1"/>
                <w:sz w:val="21"/>
                <w:szCs w:val="21"/>
              </w:rPr>
              <w:t>1,1,2,2-四氯乙烷</w:t>
            </w:r>
          </w:p>
        </w:tc>
        <w:tc>
          <w:tcPr>
            <w:tcW w:w="406" w:type="pct"/>
            <w:gridSpan w:val="2"/>
            <w:tcBorders>
              <w:tl2br w:val="nil"/>
              <w:tr2bl w:val="nil"/>
            </w:tcBorders>
            <w:vAlign w:val="center"/>
          </w:tcPr>
          <w:p w14:paraId="606AD324">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52CEA817">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7BD8F455">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04541531">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68A2BD4D">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6.8</w:t>
            </w:r>
          </w:p>
        </w:tc>
        <w:tc>
          <w:tcPr>
            <w:tcW w:w="427" w:type="pct"/>
            <w:gridSpan w:val="2"/>
            <w:tcBorders>
              <w:tl2br w:val="nil"/>
              <w:tr2bl w:val="nil"/>
            </w:tcBorders>
            <w:vAlign w:val="center"/>
          </w:tcPr>
          <w:p w14:paraId="057A02A4">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12</w:t>
            </w:r>
          </w:p>
        </w:tc>
      </w:tr>
      <w:tr w14:paraId="7ED3CF9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368F3C6D">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20</w:t>
            </w:r>
          </w:p>
        </w:tc>
        <w:tc>
          <w:tcPr>
            <w:tcW w:w="464" w:type="pct"/>
            <w:tcBorders>
              <w:tl2br w:val="nil"/>
              <w:tr2bl w:val="nil"/>
            </w:tcBorders>
            <w:vAlign w:val="center"/>
          </w:tcPr>
          <w:p w14:paraId="02C645A2">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四氯乙烯</w:t>
            </w:r>
          </w:p>
        </w:tc>
        <w:tc>
          <w:tcPr>
            <w:tcW w:w="406" w:type="pct"/>
            <w:gridSpan w:val="2"/>
            <w:tcBorders>
              <w:tl2br w:val="nil"/>
              <w:tr2bl w:val="nil"/>
            </w:tcBorders>
            <w:vAlign w:val="center"/>
          </w:tcPr>
          <w:p w14:paraId="38D5821F">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10052053">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303AA08E">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36618F82">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77D92E49">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53</w:t>
            </w:r>
          </w:p>
        </w:tc>
        <w:tc>
          <w:tcPr>
            <w:tcW w:w="427" w:type="pct"/>
            <w:gridSpan w:val="2"/>
            <w:tcBorders>
              <w:tl2br w:val="nil"/>
              <w:tr2bl w:val="nil"/>
            </w:tcBorders>
            <w:vAlign w:val="center"/>
          </w:tcPr>
          <w:p w14:paraId="28B151FE">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14</w:t>
            </w:r>
          </w:p>
        </w:tc>
      </w:tr>
      <w:tr w14:paraId="44C8C23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529E44E9">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21</w:t>
            </w:r>
          </w:p>
        </w:tc>
        <w:tc>
          <w:tcPr>
            <w:tcW w:w="464" w:type="pct"/>
            <w:tcBorders>
              <w:tl2br w:val="nil"/>
              <w:tr2bl w:val="nil"/>
            </w:tcBorders>
            <w:vAlign w:val="center"/>
          </w:tcPr>
          <w:p w14:paraId="68AEB613">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1,1,1-三氯乙烷</w:t>
            </w:r>
          </w:p>
        </w:tc>
        <w:tc>
          <w:tcPr>
            <w:tcW w:w="406" w:type="pct"/>
            <w:gridSpan w:val="2"/>
            <w:tcBorders>
              <w:tl2br w:val="nil"/>
              <w:tr2bl w:val="nil"/>
            </w:tcBorders>
            <w:vAlign w:val="center"/>
          </w:tcPr>
          <w:p w14:paraId="7855D198">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6CE1D0DB">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221AE6EF">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41EB7587">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7FA91CDB">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840</w:t>
            </w:r>
          </w:p>
        </w:tc>
        <w:tc>
          <w:tcPr>
            <w:tcW w:w="427" w:type="pct"/>
            <w:gridSpan w:val="2"/>
            <w:tcBorders>
              <w:tl2br w:val="nil"/>
              <w:tr2bl w:val="nil"/>
            </w:tcBorders>
            <w:vAlign w:val="center"/>
          </w:tcPr>
          <w:p w14:paraId="1F6FDDC6">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13</w:t>
            </w:r>
          </w:p>
        </w:tc>
      </w:tr>
      <w:tr w14:paraId="7693BD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69F8A0E2">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22</w:t>
            </w:r>
          </w:p>
        </w:tc>
        <w:tc>
          <w:tcPr>
            <w:tcW w:w="464" w:type="pct"/>
            <w:tcBorders>
              <w:tl2br w:val="nil"/>
              <w:tr2bl w:val="nil"/>
            </w:tcBorders>
            <w:vAlign w:val="center"/>
          </w:tcPr>
          <w:p w14:paraId="70D59A81">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1,1,2-三氯乙烷</w:t>
            </w:r>
          </w:p>
        </w:tc>
        <w:tc>
          <w:tcPr>
            <w:tcW w:w="406" w:type="pct"/>
            <w:gridSpan w:val="2"/>
            <w:tcBorders>
              <w:tl2br w:val="nil"/>
              <w:tr2bl w:val="nil"/>
            </w:tcBorders>
            <w:vAlign w:val="center"/>
          </w:tcPr>
          <w:p w14:paraId="79E7A2DA">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4BE21EBF">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43F71623">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6B4070DA">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6C971EB9">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2.8</w:t>
            </w:r>
          </w:p>
        </w:tc>
        <w:tc>
          <w:tcPr>
            <w:tcW w:w="427" w:type="pct"/>
            <w:gridSpan w:val="2"/>
            <w:tcBorders>
              <w:tl2br w:val="nil"/>
              <w:tr2bl w:val="nil"/>
            </w:tcBorders>
            <w:vAlign w:val="center"/>
          </w:tcPr>
          <w:p w14:paraId="1A4D7E3B">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12</w:t>
            </w:r>
          </w:p>
        </w:tc>
      </w:tr>
      <w:tr w14:paraId="687B414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368CC148">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23</w:t>
            </w:r>
          </w:p>
        </w:tc>
        <w:tc>
          <w:tcPr>
            <w:tcW w:w="464" w:type="pct"/>
            <w:tcBorders>
              <w:tl2br w:val="nil"/>
              <w:tr2bl w:val="nil"/>
            </w:tcBorders>
            <w:vAlign w:val="center"/>
          </w:tcPr>
          <w:p w14:paraId="6F82AAD7">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三氯乙烯</w:t>
            </w:r>
          </w:p>
        </w:tc>
        <w:tc>
          <w:tcPr>
            <w:tcW w:w="406" w:type="pct"/>
            <w:gridSpan w:val="2"/>
            <w:tcBorders>
              <w:tl2br w:val="nil"/>
              <w:tr2bl w:val="nil"/>
            </w:tcBorders>
            <w:vAlign w:val="center"/>
          </w:tcPr>
          <w:p w14:paraId="66429DAC">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1EA41EA6">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66617379">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7F4D550B">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63505DE0">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2.8</w:t>
            </w:r>
          </w:p>
        </w:tc>
        <w:tc>
          <w:tcPr>
            <w:tcW w:w="427" w:type="pct"/>
            <w:gridSpan w:val="2"/>
            <w:tcBorders>
              <w:tl2br w:val="nil"/>
              <w:tr2bl w:val="nil"/>
            </w:tcBorders>
            <w:vAlign w:val="center"/>
          </w:tcPr>
          <w:p w14:paraId="3D6E468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12</w:t>
            </w:r>
          </w:p>
        </w:tc>
      </w:tr>
      <w:tr w14:paraId="3DFA286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73AB8D5B">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24</w:t>
            </w:r>
          </w:p>
        </w:tc>
        <w:tc>
          <w:tcPr>
            <w:tcW w:w="464" w:type="pct"/>
            <w:tcBorders>
              <w:tl2br w:val="nil"/>
              <w:tr2bl w:val="nil"/>
            </w:tcBorders>
            <w:vAlign w:val="center"/>
          </w:tcPr>
          <w:p w14:paraId="386521E0">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1,2,3-三氯丙烷</w:t>
            </w:r>
          </w:p>
        </w:tc>
        <w:tc>
          <w:tcPr>
            <w:tcW w:w="406" w:type="pct"/>
            <w:gridSpan w:val="2"/>
            <w:tcBorders>
              <w:tl2br w:val="nil"/>
              <w:tr2bl w:val="nil"/>
            </w:tcBorders>
            <w:vAlign w:val="center"/>
          </w:tcPr>
          <w:p w14:paraId="653CE06A">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4B298F0E">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1D37CC29">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067726B9">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0080655E">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0.5</w:t>
            </w:r>
          </w:p>
        </w:tc>
        <w:tc>
          <w:tcPr>
            <w:tcW w:w="427" w:type="pct"/>
            <w:gridSpan w:val="2"/>
            <w:tcBorders>
              <w:tl2br w:val="nil"/>
              <w:tr2bl w:val="nil"/>
            </w:tcBorders>
            <w:vAlign w:val="center"/>
          </w:tcPr>
          <w:p w14:paraId="72A4C596">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12</w:t>
            </w:r>
          </w:p>
        </w:tc>
      </w:tr>
      <w:tr w14:paraId="5E13C37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4AE7655E">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25</w:t>
            </w:r>
          </w:p>
        </w:tc>
        <w:tc>
          <w:tcPr>
            <w:tcW w:w="464" w:type="pct"/>
            <w:tcBorders>
              <w:tl2br w:val="nil"/>
              <w:tr2bl w:val="nil"/>
            </w:tcBorders>
            <w:vAlign w:val="center"/>
          </w:tcPr>
          <w:p w14:paraId="5E66DF1D">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氯乙烯</w:t>
            </w:r>
          </w:p>
        </w:tc>
        <w:tc>
          <w:tcPr>
            <w:tcW w:w="406" w:type="pct"/>
            <w:gridSpan w:val="2"/>
            <w:tcBorders>
              <w:tl2br w:val="nil"/>
              <w:tr2bl w:val="nil"/>
            </w:tcBorders>
            <w:vAlign w:val="center"/>
          </w:tcPr>
          <w:p w14:paraId="506376AA">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5ED92281">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70D394EC">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78066FED">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1EA7BFDF">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0.43</w:t>
            </w:r>
          </w:p>
        </w:tc>
        <w:tc>
          <w:tcPr>
            <w:tcW w:w="427" w:type="pct"/>
            <w:gridSpan w:val="2"/>
            <w:tcBorders>
              <w:tl2br w:val="nil"/>
              <w:tr2bl w:val="nil"/>
            </w:tcBorders>
            <w:vAlign w:val="center"/>
          </w:tcPr>
          <w:p w14:paraId="67553CE2">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10</w:t>
            </w:r>
          </w:p>
        </w:tc>
      </w:tr>
      <w:tr w14:paraId="32108E3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6487F82A">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26</w:t>
            </w:r>
          </w:p>
        </w:tc>
        <w:tc>
          <w:tcPr>
            <w:tcW w:w="464" w:type="pct"/>
            <w:tcBorders>
              <w:tl2br w:val="nil"/>
              <w:tr2bl w:val="nil"/>
            </w:tcBorders>
            <w:vAlign w:val="center"/>
          </w:tcPr>
          <w:p w14:paraId="58DD026F">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苯</w:t>
            </w:r>
          </w:p>
        </w:tc>
        <w:tc>
          <w:tcPr>
            <w:tcW w:w="406" w:type="pct"/>
            <w:gridSpan w:val="2"/>
            <w:tcBorders>
              <w:tl2br w:val="nil"/>
              <w:tr2bl w:val="nil"/>
            </w:tcBorders>
            <w:vAlign w:val="center"/>
          </w:tcPr>
          <w:p w14:paraId="20E0E5A6">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0269F041">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0EA29217">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3856D65C">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7CE5853E">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4</w:t>
            </w:r>
          </w:p>
        </w:tc>
        <w:tc>
          <w:tcPr>
            <w:tcW w:w="427" w:type="pct"/>
            <w:gridSpan w:val="2"/>
            <w:tcBorders>
              <w:tl2br w:val="nil"/>
              <w:tr2bl w:val="nil"/>
            </w:tcBorders>
            <w:vAlign w:val="center"/>
          </w:tcPr>
          <w:p w14:paraId="6F766E84">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19</w:t>
            </w:r>
          </w:p>
        </w:tc>
      </w:tr>
      <w:tr w14:paraId="52ED4E0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230" w:type="pct"/>
            <w:gridSpan w:val="2"/>
            <w:tcBorders>
              <w:tl2br w:val="nil"/>
              <w:tr2bl w:val="nil"/>
            </w:tcBorders>
            <w:vAlign w:val="center"/>
          </w:tcPr>
          <w:p w14:paraId="5CBA36CF">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27</w:t>
            </w:r>
          </w:p>
        </w:tc>
        <w:tc>
          <w:tcPr>
            <w:tcW w:w="464" w:type="pct"/>
            <w:tcBorders>
              <w:tl2br w:val="nil"/>
              <w:tr2bl w:val="nil"/>
            </w:tcBorders>
            <w:vAlign w:val="center"/>
          </w:tcPr>
          <w:p w14:paraId="085FAE90">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氯苯</w:t>
            </w:r>
          </w:p>
        </w:tc>
        <w:tc>
          <w:tcPr>
            <w:tcW w:w="406" w:type="pct"/>
            <w:gridSpan w:val="2"/>
            <w:tcBorders>
              <w:tl2br w:val="nil"/>
              <w:tr2bl w:val="nil"/>
            </w:tcBorders>
            <w:vAlign w:val="center"/>
          </w:tcPr>
          <w:p w14:paraId="0D2012FF">
            <w:pPr>
              <w:autoSpaceDE/>
              <w:autoSpaceDN/>
              <w:spacing w:before="0" w:after="0" w:line="240" w:lineRule="auto"/>
              <w:ind w:left="0" w:firstLine="0"/>
              <w:jc w:val="center"/>
              <w:rPr>
                <w:rFonts w:hint="default" w:ascii="Times New Roman" w:hAnsi="Times New Roman" w:eastAsia="宋体" w:cs="Times New Roman"/>
                <w:sz w:val="21"/>
                <w:szCs w:val="21"/>
              </w:rPr>
            </w:pPr>
            <w:r>
              <w:rPr>
                <w:rFonts w:hint="default" w:ascii="Times New Roman" w:hAnsi="Times New Roman" w:eastAsia="宋体" w:cs="Times New Roman"/>
                <w:bCs/>
                <w:kern w:val="0"/>
                <w:sz w:val="21"/>
                <w:szCs w:val="21"/>
                <w:lang w:bidi="ar"/>
              </w:rPr>
              <w:t>mg/kg</w:t>
            </w:r>
          </w:p>
        </w:tc>
        <w:tc>
          <w:tcPr>
            <w:tcW w:w="1023" w:type="pct"/>
            <w:gridSpan w:val="3"/>
            <w:tcBorders>
              <w:tl2br w:val="nil"/>
              <w:tr2bl w:val="nil"/>
            </w:tcBorders>
            <w:vAlign w:val="center"/>
          </w:tcPr>
          <w:p w14:paraId="68EB3705">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6F9E1640">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1023" w:type="pct"/>
            <w:gridSpan w:val="3"/>
            <w:tcBorders>
              <w:tl2br w:val="nil"/>
              <w:tr2bl w:val="nil"/>
            </w:tcBorders>
            <w:vAlign w:val="center"/>
          </w:tcPr>
          <w:p w14:paraId="273D3EA9">
            <w:pPr>
              <w:autoSpaceDE/>
              <w:autoSpaceDN/>
              <w:spacing w:before="0" w:after="0" w:line="240" w:lineRule="auto"/>
              <w:ind w:left="0" w:firstLine="0"/>
              <w:jc w:val="center"/>
              <w:rPr>
                <w:rFonts w:hint="default" w:ascii="Times New Roman" w:hAnsi="Times New Roman" w:eastAsia="宋体" w:cs="Times New Roman"/>
                <w:color w:val="000000"/>
                <w:sz w:val="21"/>
                <w:szCs w:val="21"/>
              </w:rPr>
            </w:pPr>
            <w:r>
              <w:rPr>
                <w:rFonts w:hint="default" w:ascii="Times New Roman" w:hAnsi="Times New Roman" w:eastAsia="宋体" w:cs="Times New Roman"/>
                <w:color w:val="000000"/>
                <w:sz w:val="21"/>
                <w:szCs w:val="21"/>
              </w:rPr>
              <w:t>ND</w:t>
            </w:r>
          </w:p>
        </w:tc>
        <w:tc>
          <w:tcPr>
            <w:tcW w:w="399" w:type="pct"/>
            <w:tcBorders>
              <w:tl2br w:val="nil"/>
              <w:tr2bl w:val="nil"/>
            </w:tcBorders>
            <w:shd w:val="clear" w:color="auto" w:fill="auto"/>
            <w:vAlign w:val="center"/>
          </w:tcPr>
          <w:p w14:paraId="2EC95536">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270</w:t>
            </w:r>
          </w:p>
        </w:tc>
        <w:tc>
          <w:tcPr>
            <w:tcW w:w="427" w:type="pct"/>
            <w:gridSpan w:val="2"/>
            <w:tcBorders>
              <w:tl2br w:val="nil"/>
              <w:tr2bl w:val="nil"/>
            </w:tcBorders>
            <w:vAlign w:val="center"/>
          </w:tcPr>
          <w:p w14:paraId="513C6F82">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0.00</w:t>
            </w:r>
            <w:r>
              <w:rPr>
                <w:rFonts w:hint="default" w:ascii="Times New Roman" w:hAnsi="Times New Roman" w:eastAsia="宋体" w:cs="Times New Roman"/>
                <w:sz w:val="21"/>
                <w:szCs w:val="21"/>
                <w:lang w:val="en-US" w:eastAsia="zh-CN"/>
              </w:rPr>
              <w:t>12</w:t>
            </w:r>
          </w:p>
        </w:tc>
      </w:tr>
      <w:tr w14:paraId="1837B99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30" w:type="pct"/>
            <w:gridSpan w:val="2"/>
            <w:tcBorders>
              <w:tl2br w:val="nil"/>
              <w:tr2bl w:val="nil"/>
            </w:tcBorders>
            <w:vAlign w:val="center"/>
          </w:tcPr>
          <w:p w14:paraId="483BD357">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28</w:t>
            </w:r>
          </w:p>
        </w:tc>
        <w:tc>
          <w:tcPr>
            <w:tcW w:w="464" w:type="pct"/>
            <w:tcBorders>
              <w:tl2br w:val="nil"/>
              <w:tr2bl w:val="nil"/>
            </w:tcBorders>
            <w:vAlign w:val="center"/>
          </w:tcPr>
          <w:p w14:paraId="16D98509">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1,2-二氯苯</w:t>
            </w:r>
          </w:p>
        </w:tc>
        <w:tc>
          <w:tcPr>
            <w:tcW w:w="406" w:type="pct"/>
            <w:gridSpan w:val="2"/>
            <w:tcBorders>
              <w:tl2br w:val="nil"/>
              <w:tr2bl w:val="nil"/>
            </w:tcBorders>
            <w:vAlign w:val="center"/>
          </w:tcPr>
          <w:p w14:paraId="387C67D3">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093C816B">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50F9F307">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7C4621A6">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723EB4BB">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560</w:t>
            </w:r>
          </w:p>
        </w:tc>
        <w:tc>
          <w:tcPr>
            <w:tcW w:w="427" w:type="pct"/>
            <w:gridSpan w:val="2"/>
            <w:tcBorders>
              <w:tl2br w:val="nil"/>
              <w:tr2bl w:val="nil"/>
            </w:tcBorders>
            <w:vAlign w:val="center"/>
          </w:tcPr>
          <w:p w14:paraId="6821882E">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15</w:t>
            </w:r>
          </w:p>
        </w:tc>
      </w:tr>
      <w:tr w14:paraId="036385B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230" w:type="pct"/>
            <w:gridSpan w:val="2"/>
            <w:tcBorders>
              <w:tl2br w:val="nil"/>
              <w:tr2bl w:val="nil"/>
            </w:tcBorders>
            <w:vAlign w:val="center"/>
          </w:tcPr>
          <w:p w14:paraId="0B8F9FBC">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29</w:t>
            </w:r>
          </w:p>
        </w:tc>
        <w:tc>
          <w:tcPr>
            <w:tcW w:w="464" w:type="pct"/>
            <w:tcBorders>
              <w:tl2br w:val="nil"/>
              <w:tr2bl w:val="nil"/>
            </w:tcBorders>
            <w:vAlign w:val="center"/>
          </w:tcPr>
          <w:p w14:paraId="68743DE9">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1,4-二氯苯</w:t>
            </w:r>
          </w:p>
        </w:tc>
        <w:tc>
          <w:tcPr>
            <w:tcW w:w="406" w:type="pct"/>
            <w:gridSpan w:val="2"/>
            <w:tcBorders>
              <w:tl2br w:val="nil"/>
              <w:tr2bl w:val="nil"/>
            </w:tcBorders>
            <w:vAlign w:val="center"/>
          </w:tcPr>
          <w:p w14:paraId="71F4E4AA">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187B9C1F">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05784098">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135509DA">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396BF07C">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20</w:t>
            </w:r>
          </w:p>
        </w:tc>
        <w:tc>
          <w:tcPr>
            <w:tcW w:w="427" w:type="pct"/>
            <w:gridSpan w:val="2"/>
            <w:tcBorders>
              <w:tl2br w:val="nil"/>
              <w:tr2bl w:val="nil"/>
            </w:tcBorders>
            <w:vAlign w:val="center"/>
          </w:tcPr>
          <w:p w14:paraId="0A16689D">
            <w:pPr>
              <w:autoSpaceDE/>
              <w:autoSpaceDN/>
              <w:spacing w:before="0" w:after="0" w:line="240" w:lineRule="auto"/>
              <w:ind w:left="0" w:firstLine="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0.001</w:t>
            </w:r>
            <w:r>
              <w:rPr>
                <w:rFonts w:hint="default" w:ascii="Times New Roman" w:hAnsi="Times New Roman" w:cs="Times New Roman"/>
                <w:sz w:val="21"/>
                <w:szCs w:val="21"/>
                <w:lang w:val="en-US" w:eastAsia="zh-CN"/>
              </w:rPr>
              <w:t>5</w:t>
            </w:r>
          </w:p>
        </w:tc>
      </w:tr>
      <w:tr w14:paraId="21D0EFE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230" w:type="pct"/>
            <w:gridSpan w:val="2"/>
            <w:tcBorders>
              <w:tl2br w:val="nil"/>
              <w:tr2bl w:val="nil"/>
            </w:tcBorders>
            <w:vAlign w:val="center"/>
          </w:tcPr>
          <w:p w14:paraId="16CCC63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30</w:t>
            </w:r>
          </w:p>
        </w:tc>
        <w:tc>
          <w:tcPr>
            <w:tcW w:w="464" w:type="pct"/>
            <w:tcBorders>
              <w:tl2br w:val="nil"/>
              <w:tr2bl w:val="nil"/>
            </w:tcBorders>
            <w:vAlign w:val="center"/>
          </w:tcPr>
          <w:p w14:paraId="535436D9">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乙苯</w:t>
            </w:r>
          </w:p>
        </w:tc>
        <w:tc>
          <w:tcPr>
            <w:tcW w:w="406" w:type="pct"/>
            <w:gridSpan w:val="2"/>
            <w:tcBorders>
              <w:tl2br w:val="nil"/>
              <w:tr2bl w:val="nil"/>
            </w:tcBorders>
            <w:vAlign w:val="center"/>
          </w:tcPr>
          <w:p w14:paraId="6D3C813F">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59A559CD">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4C8B6FBC">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5EACCAA8">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597B7E27">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28</w:t>
            </w:r>
          </w:p>
        </w:tc>
        <w:tc>
          <w:tcPr>
            <w:tcW w:w="427" w:type="pct"/>
            <w:gridSpan w:val="2"/>
            <w:tcBorders>
              <w:tl2br w:val="nil"/>
              <w:tr2bl w:val="nil"/>
            </w:tcBorders>
            <w:vAlign w:val="center"/>
          </w:tcPr>
          <w:p w14:paraId="0D0ED333">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12</w:t>
            </w:r>
          </w:p>
        </w:tc>
      </w:tr>
      <w:tr w14:paraId="6C6F9B0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6CE9B4FC">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31</w:t>
            </w:r>
          </w:p>
        </w:tc>
        <w:tc>
          <w:tcPr>
            <w:tcW w:w="464" w:type="pct"/>
            <w:tcBorders>
              <w:tl2br w:val="nil"/>
              <w:tr2bl w:val="nil"/>
            </w:tcBorders>
            <w:vAlign w:val="center"/>
          </w:tcPr>
          <w:p w14:paraId="5786F8A7">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苯乙烯</w:t>
            </w:r>
          </w:p>
        </w:tc>
        <w:tc>
          <w:tcPr>
            <w:tcW w:w="406" w:type="pct"/>
            <w:gridSpan w:val="2"/>
            <w:tcBorders>
              <w:tl2br w:val="nil"/>
              <w:tr2bl w:val="nil"/>
            </w:tcBorders>
            <w:vAlign w:val="center"/>
          </w:tcPr>
          <w:p w14:paraId="5BB164D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71C1E3CC">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3BF3001B">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002989F6">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44116CD9">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1290</w:t>
            </w:r>
          </w:p>
        </w:tc>
        <w:tc>
          <w:tcPr>
            <w:tcW w:w="427" w:type="pct"/>
            <w:gridSpan w:val="2"/>
            <w:tcBorders>
              <w:tl2br w:val="nil"/>
              <w:tr2bl w:val="nil"/>
            </w:tcBorders>
            <w:vAlign w:val="center"/>
          </w:tcPr>
          <w:p w14:paraId="621E45BF">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11</w:t>
            </w:r>
          </w:p>
        </w:tc>
      </w:tr>
      <w:tr w14:paraId="186DFC2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29ECA18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32</w:t>
            </w:r>
          </w:p>
        </w:tc>
        <w:tc>
          <w:tcPr>
            <w:tcW w:w="464" w:type="pct"/>
            <w:tcBorders>
              <w:tl2br w:val="nil"/>
              <w:tr2bl w:val="nil"/>
            </w:tcBorders>
            <w:vAlign w:val="center"/>
          </w:tcPr>
          <w:p w14:paraId="04DBD2D8">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甲苯</w:t>
            </w:r>
          </w:p>
        </w:tc>
        <w:tc>
          <w:tcPr>
            <w:tcW w:w="406" w:type="pct"/>
            <w:gridSpan w:val="2"/>
            <w:tcBorders>
              <w:tl2br w:val="nil"/>
              <w:tr2bl w:val="nil"/>
            </w:tcBorders>
            <w:vAlign w:val="center"/>
          </w:tcPr>
          <w:p w14:paraId="068EDB3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2D9F8685">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5C01B514">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0E625E24">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3DD645F7">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1200</w:t>
            </w:r>
          </w:p>
        </w:tc>
        <w:tc>
          <w:tcPr>
            <w:tcW w:w="427" w:type="pct"/>
            <w:gridSpan w:val="2"/>
            <w:tcBorders>
              <w:tl2br w:val="nil"/>
              <w:tr2bl w:val="nil"/>
            </w:tcBorders>
            <w:vAlign w:val="center"/>
          </w:tcPr>
          <w:p w14:paraId="3E441F71">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13</w:t>
            </w:r>
          </w:p>
        </w:tc>
      </w:tr>
      <w:tr w14:paraId="33899BB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54CEB2E1">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33</w:t>
            </w:r>
          </w:p>
        </w:tc>
        <w:tc>
          <w:tcPr>
            <w:tcW w:w="464" w:type="pct"/>
            <w:tcBorders>
              <w:tl2br w:val="nil"/>
              <w:tr2bl w:val="nil"/>
            </w:tcBorders>
            <w:vAlign w:val="center"/>
          </w:tcPr>
          <w:p w14:paraId="70B641FE">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间，对-二甲苯</w:t>
            </w:r>
          </w:p>
        </w:tc>
        <w:tc>
          <w:tcPr>
            <w:tcW w:w="406" w:type="pct"/>
            <w:gridSpan w:val="2"/>
            <w:tcBorders>
              <w:tl2br w:val="nil"/>
              <w:tr2bl w:val="nil"/>
            </w:tcBorders>
            <w:vAlign w:val="center"/>
          </w:tcPr>
          <w:p w14:paraId="6CDED857">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1D9FB3BE">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62A85DF7">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763F84CC">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346384BE">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570</w:t>
            </w:r>
          </w:p>
        </w:tc>
        <w:tc>
          <w:tcPr>
            <w:tcW w:w="427" w:type="pct"/>
            <w:gridSpan w:val="2"/>
            <w:tcBorders>
              <w:tl2br w:val="nil"/>
              <w:tr2bl w:val="nil"/>
            </w:tcBorders>
            <w:vAlign w:val="center"/>
          </w:tcPr>
          <w:p w14:paraId="156D5C84">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12</w:t>
            </w:r>
          </w:p>
        </w:tc>
      </w:tr>
      <w:tr w14:paraId="5CBF3A1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4C01E6B1">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34</w:t>
            </w:r>
          </w:p>
        </w:tc>
        <w:tc>
          <w:tcPr>
            <w:tcW w:w="464" w:type="pct"/>
            <w:tcBorders>
              <w:tl2br w:val="nil"/>
              <w:tr2bl w:val="nil"/>
            </w:tcBorders>
            <w:vAlign w:val="center"/>
          </w:tcPr>
          <w:p w14:paraId="688C11A1">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邻二甲苯</w:t>
            </w:r>
          </w:p>
        </w:tc>
        <w:tc>
          <w:tcPr>
            <w:tcW w:w="406" w:type="pct"/>
            <w:gridSpan w:val="2"/>
            <w:tcBorders>
              <w:tl2br w:val="nil"/>
              <w:tr2bl w:val="nil"/>
            </w:tcBorders>
            <w:vAlign w:val="center"/>
          </w:tcPr>
          <w:p w14:paraId="284F0A04">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2CC86734">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24D73D0E">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6CF50F93">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1223B937">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640</w:t>
            </w:r>
          </w:p>
        </w:tc>
        <w:tc>
          <w:tcPr>
            <w:tcW w:w="427" w:type="pct"/>
            <w:gridSpan w:val="2"/>
            <w:tcBorders>
              <w:tl2br w:val="nil"/>
              <w:tr2bl w:val="nil"/>
            </w:tcBorders>
            <w:vAlign w:val="center"/>
          </w:tcPr>
          <w:p w14:paraId="61DA283E">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rPr>
              <w:t>0.00</w:t>
            </w:r>
            <w:r>
              <w:rPr>
                <w:rFonts w:hint="default" w:ascii="Times New Roman" w:hAnsi="Times New Roman" w:cs="Times New Roman"/>
                <w:sz w:val="21"/>
                <w:szCs w:val="21"/>
                <w:lang w:val="en-US" w:eastAsia="zh-CN"/>
              </w:rPr>
              <w:t>12</w:t>
            </w:r>
          </w:p>
        </w:tc>
      </w:tr>
      <w:tr w14:paraId="5BB5D3F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18790F3F">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35</w:t>
            </w:r>
          </w:p>
        </w:tc>
        <w:tc>
          <w:tcPr>
            <w:tcW w:w="464" w:type="pct"/>
            <w:tcBorders>
              <w:tl2br w:val="nil"/>
              <w:tr2bl w:val="nil"/>
            </w:tcBorders>
            <w:vAlign w:val="center"/>
          </w:tcPr>
          <w:p w14:paraId="2BE13E6A">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硝基苯</w:t>
            </w:r>
          </w:p>
        </w:tc>
        <w:tc>
          <w:tcPr>
            <w:tcW w:w="406" w:type="pct"/>
            <w:gridSpan w:val="2"/>
            <w:tcBorders>
              <w:tl2br w:val="nil"/>
              <w:tr2bl w:val="nil"/>
            </w:tcBorders>
            <w:vAlign w:val="center"/>
          </w:tcPr>
          <w:p w14:paraId="0D2B842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07A1FA04">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76C1A1B4">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15CA9E6B">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603CB86F">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76</w:t>
            </w:r>
          </w:p>
        </w:tc>
        <w:tc>
          <w:tcPr>
            <w:tcW w:w="427" w:type="pct"/>
            <w:gridSpan w:val="2"/>
            <w:tcBorders>
              <w:tl2br w:val="nil"/>
              <w:tr2bl w:val="nil"/>
            </w:tcBorders>
            <w:vAlign w:val="center"/>
          </w:tcPr>
          <w:p w14:paraId="5B546D0E">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0.09</w:t>
            </w:r>
          </w:p>
        </w:tc>
      </w:tr>
      <w:tr w14:paraId="51FC30F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6F2A511F">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sz w:val="21"/>
                <w:szCs w:val="21"/>
              </w:rPr>
              <w:t>36</w:t>
            </w:r>
          </w:p>
        </w:tc>
        <w:tc>
          <w:tcPr>
            <w:tcW w:w="464" w:type="pct"/>
            <w:tcBorders>
              <w:tl2br w:val="nil"/>
              <w:tr2bl w:val="nil"/>
            </w:tcBorders>
            <w:vAlign w:val="center"/>
          </w:tcPr>
          <w:p w14:paraId="10B7F1B5">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苯胺</w:t>
            </w:r>
          </w:p>
        </w:tc>
        <w:tc>
          <w:tcPr>
            <w:tcW w:w="406" w:type="pct"/>
            <w:gridSpan w:val="2"/>
            <w:tcBorders>
              <w:tl2br w:val="nil"/>
              <w:tr2bl w:val="nil"/>
            </w:tcBorders>
            <w:vAlign w:val="center"/>
          </w:tcPr>
          <w:p w14:paraId="2DAD391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56D9B777">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0A4684D9">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60248217">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2D8AFD49">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260</w:t>
            </w:r>
          </w:p>
        </w:tc>
        <w:tc>
          <w:tcPr>
            <w:tcW w:w="427" w:type="pct"/>
            <w:gridSpan w:val="2"/>
            <w:tcBorders>
              <w:tl2br w:val="nil"/>
              <w:tr2bl w:val="nil"/>
            </w:tcBorders>
            <w:vAlign w:val="center"/>
          </w:tcPr>
          <w:p w14:paraId="0A2F471A">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0.1</w:t>
            </w:r>
          </w:p>
        </w:tc>
      </w:tr>
      <w:tr w14:paraId="6A92BEB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7052BA8E">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37</w:t>
            </w:r>
          </w:p>
        </w:tc>
        <w:tc>
          <w:tcPr>
            <w:tcW w:w="464" w:type="pct"/>
            <w:tcBorders>
              <w:tl2br w:val="nil"/>
              <w:tr2bl w:val="nil"/>
            </w:tcBorders>
            <w:vAlign w:val="center"/>
          </w:tcPr>
          <w:p w14:paraId="179FB264">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kern w:val="1"/>
                <w:sz w:val="21"/>
                <w:szCs w:val="21"/>
              </w:rPr>
              <w:t>2-氯酚</w:t>
            </w:r>
          </w:p>
        </w:tc>
        <w:tc>
          <w:tcPr>
            <w:tcW w:w="406" w:type="pct"/>
            <w:gridSpan w:val="2"/>
            <w:tcBorders>
              <w:tl2br w:val="nil"/>
              <w:tr2bl w:val="nil"/>
            </w:tcBorders>
            <w:vAlign w:val="center"/>
          </w:tcPr>
          <w:p w14:paraId="00B68491">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3FFCD09D">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61589A56">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7F3BAFB1">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42B319A9">
            <w:pPr>
              <w:autoSpaceDE/>
              <w:autoSpaceDN/>
              <w:spacing w:before="0" w:after="0" w:line="240" w:lineRule="auto"/>
              <w:ind w:left="0" w:firstLine="0"/>
              <w:jc w:val="center"/>
              <w:rPr>
                <w:rFonts w:hint="default" w:ascii="Times New Roman" w:hAnsi="Times New Roman" w:eastAsia="宋体" w:cs="Times New Roman"/>
                <w:color w:val="FF0000"/>
                <w:kern w:val="2"/>
                <w:sz w:val="21"/>
                <w:szCs w:val="21"/>
                <w:lang w:val="en-US" w:eastAsia="zh-CN" w:bidi="ar-SA"/>
              </w:rPr>
            </w:pPr>
            <w:r>
              <w:rPr>
                <w:rFonts w:hint="default" w:ascii="Times New Roman" w:hAnsi="Times New Roman" w:eastAsia="宋体" w:cs="Times New Roman"/>
                <w:sz w:val="21"/>
                <w:szCs w:val="21"/>
                <w:lang w:val="en-US" w:eastAsia="zh-CN"/>
              </w:rPr>
              <w:t>2256</w:t>
            </w:r>
          </w:p>
        </w:tc>
        <w:tc>
          <w:tcPr>
            <w:tcW w:w="427" w:type="pct"/>
            <w:gridSpan w:val="2"/>
            <w:tcBorders>
              <w:tl2br w:val="nil"/>
              <w:tr2bl w:val="nil"/>
            </w:tcBorders>
            <w:vAlign w:val="center"/>
          </w:tcPr>
          <w:p w14:paraId="3540D46E">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0.06</w:t>
            </w:r>
          </w:p>
        </w:tc>
      </w:tr>
      <w:tr w14:paraId="25917CB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27AA791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38</w:t>
            </w:r>
          </w:p>
        </w:tc>
        <w:tc>
          <w:tcPr>
            <w:tcW w:w="464" w:type="pct"/>
            <w:tcBorders>
              <w:tl2br w:val="nil"/>
              <w:tr2bl w:val="nil"/>
            </w:tcBorders>
            <w:vAlign w:val="center"/>
          </w:tcPr>
          <w:p w14:paraId="16447E6B">
            <w:pPr>
              <w:autoSpaceDE/>
              <w:autoSpaceDN/>
              <w:spacing w:before="0" w:after="0" w:line="240" w:lineRule="auto"/>
              <w:ind w:left="0" w:firstLine="0"/>
              <w:jc w:val="center"/>
              <w:rPr>
                <w:rFonts w:hint="default" w:ascii="Times New Roman" w:hAnsi="Times New Roman" w:cs="Times New Roman"/>
                <w:color w:val="000000"/>
                <w:kern w:val="1"/>
                <w:sz w:val="21"/>
                <w:szCs w:val="21"/>
              </w:rPr>
            </w:pPr>
            <w:r>
              <w:rPr>
                <w:rFonts w:hint="default" w:ascii="Times New Roman" w:hAnsi="Times New Roman" w:cs="Times New Roman"/>
                <w:color w:val="000000"/>
                <w:kern w:val="1"/>
                <w:sz w:val="21"/>
                <w:szCs w:val="21"/>
              </w:rPr>
              <w:t>苯并[α]蒽</w:t>
            </w:r>
          </w:p>
        </w:tc>
        <w:tc>
          <w:tcPr>
            <w:tcW w:w="406" w:type="pct"/>
            <w:gridSpan w:val="2"/>
            <w:tcBorders>
              <w:tl2br w:val="nil"/>
              <w:tr2bl w:val="nil"/>
            </w:tcBorders>
            <w:vAlign w:val="center"/>
          </w:tcPr>
          <w:p w14:paraId="52AC3524">
            <w:pPr>
              <w:autoSpaceDE/>
              <w:autoSpaceDN/>
              <w:spacing w:before="0" w:after="0" w:line="240" w:lineRule="auto"/>
              <w:ind w:left="0" w:firstLine="0"/>
              <w:jc w:val="center"/>
              <w:rPr>
                <w:rFonts w:hint="default" w:ascii="Times New Roman" w:hAnsi="Times New Roman" w:cs="Times New Roman"/>
                <w:bCs/>
                <w:kern w:val="0"/>
                <w:sz w:val="21"/>
                <w:szCs w:val="21"/>
                <w:lang w:bidi="ar"/>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4CCA2C27">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3177A0C6">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243476AD">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15868CB6">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15</w:t>
            </w:r>
          </w:p>
        </w:tc>
        <w:tc>
          <w:tcPr>
            <w:tcW w:w="427" w:type="pct"/>
            <w:gridSpan w:val="2"/>
            <w:tcBorders>
              <w:tl2br w:val="nil"/>
              <w:tr2bl w:val="nil"/>
            </w:tcBorders>
            <w:vAlign w:val="center"/>
          </w:tcPr>
          <w:p w14:paraId="0E1322DA">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0.1</w:t>
            </w:r>
          </w:p>
        </w:tc>
      </w:tr>
      <w:tr w14:paraId="2676A37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0AD1F935">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39</w:t>
            </w:r>
          </w:p>
        </w:tc>
        <w:tc>
          <w:tcPr>
            <w:tcW w:w="464" w:type="pct"/>
            <w:tcBorders>
              <w:tl2br w:val="nil"/>
              <w:tr2bl w:val="nil"/>
            </w:tcBorders>
            <w:vAlign w:val="center"/>
          </w:tcPr>
          <w:p w14:paraId="4B13302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苯并[α]芘</w:t>
            </w:r>
          </w:p>
        </w:tc>
        <w:tc>
          <w:tcPr>
            <w:tcW w:w="406" w:type="pct"/>
            <w:gridSpan w:val="2"/>
            <w:tcBorders>
              <w:tl2br w:val="nil"/>
              <w:tr2bl w:val="nil"/>
            </w:tcBorders>
            <w:vAlign w:val="center"/>
          </w:tcPr>
          <w:p w14:paraId="0EE2B4C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2F9E117D">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71FA0450">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7C7B99F3">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293DC442">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1.5</w:t>
            </w:r>
          </w:p>
        </w:tc>
        <w:tc>
          <w:tcPr>
            <w:tcW w:w="427" w:type="pct"/>
            <w:gridSpan w:val="2"/>
            <w:tcBorders>
              <w:tl2br w:val="nil"/>
              <w:tr2bl w:val="nil"/>
            </w:tcBorders>
            <w:vAlign w:val="center"/>
          </w:tcPr>
          <w:p w14:paraId="51E51935">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0.1</w:t>
            </w:r>
          </w:p>
        </w:tc>
      </w:tr>
      <w:tr w14:paraId="6DDF4FD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1A72C6E8">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40</w:t>
            </w:r>
          </w:p>
        </w:tc>
        <w:tc>
          <w:tcPr>
            <w:tcW w:w="464" w:type="pct"/>
            <w:tcBorders>
              <w:tl2br w:val="nil"/>
              <w:tr2bl w:val="nil"/>
            </w:tcBorders>
            <w:vAlign w:val="center"/>
          </w:tcPr>
          <w:p w14:paraId="15DFD054">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苯并[b]荧蒽</w:t>
            </w:r>
          </w:p>
        </w:tc>
        <w:tc>
          <w:tcPr>
            <w:tcW w:w="406" w:type="pct"/>
            <w:gridSpan w:val="2"/>
            <w:tcBorders>
              <w:tl2br w:val="nil"/>
              <w:tr2bl w:val="nil"/>
            </w:tcBorders>
            <w:vAlign w:val="center"/>
          </w:tcPr>
          <w:p w14:paraId="79EEE548">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0E9E8359">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66557C14">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25AC338D">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04A8C14F">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15</w:t>
            </w:r>
          </w:p>
        </w:tc>
        <w:tc>
          <w:tcPr>
            <w:tcW w:w="427" w:type="pct"/>
            <w:gridSpan w:val="2"/>
            <w:tcBorders>
              <w:tl2br w:val="nil"/>
              <w:tr2bl w:val="nil"/>
            </w:tcBorders>
            <w:vAlign w:val="center"/>
          </w:tcPr>
          <w:p w14:paraId="178A132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0.2</w:t>
            </w:r>
          </w:p>
        </w:tc>
      </w:tr>
      <w:tr w14:paraId="28E8768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30" w:type="pct"/>
            <w:gridSpan w:val="2"/>
            <w:tcBorders>
              <w:tl2br w:val="nil"/>
              <w:tr2bl w:val="nil"/>
            </w:tcBorders>
            <w:vAlign w:val="center"/>
          </w:tcPr>
          <w:p w14:paraId="7847239E">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41</w:t>
            </w:r>
          </w:p>
        </w:tc>
        <w:tc>
          <w:tcPr>
            <w:tcW w:w="464" w:type="pct"/>
            <w:tcBorders>
              <w:tl2br w:val="nil"/>
              <w:tr2bl w:val="nil"/>
            </w:tcBorders>
            <w:vAlign w:val="center"/>
          </w:tcPr>
          <w:p w14:paraId="0951BB1D">
            <w:pPr>
              <w:autoSpaceDE/>
              <w:autoSpaceDN/>
              <w:spacing w:before="0" w:after="0" w:line="360" w:lineRule="exact"/>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苯并[k]荧蒽</w:t>
            </w:r>
          </w:p>
        </w:tc>
        <w:tc>
          <w:tcPr>
            <w:tcW w:w="406" w:type="pct"/>
            <w:gridSpan w:val="2"/>
            <w:tcBorders>
              <w:tl2br w:val="nil"/>
              <w:tr2bl w:val="nil"/>
            </w:tcBorders>
            <w:vAlign w:val="center"/>
          </w:tcPr>
          <w:p w14:paraId="253B06CF">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1B621C0E">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7468038D">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76A7A382">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7F9212CF">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151</w:t>
            </w:r>
          </w:p>
        </w:tc>
        <w:tc>
          <w:tcPr>
            <w:tcW w:w="427" w:type="pct"/>
            <w:gridSpan w:val="2"/>
            <w:tcBorders>
              <w:tl2br w:val="nil"/>
              <w:tr2bl w:val="nil"/>
            </w:tcBorders>
            <w:vAlign w:val="center"/>
          </w:tcPr>
          <w:p w14:paraId="5D9990CE">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0.1</w:t>
            </w:r>
          </w:p>
        </w:tc>
      </w:tr>
      <w:tr w14:paraId="47EA542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48572F91">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42</w:t>
            </w:r>
          </w:p>
        </w:tc>
        <w:tc>
          <w:tcPr>
            <w:tcW w:w="464" w:type="pct"/>
            <w:tcBorders>
              <w:tl2br w:val="nil"/>
              <w:tr2bl w:val="nil"/>
            </w:tcBorders>
            <w:vAlign w:val="center"/>
          </w:tcPr>
          <w:p w14:paraId="742EDC46">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䓛</w:t>
            </w:r>
          </w:p>
        </w:tc>
        <w:tc>
          <w:tcPr>
            <w:tcW w:w="406" w:type="pct"/>
            <w:gridSpan w:val="2"/>
            <w:tcBorders>
              <w:tl2br w:val="nil"/>
              <w:tr2bl w:val="nil"/>
            </w:tcBorders>
            <w:vAlign w:val="center"/>
          </w:tcPr>
          <w:p w14:paraId="4F812C77">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4120B4A7">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16464D85">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6B36DA3F">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3A0D70FA">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1293</w:t>
            </w:r>
          </w:p>
        </w:tc>
        <w:tc>
          <w:tcPr>
            <w:tcW w:w="427" w:type="pct"/>
            <w:gridSpan w:val="2"/>
            <w:tcBorders>
              <w:tl2br w:val="nil"/>
              <w:tr2bl w:val="nil"/>
            </w:tcBorders>
            <w:vAlign w:val="center"/>
          </w:tcPr>
          <w:p w14:paraId="77A60E1F">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0.1</w:t>
            </w:r>
          </w:p>
        </w:tc>
      </w:tr>
      <w:tr w14:paraId="2400F34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7309BE9B">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43</w:t>
            </w:r>
          </w:p>
        </w:tc>
        <w:tc>
          <w:tcPr>
            <w:tcW w:w="464" w:type="pct"/>
            <w:tcBorders>
              <w:tl2br w:val="nil"/>
              <w:tr2bl w:val="nil"/>
            </w:tcBorders>
            <w:vAlign w:val="center"/>
          </w:tcPr>
          <w:p w14:paraId="07F2AD60">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二苯并[α，h]蒽</w:t>
            </w:r>
          </w:p>
        </w:tc>
        <w:tc>
          <w:tcPr>
            <w:tcW w:w="406" w:type="pct"/>
            <w:gridSpan w:val="2"/>
            <w:tcBorders>
              <w:tl2br w:val="nil"/>
              <w:tr2bl w:val="nil"/>
            </w:tcBorders>
            <w:vAlign w:val="center"/>
          </w:tcPr>
          <w:p w14:paraId="0D802797">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5F31E79A">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150E9C3B">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26782296">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4365E7AD">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1.5</w:t>
            </w:r>
          </w:p>
        </w:tc>
        <w:tc>
          <w:tcPr>
            <w:tcW w:w="427" w:type="pct"/>
            <w:gridSpan w:val="2"/>
            <w:tcBorders>
              <w:tl2br w:val="nil"/>
              <w:tr2bl w:val="nil"/>
            </w:tcBorders>
            <w:vAlign w:val="center"/>
          </w:tcPr>
          <w:p w14:paraId="0170BC98">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0.1</w:t>
            </w:r>
          </w:p>
        </w:tc>
      </w:tr>
      <w:tr w14:paraId="054848A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02C005B4">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44</w:t>
            </w:r>
          </w:p>
        </w:tc>
        <w:tc>
          <w:tcPr>
            <w:tcW w:w="464" w:type="pct"/>
            <w:tcBorders>
              <w:tl2br w:val="nil"/>
              <w:tr2bl w:val="nil"/>
            </w:tcBorders>
            <w:vAlign w:val="center"/>
          </w:tcPr>
          <w:p w14:paraId="01A6F084">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color w:val="000000"/>
                <w:kern w:val="1"/>
                <w:sz w:val="21"/>
                <w:szCs w:val="21"/>
              </w:rPr>
              <w:t>茚并[1,2,3-cd]芘</w:t>
            </w:r>
          </w:p>
        </w:tc>
        <w:tc>
          <w:tcPr>
            <w:tcW w:w="406" w:type="pct"/>
            <w:gridSpan w:val="2"/>
            <w:tcBorders>
              <w:tl2br w:val="nil"/>
              <w:tr2bl w:val="nil"/>
            </w:tcBorders>
            <w:vAlign w:val="center"/>
          </w:tcPr>
          <w:p w14:paraId="11CADF19">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45001791">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63ACADD5">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3EE9921D">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27F847F2">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15</w:t>
            </w:r>
          </w:p>
        </w:tc>
        <w:tc>
          <w:tcPr>
            <w:tcW w:w="427" w:type="pct"/>
            <w:gridSpan w:val="2"/>
            <w:tcBorders>
              <w:tl2br w:val="nil"/>
              <w:tr2bl w:val="nil"/>
            </w:tcBorders>
            <w:vAlign w:val="center"/>
          </w:tcPr>
          <w:p w14:paraId="2353B91D">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0.1</w:t>
            </w:r>
          </w:p>
        </w:tc>
      </w:tr>
      <w:tr w14:paraId="17F6F20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6651F64B">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45</w:t>
            </w:r>
          </w:p>
        </w:tc>
        <w:tc>
          <w:tcPr>
            <w:tcW w:w="464" w:type="pct"/>
            <w:tcBorders>
              <w:tl2br w:val="nil"/>
              <w:tr2bl w:val="nil"/>
            </w:tcBorders>
            <w:vAlign w:val="center"/>
          </w:tcPr>
          <w:p w14:paraId="6749B112">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萘</w:t>
            </w:r>
          </w:p>
        </w:tc>
        <w:tc>
          <w:tcPr>
            <w:tcW w:w="406" w:type="pct"/>
            <w:gridSpan w:val="2"/>
            <w:tcBorders>
              <w:tl2br w:val="nil"/>
              <w:tr2bl w:val="nil"/>
            </w:tcBorders>
            <w:vAlign w:val="center"/>
          </w:tcPr>
          <w:p w14:paraId="4A1C50CB">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bCs/>
                <w:kern w:val="0"/>
                <w:sz w:val="21"/>
                <w:szCs w:val="21"/>
                <w:lang w:bidi="ar"/>
              </w:rPr>
              <w:t>mg/kg</w:t>
            </w:r>
          </w:p>
        </w:tc>
        <w:tc>
          <w:tcPr>
            <w:tcW w:w="1023" w:type="pct"/>
            <w:gridSpan w:val="3"/>
            <w:tcBorders>
              <w:tl2br w:val="nil"/>
              <w:tr2bl w:val="nil"/>
            </w:tcBorders>
            <w:vAlign w:val="center"/>
          </w:tcPr>
          <w:p w14:paraId="2C1D9498">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261A44F1">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1023" w:type="pct"/>
            <w:gridSpan w:val="3"/>
            <w:tcBorders>
              <w:tl2br w:val="nil"/>
              <w:tr2bl w:val="nil"/>
            </w:tcBorders>
            <w:vAlign w:val="center"/>
          </w:tcPr>
          <w:p w14:paraId="1AAAE0EE">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59B0F09F">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70</w:t>
            </w:r>
          </w:p>
        </w:tc>
        <w:tc>
          <w:tcPr>
            <w:tcW w:w="427" w:type="pct"/>
            <w:gridSpan w:val="2"/>
            <w:tcBorders>
              <w:tl2br w:val="nil"/>
              <w:tr2bl w:val="nil"/>
            </w:tcBorders>
            <w:vAlign w:val="center"/>
          </w:tcPr>
          <w:p w14:paraId="74C12523">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0.09</w:t>
            </w:r>
          </w:p>
        </w:tc>
      </w:tr>
      <w:tr w14:paraId="51CECED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3217E668">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46</w:t>
            </w:r>
          </w:p>
        </w:tc>
        <w:tc>
          <w:tcPr>
            <w:tcW w:w="464" w:type="pct"/>
            <w:tcBorders>
              <w:tl2br w:val="nil"/>
              <w:tr2bl w:val="nil"/>
            </w:tcBorders>
            <w:shd w:val="clear" w:color="auto" w:fill="auto"/>
            <w:vAlign w:val="center"/>
          </w:tcPr>
          <w:p w14:paraId="0E517844">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pH</w:t>
            </w:r>
          </w:p>
        </w:tc>
        <w:tc>
          <w:tcPr>
            <w:tcW w:w="406" w:type="pct"/>
            <w:gridSpan w:val="2"/>
            <w:tcBorders>
              <w:tl2br w:val="nil"/>
              <w:tr2bl w:val="nil"/>
            </w:tcBorders>
            <w:shd w:val="clear" w:color="auto" w:fill="auto"/>
            <w:vAlign w:val="center"/>
          </w:tcPr>
          <w:p w14:paraId="79FE223D">
            <w:pPr>
              <w:autoSpaceDE/>
              <w:autoSpaceDN/>
              <w:spacing w:before="0" w:after="0" w:line="240" w:lineRule="auto"/>
              <w:ind w:left="0" w:firstLine="0"/>
              <w:jc w:val="center"/>
              <w:rPr>
                <w:rFonts w:hint="default" w:ascii="Times New Roman" w:hAnsi="Times New Roman" w:eastAsia="宋体" w:cs="Times New Roman"/>
                <w:bCs/>
                <w:kern w:val="0"/>
                <w:sz w:val="21"/>
                <w:szCs w:val="21"/>
                <w:lang w:val="en-US" w:eastAsia="zh-CN" w:bidi="ar"/>
              </w:rPr>
            </w:pPr>
            <w:r>
              <w:rPr>
                <w:rFonts w:hint="default" w:ascii="Times New Roman" w:hAnsi="Times New Roman" w:cs="Times New Roman"/>
                <w:bCs/>
                <w:kern w:val="0"/>
                <w:sz w:val="21"/>
                <w:szCs w:val="21"/>
                <w:lang w:bidi="ar"/>
              </w:rPr>
              <w:t>无量纲</w:t>
            </w:r>
          </w:p>
        </w:tc>
        <w:tc>
          <w:tcPr>
            <w:tcW w:w="1023" w:type="pct"/>
            <w:gridSpan w:val="3"/>
            <w:tcBorders>
              <w:tl2br w:val="nil"/>
              <w:tr2bl w:val="nil"/>
            </w:tcBorders>
            <w:shd w:val="clear" w:color="auto" w:fill="auto"/>
            <w:vAlign w:val="center"/>
          </w:tcPr>
          <w:p w14:paraId="65F4F9F7">
            <w:pPr>
              <w:autoSpaceDE/>
              <w:autoSpaceDN/>
              <w:spacing w:before="0" w:after="0" w:line="240" w:lineRule="auto"/>
              <w:ind w:left="0" w:firstLine="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7.8</w:t>
            </w:r>
          </w:p>
        </w:tc>
        <w:tc>
          <w:tcPr>
            <w:tcW w:w="1023" w:type="pct"/>
            <w:gridSpan w:val="3"/>
            <w:tcBorders>
              <w:tl2br w:val="nil"/>
              <w:tr2bl w:val="nil"/>
            </w:tcBorders>
            <w:shd w:val="clear" w:color="auto" w:fill="auto"/>
            <w:vAlign w:val="center"/>
          </w:tcPr>
          <w:p w14:paraId="66928E6F">
            <w:pPr>
              <w:autoSpaceDE/>
              <w:autoSpaceDN/>
              <w:spacing w:before="0" w:after="0" w:line="240" w:lineRule="auto"/>
              <w:ind w:left="0" w:firstLine="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7.7</w:t>
            </w:r>
          </w:p>
        </w:tc>
        <w:tc>
          <w:tcPr>
            <w:tcW w:w="1023" w:type="pct"/>
            <w:gridSpan w:val="3"/>
            <w:tcBorders>
              <w:tl2br w:val="nil"/>
              <w:tr2bl w:val="nil"/>
            </w:tcBorders>
            <w:shd w:val="clear" w:color="auto" w:fill="auto"/>
            <w:vAlign w:val="center"/>
          </w:tcPr>
          <w:p w14:paraId="33854260">
            <w:pPr>
              <w:autoSpaceDE/>
              <w:autoSpaceDN/>
              <w:spacing w:before="0" w:after="0" w:line="240" w:lineRule="auto"/>
              <w:ind w:left="0" w:firstLine="0"/>
              <w:jc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7.7</w:t>
            </w:r>
          </w:p>
        </w:tc>
        <w:tc>
          <w:tcPr>
            <w:tcW w:w="399" w:type="pct"/>
            <w:tcBorders>
              <w:tl2br w:val="nil"/>
              <w:tr2bl w:val="nil"/>
            </w:tcBorders>
            <w:shd w:val="clear" w:color="auto" w:fill="auto"/>
            <w:vAlign w:val="center"/>
          </w:tcPr>
          <w:p w14:paraId="286F82F3">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w:t>
            </w:r>
          </w:p>
        </w:tc>
        <w:tc>
          <w:tcPr>
            <w:tcW w:w="427" w:type="pct"/>
            <w:gridSpan w:val="2"/>
            <w:tcBorders>
              <w:tl2br w:val="nil"/>
              <w:tr2bl w:val="nil"/>
            </w:tcBorders>
            <w:shd w:val="clear" w:color="auto" w:fill="auto"/>
            <w:vAlign w:val="center"/>
          </w:tcPr>
          <w:p w14:paraId="087309C8">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w:t>
            </w:r>
          </w:p>
        </w:tc>
      </w:tr>
      <w:tr w14:paraId="31F2BDC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30" w:type="pct"/>
            <w:gridSpan w:val="2"/>
            <w:tcBorders>
              <w:tl2br w:val="nil"/>
              <w:tr2bl w:val="nil"/>
            </w:tcBorders>
            <w:vAlign w:val="center"/>
          </w:tcPr>
          <w:p w14:paraId="7841D8CD">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47</w:t>
            </w:r>
          </w:p>
        </w:tc>
        <w:tc>
          <w:tcPr>
            <w:tcW w:w="464" w:type="pct"/>
            <w:tcBorders>
              <w:tl2br w:val="nil"/>
              <w:tr2bl w:val="nil"/>
            </w:tcBorders>
            <w:shd w:val="clear" w:color="auto" w:fill="auto"/>
            <w:vAlign w:val="center"/>
          </w:tcPr>
          <w:p w14:paraId="53EAFF1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水溶性盐总量</w:t>
            </w:r>
          </w:p>
        </w:tc>
        <w:tc>
          <w:tcPr>
            <w:tcW w:w="406" w:type="pct"/>
            <w:gridSpan w:val="2"/>
            <w:tcBorders>
              <w:tl2br w:val="nil"/>
              <w:tr2bl w:val="nil"/>
            </w:tcBorders>
            <w:shd w:val="clear" w:color="auto" w:fill="auto"/>
            <w:vAlign w:val="center"/>
          </w:tcPr>
          <w:p w14:paraId="3B4D0DFF">
            <w:pPr>
              <w:autoSpaceDE/>
              <w:autoSpaceDN/>
              <w:spacing w:before="0" w:after="0" w:line="240" w:lineRule="auto"/>
              <w:ind w:left="0" w:firstLine="0"/>
              <w:jc w:val="center"/>
              <w:rPr>
                <w:rFonts w:hint="default" w:ascii="Times New Roman" w:hAnsi="Times New Roman" w:cs="Times New Roman"/>
                <w:bCs/>
                <w:kern w:val="0"/>
                <w:sz w:val="21"/>
                <w:szCs w:val="21"/>
                <w:lang w:bidi="ar"/>
              </w:rPr>
            </w:pPr>
            <w:r>
              <w:rPr>
                <w:rFonts w:hint="default" w:ascii="Times New Roman" w:hAnsi="Times New Roman" w:cs="Times New Roman"/>
                <w:bCs/>
                <w:kern w:val="0"/>
                <w:sz w:val="21"/>
                <w:szCs w:val="21"/>
                <w:lang w:bidi="ar"/>
              </w:rPr>
              <w:t>g/kg</w:t>
            </w:r>
          </w:p>
        </w:tc>
        <w:tc>
          <w:tcPr>
            <w:tcW w:w="1023" w:type="pct"/>
            <w:gridSpan w:val="3"/>
            <w:tcBorders>
              <w:tl2br w:val="nil"/>
              <w:tr2bl w:val="nil"/>
            </w:tcBorders>
            <w:shd w:val="clear" w:color="auto" w:fill="auto"/>
            <w:vAlign w:val="center"/>
          </w:tcPr>
          <w:p w14:paraId="7AA02D34">
            <w:pPr>
              <w:autoSpaceDE/>
              <w:autoSpaceDN/>
              <w:spacing w:before="0" w:after="0" w:line="240" w:lineRule="auto"/>
              <w:ind w:left="0" w:firstLine="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12.0</w:t>
            </w:r>
          </w:p>
        </w:tc>
        <w:tc>
          <w:tcPr>
            <w:tcW w:w="1023" w:type="pct"/>
            <w:gridSpan w:val="3"/>
            <w:tcBorders>
              <w:tl2br w:val="nil"/>
              <w:tr2bl w:val="nil"/>
            </w:tcBorders>
            <w:shd w:val="clear" w:color="auto" w:fill="auto"/>
            <w:vAlign w:val="center"/>
          </w:tcPr>
          <w:p w14:paraId="623D86C2">
            <w:pPr>
              <w:autoSpaceDE/>
              <w:autoSpaceDN/>
              <w:spacing w:before="0" w:after="0" w:line="240" w:lineRule="auto"/>
              <w:ind w:left="0" w:firstLine="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5.0</w:t>
            </w:r>
          </w:p>
        </w:tc>
        <w:tc>
          <w:tcPr>
            <w:tcW w:w="1023" w:type="pct"/>
            <w:gridSpan w:val="3"/>
            <w:tcBorders>
              <w:tl2br w:val="nil"/>
              <w:tr2bl w:val="nil"/>
            </w:tcBorders>
            <w:shd w:val="clear" w:color="auto" w:fill="auto"/>
            <w:vAlign w:val="center"/>
          </w:tcPr>
          <w:p w14:paraId="0F06A872">
            <w:pPr>
              <w:autoSpaceDE/>
              <w:autoSpaceDN/>
              <w:spacing w:before="0" w:after="0" w:line="240" w:lineRule="auto"/>
              <w:ind w:left="0" w:firstLine="0"/>
              <w:jc w:val="center"/>
              <w:rPr>
                <w:rFonts w:hint="default" w:ascii="Times New Roman" w:hAnsi="Times New Roman" w:cs="Times New Roman"/>
                <w:color w:val="000000"/>
                <w:kern w:val="2"/>
                <w:sz w:val="21"/>
                <w:szCs w:val="21"/>
                <w:lang w:val="en-US" w:eastAsia="zh-CN" w:bidi="ar-SA"/>
              </w:rPr>
            </w:pPr>
            <w:r>
              <w:rPr>
                <w:rFonts w:hint="default" w:ascii="Times New Roman" w:hAnsi="Times New Roman" w:cs="Times New Roman"/>
                <w:color w:val="000000"/>
                <w:kern w:val="2"/>
                <w:sz w:val="21"/>
                <w:szCs w:val="21"/>
                <w:lang w:val="en-US" w:eastAsia="zh-CN" w:bidi="ar-SA"/>
              </w:rPr>
              <w:t>2.4</w:t>
            </w:r>
          </w:p>
        </w:tc>
        <w:tc>
          <w:tcPr>
            <w:tcW w:w="399" w:type="pct"/>
            <w:tcBorders>
              <w:tl2br w:val="nil"/>
              <w:tr2bl w:val="nil"/>
            </w:tcBorders>
            <w:shd w:val="clear" w:color="auto" w:fill="auto"/>
            <w:vAlign w:val="center"/>
          </w:tcPr>
          <w:p w14:paraId="496F0FA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427" w:type="pct"/>
            <w:gridSpan w:val="2"/>
            <w:tcBorders>
              <w:tl2br w:val="nil"/>
              <w:tr2bl w:val="nil"/>
            </w:tcBorders>
            <w:shd w:val="clear" w:color="auto" w:fill="auto"/>
            <w:vAlign w:val="center"/>
          </w:tcPr>
          <w:p w14:paraId="058D336F">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r>
      <w:tr w14:paraId="2BA87F0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160" w:hRule="atLeast"/>
          <w:jc w:val="center"/>
        </w:trPr>
        <w:tc>
          <w:tcPr>
            <w:tcW w:w="229" w:type="pct"/>
            <w:vMerge w:val="restart"/>
            <w:tcBorders>
              <w:tl2br w:val="nil"/>
              <w:tr2bl w:val="nil"/>
            </w:tcBorders>
            <w:vAlign w:val="center"/>
          </w:tcPr>
          <w:p w14:paraId="50DCEF75">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color w:val="000000"/>
                <w:sz w:val="21"/>
                <w:szCs w:val="21"/>
              </w:rPr>
              <w:t>序号</w:t>
            </w:r>
          </w:p>
        </w:tc>
        <w:tc>
          <w:tcPr>
            <w:tcW w:w="466" w:type="pct"/>
            <w:gridSpan w:val="2"/>
            <w:vMerge w:val="restart"/>
            <w:tcBorders>
              <w:tl2br w:val="nil"/>
              <w:tr2bl w:val="nil"/>
            </w:tcBorders>
            <w:vAlign w:val="center"/>
          </w:tcPr>
          <w:p w14:paraId="08F1EF04">
            <w:pPr>
              <w:autoSpaceDE/>
              <w:autoSpaceDN/>
              <w:spacing w:before="0" w:after="0" w:line="240" w:lineRule="auto"/>
              <w:ind w:left="0" w:firstLine="0"/>
              <w:jc w:val="center"/>
              <w:rPr>
                <w:rFonts w:hint="default" w:ascii="Times New Roman" w:hAnsi="Times New Roman" w:cs="Times New Roman"/>
                <w:b/>
                <w:bCs/>
                <w:sz w:val="21"/>
                <w:szCs w:val="21"/>
              </w:rPr>
            </w:pPr>
            <w:r>
              <w:rPr>
                <w:rFonts w:hint="eastAsia" w:ascii="Times New Roman" w:hAnsi="Times New Roman" w:cs="Times New Roman"/>
                <w:b/>
                <w:bCs/>
                <w:color w:val="000000"/>
                <w:sz w:val="21"/>
                <w:szCs w:val="21"/>
                <w:lang w:val="en-US" w:eastAsia="zh-CN"/>
              </w:rPr>
              <w:t>监测</w:t>
            </w:r>
            <w:r>
              <w:rPr>
                <w:rFonts w:hint="default" w:ascii="Times New Roman" w:hAnsi="Times New Roman" w:cs="Times New Roman"/>
                <w:b/>
                <w:bCs/>
                <w:color w:val="000000"/>
                <w:sz w:val="21"/>
                <w:szCs w:val="21"/>
              </w:rPr>
              <w:t>项目</w:t>
            </w:r>
          </w:p>
        </w:tc>
        <w:tc>
          <w:tcPr>
            <w:tcW w:w="293" w:type="pct"/>
            <w:vMerge w:val="restart"/>
            <w:tcBorders>
              <w:tl2br w:val="nil"/>
              <w:tr2bl w:val="nil"/>
            </w:tcBorders>
            <w:vAlign w:val="center"/>
          </w:tcPr>
          <w:p w14:paraId="1E78CAF2">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color w:val="000000"/>
                <w:sz w:val="21"/>
                <w:szCs w:val="21"/>
              </w:rPr>
              <w:t>单位</w:t>
            </w:r>
          </w:p>
        </w:tc>
        <w:tc>
          <w:tcPr>
            <w:tcW w:w="3183" w:type="pct"/>
            <w:gridSpan w:val="10"/>
            <w:tcBorders>
              <w:tl2br w:val="nil"/>
              <w:tr2bl w:val="nil"/>
            </w:tcBorders>
            <w:vAlign w:val="center"/>
          </w:tcPr>
          <w:p w14:paraId="3A69EC1E">
            <w:pPr>
              <w:autoSpaceDE/>
              <w:autoSpaceDN/>
              <w:spacing w:before="0" w:after="0" w:line="240" w:lineRule="auto"/>
              <w:ind w:left="0" w:firstLine="0"/>
              <w:jc w:val="center"/>
              <w:rPr>
                <w:rFonts w:hint="default" w:ascii="Times New Roman" w:hAnsi="Times New Roman" w:eastAsia="宋体" w:cs="Times New Roman"/>
                <w:b/>
                <w:bCs/>
                <w:sz w:val="21"/>
                <w:szCs w:val="21"/>
                <w:lang w:eastAsia="zh-CN"/>
              </w:rPr>
            </w:pPr>
            <w:r>
              <w:rPr>
                <w:rFonts w:hint="default" w:ascii="Times New Roman" w:hAnsi="Times New Roman" w:cs="Times New Roman"/>
                <w:b/>
                <w:bCs/>
                <w:sz w:val="21"/>
                <w:szCs w:val="21"/>
                <w:lang w:val="en-US" w:eastAsia="zh-CN"/>
              </w:rPr>
              <w:t>监测结果</w:t>
            </w:r>
          </w:p>
        </w:tc>
        <w:tc>
          <w:tcPr>
            <w:tcW w:w="399" w:type="pct"/>
            <w:vMerge w:val="restart"/>
            <w:tcBorders>
              <w:tl2br w:val="nil"/>
              <w:tr2bl w:val="nil"/>
            </w:tcBorders>
            <w:vAlign w:val="center"/>
          </w:tcPr>
          <w:p w14:paraId="6EE48145">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限值</w:t>
            </w:r>
          </w:p>
        </w:tc>
        <w:tc>
          <w:tcPr>
            <w:tcW w:w="424" w:type="pct"/>
            <w:vMerge w:val="restart"/>
            <w:tcBorders>
              <w:tl2br w:val="nil"/>
              <w:tr2bl w:val="nil"/>
            </w:tcBorders>
            <w:vAlign w:val="center"/>
          </w:tcPr>
          <w:p w14:paraId="29AA1A52">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检出限</w:t>
            </w:r>
          </w:p>
        </w:tc>
      </w:tr>
      <w:tr w14:paraId="2597DBF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418" w:hRule="atLeast"/>
          <w:jc w:val="center"/>
        </w:trPr>
        <w:tc>
          <w:tcPr>
            <w:tcW w:w="229" w:type="pct"/>
            <w:vMerge w:val="continue"/>
            <w:tcBorders>
              <w:tl2br w:val="nil"/>
              <w:tr2bl w:val="nil"/>
            </w:tcBorders>
            <w:vAlign w:val="center"/>
          </w:tcPr>
          <w:p w14:paraId="6A703347">
            <w:pPr>
              <w:autoSpaceDE/>
              <w:autoSpaceDN/>
              <w:spacing w:before="0" w:after="0" w:line="240" w:lineRule="auto"/>
              <w:ind w:left="0" w:firstLine="0"/>
              <w:jc w:val="center"/>
              <w:rPr>
                <w:rFonts w:hint="default" w:ascii="Times New Roman" w:hAnsi="Times New Roman" w:cs="Times New Roman"/>
                <w:color w:val="000000"/>
                <w:sz w:val="21"/>
                <w:szCs w:val="21"/>
              </w:rPr>
            </w:pPr>
          </w:p>
        </w:tc>
        <w:tc>
          <w:tcPr>
            <w:tcW w:w="466" w:type="pct"/>
            <w:gridSpan w:val="2"/>
            <w:vMerge w:val="continue"/>
            <w:tcBorders>
              <w:tl2br w:val="nil"/>
              <w:tr2bl w:val="nil"/>
            </w:tcBorders>
            <w:vAlign w:val="center"/>
          </w:tcPr>
          <w:p w14:paraId="65CF6EA7">
            <w:pPr>
              <w:autoSpaceDE/>
              <w:autoSpaceDN/>
              <w:spacing w:before="0" w:after="0" w:line="240" w:lineRule="auto"/>
              <w:ind w:left="0" w:firstLine="0"/>
              <w:jc w:val="center"/>
              <w:rPr>
                <w:rFonts w:hint="default" w:ascii="Times New Roman" w:hAnsi="Times New Roman" w:cs="Times New Roman"/>
                <w:color w:val="000000"/>
                <w:sz w:val="21"/>
                <w:szCs w:val="21"/>
              </w:rPr>
            </w:pPr>
          </w:p>
        </w:tc>
        <w:tc>
          <w:tcPr>
            <w:tcW w:w="293" w:type="pct"/>
            <w:vMerge w:val="continue"/>
            <w:tcBorders>
              <w:tl2br w:val="nil"/>
              <w:tr2bl w:val="nil"/>
            </w:tcBorders>
            <w:vAlign w:val="center"/>
          </w:tcPr>
          <w:p w14:paraId="78FA347F">
            <w:pPr>
              <w:autoSpaceDE/>
              <w:autoSpaceDN/>
              <w:spacing w:before="0" w:after="0" w:line="240" w:lineRule="auto"/>
              <w:ind w:left="0" w:firstLine="0"/>
              <w:jc w:val="center"/>
              <w:rPr>
                <w:rFonts w:hint="default" w:ascii="Times New Roman" w:hAnsi="Times New Roman" w:cs="Times New Roman"/>
                <w:color w:val="000000"/>
                <w:sz w:val="21"/>
                <w:szCs w:val="21"/>
              </w:rPr>
            </w:pPr>
          </w:p>
        </w:tc>
        <w:tc>
          <w:tcPr>
            <w:tcW w:w="473" w:type="pct"/>
            <w:gridSpan w:val="2"/>
            <w:tcBorders>
              <w:tl2br w:val="nil"/>
              <w:tr2bl w:val="nil"/>
            </w:tcBorders>
            <w:shd w:val="clear" w:color="auto" w:fill="auto"/>
            <w:vAlign w:val="center"/>
          </w:tcPr>
          <w:p w14:paraId="694D0295">
            <w:pPr>
              <w:autoSpaceDE/>
              <w:autoSpaceDN/>
              <w:spacing w:before="0" w:after="0" w:line="240" w:lineRule="auto"/>
              <w:ind w:left="0" w:firstLine="0"/>
              <w:jc w:val="center"/>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固态废物运输路线2#柱状样（表层0.2m）</w:t>
            </w:r>
          </w:p>
        </w:tc>
        <w:tc>
          <w:tcPr>
            <w:tcW w:w="466" w:type="pct"/>
            <w:tcBorders>
              <w:tl2br w:val="nil"/>
              <w:tr2bl w:val="nil"/>
            </w:tcBorders>
            <w:shd w:val="clear" w:color="auto" w:fill="auto"/>
            <w:vAlign w:val="center"/>
          </w:tcPr>
          <w:p w14:paraId="33411A98">
            <w:pPr>
              <w:autoSpaceDE/>
              <w:autoSpaceDN/>
              <w:spacing w:before="0" w:after="0" w:line="240" w:lineRule="auto"/>
              <w:ind w:left="0" w:firstLine="0"/>
              <w:jc w:val="center"/>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固态废物运输路线2#柱状样（中层1.0）</w:t>
            </w:r>
          </w:p>
        </w:tc>
        <w:tc>
          <w:tcPr>
            <w:tcW w:w="481" w:type="pct"/>
            <w:gridSpan w:val="2"/>
            <w:tcBorders>
              <w:tl2br w:val="nil"/>
              <w:tr2bl w:val="nil"/>
            </w:tcBorders>
            <w:shd w:val="clear" w:color="auto" w:fill="auto"/>
            <w:vAlign w:val="center"/>
          </w:tcPr>
          <w:p w14:paraId="26710AFB">
            <w:pPr>
              <w:autoSpaceDE/>
              <w:autoSpaceDN/>
              <w:spacing w:before="0" w:after="0" w:line="240" w:lineRule="auto"/>
              <w:ind w:left="0" w:firstLine="0"/>
              <w:jc w:val="center"/>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固态废物运输路线2#柱状样（深层2.0m）</w:t>
            </w:r>
          </w:p>
        </w:tc>
        <w:tc>
          <w:tcPr>
            <w:tcW w:w="423" w:type="pct"/>
            <w:tcBorders>
              <w:tl2br w:val="nil"/>
              <w:tr2bl w:val="nil"/>
            </w:tcBorders>
            <w:shd w:val="clear" w:color="auto" w:fill="auto"/>
            <w:vAlign w:val="center"/>
          </w:tcPr>
          <w:p w14:paraId="16C394FF">
            <w:pPr>
              <w:autoSpaceDE/>
              <w:autoSpaceDN/>
              <w:spacing w:before="0" w:after="0" w:line="240" w:lineRule="auto"/>
              <w:ind w:left="0" w:firstLine="0"/>
              <w:jc w:val="center"/>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厂区空地3#柱状样（表层0.2m）</w:t>
            </w:r>
          </w:p>
        </w:tc>
        <w:tc>
          <w:tcPr>
            <w:tcW w:w="380" w:type="pct"/>
            <w:gridSpan w:val="2"/>
            <w:tcBorders>
              <w:tl2br w:val="nil"/>
              <w:tr2bl w:val="nil"/>
            </w:tcBorders>
            <w:shd w:val="clear" w:color="auto" w:fill="auto"/>
            <w:vAlign w:val="center"/>
          </w:tcPr>
          <w:p w14:paraId="09AB9D8E">
            <w:pPr>
              <w:autoSpaceDE/>
              <w:autoSpaceDN/>
              <w:spacing w:before="0" w:after="0" w:line="240" w:lineRule="auto"/>
              <w:ind w:left="0" w:firstLine="0"/>
              <w:jc w:val="center"/>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厂区空地3#柱状样（中层1.0）</w:t>
            </w:r>
          </w:p>
        </w:tc>
        <w:tc>
          <w:tcPr>
            <w:tcW w:w="414" w:type="pct"/>
            <w:tcBorders>
              <w:tl2br w:val="nil"/>
              <w:tr2bl w:val="nil"/>
            </w:tcBorders>
            <w:shd w:val="clear" w:color="auto" w:fill="auto"/>
            <w:vAlign w:val="center"/>
          </w:tcPr>
          <w:p w14:paraId="5FF446D7">
            <w:pPr>
              <w:autoSpaceDE/>
              <w:autoSpaceDN/>
              <w:spacing w:before="0" w:after="0" w:line="240" w:lineRule="auto"/>
              <w:ind w:left="0" w:firstLine="0"/>
              <w:jc w:val="center"/>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厂区空地3#柱状样（深层2.0m）</w:t>
            </w:r>
          </w:p>
        </w:tc>
        <w:tc>
          <w:tcPr>
            <w:tcW w:w="543" w:type="pct"/>
            <w:tcBorders>
              <w:tl2br w:val="nil"/>
              <w:tr2bl w:val="nil"/>
            </w:tcBorders>
            <w:shd w:val="clear" w:color="auto" w:fill="auto"/>
            <w:vAlign w:val="center"/>
          </w:tcPr>
          <w:p w14:paraId="7EAAE0EE">
            <w:pPr>
              <w:autoSpaceDE/>
              <w:autoSpaceDN/>
              <w:spacing w:before="0" w:after="0" w:line="240" w:lineRule="auto"/>
              <w:ind w:left="0" w:firstLine="0"/>
              <w:jc w:val="center"/>
              <w:rPr>
                <w:rFonts w:hint="default" w:ascii="Times New Roman" w:hAnsi="Times New Roman" w:cs="Times New Roman"/>
                <w:b/>
                <w:bCs/>
                <w:color w:val="000000"/>
                <w:sz w:val="21"/>
                <w:szCs w:val="21"/>
                <w:lang w:val="en-US" w:eastAsia="zh-CN"/>
              </w:rPr>
            </w:pPr>
            <w:r>
              <w:rPr>
                <w:rFonts w:hint="default" w:ascii="Times New Roman" w:hAnsi="Times New Roman" w:cs="Times New Roman"/>
                <w:b/>
                <w:bCs/>
                <w:color w:val="000000"/>
                <w:sz w:val="21"/>
                <w:szCs w:val="21"/>
                <w:lang w:val="en-US" w:eastAsia="zh-CN"/>
              </w:rPr>
              <w:t>液态废物管输路线阀门、法兰等接口处4#表层样（表层0.2m）</w:t>
            </w:r>
          </w:p>
        </w:tc>
        <w:tc>
          <w:tcPr>
            <w:tcW w:w="399" w:type="pct"/>
            <w:vMerge w:val="continue"/>
            <w:tcBorders>
              <w:tl2br w:val="nil"/>
              <w:tr2bl w:val="nil"/>
            </w:tcBorders>
            <w:vAlign w:val="center"/>
          </w:tcPr>
          <w:p w14:paraId="3DAC316A">
            <w:pPr>
              <w:autoSpaceDE/>
              <w:autoSpaceDN/>
              <w:spacing w:before="0" w:after="0" w:line="240" w:lineRule="auto"/>
              <w:ind w:left="0" w:firstLine="0"/>
              <w:jc w:val="center"/>
              <w:rPr>
                <w:rFonts w:hint="default" w:ascii="Times New Roman" w:hAnsi="Times New Roman" w:cs="Times New Roman"/>
                <w:sz w:val="21"/>
                <w:szCs w:val="21"/>
              </w:rPr>
            </w:pPr>
          </w:p>
        </w:tc>
        <w:tc>
          <w:tcPr>
            <w:tcW w:w="424" w:type="pct"/>
            <w:vMerge w:val="continue"/>
            <w:tcBorders>
              <w:tl2br w:val="nil"/>
              <w:tr2bl w:val="nil"/>
            </w:tcBorders>
            <w:vAlign w:val="center"/>
          </w:tcPr>
          <w:p w14:paraId="521E75E0">
            <w:pPr>
              <w:autoSpaceDE/>
              <w:autoSpaceDN/>
              <w:spacing w:before="0" w:after="0" w:line="240" w:lineRule="auto"/>
              <w:ind w:left="0" w:firstLine="0"/>
              <w:jc w:val="center"/>
              <w:rPr>
                <w:rFonts w:hint="default" w:ascii="Times New Roman" w:hAnsi="Times New Roman" w:cs="Times New Roman"/>
                <w:sz w:val="21"/>
                <w:szCs w:val="21"/>
              </w:rPr>
            </w:pPr>
          </w:p>
        </w:tc>
      </w:tr>
      <w:tr w14:paraId="767851C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40" w:hRule="atLeast"/>
          <w:jc w:val="center"/>
        </w:trPr>
        <w:tc>
          <w:tcPr>
            <w:tcW w:w="229" w:type="pct"/>
            <w:tcBorders>
              <w:tl2br w:val="nil"/>
              <w:tr2bl w:val="nil"/>
            </w:tcBorders>
            <w:vAlign w:val="center"/>
          </w:tcPr>
          <w:p w14:paraId="1403FAEC">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c>
          <w:tcPr>
            <w:tcW w:w="466" w:type="pct"/>
            <w:gridSpan w:val="2"/>
            <w:tcBorders>
              <w:tl2br w:val="nil"/>
              <w:tr2bl w:val="nil"/>
            </w:tcBorders>
            <w:shd w:val="clear" w:color="auto" w:fill="auto"/>
            <w:vAlign w:val="center"/>
          </w:tcPr>
          <w:p w14:paraId="2369A865">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六价铬</w:t>
            </w:r>
          </w:p>
        </w:tc>
        <w:tc>
          <w:tcPr>
            <w:tcW w:w="293" w:type="pct"/>
            <w:tcBorders>
              <w:tl2br w:val="nil"/>
              <w:tr2bl w:val="nil"/>
            </w:tcBorders>
            <w:shd w:val="clear" w:color="auto" w:fill="auto"/>
            <w:vAlign w:val="center"/>
          </w:tcPr>
          <w:p w14:paraId="6F6FCA0B">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Cs/>
                <w:kern w:val="0"/>
                <w:sz w:val="21"/>
                <w:szCs w:val="21"/>
                <w:lang w:bidi="ar"/>
              </w:rPr>
              <w:t>mg/kg</w:t>
            </w:r>
          </w:p>
        </w:tc>
        <w:tc>
          <w:tcPr>
            <w:tcW w:w="473" w:type="pct"/>
            <w:gridSpan w:val="2"/>
            <w:tcBorders>
              <w:tl2br w:val="nil"/>
              <w:tr2bl w:val="nil"/>
            </w:tcBorders>
            <w:vAlign w:val="center"/>
          </w:tcPr>
          <w:p w14:paraId="3883E24D">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466" w:type="pct"/>
            <w:tcBorders>
              <w:tl2br w:val="nil"/>
              <w:tr2bl w:val="nil"/>
            </w:tcBorders>
            <w:vAlign w:val="center"/>
          </w:tcPr>
          <w:p w14:paraId="5C8FD90C">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481" w:type="pct"/>
            <w:gridSpan w:val="2"/>
            <w:tcBorders>
              <w:tl2br w:val="nil"/>
              <w:tr2bl w:val="nil"/>
            </w:tcBorders>
            <w:vAlign w:val="center"/>
          </w:tcPr>
          <w:p w14:paraId="3179CD9B">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423" w:type="pct"/>
            <w:tcBorders>
              <w:tl2br w:val="nil"/>
              <w:tr2bl w:val="nil"/>
            </w:tcBorders>
            <w:vAlign w:val="center"/>
          </w:tcPr>
          <w:p w14:paraId="65E8FCEF">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80" w:type="pct"/>
            <w:gridSpan w:val="2"/>
            <w:tcBorders>
              <w:tl2br w:val="nil"/>
              <w:tr2bl w:val="nil"/>
            </w:tcBorders>
            <w:vAlign w:val="center"/>
          </w:tcPr>
          <w:p w14:paraId="659D992A">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414" w:type="pct"/>
            <w:tcBorders>
              <w:tl2br w:val="nil"/>
              <w:tr2bl w:val="nil"/>
            </w:tcBorders>
            <w:vAlign w:val="center"/>
          </w:tcPr>
          <w:p w14:paraId="556FA540">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543" w:type="pct"/>
            <w:tcBorders>
              <w:tl2br w:val="nil"/>
              <w:tr2bl w:val="nil"/>
            </w:tcBorders>
            <w:vAlign w:val="center"/>
          </w:tcPr>
          <w:p w14:paraId="78849443">
            <w:pPr>
              <w:autoSpaceDE/>
              <w:autoSpaceDN/>
              <w:spacing w:before="0" w:after="0" w:line="240" w:lineRule="auto"/>
              <w:ind w:left="0" w:firstLine="0"/>
              <w:jc w:val="center"/>
              <w:rPr>
                <w:rFonts w:hint="default" w:ascii="Times New Roman" w:hAnsi="Times New Roman" w:cs="Times New Roman"/>
                <w:color w:val="000000"/>
                <w:sz w:val="21"/>
                <w:szCs w:val="21"/>
              </w:rPr>
            </w:pPr>
            <w:r>
              <w:rPr>
                <w:rFonts w:hint="default" w:ascii="Times New Roman" w:hAnsi="Times New Roman" w:cs="Times New Roman"/>
                <w:color w:val="000000"/>
                <w:sz w:val="21"/>
                <w:szCs w:val="21"/>
              </w:rPr>
              <w:t>ND</w:t>
            </w:r>
          </w:p>
        </w:tc>
        <w:tc>
          <w:tcPr>
            <w:tcW w:w="399" w:type="pct"/>
            <w:tcBorders>
              <w:tl2br w:val="nil"/>
              <w:tr2bl w:val="nil"/>
            </w:tcBorders>
            <w:shd w:val="clear" w:color="auto" w:fill="auto"/>
            <w:vAlign w:val="center"/>
          </w:tcPr>
          <w:p w14:paraId="5919D4D0">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5.7</w:t>
            </w:r>
          </w:p>
        </w:tc>
        <w:tc>
          <w:tcPr>
            <w:tcW w:w="424" w:type="pct"/>
            <w:tcBorders>
              <w:tl2br w:val="nil"/>
              <w:tr2bl w:val="nil"/>
            </w:tcBorders>
            <w:shd w:val="clear" w:color="auto" w:fill="auto"/>
            <w:vAlign w:val="center"/>
          </w:tcPr>
          <w:p w14:paraId="10B7535E">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0.5</w:t>
            </w:r>
          </w:p>
        </w:tc>
      </w:tr>
      <w:tr w14:paraId="2AB65A2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40" w:hRule="atLeast"/>
          <w:jc w:val="center"/>
        </w:trPr>
        <w:tc>
          <w:tcPr>
            <w:tcW w:w="229" w:type="pct"/>
            <w:tcBorders>
              <w:tl2br w:val="nil"/>
              <w:tr2bl w:val="nil"/>
            </w:tcBorders>
            <w:vAlign w:val="center"/>
          </w:tcPr>
          <w:p w14:paraId="16C0C8D3">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p>
        </w:tc>
        <w:tc>
          <w:tcPr>
            <w:tcW w:w="466" w:type="pct"/>
            <w:gridSpan w:val="2"/>
            <w:tcBorders>
              <w:tl2br w:val="nil"/>
              <w:tr2bl w:val="nil"/>
            </w:tcBorders>
            <w:shd w:val="clear" w:color="auto" w:fill="auto"/>
            <w:vAlign w:val="center"/>
          </w:tcPr>
          <w:p w14:paraId="1356864A">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铅</w:t>
            </w:r>
          </w:p>
        </w:tc>
        <w:tc>
          <w:tcPr>
            <w:tcW w:w="293" w:type="pct"/>
            <w:tcBorders>
              <w:tl2br w:val="nil"/>
              <w:tr2bl w:val="nil"/>
            </w:tcBorders>
            <w:shd w:val="clear" w:color="auto" w:fill="auto"/>
            <w:vAlign w:val="center"/>
          </w:tcPr>
          <w:p w14:paraId="6605F79A">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Cs/>
                <w:kern w:val="0"/>
                <w:sz w:val="21"/>
                <w:szCs w:val="21"/>
                <w:lang w:bidi="ar"/>
              </w:rPr>
              <w:t>mg/kg</w:t>
            </w:r>
          </w:p>
        </w:tc>
        <w:tc>
          <w:tcPr>
            <w:tcW w:w="473" w:type="pct"/>
            <w:gridSpan w:val="2"/>
            <w:tcBorders>
              <w:tl2br w:val="nil"/>
              <w:tr2bl w:val="nil"/>
            </w:tcBorders>
            <w:vAlign w:val="center"/>
          </w:tcPr>
          <w:p w14:paraId="730B548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10.5</w:t>
            </w:r>
          </w:p>
        </w:tc>
        <w:tc>
          <w:tcPr>
            <w:tcW w:w="466" w:type="pct"/>
            <w:tcBorders>
              <w:tl2br w:val="nil"/>
              <w:tr2bl w:val="nil"/>
            </w:tcBorders>
            <w:vAlign w:val="center"/>
          </w:tcPr>
          <w:p w14:paraId="0BD81EE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14.7</w:t>
            </w:r>
          </w:p>
        </w:tc>
        <w:tc>
          <w:tcPr>
            <w:tcW w:w="481" w:type="pct"/>
            <w:gridSpan w:val="2"/>
            <w:tcBorders>
              <w:tl2br w:val="nil"/>
              <w:tr2bl w:val="nil"/>
            </w:tcBorders>
            <w:vAlign w:val="center"/>
          </w:tcPr>
          <w:p w14:paraId="3215151E">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13.6</w:t>
            </w:r>
          </w:p>
        </w:tc>
        <w:tc>
          <w:tcPr>
            <w:tcW w:w="423" w:type="pct"/>
            <w:tcBorders>
              <w:tl2br w:val="nil"/>
              <w:tr2bl w:val="nil"/>
            </w:tcBorders>
            <w:vAlign w:val="center"/>
          </w:tcPr>
          <w:p w14:paraId="7A8C0289">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12.1</w:t>
            </w:r>
          </w:p>
        </w:tc>
        <w:tc>
          <w:tcPr>
            <w:tcW w:w="380" w:type="pct"/>
            <w:gridSpan w:val="2"/>
            <w:tcBorders>
              <w:tl2br w:val="nil"/>
              <w:tr2bl w:val="nil"/>
            </w:tcBorders>
            <w:vAlign w:val="center"/>
          </w:tcPr>
          <w:p w14:paraId="769A137E">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10.7</w:t>
            </w:r>
          </w:p>
        </w:tc>
        <w:tc>
          <w:tcPr>
            <w:tcW w:w="414" w:type="pct"/>
            <w:tcBorders>
              <w:tl2br w:val="nil"/>
              <w:tr2bl w:val="nil"/>
            </w:tcBorders>
            <w:vAlign w:val="center"/>
          </w:tcPr>
          <w:p w14:paraId="65D5652B">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10.8</w:t>
            </w:r>
          </w:p>
        </w:tc>
        <w:tc>
          <w:tcPr>
            <w:tcW w:w="543" w:type="pct"/>
            <w:tcBorders>
              <w:tl2br w:val="nil"/>
              <w:tr2bl w:val="nil"/>
            </w:tcBorders>
            <w:vAlign w:val="center"/>
          </w:tcPr>
          <w:p w14:paraId="79E544D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11.4</w:t>
            </w:r>
          </w:p>
        </w:tc>
        <w:tc>
          <w:tcPr>
            <w:tcW w:w="399" w:type="pct"/>
            <w:tcBorders>
              <w:tl2br w:val="nil"/>
              <w:tr2bl w:val="nil"/>
            </w:tcBorders>
            <w:shd w:val="clear" w:color="auto" w:fill="auto"/>
            <w:vAlign w:val="center"/>
          </w:tcPr>
          <w:p w14:paraId="67A26C5F">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800</w:t>
            </w:r>
          </w:p>
        </w:tc>
        <w:tc>
          <w:tcPr>
            <w:tcW w:w="424" w:type="pct"/>
            <w:tcBorders>
              <w:tl2br w:val="nil"/>
              <w:tr2bl w:val="nil"/>
            </w:tcBorders>
            <w:shd w:val="clear" w:color="auto" w:fill="auto"/>
            <w:vAlign w:val="center"/>
          </w:tcPr>
          <w:p w14:paraId="46A35AD6">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0.1</w:t>
            </w:r>
          </w:p>
        </w:tc>
      </w:tr>
      <w:tr w14:paraId="385FF2D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40" w:hRule="atLeast"/>
          <w:jc w:val="center"/>
        </w:trPr>
        <w:tc>
          <w:tcPr>
            <w:tcW w:w="229" w:type="pct"/>
            <w:tcBorders>
              <w:tl2br w:val="nil"/>
              <w:tr2bl w:val="nil"/>
            </w:tcBorders>
            <w:vAlign w:val="center"/>
          </w:tcPr>
          <w:p w14:paraId="486A1726">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w:t>
            </w:r>
          </w:p>
        </w:tc>
        <w:tc>
          <w:tcPr>
            <w:tcW w:w="466" w:type="pct"/>
            <w:gridSpan w:val="2"/>
            <w:tcBorders>
              <w:tl2br w:val="nil"/>
              <w:tr2bl w:val="nil"/>
            </w:tcBorders>
            <w:shd w:val="clear" w:color="auto" w:fill="auto"/>
            <w:vAlign w:val="center"/>
          </w:tcPr>
          <w:p w14:paraId="3589B23E">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000000"/>
                <w:kern w:val="1"/>
                <w:sz w:val="21"/>
                <w:szCs w:val="21"/>
              </w:rPr>
              <w:t>镉</w:t>
            </w:r>
          </w:p>
        </w:tc>
        <w:tc>
          <w:tcPr>
            <w:tcW w:w="293" w:type="pct"/>
            <w:tcBorders>
              <w:tl2br w:val="nil"/>
              <w:tr2bl w:val="nil"/>
            </w:tcBorders>
            <w:shd w:val="clear" w:color="auto" w:fill="auto"/>
            <w:vAlign w:val="center"/>
          </w:tcPr>
          <w:p w14:paraId="500B5C5A">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Cs/>
                <w:kern w:val="0"/>
                <w:sz w:val="21"/>
                <w:szCs w:val="21"/>
                <w:lang w:bidi="ar"/>
              </w:rPr>
              <w:t>mg/kg</w:t>
            </w:r>
          </w:p>
        </w:tc>
        <w:tc>
          <w:tcPr>
            <w:tcW w:w="473" w:type="pct"/>
            <w:gridSpan w:val="2"/>
            <w:tcBorders>
              <w:tl2br w:val="nil"/>
              <w:tr2bl w:val="nil"/>
            </w:tcBorders>
            <w:vAlign w:val="center"/>
          </w:tcPr>
          <w:p w14:paraId="4A4CE60E">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0.08</w:t>
            </w:r>
          </w:p>
        </w:tc>
        <w:tc>
          <w:tcPr>
            <w:tcW w:w="466" w:type="pct"/>
            <w:tcBorders>
              <w:tl2br w:val="nil"/>
              <w:tr2bl w:val="nil"/>
            </w:tcBorders>
            <w:vAlign w:val="center"/>
          </w:tcPr>
          <w:p w14:paraId="01CA3340">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0.11</w:t>
            </w:r>
          </w:p>
        </w:tc>
        <w:tc>
          <w:tcPr>
            <w:tcW w:w="481" w:type="pct"/>
            <w:gridSpan w:val="2"/>
            <w:tcBorders>
              <w:tl2br w:val="nil"/>
              <w:tr2bl w:val="nil"/>
            </w:tcBorders>
            <w:vAlign w:val="center"/>
          </w:tcPr>
          <w:p w14:paraId="5A712FB5">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0.10</w:t>
            </w:r>
          </w:p>
        </w:tc>
        <w:tc>
          <w:tcPr>
            <w:tcW w:w="423" w:type="pct"/>
            <w:tcBorders>
              <w:tl2br w:val="nil"/>
              <w:tr2bl w:val="nil"/>
            </w:tcBorders>
            <w:vAlign w:val="center"/>
          </w:tcPr>
          <w:p w14:paraId="41D3C867">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0.09</w:t>
            </w:r>
          </w:p>
        </w:tc>
        <w:tc>
          <w:tcPr>
            <w:tcW w:w="380" w:type="pct"/>
            <w:gridSpan w:val="2"/>
            <w:tcBorders>
              <w:tl2br w:val="nil"/>
              <w:tr2bl w:val="nil"/>
            </w:tcBorders>
            <w:vAlign w:val="center"/>
          </w:tcPr>
          <w:p w14:paraId="47C969DE">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0.08</w:t>
            </w:r>
          </w:p>
        </w:tc>
        <w:tc>
          <w:tcPr>
            <w:tcW w:w="414" w:type="pct"/>
            <w:tcBorders>
              <w:tl2br w:val="nil"/>
              <w:tr2bl w:val="nil"/>
            </w:tcBorders>
            <w:vAlign w:val="center"/>
          </w:tcPr>
          <w:p w14:paraId="5AB60000">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0.08</w:t>
            </w:r>
          </w:p>
        </w:tc>
        <w:tc>
          <w:tcPr>
            <w:tcW w:w="543" w:type="pct"/>
            <w:tcBorders>
              <w:tl2br w:val="nil"/>
              <w:tr2bl w:val="nil"/>
            </w:tcBorders>
            <w:vAlign w:val="center"/>
          </w:tcPr>
          <w:p w14:paraId="3D57679A">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0.08</w:t>
            </w:r>
          </w:p>
        </w:tc>
        <w:tc>
          <w:tcPr>
            <w:tcW w:w="399" w:type="pct"/>
            <w:tcBorders>
              <w:tl2br w:val="nil"/>
              <w:tr2bl w:val="nil"/>
            </w:tcBorders>
            <w:shd w:val="clear" w:color="auto" w:fill="auto"/>
            <w:vAlign w:val="center"/>
          </w:tcPr>
          <w:p w14:paraId="350FD5F9">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65</w:t>
            </w:r>
          </w:p>
        </w:tc>
        <w:tc>
          <w:tcPr>
            <w:tcW w:w="424" w:type="pct"/>
            <w:tcBorders>
              <w:tl2br w:val="nil"/>
              <w:tr2bl w:val="nil"/>
            </w:tcBorders>
            <w:shd w:val="clear" w:color="auto" w:fill="auto"/>
            <w:vAlign w:val="center"/>
          </w:tcPr>
          <w:p w14:paraId="7566F6A1">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0.01</w:t>
            </w:r>
          </w:p>
        </w:tc>
      </w:tr>
      <w:tr w14:paraId="3985AB7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40" w:hRule="atLeast"/>
          <w:jc w:val="center"/>
        </w:trPr>
        <w:tc>
          <w:tcPr>
            <w:tcW w:w="229" w:type="pct"/>
            <w:tcBorders>
              <w:tl2br w:val="nil"/>
              <w:tr2bl w:val="nil"/>
            </w:tcBorders>
            <w:vAlign w:val="center"/>
          </w:tcPr>
          <w:p w14:paraId="42EFCA6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4</w:t>
            </w:r>
          </w:p>
        </w:tc>
        <w:tc>
          <w:tcPr>
            <w:tcW w:w="466" w:type="pct"/>
            <w:gridSpan w:val="2"/>
            <w:tcBorders>
              <w:tl2br w:val="nil"/>
              <w:tr2bl w:val="nil"/>
            </w:tcBorders>
            <w:shd w:val="clear" w:color="auto" w:fill="auto"/>
            <w:vAlign w:val="center"/>
          </w:tcPr>
          <w:p w14:paraId="3F66F94D">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000000"/>
                <w:kern w:val="1"/>
                <w:sz w:val="21"/>
                <w:szCs w:val="21"/>
              </w:rPr>
              <w:t>铜</w:t>
            </w:r>
          </w:p>
        </w:tc>
        <w:tc>
          <w:tcPr>
            <w:tcW w:w="293" w:type="pct"/>
            <w:tcBorders>
              <w:tl2br w:val="nil"/>
              <w:tr2bl w:val="nil"/>
            </w:tcBorders>
            <w:shd w:val="clear" w:color="auto" w:fill="auto"/>
            <w:vAlign w:val="center"/>
          </w:tcPr>
          <w:p w14:paraId="2FB32696">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Cs/>
                <w:kern w:val="0"/>
                <w:sz w:val="21"/>
                <w:szCs w:val="21"/>
                <w:lang w:bidi="ar"/>
              </w:rPr>
              <w:t>mg/kg</w:t>
            </w:r>
          </w:p>
        </w:tc>
        <w:tc>
          <w:tcPr>
            <w:tcW w:w="473" w:type="pct"/>
            <w:gridSpan w:val="2"/>
            <w:tcBorders>
              <w:tl2br w:val="nil"/>
              <w:tr2bl w:val="nil"/>
            </w:tcBorders>
            <w:vAlign w:val="center"/>
          </w:tcPr>
          <w:p w14:paraId="3BA72E19">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10</w:t>
            </w:r>
          </w:p>
        </w:tc>
        <w:tc>
          <w:tcPr>
            <w:tcW w:w="466" w:type="pct"/>
            <w:tcBorders>
              <w:tl2br w:val="nil"/>
              <w:tr2bl w:val="nil"/>
            </w:tcBorders>
            <w:vAlign w:val="center"/>
          </w:tcPr>
          <w:p w14:paraId="2E670E8B">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481" w:type="pct"/>
            <w:gridSpan w:val="2"/>
            <w:tcBorders>
              <w:tl2br w:val="nil"/>
              <w:tr2bl w:val="nil"/>
            </w:tcBorders>
            <w:vAlign w:val="center"/>
          </w:tcPr>
          <w:p w14:paraId="23681DE9">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423" w:type="pct"/>
            <w:tcBorders>
              <w:tl2br w:val="nil"/>
              <w:tr2bl w:val="nil"/>
            </w:tcBorders>
            <w:vAlign w:val="center"/>
          </w:tcPr>
          <w:p w14:paraId="08B08A39">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11</w:t>
            </w:r>
          </w:p>
        </w:tc>
        <w:tc>
          <w:tcPr>
            <w:tcW w:w="380" w:type="pct"/>
            <w:gridSpan w:val="2"/>
            <w:tcBorders>
              <w:tl2br w:val="nil"/>
              <w:tr2bl w:val="nil"/>
            </w:tcBorders>
            <w:vAlign w:val="center"/>
          </w:tcPr>
          <w:p w14:paraId="4C134DD1">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9</w:t>
            </w:r>
          </w:p>
        </w:tc>
        <w:tc>
          <w:tcPr>
            <w:tcW w:w="414" w:type="pct"/>
            <w:tcBorders>
              <w:tl2br w:val="nil"/>
              <w:tr2bl w:val="nil"/>
            </w:tcBorders>
            <w:vAlign w:val="center"/>
          </w:tcPr>
          <w:p w14:paraId="1AEC6742">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8</w:t>
            </w:r>
          </w:p>
        </w:tc>
        <w:tc>
          <w:tcPr>
            <w:tcW w:w="543" w:type="pct"/>
            <w:tcBorders>
              <w:tl2br w:val="nil"/>
              <w:tr2bl w:val="nil"/>
            </w:tcBorders>
            <w:vAlign w:val="center"/>
          </w:tcPr>
          <w:p w14:paraId="7819515E">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9</w:t>
            </w:r>
          </w:p>
        </w:tc>
        <w:tc>
          <w:tcPr>
            <w:tcW w:w="399" w:type="pct"/>
            <w:tcBorders>
              <w:tl2br w:val="nil"/>
              <w:tr2bl w:val="nil"/>
            </w:tcBorders>
            <w:shd w:val="clear" w:color="auto" w:fill="auto"/>
            <w:vAlign w:val="center"/>
          </w:tcPr>
          <w:p w14:paraId="153C6EAA">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18000</w:t>
            </w:r>
          </w:p>
        </w:tc>
        <w:tc>
          <w:tcPr>
            <w:tcW w:w="424" w:type="pct"/>
            <w:tcBorders>
              <w:tl2br w:val="nil"/>
              <w:tr2bl w:val="nil"/>
            </w:tcBorders>
            <w:shd w:val="clear" w:color="auto" w:fill="auto"/>
            <w:vAlign w:val="center"/>
          </w:tcPr>
          <w:p w14:paraId="4396C66C">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1</w:t>
            </w:r>
          </w:p>
        </w:tc>
      </w:tr>
      <w:tr w14:paraId="53451A8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40" w:hRule="atLeast"/>
          <w:jc w:val="center"/>
        </w:trPr>
        <w:tc>
          <w:tcPr>
            <w:tcW w:w="229" w:type="pct"/>
            <w:tcBorders>
              <w:tl2br w:val="nil"/>
              <w:tr2bl w:val="nil"/>
            </w:tcBorders>
            <w:vAlign w:val="center"/>
          </w:tcPr>
          <w:p w14:paraId="26A255AC">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5</w:t>
            </w:r>
          </w:p>
        </w:tc>
        <w:tc>
          <w:tcPr>
            <w:tcW w:w="466" w:type="pct"/>
            <w:gridSpan w:val="2"/>
            <w:tcBorders>
              <w:tl2br w:val="nil"/>
              <w:tr2bl w:val="nil"/>
            </w:tcBorders>
            <w:shd w:val="clear" w:color="auto" w:fill="auto"/>
            <w:vAlign w:val="center"/>
          </w:tcPr>
          <w:p w14:paraId="7A1B881A">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000000"/>
                <w:kern w:val="1"/>
                <w:sz w:val="21"/>
                <w:szCs w:val="21"/>
              </w:rPr>
              <w:t>镍</w:t>
            </w:r>
          </w:p>
        </w:tc>
        <w:tc>
          <w:tcPr>
            <w:tcW w:w="293" w:type="pct"/>
            <w:tcBorders>
              <w:tl2br w:val="nil"/>
              <w:tr2bl w:val="nil"/>
            </w:tcBorders>
            <w:shd w:val="clear" w:color="auto" w:fill="auto"/>
            <w:vAlign w:val="center"/>
          </w:tcPr>
          <w:p w14:paraId="5969C076">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Cs/>
                <w:kern w:val="0"/>
                <w:sz w:val="21"/>
                <w:szCs w:val="21"/>
                <w:lang w:bidi="ar"/>
              </w:rPr>
              <w:t>mg/kg</w:t>
            </w:r>
          </w:p>
        </w:tc>
        <w:tc>
          <w:tcPr>
            <w:tcW w:w="473" w:type="pct"/>
            <w:gridSpan w:val="2"/>
            <w:tcBorders>
              <w:tl2br w:val="nil"/>
              <w:tr2bl w:val="nil"/>
            </w:tcBorders>
            <w:vAlign w:val="center"/>
          </w:tcPr>
          <w:p w14:paraId="3F65E10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26</w:t>
            </w:r>
          </w:p>
        </w:tc>
        <w:tc>
          <w:tcPr>
            <w:tcW w:w="466" w:type="pct"/>
            <w:tcBorders>
              <w:tl2br w:val="nil"/>
              <w:tr2bl w:val="nil"/>
            </w:tcBorders>
            <w:vAlign w:val="center"/>
          </w:tcPr>
          <w:p w14:paraId="5A79272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481" w:type="pct"/>
            <w:gridSpan w:val="2"/>
            <w:tcBorders>
              <w:tl2br w:val="nil"/>
              <w:tr2bl w:val="nil"/>
            </w:tcBorders>
            <w:vAlign w:val="center"/>
          </w:tcPr>
          <w:p w14:paraId="163310F5">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20</w:t>
            </w:r>
          </w:p>
        </w:tc>
        <w:tc>
          <w:tcPr>
            <w:tcW w:w="423" w:type="pct"/>
            <w:tcBorders>
              <w:tl2br w:val="nil"/>
              <w:tr2bl w:val="nil"/>
            </w:tcBorders>
            <w:vAlign w:val="center"/>
          </w:tcPr>
          <w:p w14:paraId="3EFFEA69">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28</w:t>
            </w:r>
          </w:p>
        </w:tc>
        <w:tc>
          <w:tcPr>
            <w:tcW w:w="380" w:type="pct"/>
            <w:gridSpan w:val="2"/>
            <w:tcBorders>
              <w:tl2br w:val="nil"/>
              <w:tr2bl w:val="nil"/>
            </w:tcBorders>
            <w:vAlign w:val="center"/>
          </w:tcPr>
          <w:p w14:paraId="514C31A4">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25</w:t>
            </w:r>
          </w:p>
        </w:tc>
        <w:tc>
          <w:tcPr>
            <w:tcW w:w="414" w:type="pct"/>
            <w:tcBorders>
              <w:tl2br w:val="nil"/>
              <w:tr2bl w:val="nil"/>
            </w:tcBorders>
            <w:vAlign w:val="center"/>
          </w:tcPr>
          <w:p w14:paraId="495B8700">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21</w:t>
            </w:r>
          </w:p>
        </w:tc>
        <w:tc>
          <w:tcPr>
            <w:tcW w:w="543" w:type="pct"/>
            <w:tcBorders>
              <w:tl2br w:val="nil"/>
              <w:tr2bl w:val="nil"/>
            </w:tcBorders>
            <w:vAlign w:val="center"/>
          </w:tcPr>
          <w:p w14:paraId="5EF2A02F">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24</w:t>
            </w:r>
          </w:p>
        </w:tc>
        <w:tc>
          <w:tcPr>
            <w:tcW w:w="399" w:type="pct"/>
            <w:tcBorders>
              <w:tl2br w:val="nil"/>
              <w:tr2bl w:val="nil"/>
            </w:tcBorders>
            <w:shd w:val="clear" w:color="auto" w:fill="auto"/>
            <w:vAlign w:val="center"/>
          </w:tcPr>
          <w:p w14:paraId="47533060">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900</w:t>
            </w:r>
          </w:p>
        </w:tc>
        <w:tc>
          <w:tcPr>
            <w:tcW w:w="424" w:type="pct"/>
            <w:tcBorders>
              <w:tl2br w:val="nil"/>
              <w:tr2bl w:val="nil"/>
            </w:tcBorders>
            <w:shd w:val="clear" w:color="auto" w:fill="auto"/>
            <w:vAlign w:val="center"/>
          </w:tcPr>
          <w:p w14:paraId="3874EF6C">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3</w:t>
            </w:r>
          </w:p>
        </w:tc>
      </w:tr>
      <w:tr w14:paraId="0797928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40" w:hRule="atLeast"/>
          <w:jc w:val="center"/>
        </w:trPr>
        <w:tc>
          <w:tcPr>
            <w:tcW w:w="229" w:type="pct"/>
            <w:tcBorders>
              <w:tl2br w:val="nil"/>
              <w:tr2bl w:val="nil"/>
            </w:tcBorders>
            <w:vAlign w:val="center"/>
          </w:tcPr>
          <w:p w14:paraId="63AA2E64">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6</w:t>
            </w:r>
          </w:p>
        </w:tc>
        <w:tc>
          <w:tcPr>
            <w:tcW w:w="466" w:type="pct"/>
            <w:gridSpan w:val="2"/>
            <w:tcBorders>
              <w:tl2br w:val="nil"/>
              <w:tr2bl w:val="nil"/>
            </w:tcBorders>
            <w:shd w:val="clear" w:color="auto" w:fill="auto"/>
            <w:vAlign w:val="center"/>
          </w:tcPr>
          <w:p w14:paraId="410BD3EE">
            <w:pPr>
              <w:autoSpaceDE/>
              <w:autoSpaceDN/>
              <w:spacing w:before="0" w:after="0" w:line="240" w:lineRule="auto"/>
              <w:ind w:left="0" w:firstLine="0"/>
              <w:jc w:val="center"/>
              <w:rPr>
                <w:rFonts w:hint="default" w:ascii="Times New Roman" w:hAnsi="Times New Roman" w:eastAsia="宋体" w:cs="Times New Roman"/>
                <w:color w:val="000000"/>
                <w:kern w:val="1"/>
                <w:sz w:val="21"/>
                <w:szCs w:val="21"/>
                <w:lang w:val="en-US" w:eastAsia="zh-CN" w:bidi="ar-SA"/>
              </w:rPr>
            </w:pPr>
            <w:r>
              <w:rPr>
                <w:rFonts w:hint="default" w:ascii="Times New Roman" w:hAnsi="Times New Roman" w:cs="Times New Roman"/>
                <w:color w:val="000000"/>
                <w:kern w:val="1"/>
                <w:sz w:val="21"/>
                <w:szCs w:val="21"/>
              </w:rPr>
              <w:t>汞</w:t>
            </w:r>
          </w:p>
        </w:tc>
        <w:tc>
          <w:tcPr>
            <w:tcW w:w="293" w:type="pct"/>
            <w:tcBorders>
              <w:tl2br w:val="nil"/>
              <w:tr2bl w:val="nil"/>
            </w:tcBorders>
            <w:shd w:val="clear" w:color="auto" w:fill="auto"/>
            <w:vAlign w:val="center"/>
          </w:tcPr>
          <w:p w14:paraId="4D86FF43">
            <w:pPr>
              <w:autoSpaceDE/>
              <w:autoSpaceDN/>
              <w:spacing w:before="0" w:after="0" w:line="240" w:lineRule="auto"/>
              <w:ind w:left="0" w:firstLine="0"/>
              <w:jc w:val="center"/>
              <w:rPr>
                <w:rFonts w:hint="default" w:ascii="Times New Roman" w:hAnsi="Times New Roman" w:eastAsia="宋体" w:cs="Times New Roman"/>
                <w:bCs/>
                <w:kern w:val="0"/>
                <w:sz w:val="21"/>
                <w:szCs w:val="21"/>
                <w:lang w:val="en-US" w:eastAsia="zh-CN" w:bidi="ar"/>
              </w:rPr>
            </w:pPr>
            <w:r>
              <w:rPr>
                <w:rFonts w:hint="default" w:ascii="Times New Roman" w:hAnsi="Times New Roman" w:cs="Times New Roman"/>
                <w:bCs/>
                <w:kern w:val="0"/>
                <w:sz w:val="21"/>
                <w:szCs w:val="21"/>
                <w:lang w:bidi="ar"/>
              </w:rPr>
              <w:t>mg/kg</w:t>
            </w:r>
          </w:p>
        </w:tc>
        <w:tc>
          <w:tcPr>
            <w:tcW w:w="473" w:type="pct"/>
            <w:gridSpan w:val="2"/>
            <w:tcBorders>
              <w:tl2br w:val="nil"/>
              <w:tr2bl w:val="nil"/>
            </w:tcBorders>
            <w:vAlign w:val="center"/>
          </w:tcPr>
          <w:p w14:paraId="360C4E50">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0.0163</w:t>
            </w:r>
          </w:p>
        </w:tc>
        <w:tc>
          <w:tcPr>
            <w:tcW w:w="466" w:type="pct"/>
            <w:tcBorders>
              <w:tl2br w:val="nil"/>
              <w:tr2bl w:val="nil"/>
            </w:tcBorders>
            <w:vAlign w:val="center"/>
          </w:tcPr>
          <w:p w14:paraId="64F3C796">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0.0173</w:t>
            </w:r>
          </w:p>
        </w:tc>
        <w:tc>
          <w:tcPr>
            <w:tcW w:w="481" w:type="pct"/>
            <w:gridSpan w:val="2"/>
            <w:tcBorders>
              <w:tl2br w:val="nil"/>
              <w:tr2bl w:val="nil"/>
            </w:tcBorders>
            <w:vAlign w:val="center"/>
          </w:tcPr>
          <w:p w14:paraId="75E4E10F">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0.0166</w:t>
            </w:r>
          </w:p>
        </w:tc>
        <w:tc>
          <w:tcPr>
            <w:tcW w:w="423" w:type="pct"/>
            <w:tcBorders>
              <w:tl2br w:val="nil"/>
              <w:tr2bl w:val="nil"/>
            </w:tcBorders>
            <w:vAlign w:val="center"/>
          </w:tcPr>
          <w:p w14:paraId="72142BB0">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0.0136</w:t>
            </w:r>
          </w:p>
        </w:tc>
        <w:tc>
          <w:tcPr>
            <w:tcW w:w="380" w:type="pct"/>
            <w:gridSpan w:val="2"/>
            <w:tcBorders>
              <w:tl2br w:val="nil"/>
              <w:tr2bl w:val="nil"/>
            </w:tcBorders>
            <w:vAlign w:val="center"/>
          </w:tcPr>
          <w:p w14:paraId="73A4C8EA">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0.0159</w:t>
            </w:r>
          </w:p>
        </w:tc>
        <w:tc>
          <w:tcPr>
            <w:tcW w:w="414" w:type="pct"/>
            <w:tcBorders>
              <w:tl2br w:val="nil"/>
              <w:tr2bl w:val="nil"/>
            </w:tcBorders>
            <w:vAlign w:val="center"/>
          </w:tcPr>
          <w:p w14:paraId="3B99F87D">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0.0172</w:t>
            </w:r>
          </w:p>
        </w:tc>
        <w:tc>
          <w:tcPr>
            <w:tcW w:w="543" w:type="pct"/>
            <w:tcBorders>
              <w:tl2br w:val="nil"/>
              <w:tr2bl w:val="nil"/>
            </w:tcBorders>
            <w:vAlign w:val="center"/>
          </w:tcPr>
          <w:p w14:paraId="7F6A1B41">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0.0126</w:t>
            </w:r>
          </w:p>
        </w:tc>
        <w:tc>
          <w:tcPr>
            <w:tcW w:w="399" w:type="pct"/>
            <w:tcBorders>
              <w:tl2br w:val="nil"/>
              <w:tr2bl w:val="nil"/>
            </w:tcBorders>
            <w:shd w:val="clear" w:color="auto" w:fill="auto"/>
            <w:vAlign w:val="center"/>
          </w:tcPr>
          <w:p w14:paraId="712883F0">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38</w:t>
            </w:r>
          </w:p>
        </w:tc>
        <w:tc>
          <w:tcPr>
            <w:tcW w:w="424" w:type="pct"/>
            <w:tcBorders>
              <w:tl2br w:val="nil"/>
              <w:tr2bl w:val="nil"/>
            </w:tcBorders>
            <w:shd w:val="clear" w:color="auto" w:fill="auto"/>
            <w:vAlign w:val="center"/>
          </w:tcPr>
          <w:p w14:paraId="4C39F5D0">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0.002</w:t>
            </w:r>
          </w:p>
        </w:tc>
      </w:tr>
      <w:tr w14:paraId="6E18618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40" w:hRule="atLeast"/>
          <w:jc w:val="center"/>
        </w:trPr>
        <w:tc>
          <w:tcPr>
            <w:tcW w:w="229" w:type="pct"/>
            <w:tcBorders>
              <w:tl2br w:val="nil"/>
              <w:tr2bl w:val="nil"/>
            </w:tcBorders>
            <w:vAlign w:val="center"/>
          </w:tcPr>
          <w:p w14:paraId="0F01A03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7</w:t>
            </w:r>
          </w:p>
        </w:tc>
        <w:tc>
          <w:tcPr>
            <w:tcW w:w="466" w:type="pct"/>
            <w:gridSpan w:val="2"/>
            <w:tcBorders>
              <w:tl2br w:val="nil"/>
              <w:tr2bl w:val="nil"/>
            </w:tcBorders>
            <w:shd w:val="clear" w:color="auto" w:fill="auto"/>
            <w:vAlign w:val="center"/>
          </w:tcPr>
          <w:p w14:paraId="5D014542">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000000"/>
                <w:kern w:val="1"/>
                <w:sz w:val="21"/>
                <w:szCs w:val="21"/>
              </w:rPr>
              <w:t>砷</w:t>
            </w:r>
          </w:p>
        </w:tc>
        <w:tc>
          <w:tcPr>
            <w:tcW w:w="293" w:type="pct"/>
            <w:tcBorders>
              <w:tl2br w:val="nil"/>
              <w:tr2bl w:val="nil"/>
            </w:tcBorders>
            <w:shd w:val="clear" w:color="auto" w:fill="auto"/>
            <w:vAlign w:val="center"/>
          </w:tcPr>
          <w:p w14:paraId="38FCB398">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bCs/>
                <w:kern w:val="0"/>
                <w:sz w:val="21"/>
                <w:szCs w:val="21"/>
                <w:lang w:bidi="ar"/>
              </w:rPr>
              <w:t>mg/kg</w:t>
            </w:r>
          </w:p>
        </w:tc>
        <w:tc>
          <w:tcPr>
            <w:tcW w:w="473" w:type="pct"/>
            <w:gridSpan w:val="2"/>
            <w:tcBorders>
              <w:tl2br w:val="nil"/>
              <w:tr2bl w:val="nil"/>
            </w:tcBorders>
            <w:vAlign w:val="center"/>
          </w:tcPr>
          <w:p w14:paraId="40BA173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14.6</w:t>
            </w:r>
          </w:p>
        </w:tc>
        <w:tc>
          <w:tcPr>
            <w:tcW w:w="466" w:type="pct"/>
            <w:tcBorders>
              <w:tl2br w:val="nil"/>
              <w:tr2bl w:val="nil"/>
            </w:tcBorders>
            <w:vAlign w:val="center"/>
          </w:tcPr>
          <w:p w14:paraId="21BBA884">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14.2</w:t>
            </w:r>
          </w:p>
        </w:tc>
        <w:tc>
          <w:tcPr>
            <w:tcW w:w="481" w:type="pct"/>
            <w:gridSpan w:val="2"/>
            <w:tcBorders>
              <w:tl2br w:val="nil"/>
              <w:tr2bl w:val="nil"/>
            </w:tcBorders>
            <w:vAlign w:val="center"/>
          </w:tcPr>
          <w:p w14:paraId="62D76181">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14.5</w:t>
            </w:r>
          </w:p>
        </w:tc>
        <w:tc>
          <w:tcPr>
            <w:tcW w:w="423" w:type="pct"/>
            <w:tcBorders>
              <w:tl2br w:val="nil"/>
              <w:tr2bl w:val="nil"/>
            </w:tcBorders>
            <w:vAlign w:val="center"/>
          </w:tcPr>
          <w:p w14:paraId="1E3B2314">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12.8</w:t>
            </w:r>
          </w:p>
        </w:tc>
        <w:tc>
          <w:tcPr>
            <w:tcW w:w="380" w:type="pct"/>
            <w:gridSpan w:val="2"/>
            <w:tcBorders>
              <w:tl2br w:val="nil"/>
              <w:tr2bl w:val="nil"/>
            </w:tcBorders>
            <w:vAlign w:val="center"/>
          </w:tcPr>
          <w:p w14:paraId="05098FE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11.7</w:t>
            </w:r>
          </w:p>
        </w:tc>
        <w:tc>
          <w:tcPr>
            <w:tcW w:w="414" w:type="pct"/>
            <w:tcBorders>
              <w:tl2br w:val="nil"/>
              <w:tr2bl w:val="nil"/>
            </w:tcBorders>
            <w:vAlign w:val="center"/>
          </w:tcPr>
          <w:p w14:paraId="3A75E661">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12.5</w:t>
            </w:r>
          </w:p>
        </w:tc>
        <w:tc>
          <w:tcPr>
            <w:tcW w:w="543" w:type="pct"/>
            <w:tcBorders>
              <w:tl2br w:val="nil"/>
              <w:tr2bl w:val="nil"/>
            </w:tcBorders>
            <w:vAlign w:val="center"/>
          </w:tcPr>
          <w:p w14:paraId="2EA3C95B">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12.6</w:t>
            </w:r>
          </w:p>
        </w:tc>
        <w:tc>
          <w:tcPr>
            <w:tcW w:w="399" w:type="pct"/>
            <w:tcBorders>
              <w:tl2br w:val="nil"/>
              <w:tr2bl w:val="nil"/>
            </w:tcBorders>
            <w:shd w:val="clear" w:color="auto" w:fill="auto"/>
            <w:vAlign w:val="center"/>
          </w:tcPr>
          <w:p w14:paraId="6C003C48">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60</w:t>
            </w:r>
          </w:p>
        </w:tc>
        <w:tc>
          <w:tcPr>
            <w:tcW w:w="424" w:type="pct"/>
            <w:tcBorders>
              <w:tl2br w:val="nil"/>
              <w:tr2bl w:val="nil"/>
            </w:tcBorders>
            <w:shd w:val="clear" w:color="auto" w:fill="auto"/>
            <w:vAlign w:val="center"/>
          </w:tcPr>
          <w:p w14:paraId="25109AB5">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0.01</w:t>
            </w:r>
          </w:p>
        </w:tc>
      </w:tr>
      <w:tr w14:paraId="02D730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40" w:hRule="atLeast"/>
          <w:jc w:val="center"/>
        </w:trPr>
        <w:tc>
          <w:tcPr>
            <w:tcW w:w="229" w:type="pct"/>
            <w:tcBorders>
              <w:tl2br w:val="nil"/>
              <w:tr2bl w:val="nil"/>
            </w:tcBorders>
            <w:vAlign w:val="center"/>
          </w:tcPr>
          <w:p w14:paraId="62581E7E">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8</w:t>
            </w:r>
          </w:p>
        </w:tc>
        <w:tc>
          <w:tcPr>
            <w:tcW w:w="466" w:type="pct"/>
            <w:gridSpan w:val="2"/>
            <w:tcBorders>
              <w:tl2br w:val="nil"/>
              <w:tr2bl w:val="nil"/>
            </w:tcBorders>
            <w:shd w:val="clear" w:color="auto" w:fill="auto"/>
            <w:vAlign w:val="center"/>
          </w:tcPr>
          <w:p w14:paraId="10FA321F">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rPr>
              <w:t>pH</w:t>
            </w:r>
          </w:p>
        </w:tc>
        <w:tc>
          <w:tcPr>
            <w:tcW w:w="293" w:type="pct"/>
            <w:tcBorders>
              <w:tl2br w:val="nil"/>
              <w:tr2bl w:val="nil"/>
            </w:tcBorders>
            <w:shd w:val="clear" w:color="auto" w:fill="auto"/>
            <w:vAlign w:val="center"/>
          </w:tcPr>
          <w:p w14:paraId="6B5B2B0A">
            <w:pPr>
              <w:autoSpaceDE/>
              <w:autoSpaceDN/>
              <w:spacing w:before="0" w:after="0" w:line="240" w:lineRule="auto"/>
              <w:ind w:left="0" w:firstLine="0"/>
              <w:jc w:val="center"/>
              <w:rPr>
                <w:rFonts w:hint="default" w:ascii="Times New Roman" w:hAnsi="Times New Roman" w:eastAsia="宋体" w:cs="Times New Roman"/>
                <w:bCs/>
                <w:kern w:val="0"/>
                <w:sz w:val="21"/>
                <w:szCs w:val="21"/>
                <w:lang w:val="en-US" w:eastAsia="zh-CN" w:bidi="ar"/>
              </w:rPr>
            </w:pPr>
            <w:r>
              <w:rPr>
                <w:rFonts w:hint="default" w:ascii="Times New Roman" w:hAnsi="Times New Roman" w:cs="Times New Roman"/>
                <w:bCs/>
                <w:kern w:val="0"/>
                <w:sz w:val="21"/>
                <w:szCs w:val="21"/>
                <w:lang w:bidi="ar"/>
              </w:rPr>
              <w:t>无量纲</w:t>
            </w:r>
          </w:p>
        </w:tc>
        <w:tc>
          <w:tcPr>
            <w:tcW w:w="473" w:type="pct"/>
            <w:gridSpan w:val="2"/>
            <w:tcBorders>
              <w:tl2br w:val="nil"/>
              <w:tr2bl w:val="nil"/>
            </w:tcBorders>
            <w:vAlign w:val="center"/>
          </w:tcPr>
          <w:p w14:paraId="0DEA011E">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7.8</w:t>
            </w:r>
          </w:p>
        </w:tc>
        <w:tc>
          <w:tcPr>
            <w:tcW w:w="466" w:type="pct"/>
            <w:tcBorders>
              <w:tl2br w:val="nil"/>
              <w:tr2bl w:val="nil"/>
            </w:tcBorders>
            <w:vAlign w:val="center"/>
          </w:tcPr>
          <w:p w14:paraId="662E3894">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7.8</w:t>
            </w:r>
          </w:p>
        </w:tc>
        <w:tc>
          <w:tcPr>
            <w:tcW w:w="481" w:type="pct"/>
            <w:gridSpan w:val="2"/>
            <w:tcBorders>
              <w:tl2br w:val="nil"/>
              <w:tr2bl w:val="nil"/>
            </w:tcBorders>
            <w:vAlign w:val="center"/>
          </w:tcPr>
          <w:p w14:paraId="29436217">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7.8</w:t>
            </w:r>
          </w:p>
        </w:tc>
        <w:tc>
          <w:tcPr>
            <w:tcW w:w="423" w:type="pct"/>
            <w:tcBorders>
              <w:tl2br w:val="nil"/>
              <w:tr2bl w:val="nil"/>
            </w:tcBorders>
            <w:vAlign w:val="center"/>
          </w:tcPr>
          <w:p w14:paraId="18DCA257">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7.8</w:t>
            </w:r>
          </w:p>
        </w:tc>
        <w:tc>
          <w:tcPr>
            <w:tcW w:w="380" w:type="pct"/>
            <w:gridSpan w:val="2"/>
            <w:tcBorders>
              <w:tl2br w:val="nil"/>
              <w:tr2bl w:val="nil"/>
            </w:tcBorders>
            <w:vAlign w:val="center"/>
          </w:tcPr>
          <w:p w14:paraId="25C03D69">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7.6</w:t>
            </w:r>
          </w:p>
        </w:tc>
        <w:tc>
          <w:tcPr>
            <w:tcW w:w="414" w:type="pct"/>
            <w:tcBorders>
              <w:tl2br w:val="nil"/>
              <w:tr2bl w:val="nil"/>
            </w:tcBorders>
            <w:vAlign w:val="center"/>
          </w:tcPr>
          <w:p w14:paraId="6087D32B">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7.5</w:t>
            </w:r>
          </w:p>
        </w:tc>
        <w:tc>
          <w:tcPr>
            <w:tcW w:w="543" w:type="pct"/>
            <w:tcBorders>
              <w:tl2br w:val="nil"/>
              <w:tr2bl w:val="nil"/>
            </w:tcBorders>
            <w:vAlign w:val="center"/>
          </w:tcPr>
          <w:p w14:paraId="6DC242B2">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8.0</w:t>
            </w:r>
          </w:p>
        </w:tc>
        <w:tc>
          <w:tcPr>
            <w:tcW w:w="399" w:type="pct"/>
            <w:tcBorders>
              <w:tl2br w:val="nil"/>
              <w:tr2bl w:val="nil"/>
            </w:tcBorders>
            <w:vAlign w:val="center"/>
          </w:tcPr>
          <w:p w14:paraId="26D86F9E">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424" w:type="pct"/>
            <w:tcBorders>
              <w:tl2br w:val="nil"/>
              <w:tr2bl w:val="nil"/>
            </w:tcBorders>
            <w:vAlign w:val="center"/>
          </w:tcPr>
          <w:p w14:paraId="69EBF0D2">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r>
      <w:tr w14:paraId="1ECCC7F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gridAfter w:val="1"/>
          <w:wAfter w:w="3" w:type="pct"/>
          <w:trHeight w:val="367" w:hRule="atLeast"/>
          <w:jc w:val="center"/>
        </w:trPr>
        <w:tc>
          <w:tcPr>
            <w:tcW w:w="229" w:type="pct"/>
            <w:tcBorders>
              <w:tl2br w:val="nil"/>
              <w:tr2bl w:val="nil"/>
            </w:tcBorders>
            <w:vAlign w:val="center"/>
          </w:tcPr>
          <w:p w14:paraId="5B89803E">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9</w:t>
            </w:r>
          </w:p>
        </w:tc>
        <w:tc>
          <w:tcPr>
            <w:tcW w:w="466" w:type="pct"/>
            <w:gridSpan w:val="2"/>
            <w:tcBorders>
              <w:tl2br w:val="nil"/>
              <w:tr2bl w:val="nil"/>
            </w:tcBorders>
            <w:shd w:val="clear" w:color="auto" w:fill="auto"/>
            <w:vAlign w:val="center"/>
          </w:tcPr>
          <w:p w14:paraId="1FD6EB1A">
            <w:pPr>
              <w:autoSpaceDE/>
              <w:autoSpaceDN/>
              <w:spacing w:before="0" w:after="0" w:line="240" w:lineRule="auto"/>
              <w:ind w:left="0" w:firstLine="0"/>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水溶性盐</w:t>
            </w:r>
          </w:p>
          <w:p w14:paraId="2288F232">
            <w:pPr>
              <w:autoSpaceDE/>
              <w:autoSpaceDN/>
              <w:spacing w:before="0" w:after="0" w:line="240" w:lineRule="auto"/>
              <w:ind w:left="0" w:firstLine="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总量</w:t>
            </w:r>
          </w:p>
        </w:tc>
        <w:tc>
          <w:tcPr>
            <w:tcW w:w="293" w:type="pct"/>
            <w:tcBorders>
              <w:tl2br w:val="nil"/>
              <w:tr2bl w:val="nil"/>
            </w:tcBorders>
            <w:shd w:val="clear" w:color="auto" w:fill="auto"/>
            <w:vAlign w:val="center"/>
          </w:tcPr>
          <w:p w14:paraId="4E53BCD4">
            <w:pPr>
              <w:autoSpaceDE/>
              <w:autoSpaceDN/>
              <w:spacing w:before="0" w:after="0" w:line="240" w:lineRule="auto"/>
              <w:ind w:left="0" w:firstLine="0"/>
              <w:jc w:val="center"/>
              <w:rPr>
                <w:rFonts w:hint="default" w:ascii="Times New Roman" w:hAnsi="Times New Roman" w:eastAsia="宋体" w:cs="Times New Roman"/>
                <w:bCs/>
                <w:kern w:val="0"/>
                <w:sz w:val="21"/>
                <w:szCs w:val="21"/>
                <w:lang w:val="en-US" w:eastAsia="zh-CN" w:bidi="ar"/>
              </w:rPr>
            </w:pPr>
            <w:r>
              <w:rPr>
                <w:rFonts w:hint="default" w:ascii="Times New Roman" w:hAnsi="Times New Roman" w:cs="Times New Roman"/>
                <w:bCs/>
                <w:kern w:val="0"/>
                <w:sz w:val="21"/>
                <w:szCs w:val="21"/>
                <w:lang w:bidi="ar"/>
              </w:rPr>
              <w:t>g/kg</w:t>
            </w:r>
          </w:p>
        </w:tc>
        <w:tc>
          <w:tcPr>
            <w:tcW w:w="473" w:type="pct"/>
            <w:gridSpan w:val="2"/>
            <w:tcBorders>
              <w:tl2br w:val="nil"/>
              <w:tr2bl w:val="nil"/>
            </w:tcBorders>
            <w:vAlign w:val="center"/>
          </w:tcPr>
          <w:p w14:paraId="2D6B3008">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9.9</w:t>
            </w:r>
          </w:p>
        </w:tc>
        <w:tc>
          <w:tcPr>
            <w:tcW w:w="466" w:type="pct"/>
            <w:tcBorders>
              <w:tl2br w:val="nil"/>
              <w:tr2bl w:val="nil"/>
            </w:tcBorders>
            <w:vAlign w:val="center"/>
          </w:tcPr>
          <w:p w14:paraId="076B66F4">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11.9</w:t>
            </w:r>
          </w:p>
        </w:tc>
        <w:tc>
          <w:tcPr>
            <w:tcW w:w="481" w:type="pct"/>
            <w:gridSpan w:val="2"/>
            <w:tcBorders>
              <w:tl2br w:val="nil"/>
              <w:tr2bl w:val="nil"/>
            </w:tcBorders>
            <w:vAlign w:val="center"/>
          </w:tcPr>
          <w:p w14:paraId="289194D9">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12.4</w:t>
            </w:r>
          </w:p>
        </w:tc>
        <w:tc>
          <w:tcPr>
            <w:tcW w:w="423" w:type="pct"/>
            <w:tcBorders>
              <w:tl2br w:val="nil"/>
              <w:tr2bl w:val="nil"/>
            </w:tcBorders>
            <w:vAlign w:val="center"/>
          </w:tcPr>
          <w:p w14:paraId="16895B1F">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9.4</w:t>
            </w:r>
          </w:p>
        </w:tc>
        <w:tc>
          <w:tcPr>
            <w:tcW w:w="380" w:type="pct"/>
            <w:gridSpan w:val="2"/>
            <w:tcBorders>
              <w:tl2br w:val="nil"/>
              <w:tr2bl w:val="nil"/>
            </w:tcBorders>
            <w:vAlign w:val="center"/>
          </w:tcPr>
          <w:p w14:paraId="629B6EFD">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1.3</w:t>
            </w:r>
          </w:p>
        </w:tc>
        <w:tc>
          <w:tcPr>
            <w:tcW w:w="414" w:type="pct"/>
            <w:tcBorders>
              <w:tl2br w:val="nil"/>
              <w:tr2bl w:val="nil"/>
            </w:tcBorders>
            <w:vAlign w:val="center"/>
          </w:tcPr>
          <w:p w14:paraId="7409E6F3">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1.0</w:t>
            </w:r>
          </w:p>
        </w:tc>
        <w:tc>
          <w:tcPr>
            <w:tcW w:w="543" w:type="pct"/>
            <w:tcBorders>
              <w:tl2br w:val="nil"/>
              <w:tr2bl w:val="nil"/>
            </w:tcBorders>
            <w:vAlign w:val="center"/>
          </w:tcPr>
          <w:p w14:paraId="227C64B5">
            <w:pPr>
              <w:autoSpaceDE/>
              <w:autoSpaceDN/>
              <w:spacing w:before="0" w:after="0" w:line="240" w:lineRule="auto"/>
              <w:ind w:left="0" w:firstLine="0"/>
              <w:jc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9.4</w:t>
            </w:r>
          </w:p>
        </w:tc>
        <w:tc>
          <w:tcPr>
            <w:tcW w:w="399" w:type="pct"/>
            <w:tcBorders>
              <w:tl2br w:val="nil"/>
              <w:tr2bl w:val="nil"/>
            </w:tcBorders>
            <w:vAlign w:val="center"/>
          </w:tcPr>
          <w:p w14:paraId="6B0EABD7">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424" w:type="pct"/>
            <w:tcBorders>
              <w:tl2br w:val="nil"/>
              <w:tr2bl w:val="nil"/>
            </w:tcBorders>
            <w:vAlign w:val="center"/>
          </w:tcPr>
          <w:p w14:paraId="0830FDCA">
            <w:pPr>
              <w:autoSpaceDE/>
              <w:autoSpaceDN/>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r>
    </w:tbl>
    <w:p w14:paraId="5F1B50C8">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根据表4.3-</w:t>
      </w:r>
      <w:r>
        <w:rPr>
          <w:rFonts w:hint="default" w:ascii="Times New Roman" w:hAnsi="Times New Roman" w:eastAsia="宋体" w:cs="Times New Roman"/>
          <w:sz w:val="24"/>
          <w:szCs w:val="24"/>
          <w:highlight w:val="none"/>
          <w:lang w:val="en-US" w:eastAsia="zh-CN"/>
        </w:rPr>
        <w:t>5</w:t>
      </w:r>
      <w:r>
        <w:rPr>
          <w:rFonts w:hint="default" w:ascii="Times New Roman" w:hAnsi="Times New Roman" w:eastAsia="宋体" w:cs="Times New Roman"/>
          <w:sz w:val="24"/>
          <w:szCs w:val="24"/>
          <w:highlight w:val="none"/>
        </w:rPr>
        <w:t>土壤监测结果，各监测因子均满足《土壤环境质量标准建设用 地土壤污染风险管控标准》（GB36600-2018）第二类用地筛选值限值要求。</w:t>
      </w:r>
    </w:p>
    <w:p w14:paraId="3754EF5E">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②占地范围外</w:t>
      </w:r>
    </w:p>
    <w:p w14:paraId="6E7357AF">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根据新疆兴发化工有限公司《新疆兴发100吨/年催化剂项目环境影响报告书》</w:t>
      </w:r>
      <w:r>
        <w:rPr>
          <w:rFonts w:hint="eastAsia" w:cs="Times New Roman"/>
          <w:sz w:val="24"/>
          <w:szCs w:val="24"/>
          <w:highlight w:val="none"/>
          <w:lang w:val="en-US" w:eastAsia="zh-CN"/>
        </w:rPr>
        <w:t>中</w:t>
      </w:r>
      <w:r>
        <w:rPr>
          <w:rFonts w:hint="default" w:ascii="Times New Roman" w:hAnsi="Times New Roman" w:cs="Times New Roman"/>
          <w:sz w:val="24"/>
          <w:szCs w:val="24"/>
          <w:highlight w:val="none"/>
          <w:lang w:val="en-US" w:eastAsia="zh-CN"/>
        </w:rPr>
        <w:t>于2025年8月11日对本项目占地范围外各土壤环境质量现状监测点监测结果，土壤理化性质见表4.2-10，土壤环境质量监测结果见表4.2-11。</w:t>
      </w:r>
    </w:p>
    <w:p w14:paraId="47C0E832">
      <w:pPr>
        <w:jc w:val="center"/>
        <w:rPr>
          <w:rFonts w:hint="default" w:ascii="Times New Roman" w:hAnsi="Times New Roman" w:eastAsia="宋体" w:cs="Times New Roman"/>
          <w:b/>
          <w:sz w:val="24"/>
          <w:szCs w:val="24"/>
          <w:highlight w:val="none"/>
          <w:lang w:val="en-US" w:eastAsia="zh-CN"/>
        </w:rPr>
      </w:pPr>
      <w:r>
        <w:rPr>
          <w:rFonts w:hint="default" w:ascii="Times New Roman" w:hAnsi="Times New Roman" w:cs="Times New Roman"/>
          <w:b/>
          <w:sz w:val="24"/>
          <w:szCs w:val="24"/>
          <w:highlight w:val="none"/>
        </w:rPr>
        <w:t>表4</w:t>
      </w:r>
      <w:r>
        <w:rPr>
          <w:rFonts w:hint="default" w:ascii="Times New Roman" w:hAnsi="Times New Roman" w:cs="Times New Roman"/>
          <w:b/>
          <w:sz w:val="24"/>
          <w:szCs w:val="24"/>
          <w:highlight w:val="none"/>
          <w:lang w:val="en-US" w:eastAsia="zh-CN"/>
        </w:rPr>
        <w:t>.2-10</w:t>
      </w:r>
      <w:r>
        <w:rPr>
          <w:rFonts w:hint="default" w:ascii="Times New Roman" w:hAnsi="Times New Roman" w:cs="Times New Roman"/>
          <w:b/>
          <w:sz w:val="24"/>
          <w:szCs w:val="24"/>
          <w:highlight w:val="none"/>
        </w:rPr>
        <w:t xml:space="preserve"> </w:t>
      </w:r>
      <w:r>
        <w:rPr>
          <w:rFonts w:hint="default" w:ascii="Times New Roman" w:hAnsi="Times New Roman" w:cs="Times New Roman"/>
          <w:b/>
          <w:sz w:val="24"/>
          <w:szCs w:val="24"/>
          <w:highlight w:val="none"/>
          <w:lang w:val="en-US" w:eastAsia="zh-CN"/>
        </w:rPr>
        <w:t>土壤理化性质调查一览表</w:t>
      </w:r>
    </w:p>
    <w:tbl>
      <w:tblPr>
        <w:tblStyle w:val="39"/>
        <w:tblW w:w="5013"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292"/>
        <w:gridCol w:w="1663"/>
        <w:gridCol w:w="1615"/>
        <w:gridCol w:w="2259"/>
        <w:gridCol w:w="1493"/>
      </w:tblGrid>
      <w:tr w14:paraId="7BB8625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76" w:type="pct"/>
            <w:tcBorders>
              <w:tl2br w:val="nil"/>
              <w:tr2bl w:val="nil"/>
            </w:tcBorders>
            <w:noWrap w:val="0"/>
            <w:vAlign w:val="center"/>
          </w:tcPr>
          <w:p w14:paraId="777E3A29">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点位</w:t>
            </w:r>
          </w:p>
        </w:tc>
        <w:tc>
          <w:tcPr>
            <w:tcW w:w="999" w:type="pct"/>
            <w:tcBorders>
              <w:tl2br w:val="nil"/>
              <w:tr2bl w:val="nil"/>
            </w:tcBorders>
            <w:noWrap w:val="0"/>
            <w:vAlign w:val="center"/>
          </w:tcPr>
          <w:p w14:paraId="1A2AA2F0">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经纬度</w:t>
            </w:r>
          </w:p>
        </w:tc>
        <w:tc>
          <w:tcPr>
            <w:tcW w:w="970" w:type="pct"/>
            <w:tcBorders>
              <w:tl2br w:val="nil"/>
              <w:tr2bl w:val="nil"/>
            </w:tcBorders>
            <w:noWrap w:val="0"/>
            <w:vAlign w:val="center"/>
          </w:tcPr>
          <w:p w14:paraId="6EB990B6">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层次</w:t>
            </w:r>
          </w:p>
        </w:tc>
        <w:tc>
          <w:tcPr>
            <w:tcW w:w="1357" w:type="pct"/>
            <w:tcBorders>
              <w:tl2br w:val="nil"/>
              <w:tr2bl w:val="nil"/>
            </w:tcBorders>
            <w:noWrap w:val="0"/>
            <w:vAlign w:val="center"/>
          </w:tcPr>
          <w:p w14:paraId="3046F053">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颜色</w:t>
            </w:r>
          </w:p>
        </w:tc>
        <w:tc>
          <w:tcPr>
            <w:tcW w:w="896" w:type="pct"/>
            <w:tcBorders>
              <w:tl2br w:val="nil"/>
              <w:tr2bl w:val="nil"/>
            </w:tcBorders>
            <w:noWrap w:val="0"/>
            <w:vAlign w:val="center"/>
          </w:tcPr>
          <w:p w14:paraId="39AC94F0">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pH</w:t>
            </w:r>
          </w:p>
        </w:tc>
      </w:tr>
      <w:tr w14:paraId="0F36E70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76" w:type="pct"/>
            <w:tcBorders>
              <w:tl2br w:val="nil"/>
              <w:tr2bl w:val="nil"/>
            </w:tcBorders>
            <w:shd w:val="clear" w:color="auto" w:fill="auto"/>
            <w:noWrap w:val="0"/>
            <w:vAlign w:val="center"/>
          </w:tcPr>
          <w:p w14:paraId="53D9BFE7">
            <w:pPr>
              <w:pStyle w:val="214"/>
              <w:autoSpaceDE/>
              <w:autoSpaceDN/>
              <w:spacing w:before="0" w:after="0"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u w:val="none"/>
                <w:lang w:val="en-US" w:eastAsia="zh-CN" w:bidi="en-US"/>
              </w:rPr>
            </w:pPr>
            <w:r>
              <w:rPr>
                <w:rFonts w:hint="default" w:ascii="Times New Roman" w:hAnsi="Times New Roman" w:cs="Times New Roman"/>
                <w:b w:val="0"/>
                <w:bCs/>
                <w:color w:val="auto"/>
                <w:kern w:val="2"/>
                <w:sz w:val="21"/>
                <w:szCs w:val="21"/>
                <w:highlight w:val="none"/>
                <w:u w:val="none"/>
                <w:lang w:val="en-US" w:eastAsia="zh-CN"/>
              </w:rPr>
              <w:t>5#</w:t>
            </w:r>
          </w:p>
        </w:tc>
        <w:tc>
          <w:tcPr>
            <w:tcW w:w="999" w:type="pct"/>
            <w:tcBorders>
              <w:tl2br w:val="nil"/>
              <w:tr2bl w:val="nil"/>
            </w:tcBorders>
            <w:shd w:val="clear" w:color="auto" w:fill="auto"/>
            <w:noWrap w:val="0"/>
            <w:vAlign w:val="center"/>
          </w:tcPr>
          <w:p w14:paraId="26265C68">
            <w:pPr>
              <w:pStyle w:val="214"/>
              <w:autoSpaceDE/>
              <w:autoSpaceDN/>
              <w:spacing w:before="0" w:after="0" w:line="240" w:lineRule="auto"/>
              <w:ind w:left="0" w:firstLine="0"/>
              <w:jc w:val="center"/>
              <w:rPr>
                <w:rFonts w:hint="default" w:ascii="Times New Roman" w:hAnsi="Times New Roman"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E80°6′57.727″</w:t>
            </w:r>
          </w:p>
          <w:p w14:paraId="53A523B7">
            <w:pPr>
              <w:pStyle w:val="214"/>
              <w:autoSpaceDE/>
              <w:autoSpaceDN/>
              <w:spacing w:before="0" w:after="0"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u w:val="none"/>
                <w:lang w:val="zh-CN" w:eastAsia="zh-CN" w:bidi="en-US"/>
              </w:rPr>
            </w:pPr>
            <w:r>
              <w:rPr>
                <w:rFonts w:hint="default" w:ascii="Times New Roman" w:hAnsi="Times New Roman" w:cs="Times New Roman"/>
                <w:b w:val="0"/>
                <w:bCs/>
                <w:color w:val="auto"/>
                <w:kern w:val="2"/>
                <w:sz w:val="21"/>
                <w:szCs w:val="21"/>
                <w:u w:val="none"/>
                <w:lang w:val="en-US" w:eastAsia="zh-CN"/>
              </w:rPr>
              <w:t>N41°3′46.424″</w:t>
            </w:r>
          </w:p>
        </w:tc>
        <w:tc>
          <w:tcPr>
            <w:tcW w:w="970" w:type="pct"/>
            <w:tcBorders>
              <w:tl2br w:val="nil"/>
              <w:tr2bl w:val="nil"/>
            </w:tcBorders>
            <w:noWrap w:val="0"/>
            <w:vAlign w:val="center"/>
          </w:tcPr>
          <w:p w14:paraId="58A1590C">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0～0.2m</w:t>
            </w:r>
          </w:p>
        </w:tc>
        <w:tc>
          <w:tcPr>
            <w:tcW w:w="1357" w:type="pct"/>
            <w:tcBorders>
              <w:tl2br w:val="nil"/>
              <w:tr2bl w:val="nil"/>
            </w:tcBorders>
            <w:noWrap w:val="0"/>
            <w:vAlign w:val="center"/>
          </w:tcPr>
          <w:p w14:paraId="236B3230">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spacing w:val="0"/>
                <w:sz w:val="21"/>
                <w:szCs w:val="21"/>
                <w:lang w:val="en-US" w:eastAsia="zh-CN"/>
              </w:rPr>
              <w:t>暗灰</w:t>
            </w:r>
            <w:r>
              <w:rPr>
                <w:rFonts w:hint="default" w:ascii="Times New Roman" w:hAnsi="Times New Roman" w:cs="Times New Roman"/>
                <w:sz w:val="21"/>
                <w:szCs w:val="21"/>
                <w:lang w:val="en-US" w:eastAsia="zh-CN"/>
              </w:rPr>
              <w:t>色</w:t>
            </w:r>
            <w:r>
              <w:rPr>
                <w:rFonts w:hint="default" w:ascii="Times New Roman" w:hAnsi="Times New Roman" w:eastAsia="宋体" w:cs="Times New Roman"/>
                <w:color w:val="auto"/>
                <w:sz w:val="21"/>
                <w:szCs w:val="21"/>
                <w:lang w:val="en-US" w:eastAsia="zh-CN"/>
              </w:rPr>
              <w:t>、</w:t>
            </w:r>
            <w:r>
              <w:rPr>
                <w:rFonts w:hint="default" w:ascii="Times New Roman" w:hAnsi="Times New Roman" w:cs="Times New Roman"/>
                <w:sz w:val="21"/>
                <w:szCs w:val="21"/>
                <w:lang w:val="en-US" w:eastAsia="zh-CN"/>
              </w:rPr>
              <w:t>砂土</w:t>
            </w:r>
          </w:p>
        </w:tc>
        <w:tc>
          <w:tcPr>
            <w:tcW w:w="896" w:type="pct"/>
            <w:tcBorders>
              <w:tl2br w:val="nil"/>
              <w:tr2bl w:val="nil"/>
            </w:tcBorders>
            <w:noWrap w:val="0"/>
            <w:vAlign w:val="center"/>
          </w:tcPr>
          <w:p w14:paraId="423E3FBD">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8.23</w:t>
            </w:r>
          </w:p>
        </w:tc>
      </w:tr>
      <w:tr w14:paraId="05D47D9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776" w:type="pct"/>
            <w:tcBorders>
              <w:tl2br w:val="nil"/>
              <w:tr2bl w:val="nil"/>
            </w:tcBorders>
            <w:shd w:val="clear" w:color="auto" w:fill="auto"/>
            <w:noWrap w:val="0"/>
            <w:vAlign w:val="center"/>
          </w:tcPr>
          <w:p w14:paraId="45F22D6A">
            <w:pPr>
              <w:pStyle w:val="214"/>
              <w:autoSpaceDE/>
              <w:autoSpaceDN/>
              <w:spacing w:before="0" w:after="0"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u w:val="none"/>
                <w:lang w:val="en-US" w:eastAsia="zh-CN" w:bidi="en-US"/>
              </w:rPr>
            </w:pPr>
            <w:r>
              <w:rPr>
                <w:rFonts w:hint="default" w:ascii="Times New Roman" w:hAnsi="Times New Roman" w:cs="Times New Roman"/>
                <w:b w:val="0"/>
                <w:bCs/>
                <w:color w:val="auto"/>
                <w:kern w:val="2"/>
                <w:sz w:val="21"/>
                <w:szCs w:val="21"/>
                <w:highlight w:val="none"/>
                <w:u w:val="none"/>
                <w:lang w:val="en-US" w:eastAsia="zh-CN"/>
              </w:rPr>
              <w:t>6#</w:t>
            </w:r>
          </w:p>
        </w:tc>
        <w:tc>
          <w:tcPr>
            <w:tcW w:w="999" w:type="pct"/>
            <w:tcBorders>
              <w:tl2br w:val="nil"/>
              <w:tr2bl w:val="nil"/>
            </w:tcBorders>
            <w:shd w:val="clear" w:color="auto" w:fill="auto"/>
            <w:noWrap w:val="0"/>
            <w:vAlign w:val="center"/>
          </w:tcPr>
          <w:p w14:paraId="492050CE">
            <w:pPr>
              <w:pStyle w:val="214"/>
              <w:autoSpaceDE/>
              <w:autoSpaceDN/>
              <w:spacing w:before="0" w:after="0" w:line="240" w:lineRule="auto"/>
              <w:ind w:left="0" w:firstLine="0"/>
              <w:jc w:val="center"/>
              <w:rPr>
                <w:rFonts w:hint="default" w:ascii="Times New Roman" w:hAnsi="Times New Roman" w:cs="Times New Roman"/>
                <w:b w:val="0"/>
                <w:bCs/>
                <w:color w:val="auto"/>
                <w:kern w:val="2"/>
                <w:sz w:val="21"/>
                <w:szCs w:val="21"/>
                <w:u w:val="none"/>
                <w:lang w:val="en-US" w:eastAsia="zh-CN"/>
              </w:rPr>
            </w:pPr>
            <w:r>
              <w:rPr>
                <w:rFonts w:hint="default" w:ascii="Times New Roman" w:hAnsi="Times New Roman" w:cs="Times New Roman"/>
                <w:b w:val="0"/>
                <w:bCs/>
                <w:color w:val="auto"/>
                <w:kern w:val="2"/>
                <w:sz w:val="21"/>
                <w:szCs w:val="21"/>
                <w:u w:val="none"/>
                <w:lang w:val="en-US" w:eastAsia="zh-CN"/>
              </w:rPr>
              <w:t>E80°7′10.751″</w:t>
            </w:r>
          </w:p>
          <w:p w14:paraId="170EB81E">
            <w:pPr>
              <w:pStyle w:val="214"/>
              <w:autoSpaceDE/>
              <w:autoSpaceDN/>
              <w:spacing w:before="0" w:after="0"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u w:val="none"/>
                <w:lang w:val="zh-CN" w:eastAsia="zh-CN" w:bidi="en-US"/>
              </w:rPr>
            </w:pPr>
            <w:r>
              <w:rPr>
                <w:rFonts w:hint="default" w:ascii="Times New Roman" w:hAnsi="Times New Roman" w:cs="Times New Roman"/>
                <w:b w:val="0"/>
                <w:bCs/>
                <w:color w:val="auto"/>
                <w:kern w:val="2"/>
                <w:sz w:val="21"/>
                <w:szCs w:val="21"/>
                <w:u w:val="none"/>
                <w:lang w:val="en-US" w:eastAsia="zh-CN"/>
              </w:rPr>
              <w:t>N41°4′17.187″</w:t>
            </w:r>
          </w:p>
        </w:tc>
        <w:tc>
          <w:tcPr>
            <w:tcW w:w="970" w:type="pct"/>
            <w:tcBorders>
              <w:tl2br w:val="nil"/>
              <w:tr2bl w:val="nil"/>
            </w:tcBorders>
            <w:noWrap w:val="0"/>
            <w:vAlign w:val="center"/>
          </w:tcPr>
          <w:p w14:paraId="2A63AA2F">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0～0.2m</w:t>
            </w:r>
          </w:p>
        </w:tc>
        <w:tc>
          <w:tcPr>
            <w:tcW w:w="1357" w:type="pct"/>
            <w:tcBorders>
              <w:tl2br w:val="nil"/>
              <w:tr2bl w:val="nil"/>
            </w:tcBorders>
            <w:noWrap w:val="0"/>
            <w:vAlign w:val="center"/>
          </w:tcPr>
          <w:p w14:paraId="61504811">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000000"/>
                <w:spacing w:val="0"/>
                <w:sz w:val="21"/>
                <w:szCs w:val="21"/>
                <w:lang w:val="en-US" w:eastAsia="zh-CN"/>
              </w:rPr>
              <w:t>暗灰</w:t>
            </w:r>
            <w:r>
              <w:rPr>
                <w:rFonts w:hint="default" w:ascii="Times New Roman" w:hAnsi="Times New Roman" w:cs="Times New Roman"/>
                <w:sz w:val="21"/>
                <w:szCs w:val="21"/>
                <w:lang w:val="en-US" w:eastAsia="zh-CN"/>
              </w:rPr>
              <w:t>色</w:t>
            </w:r>
            <w:r>
              <w:rPr>
                <w:rFonts w:hint="default" w:ascii="Times New Roman" w:hAnsi="Times New Roman" w:eastAsia="宋体" w:cs="Times New Roman"/>
                <w:color w:val="auto"/>
                <w:sz w:val="21"/>
                <w:szCs w:val="21"/>
                <w:lang w:val="en-US" w:eastAsia="zh-CN"/>
              </w:rPr>
              <w:t>、</w:t>
            </w:r>
            <w:r>
              <w:rPr>
                <w:rFonts w:hint="default" w:ascii="Times New Roman" w:hAnsi="Times New Roman" w:cs="Times New Roman"/>
                <w:sz w:val="21"/>
                <w:szCs w:val="21"/>
                <w:lang w:val="en-US" w:eastAsia="zh-CN"/>
              </w:rPr>
              <w:t>砂土</w:t>
            </w:r>
          </w:p>
        </w:tc>
        <w:tc>
          <w:tcPr>
            <w:tcW w:w="896" w:type="pct"/>
            <w:tcBorders>
              <w:tl2br w:val="nil"/>
              <w:tr2bl w:val="nil"/>
            </w:tcBorders>
            <w:noWrap w:val="0"/>
            <w:vAlign w:val="center"/>
          </w:tcPr>
          <w:p w14:paraId="3E599F89">
            <w:pPr>
              <w:pStyle w:val="197"/>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8.47</w:t>
            </w:r>
          </w:p>
        </w:tc>
      </w:tr>
    </w:tbl>
    <w:p w14:paraId="16F33CD8">
      <w:pPr>
        <w:pStyle w:val="211"/>
        <w:spacing w:line="240" w:lineRule="auto"/>
        <w:rPr>
          <w:rFonts w:hint="default" w:ascii="Times New Roman" w:hAnsi="Times New Roman" w:eastAsia="宋体" w:cs="Times New Roman"/>
          <w:color w:val="000000"/>
          <w:sz w:val="24"/>
          <w:szCs w:val="24"/>
          <w:highlight w:val="none"/>
          <w:lang w:val="en-US" w:eastAsia="zh-CN"/>
        </w:rPr>
      </w:pPr>
      <w:r>
        <w:rPr>
          <w:rFonts w:hint="default" w:ascii="Times New Roman" w:hAnsi="Times New Roman" w:cs="Times New Roman"/>
          <w:color w:val="000000"/>
          <w:sz w:val="24"/>
          <w:szCs w:val="24"/>
          <w:highlight w:val="none"/>
        </w:rPr>
        <w:t>表4</w:t>
      </w:r>
      <w:r>
        <w:rPr>
          <w:rFonts w:hint="default" w:ascii="Times New Roman" w:hAnsi="Times New Roman" w:cs="Times New Roman"/>
          <w:color w:val="000000"/>
          <w:sz w:val="24"/>
          <w:szCs w:val="24"/>
          <w:highlight w:val="none"/>
          <w:lang w:val="en-US" w:eastAsia="zh-CN"/>
        </w:rPr>
        <w:t>.2-11</w:t>
      </w:r>
      <w:r>
        <w:rPr>
          <w:rFonts w:hint="default" w:ascii="Times New Roman" w:hAnsi="Times New Roman" w:cs="Times New Roman"/>
          <w:color w:val="000000"/>
          <w:sz w:val="24"/>
          <w:szCs w:val="24"/>
          <w:highlight w:val="none"/>
        </w:rPr>
        <w:t xml:space="preserve"> </w:t>
      </w:r>
      <w:r>
        <w:rPr>
          <w:rFonts w:hint="default" w:ascii="Times New Roman" w:hAnsi="Times New Roman" w:cs="Times New Roman"/>
          <w:b/>
          <w:sz w:val="24"/>
          <w:szCs w:val="24"/>
          <w:highlight w:val="none"/>
          <w:lang w:val="en-US" w:eastAsia="zh-CN"/>
        </w:rPr>
        <w:t>土壤环境质量监测结果统计表</w:t>
      </w:r>
    </w:p>
    <w:tbl>
      <w:tblPr>
        <w:tblStyle w:val="39"/>
        <w:tblW w:w="4996" w:type="pct"/>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772"/>
        <w:gridCol w:w="1837"/>
        <w:gridCol w:w="1314"/>
        <w:gridCol w:w="1168"/>
        <w:gridCol w:w="1073"/>
        <w:gridCol w:w="1345"/>
      </w:tblGrid>
      <w:tr w14:paraId="1C767A33">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vMerge w:val="restart"/>
            <w:tcBorders>
              <w:tl2br w:val="nil"/>
              <w:tr2bl w:val="nil"/>
            </w:tcBorders>
            <w:noWrap w:val="0"/>
            <w:vAlign w:val="center"/>
          </w:tcPr>
          <w:p w14:paraId="101AE15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监测项目</w:t>
            </w:r>
          </w:p>
        </w:tc>
        <w:tc>
          <w:tcPr>
            <w:tcW w:w="1079" w:type="pct"/>
            <w:vMerge w:val="restart"/>
            <w:tcBorders>
              <w:tl2br w:val="nil"/>
              <w:tr2bl w:val="nil"/>
            </w:tcBorders>
            <w:noWrap w:val="0"/>
            <w:vAlign w:val="center"/>
          </w:tcPr>
          <w:p w14:paraId="16B619B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单位</w:t>
            </w:r>
          </w:p>
        </w:tc>
        <w:tc>
          <w:tcPr>
            <w:tcW w:w="1458" w:type="pct"/>
            <w:gridSpan w:val="2"/>
            <w:tcBorders>
              <w:tl2br w:val="nil"/>
              <w:tr2bl w:val="nil"/>
            </w:tcBorders>
            <w:noWrap w:val="0"/>
            <w:vAlign w:val="center"/>
          </w:tcPr>
          <w:p w14:paraId="351DFDB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lang w:val="en-US" w:eastAsia="zh-CN"/>
              </w:rPr>
            </w:pPr>
            <w:r>
              <w:rPr>
                <w:rFonts w:hint="default" w:ascii="Times New Roman" w:hAnsi="Times New Roman" w:eastAsia="宋体" w:cs="Times New Roman"/>
                <w:b/>
                <w:bCs/>
                <w:i w:val="0"/>
                <w:iCs w:val="0"/>
                <w:color w:val="000000"/>
                <w:sz w:val="21"/>
                <w:szCs w:val="21"/>
                <w:u w:val="none"/>
                <w:lang w:val="en-US" w:eastAsia="zh-CN"/>
              </w:rPr>
              <w:t>点位</w:t>
            </w:r>
          </w:p>
        </w:tc>
        <w:tc>
          <w:tcPr>
            <w:tcW w:w="630" w:type="pct"/>
            <w:vMerge w:val="restart"/>
            <w:tcBorders>
              <w:tl2br w:val="nil"/>
              <w:tr2bl w:val="nil"/>
            </w:tcBorders>
            <w:noWrap/>
            <w:vAlign w:val="center"/>
          </w:tcPr>
          <w:p w14:paraId="380C50C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highlight w:val="none"/>
                <w:u w:val="none"/>
                <w:lang w:val="en-US" w:eastAsia="zh-CN" w:bidi="ar"/>
              </w:rPr>
              <w:t>标准</w:t>
            </w:r>
          </w:p>
        </w:tc>
        <w:tc>
          <w:tcPr>
            <w:tcW w:w="790" w:type="pct"/>
            <w:vMerge w:val="restart"/>
            <w:tcBorders>
              <w:tl2br w:val="nil"/>
              <w:tr2bl w:val="nil"/>
            </w:tcBorders>
            <w:noWrap/>
            <w:vAlign w:val="center"/>
          </w:tcPr>
          <w:p w14:paraId="7CF74F0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rPr>
            </w:pPr>
            <w:r>
              <w:rPr>
                <w:rFonts w:hint="default" w:ascii="Times New Roman" w:hAnsi="Times New Roman" w:eastAsia="宋体" w:cs="Times New Roman"/>
                <w:b/>
                <w:bCs/>
                <w:i w:val="0"/>
                <w:iCs w:val="0"/>
                <w:color w:val="000000"/>
                <w:kern w:val="0"/>
                <w:sz w:val="21"/>
                <w:szCs w:val="21"/>
                <w:u w:val="none"/>
                <w:lang w:val="en-US" w:eastAsia="zh-CN" w:bidi="ar"/>
              </w:rPr>
              <w:t>达标情况</w:t>
            </w:r>
          </w:p>
        </w:tc>
      </w:tr>
      <w:tr w14:paraId="3603C997">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vMerge w:val="continue"/>
            <w:tcBorders>
              <w:tl2br w:val="nil"/>
              <w:tr2bl w:val="nil"/>
            </w:tcBorders>
            <w:noWrap w:val="0"/>
            <w:vAlign w:val="center"/>
          </w:tcPr>
          <w:p w14:paraId="4E0288D9">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1079" w:type="pct"/>
            <w:vMerge w:val="continue"/>
            <w:tcBorders>
              <w:tl2br w:val="nil"/>
              <w:tr2bl w:val="nil"/>
            </w:tcBorders>
            <w:noWrap w:val="0"/>
            <w:vAlign w:val="center"/>
          </w:tcPr>
          <w:p w14:paraId="225BA2DF">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772" w:type="pct"/>
            <w:tcBorders>
              <w:tl2br w:val="nil"/>
              <w:tr2bl w:val="nil"/>
            </w:tcBorders>
            <w:noWrap w:val="0"/>
            <w:vAlign w:val="center"/>
          </w:tcPr>
          <w:p w14:paraId="03DC18C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lang w:val="en-US"/>
              </w:rPr>
            </w:pPr>
            <w:r>
              <w:rPr>
                <w:rFonts w:hint="default" w:ascii="Times New Roman" w:hAnsi="Times New Roman" w:eastAsia="宋体" w:cs="Times New Roman"/>
                <w:b/>
                <w:bCs/>
                <w:i w:val="0"/>
                <w:iCs w:val="0"/>
                <w:color w:val="000000"/>
                <w:kern w:val="0"/>
                <w:sz w:val="21"/>
                <w:szCs w:val="21"/>
                <w:u w:val="none"/>
                <w:lang w:val="en-US" w:eastAsia="zh-CN" w:bidi="ar"/>
              </w:rPr>
              <w:t>5#</w:t>
            </w:r>
          </w:p>
        </w:tc>
        <w:tc>
          <w:tcPr>
            <w:tcW w:w="685" w:type="pct"/>
            <w:tcBorders>
              <w:tl2br w:val="nil"/>
              <w:tr2bl w:val="nil"/>
            </w:tcBorders>
            <w:noWrap w:val="0"/>
            <w:vAlign w:val="center"/>
          </w:tcPr>
          <w:p w14:paraId="4F605F9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b/>
                <w:bCs/>
                <w:i w:val="0"/>
                <w:iCs w:val="0"/>
                <w:color w:val="000000"/>
                <w:sz w:val="21"/>
                <w:szCs w:val="21"/>
                <w:u w:val="none"/>
                <w:lang w:val="en-US"/>
              </w:rPr>
            </w:pPr>
            <w:r>
              <w:rPr>
                <w:rFonts w:hint="default" w:ascii="Times New Roman" w:hAnsi="Times New Roman" w:eastAsia="宋体" w:cs="Times New Roman"/>
                <w:b/>
                <w:bCs/>
                <w:i w:val="0"/>
                <w:iCs w:val="0"/>
                <w:color w:val="000000"/>
                <w:kern w:val="0"/>
                <w:sz w:val="21"/>
                <w:szCs w:val="21"/>
                <w:u w:val="none"/>
                <w:lang w:val="en-US" w:eastAsia="zh-CN" w:bidi="ar"/>
              </w:rPr>
              <w:t>6#</w:t>
            </w:r>
          </w:p>
        </w:tc>
        <w:tc>
          <w:tcPr>
            <w:tcW w:w="630" w:type="pct"/>
            <w:vMerge w:val="continue"/>
            <w:tcBorders>
              <w:tl2br w:val="nil"/>
              <w:tr2bl w:val="nil"/>
            </w:tcBorders>
            <w:noWrap/>
            <w:vAlign w:val="center"/>
          </w:tcPr>
          <w:p w14:paraId="3228AB76">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c>
          <w:tcPr>
            <w:tcW w:w="790" w:type="pct"/>
            <w:vMerge w:val="continue"/>
            <w:tcBorders>
              <w:tl2br w:val="nil"/>
              <w:tr2bl w:val="nil"/>
            </w:tcBorders>
            <w:noWrap/>
            <w:vAlign w:val="center"/>
          </w:tcPr>
          <w:p w14:paraId="2C112586">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rPr>
                <w:rFonts w:hint="default" w:ascii="Times New Roman" w:hAnsi="Times New Roman" w:eastAsia="宋体" w:cs="Times New Roman"/>
                <w:i w:val="0"/>
                <w:iCs w:val="0"/>
                <w:color w:val="000000"/>
                <w:sz w:val="21"/>
                <w:szCs w:val="21"/>
                <w:u w:val="none"/>
              </w:rPr>
            </w:pPr>
          </w:p>
        </w:tc>
      </w:tr>
      <w:tr w14:paraId="158FC9DA">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49BDD56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pH</w:t>
            </w:r>
          </w:p>
        </w:tc>
        <w:tc>
          <w:tcPr>
            <w:tcW w:w="1079" w:type="pct"/>
            <w:tcBorders>
              <w:tl2br w:val="nil"/>
              <w:tr2bl w:val="nil"/>
            </w:tcBorders>
            <w:noWrap w:val="0"/>
            <w:vAlign w:val="center"/>
          </w:tcPr>
          <w:p w14:paraId="624A9A2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无量纲</w:t>
            </w:r>
          </w:p>
        </w:tc>
        <w:tc>
          <w:tcPr>
            <w:tcW w:w="772" w:type="pct"/>
            <w:tcBorders>
              <w:tl2br w:val="nil"/>
              <w:tr2bl w:val="nil"/>
            </w:tcBorders>
            <w:noWrap w:val="0"/>
            <w:vAlign w:val="center"/>
          </w:tcPr>
          <w:p w14:paraId="40229DB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8.23</w:t>
            </w:r>
          </w:p>
        </w:tc>
        <w:tc>
          <w:tcPr>
            <w:tcW w:w="685" w:type="pct"/>
            <w:tcBorders>
              <w:tl2br w:val="nil"/>
              <w:tr2bl w:val="nil"/>
            </w:tcBorders>
            <w:noWrap w:val="0"/>
            <w:vAlign w:val="center"/>
          </w:tcPr>
          <w:p w14:paraId="53CD6AC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8.47</w:t>
            </w:r>
          </w:p>
        </w:tc>
        <w:tc>
          <w:tcPr>
            <w:tcW w:w="630" w:type="pct"/>
            <w:tcBorders>
              <w:tl2br w:val="nil"/>
              <w:tr2bl w:val="nil"/>
            </w:tcBorders>
            <w:noWrap/>
            <w:vAlign w:val="center"/>
          </w:tcPr>
          <w:p w14:paraId="4C702FC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c>
          <w:tcPr>
            <w:tcW w:w="790" w:type="pct"/>
            <w:tcBorders>
              <w:tl2br w:val="nil"/>
              <w:tr2bl w:val="nil"/>
            </w:tcBorders>
            <w:noWrap/>
            <w:vAlign w:val="center"/>
          </w:tcPr>
          <w:p w14:paraId="49E9329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w:t>
            </w:r>
          </w:p>
        </w:tc>
      </w:tr>
      <w:tr w14:paraId="6E4C6BE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7E7B80C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铜</w:t>
            </w:r>
          </w:p>
        </w:tc>
        <w:tc>
          <w:tcPr>
            <w:tcW w:w="1079" w:type="pct"/>
            <w:tcBorders>
              <w:tl2br w:val="nil"/>
              <w:tr2bl w:val="nil"/>
            </w:tcBorders>
            <w:noWrap w:val="0"/>
            <w:vAlign w:val="center"/>
          </w:tcPr>
          <w:p w14:paraId="04A29D8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7D3EC09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w:t>
            </w:r>
          </w:p>
        </w:tc>
        <w:tc>
          <w:tcPr>
            <w:tcW w:w="685" w:type="pct"/>
            <w:tcBorders>
              <w:tl2br w:val="nil"/>
              <w:tr2bl w:val="nil"/>
            </w:tcBorders>
            <w:noWrap w:val="0"/>
            <w:vAlign w:val="center"/>
          </w:tcPr>
          <w:p w14:paraId="56830FE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46</w:t>
            </w:r>
          </w:p>
        </w:tc>
        <w:tc>
          <w:tcPr>
            <w:tcW w:w="630" w:type="pct"/>
            <w:tcBorders>
              <w:tl2br w:val="nil"/>
              <w:tr2bl w:val="nil"/>
            </w:tcBorders>
            <w:noWrap/>
            <w:vAlign w:val="center"/>
          </w:tcPr>
          <w:p w14:paraId="5D633CA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18000</w:t>
            </w:r>
          </w:p>
        </w:tc>
        <w:tc>
          <w:tcPr>
            <w:tcW w:w="790" w:type="pct"/>
            <w:tcBorders>
              <w:tl2br w:val="nil"/>
              <w:tr2bl w:val="nil"/>
            </w:tcBorders>
            <w:noWrap/>
            <w:vAlign w:val="center"/>
          </w:tcPr>
          <w:p w14:paraId="6B38FEA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D08EAB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359060A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镍</w:t>
            </w:r>
          </w:p>
        </w:tc>
        <w:tc>
          <w:tcPr>
            <w:tcW w:w="1079" w:type="pct"/>
            <w:tcBorders>
              <w:tl2br w:val="nil"/>
              <w:tr2bl w:val="nil"/>
            </w:tcBorders>
            <w:noWrap w:val="0"/>
            <w:vAlign w:val="center"/>
          </w:tcPr>
          <w:p w14:paraId="1C06943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0187256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685" w:type="pct"/>
            <w:tcBorders>
              <w:tl2br w:val="nil"/>
              <w:tr2bl w:val="nil"/>
            </w:tcBorders>
            <w:noWrap w:val="0"/>
            <w:vAlign w:val="center"/>
          </w:tcPr>
          <w:p w14:paraId="7B91776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630" w:type="pct"/>
            <w:tcBorders>
              <w:tl2br w:val="nil"/>
              <w:tr2bl w:val="nil"/>
            </w:tcBorders>
            <w:noWrap/>
            <w:vAlign w:val="center"/>
          </w:tcPr>
          <w:p w14:paraId="7FA6A07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900</w:t>
            </w:r>
          </w:p>
        </w:tc>
        <w:tc>
          <w:tcPr>
            <w:tcW w:w="790" w:type="pct"/>
            <w:tcBorders>
              <w:tl2br w:val="nil"/>
              <w:tr2bl w:val="nil"/>
            </w:tcBorders>
            <w:noWrap/>
            <w:vAlign w:val="center"/>
          </w:tcPr>
          <w:p w14:paraId="7C277C6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07FBAF5A">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164FFC3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汞</w:t>
            </w:r>
          </w:p>
        </w:tc>
        <w:tc>
          <w:tcPr>
            <w:tcW w:w="1079" w:type="pct"/>
            <w:tcBorders>
              <w:tl2br w:val="nil"/>
              <w:tr2bl w:val="nil"/>
            </w:tcBorders>
            <w:noWrap w:val="0"/>
            <w:vAlign w:val="center"/>
          </w:tcPr>
          <w:p w14:paraId="42E7EFC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68254D9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0.058</w:t>
            </w:r>
          </w:p>
        </w:tc>
        <w:tc>
          <w:tcPr>
            <w:tcW w:w="685" w:type="pct"/>
            <w:tcBorders>
              <w:tl2br w:val="nil"/>
              <w:tr2bl w:val="nil"/>
            </w:tcBorders>
            <w:noWrap w:val="0"/>
            <w:vAlign w:val="center"/>
          </w:tcPr>
          <w:p w14:paraId="6D8ABC1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0.098</w:t>
            </w:r>
          </w:p>
        </w:tc>
        <w:tc>
          <w:tcPr>
            <w:tcW w:w="630" w:type="pct"/>
            <w:tcBorders>
              <w:tl2br w:val="nil"/>
              <w:tr2bl w:val="nil"/>
            </w:tcBorders>
            <w:noWrap/>
            <w:vAlign w:val="center"/>
          </w:tcPr>
          <w:p w14:paraId="0D32BC1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38</w:t>
            </w:r>
          </w:p>
        </w:tc>
        <w:tc>
          <w:tcPr>
            <w:tcW w:w="790" w:type="pct"/>
            <w:tcBorders>
              <w:tl2br w:val="nil"/>
              <w:tr2bl w:val="nil"/>
            </w:tcBorders>
            <w:noWrap/>
            <w:vAlign w:val="center"/>
          </w:tcPr>
          <w:p w14:paraId="514C0B6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2675ED9A">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2D59587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砷</w:t>
            </w:r>
          </w:p>
        </w:tc>
        <w:tc>
          <w:tcPr>
            <w:tcW w:w="1079" w:type="pct"/>
            <w:tcBorders>
              <w:tl2br w:val="nil"/>
              <w:tr2bl w:val="nil"/>
            </w:tcBorders>
            <w:noWrap w:val="0"/>
            <w:vAlign w:val="center"/>
          </w:tcPr>
          <w:p w14:paraId="1DCCA10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685F234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5.25</w:t>
            </w:r>
          </w:p>
        </w:tc>
        <w:tc>
          <w:tcPr>
            <w:tcW w:w="685" w:type="pct"/>
            <w:tcBorders>
              <w:tl2br w:val="nil"/>
              <w:tr2bl w:val="nil"/>
            </w:tcBorders>
            <w:noWrap w:val="0"/>
            <w:vAlign w:val="center"/>
          </w:tcPr>
          <w:p w14:paraId="4DD7304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6.43</w:t>
            </w:r>
          </w:p>
        </w:tc>
        <w:tc>
          <w:tcPr>
            <w:tcW w:w="630" w:type="pct"/>
            <w:tcBorders>
              <w:tl2br w:val="nil"/>
              <w:tr2bl w:val="nil"/>
            </w:tcBorders>
            <w:noWrap/>
            <w:vAlign w:val="center"/>
          </w:tcPr>
          <w:p w14:paraId="2637BF4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790" w:type="pct"/>
            <w:tcBorders>
              <w:tl2br w:val="nil"/>
              <w:tr2bl w:val="nil"/>
            </w:tcBorders>
            <w:noWrap/>
            <w:vAlign w:val="center"/>
          </w:tcPr>
          <w:p w14:paraId="0D07616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2D3A68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4C16CD4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六价铬</w:t>
            </w:r>
          </w:p>
        </w:tc>
        <w:tc>
          <w:tcPr>
            <w:tcW w:w="1079" w:type="pct"/>
            <w:tcBorders>
              <w:tl2br w:val="nil"/>
              <w:tr2bl w:val="nil"/>
            </w:tcBorders>
            <w:noWrap w:val="0"/>
            <w:vAlign w:val="center"/>
          </w:tcPr>
          <w:p w14:paraId="3634C15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21DA651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0.5L</w:t>
            </w:r>
          </w:p>
        </w:tc>
        <w:tc>
          <w:tcPr>
            <w:tcW w:w="685" w:type="pct"/>
            <w:tcBorders>
              <w:tl2br w:val="nil"/>
              <w:tr2bl w:val="nil"/>
            </w:tcBorders>
            <w:noWrap w:val="0"/>
            <w:vAlign w:val="center"/>
          </w:tcPr>
          <w:p w14:paraId="2F6E989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0.5L</w:t>
            </w:r>
          </w:p>
        </w:tc>
        <w:tc>
          <w:tcPr>
            <w:tcW w:w="630" w:type="pct"/>
            <w:tcBorders>
              <w:tl2br w:val="nil"/>
              <w:tr2bl w:val="nil"/>
            </w:tcBorders>
            <w:noWrap/>
            <w:vAlign w:val="center"/>
          </w:tcPr>
          <w:p w14:paraId="549313F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w:t>
            </w:r>
          </w:p>
        </w:tc>
        <w:tc>
          <w:tcPr>
            <w:tcW w:w="790" w:type="pct"/>
            <w:tcBorders>
              <w:tl2br w:val="nil"/>
              <w:tr2bl w:val="nil"/>
            </w:tcBorders>
            <w:noWrap/>
            <w:vAlign w:val="center"/>
          </w:tcPr>
          <w:p w14:paraId="2253EC7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6106A83F">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1E4B947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铅</w:t>
            </w:r>
          </w:p>
        </w:tc>
        <w:tc>
          <w:tcPr>
            <w:tcW w:w="1079" w:type="pct"/>
            <w:tcBorders>
              <w:tl2br w:val="nil"/>
              <w:tr2bl w:val="nil"/>
            </w:tcBorders>
            <w:noWrap w:val="0"/>
            <w:vAlign w:val="center"/>
          </w:tcPr>
          <w:p w14:paraId="4BB1B19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3D7FCAD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685" w:type="pct"/>
            <w:tcBorders>
              <w:tl2br w:val="nil"/>
              <w:tr2bl w:val="nil"/>
            </w:tcBorders>
            <w:noWrap w:val="0"/>
            <w:vAlign w:val="center"/>
          </w:tcPr>
          <w:p w14:paraId="2095F7F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630" w:type="pct"/>
            <w:tcBorders>
              <w:tl2br w:val="nil"/>
              <w:tr2bl w:val="nil"/>
            </w:tcBorders>
            <w:noWrap/>
            <w:vAlign w:val="center"/>
          </w:tcPr>
          <w:p w14:paraId="1AC56C3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800</w:t>
            </w:r>
          </w:p>
        </w:tc>
        <w:tc>
          <w:tcPr>
            <w:tcW w:w="790" w:type="pct"/>
            <w:tcBorders>
              <w:tl2br w:val="nil"/>
              <w:tr2bl w:val="nil"/>
            </w:tcBorders>
            <w:noWrap/>
            <w:vAlign w:val="center"/>
          </w:tcPr>
          <w:p w14:paraId="03B771D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10B683E">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055DE47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镉</w:t>
            </w:r>
          </w:p>
        </w:tc>
        <w:tc>
          <w:tcPr>
            <w:tcW w:w="1079" w:type="pct"/>
            <w:tcBorders>
              <w:tl2br w:val="nil"/>
              <w:tr2bl w:val="nil"/>
            </w:tcBorders>
            <w:noWrap w:val="0"/>
            <w:vAlign w:val="center"/>
          </w:tcPr>
          <w:p w14:paraId="2B4A9B2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2C3680B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0.29</w:t>
            </w:r>
          </w:p>
        </w:tc>
        <w:tc>
          <w:tcPr>
            <w:tcW w:w="685" w:type="pct"/>
            <w:tcBorders>
              <w:tl2br w:val="nil"/>
              <w:tr2bl w:val="nil"/>
            </w:tcBorders>
            <w:noWrap w:val="0"/>
            <w:vAlign w:val="center"/>
          </w:tcPr>
          <w:p w14:paraId="518EA03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0.27</w:t>
            </w:r>
          </w:p>
        </w:tc>
        <w:tc>
          <w:tcPr>
            <w:tcW w:w="630" w:type="pct"/>
            <w:tcBorders>
              <w:tl2br w:val="nil"/>
              <w:tr2bl w:val="nil"/>
            </w:tcBorders>
            <w:noWrap/>
            <w:vAlign w:val="center"/>
          </w:tcPr>
          <w:p w14:paraId="47DEF42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65</w:t>
            </w:r>
          </w:p>
        </w:tc>
        <w:tc>
          <w:tcPr>
            <w:tcW w:w="790" w:type="pct"/>
            <w:tcBorders>
              <w:tl2br w:val="nil"/>
              <w:tr2bl w:val="nil"/>
            </w:tcBorders>
            <w:noWrap/>
            <w:vAlign w:val="center"/>
          </w:tcPr>
          <w:p w14:paraId="049CEE5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21408BF3">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524BEEE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氯甲烷</w:t>
            </w:r>
          </w:p>
        </w:tc>
        <w:tc>
          <w:tcPr>
            <w:tcW w:w="1079" w:type="pct"/>
            <w:tcBorders>
              <w:tl2br w:val="nil"/>
              <w:tr2bl w:val="nil"/>
            </w:tcBorders>
            <w:noWrap w:val="0"/>
            <w:vAlign w:val="center"/>
          </w:tcPr>
          <w:p w14:paraId="097F076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0445A86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1.0L</w:t>
            </w:r>
          </w:p>
        </w:tc>
        <w:tc>
          <w:tcPr>
            <w:tcW w:w="685" w:type="pct"/>
            <w:tcBorders>
              <w:tl2br w:val="nil"/>
              <w:tr2bl w:val="nil"/>
            </w:tcBorders>
            <w:noWrap w:val="0"/>
            <w:vAlign w:val="center"/>
          </w:tcPr>
          <w:p w14:paraId="4268030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1.0L</w:t>
            </w:r>
          </w:p>
        </w:tc>
        <w:tc>
          <w:tcPr>
            <w:tcW w:w="630" w:type="pct"/>
            <w:tcBorders>
              <w:tl2br w:val="nil"/>
              <w:tr2bl w:val="nil"/>
            </w:tcBorders>
            <w:noWrap/>
            <w:vAlign w:val="center"/>
          </w:tcPr>
          <w:p w14:paraId="374D508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37000</w:t>
            </w:r>
          </w:p>
        </w:tc>
        <w:tc>
          <w:tcPr>
            <w:tcW w:w="790" w:type="pct"/>
            <w:tcBorders>
              <w:tl2br w:val="nil"/>
              <w:tr2bl w:val="nil"/>
            </w:tcBorders>
            <w:noWrap/>
            <w:vAlign w:val="center"/>
          </w:tcPr>
          <w:p w14:paraId="3BAA7E2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0950304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0EA53D3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氯乙烯</w:t>
            </w:r>
          </w:p>
        </w:tc>
        <w:tc>
          <w:tcPr>
            <w:tcW w:w="1079" w:type="pct"/>
            <w:tcBorders>
              <w:tl2br w:val="nil"/>
              <w:tr2bl w:val="nil"/>
            </w:tcBorders>
            <w:noWrap w:val="0"/>
            <w:vAlign w:val="center"/>
          </w:tcPr>
          <w:p w14:paraId="5207F39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23C4C57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1.0L</w:t>
            </w:r>
          </w:p>
        </w:tc>
        <w:tc>
          <w:tcPr>
            <w:tcW w:w="685" w:type="pct"/>
            <w:tcBorders>
              <w:tl2br w:val="nil"/>
              <w:tr2bl w:val="nil"/>
            </w:tcBorders>
            <w:noWrap w:val="0"/>
            <w:vAlign w:val="center"/>
          </w:tcPr>
          <w:p w14:paraId="1B11FD6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1.0L</w:t>
            </w:r>
          </w:p>
        </w:tc>
        <w:tc>
          <w:tcPr>
            <w:tcW w:w="630" w:type="pct"/>
            <w:tcBorders>
              <w:tl2br w:val="nil"/>
              <w:tr2bl w:val="nil"/>
            </w:tcBorders>
            <w:noWrap/>
            <w:vAlign w:val="center"/>
          </w:tcPr>
          <w:p w14:paraId="6CE8361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430</w:t>
            </w:r>
          </w:p>
        </w:tc>
        <w:tc>
          <w:tcPr>
            <w:tcW w:w="790" w:type="pct"/>
            <w:tcBorders>
              <w:tl2br w:val="nil"/>
              <w:tr2bl w:val="nil"/>
            </w:tcBorders>
            <w:noWrap/>
            <w:vAlign w:val="center"/>
          </w:tcPr>
          <w:p w14:paraId="6A8698E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548BE50">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50A8A5B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1,1-二氯乙烯</w:t>
            </w:r>
          </w:p>
        </w:tc>
        <w:tc>
          <w:tcPr>
            <w:tcW w:w="1079" w:type="pct"/>
            <w:tcBorders>
              <w:tl2br w:val="nil"/>
              <w:tr2bl w:val="nil"/>
            </w:tcBorders>
            <w:noWrap w:val="0"/>
            <w:vAlign w:val="center"/>
          </w:tcPr>
          <w:p w14:paraId="530FB91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06D7A72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1.0L</w:t>
            </w:r>
          </w:p>
        </w:tc>
        <w:tc>
          <w:tcPr>
            <w:tcW w:w="685" w:type="pct"/>
            <w:tcBorders>
              <w:tl2br w:val="nil"/>
              <w:tr2bl w:val="nil"/>
            </w:tcBorders>
            <w:noWrap w:val="0"/>
            <w:vAlign w:val="center"/>
          </w:tcPr>
          <w:p w14:paraId="34DCC5A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1.0L</w:t>
            </w:r>
          </w:p>
        </w:tc>
        <w:tc>
          <w:tcPr>
            <w:tcW w:w="630" w:type="pct"/>
            <w:tcBorders>
              <w:tl2br w:val="nil"/>
              <w:tr2bl w:val="nil"/>
            </w:tcBorders>
            <w:noWrap/>
            <w:vAlign w:val="center"/>
          </w:tcPr>
          <w:p w14:paraId="4B3A8CD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66000</w:t>
            </w:r>
          </w:p>
        </w:tc>
        <w:tc>
          <w:tcPr>
            <w:tcW w:w="790" w:type="pct"/>
            <w:tcBorders>
              <w:tl2br w:val="nil"/>
              <w:tr2bl w:val="nil"/>
            </w:tcBorders>
            <w:noWrap/>
            <w:vAlign w:val="center"/>
          </w:tcPr>
          <w:p w14:paraId="50E7E62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5C3F3F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25" w:hRule="atLeast"/>
          <w:jc w:val="center"/>
        </w:trPr>
        <w:tc>
          <w:tcPr>
            <w:tcW w:w="1041" w:type="pct"/>
            <w:tcBorders>
              <w:tl2br w:val="nil"/>
              <w:tr2bl w:val="nil"/>
            </w:tcBorders>
            <w:noWrap w:val="0"/>
            <w:vAlign w:val="center"/>
          </w:tcPr>
          <w:p w14:paraId="0716530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二氯甲烷</w:t>
            </w:r>
          </w:p>
        </w:tc>
        <w:tc>
          <w:tcPr>
            <w:tcW w:w="1079" w:type="pct"/>
            <w:tcBorders>
              <w:tl2br w:val="nil"/>
              <w:tr2bl w:val="nil"/>
            </w:tcBorders>
            <w:noWrap w:val="0"/>
            <w:vAlign w:val="center"/>
          </w:tcPr>
          <w:p w14:paraId="5D58C40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51937D5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1.5L</w:t>
            </w:r>
          </w:p>
        </w:tc>
        <w:tc>
          <w:tcPr>
            <w:tcW w:w="685" w:type="pct"/>
            <w:tcBorders>
              <w:tl2br w:val="nil"/>
              <w:tr2bl w:val="nil"/>
            </w:tcBorders>
            <w:noWrap w:val="0"/>
            <w:vAlign w:val="center"/>
          </w:tcPr>
          <w:p w14:paraId="6864451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1.5L</w:t>
            </w:r>
          </w:p>
        </w:tc>
        <w:tc>
          <w:tcPr>
            <w:tcW w:w="630" w:type="pct"/>
            <w:tcBorders>
              <w:tl2br w:val="nil"/>
              <w:tr2bl w:val="nil"/>
            </w:tcBorders>
            <w:noWrap/>
            <w:vAlign w:val="center"/>
          </w:tcPr>
          <w:p w14:paraId="25A266E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61600</w:t>
            </w:r>
          </w:p>
        </w:tc>
        <w:tc>
          <w:tcPr>
            <w:tcW w:w="790" w:type="pct"/>
            <w:tcBorders>
              <w:tl2br w:val="nil"/>
              <w:tr2bl w:val="nil"/>
            </w:tcBorders>
            <w:noWrap/>
            <w:vAlign w:val="center"/>
          </w:tcPr>
          <w:p w14:paraId="21580E7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D5DEAE1">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22A1442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反式-1,2-二氯乙烯</w:t>
            </w:r>
          </w:p>
        </w:tc>
        <w:tc>
          <w:tcPr>
            <w:tcW w:w="1079" w:type="pct"/>
            <w:tcBorders>
              <w:tl2br w:val="nil"/>
              <w:tr2bl w:val="nil"/>
            </w:tcBorders>
            <w:noWrap w:val="0"/>
            <w:vAlign w:val="center"/>
          </w:tcPr>
          <w:p w14:paraId="660437A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05A8D74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1.4L</w:t>
            </w:r>
          </w:p>
        </w:tc>
        <w:tc>
          <w:tcPr>
            <w:tcW w:w="685" w:type="pct"/>
            <w:tcBorders>
              <w:tl2br w:val="nil"/>
              <w:tr2bl w:val="nil"/>
            </w:tcBorders>
            <w:noWrap w:val="0"/>
            <w:vAlign w:val="center"/>
          </w:tcPr>
          <w:p w14:paraId="5562D4B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1.4L</w:t>
            </w:r>
          </w:p>
        </w:tc>
        <w:tc>
          <w:tcPr>
            <w:tcW w:w="630" w:type="pct"/>
            <w:tcBorders>
              <w:tl2br w:val="nil"/>
              <w:tr2bl w:val="nil"/>
            </w:tcBorders>
            <w:noWrap/>
            <w:vAlign w:val="center"/>
          </w:tcPr>
          <w:p w14:paraId="5D33D7E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54000</w:t>
            </w:r>
          </w:p>
        </w:tc>
        <w:tc>
          <w:tcPr>
            <w:tcW w:w="790" w:type="pct"/>
            <w:tcBorders>
              <w:tl2br w:val="nil"/>
              <w:tr2bl w:val="nil"/>
            </w:tcBorders>
            <w:noWrap/>
            <w:vAlign w:val="center"/>
          </w:tcPr>
          <w:p w14:paraId="70C1C1E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D9D8B26">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34D4003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1,1-二氯乙烷</w:t>
            </w:r>
          </w:p>
        </w:tc>
        <w:tc>
          <w:tcPr>
            <w:tcW w:w="1079" w:type="pct"/>
            <w:tcBorders>
              <w:tl2br w:val="nil"/>
              <w:tr2bl w:val="nil"/>
            </w:tcBorders>
            <w:noWrap w:val="0"/>
            <w:vAlign w:val="center"/>
          </w:tcPr>
          <w:p w14:paraId="4A992E4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3EF8D35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5391011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253405C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9000</w:t>
            </w:r>
          </w:p>
        </w:tc>
        <w:tc>
          <w:tcPr>
            <w:tcW w:w="790" w:type="pct"/>
            <w:tcBorders>
              <w:tl2br w:val="nil"/>
              <w:tr2bl w:val="nil"/>
            </w:tcBorders>
            <w:noWrap/>
            <w:vAlign w:val="center"/>
          </w:tcPr>
          <w:p w14:paraId="2965F41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BEC37C0">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1AD8ED3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顺式-1,2-二氯乙烯</w:t>
            </w:r>
          </w:p>
        </w:tc>
        <w:tc>
          <w:tcPr>
            <w:tcW w:w="1079" w:type="pct"/>
            <w:tcBorders>
              <w:tl2br w:val="nil"/>
              <w:tr2bl w:val="nil"/>
            </w:tcBorders>
            <w:noWrap w:val="0"/>
            <w:vAlign w:val="center"/>
          </w:tcPr>
          <w:p w14:paraId="590C450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3272722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85" w:type="pct"/>
            <w:tcBorders>
              <w:tl2br w:val="nil"/>
              <w:tr2bl w:val="nil"/>
            </w:tcBorders>
            <w:noWrap w:val="0"/>
            <w:vAlign w:val="center"/>
          </w:tcPr>
          <w:p w14:paraId="605F807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30" w:type="pct"/>
            <w:tcBorders>
              <w:tl2br w:val="nil"/>
              <w:tr2bl w:val="nil"/>
            </w:tcBorders>
            <w:noWrap/>
            <w:vAlign w:val="center"/>
          </w:tcPr>
          <w:p w14:paraId="2CF0192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596000</w:t>
            </w:r>
          </w:p>
        </w:tc>
        <w:tc>
          <w:tcPr>
            <w:tcW w:w="790" w:type="pct"/>
            <w:tcBorders>
              <w:tl2br w:val="nil"/>
              <w:tr2bl w:val="nil"/>
            </w:tcBorders>
            <w:noWrap/>
            <w:vAlign w:val="center"/>
          </w:tcPr>
          <w:p w14:paraId="755E730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6F21730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30A9800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氯仿</w:t>
            </w:r>
          </w:p>
        </w:tc>
        <w:tc>
          <w:tcPr>
            <w:tcW w:w="1079" w:type="pct"/>
            <w:tcBorders>
              <w:tl2br w:val="nil"/>
              <w:tr2bl w:val="nil"/>
            </w:tcBorders>
            <w:noWrap w:val="0"/>
            <w:vAlign w:val="top"/>
          </w:tcPr>
          <w:p w14:paraId="6A77C0C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3DF4A4D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1.1L</w:t>
            </w:r>
          </w:p>
        </w:tc>
        <w:tc>
          <w:tcPr>
            <w:tcW w:w="685" w:type="pct"/>
            <w:tcBorders>
              <w:tl2br w:val="nil"/>
              <w:tr2bl w:val="nil"/>
            </w:tcBorders>
            <w:noWrap w:val="0"/>
            <w:vAlign w:val="center"/>
          </w:tcPr>
          <w:p w14:paraId="35393F0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1.1L</w:t>
            </w:r>
          </w:p>
        </w:tc>
        <w:tc>
          <w:tcPr>
            <w:tcW w:w="630" w:type="pct"/>
            <w:tcBorders>
              <w:tl2br w:val="nil"/>
              <w:tr2bl w:val="nil"/>
            </w:tcBorders>
            <w:noWrap/>
            <w:vAlign w:val="center"/>
          </w:tcPr>
          <w:p w14:paraId="709589C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900</w:t>
            </w:r>
          </w:p>
        </w:tc>
        <w:tc>
          <w:tcPr>
            <w:tcW w:w="790" w:type="pct"/>
            <w:tcBorders>
              <w:tl2br w:val="nil"/>
              <w:tr2bl w:val="nil"/>
            </w:tcBorders>
            <w:noWrap/>
            <w:vAlign w:val="center"/>
          </w:tcPr>
          <w:p w14:paraId="2A1A8CA4">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28545D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3A9377E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1,1,1-三氯乙烷</w:t>
            </w:r>
          </w:p>
        </w:tc>
        <w:tc>
          <w:tcPr>
            <w:tcW w:w="1079" w:type="pct"/>
            <w:tcBorders>
              <w:tl2br w:val="nil"/>
              <w:tr2bl w:val="nil"/>
            </w:tcBorders>
            <w:noWrap w:val="0"/>
            <w:vAlign w:val="center"/>
          </w:tcPr>
          <w:p w14:paraId="520D816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2ECBC4C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85" w:type="pct"/>
            <w:tcBorders>
              <w:tl2br w:val="nil"/>
              <w:tr2bl w:val="nil"/>
            </w:tcBorders>
            <w:noWrap w:val="0"/>
            <w:vAlign w:val="center"/>
          </w:tcPr>
          <w:p w14:paraId="1BCEE85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30" w:type="pct"/>
            <w:tcBorders>
              <w:tl2br w:val="nil"/>
              <w:tr2bl w:val="nil"/>
            </w:tcBorders>
            <w:noWrap/>
            <w:vAlign w:val="center"/>
          </w:tcPr>
          <w:p w14:paraId="7FE49A0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840000</w:t>
            </w:r>
          </w:p>
        </w:tc>
        <w:tc>
          <w:tcPr>
            <w:tcW w:w="790" w:type="pct"/>
            <w:tcBorders>
              <w:tl2br w:val="nil"/>
              <w:tr2bl w:val="nil"/>
            </w:tcBorders>
            <w:noWrap/>
            <w:vAlign w:val="center"/>
          </w:tcPr>
          <w:p w14:paraId="456087F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7C34375">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7AAA234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四氯化碳</w:t>
            </w:r>
          </w:p>
        </w:tc>
        <w:tc>
          <w:tcPr>
            <w:tcW w:w="1079" w:type="pct"/>
            <w:tcBorders>
              <w:tl2br w:val="nil"/>
              <w:tr2bl w:val="nil"/>
            </w:tcBorders>
            <w:noWrap w:val="0"/>
            <w:vAlign w:val="center"/>
          </w:tcPr>
          <w:p w14:paraId="11741AA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2B279BD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85" w:type="pct"/>
            <w:tcBorders>
              <w:tl2br w:val="nil"/>
              <w:tr2bl w:val="nil"/>
            </w:tcBorders>
            <w:noWrap w:val="0"/>
            <w:vAlign w:val="center"/>
          </w:tcPr>
          <w:p w14:paraId="6BB803B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30" w:type="pct"/>
            <w:tcBorders>
              <w:tl2br w:val="nil"/>
              <w:tr2bl w:val="nil"/>
            </w:tcBorders>
            <w:noWrap/>
            <w:vAlign w:val="center"/>
          </w:tcPr>
          <w:p w14:paraId="795A9D3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2800</w:t>
            </w:r>
          </w:p>
        </w:tc>
        <w:tc>
          <w:tcPr>
            <w:tcW w:w="790" w:type="pct"/>
            <w:tcBorders>
              <w:tl2br w:val="nil"/>
              <w:tr2bl w:val="nil"/>
            </w:tcBorders>
            <w:noWrap/>
            <w:vAlign w:val="center"/>
          </w:tcPr>
          <w:p w14:paraId="4546C73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86A743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31EF349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苯</w:t>
            </w:r>
          </w:p>
        </w:tc>
        <w:tc>
          <w:tcPr>
            <w:tcW w:w="1079" w:type="pct"/>
            <w:tcBorders>
              <w:tl2br w:val="nil"/>
              <w:tr2bl w:val="nil"/>
            </w:tcBorders>
            <w:noWrap w:val="0"/>
            <w:vAlign w:val="center"/>
          </w:tcPr>
          <w:p w14:paraId="15F379F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36E1DE8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1.9L</w:t>
            </w:r>
          </w:p>
        </w:tc>
        <w:tc>
          <w:tcPr>
            <w:tcW w:w="685" w:type="pct"/>
            <w:tcBorders>
              <w:tl2br w:val="nil"/>
              <w:tr2bl w:val="nil"/>
            </w:tcBorders>
            <w:noWrap w:val="0"/>
            <w:vAlign w:val="center"/>
          </w:tcPr>
          <w:p w14:paraId="027BC16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1.9L</w:t>
            </w:r>
          </w:p>
        </w:tc>
        <w:tc>
          <w:tcPr>
            <w:tcW w:w="630" w:type="pct"/>
            <w:tcBorders>
              <w:tl2br w:val="nil"/>
              <w:tr2bl w:val="nil"/>
            </w:tcBorders>
            <w:noWrap/>
            <w:vAlign w:val="center"/>
          </w:tcPr>
          <w:p w14:paraId="278B2BA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4000</w:t>
            </w:r>
          </w:p>
        </w:tc>
        <w:tc>
          <w:tcPr>
            <w:tcW w:w="790" w:type="pct"/>
            <w:tcBorders>
              <w:tl2br w:val="nil"/>
              <w:tr2bl w:val="nil"/>
            </w:tcBorders>
            <w:noWrap/>
            <w:vAlign w:val="center"/>
          </w:tcPr>
          <w:p w14:paraId="663F2BE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2C8A9230">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55B7BF8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1,2-二氯乙烷</w:t>
            </w:r>
          </w:p>
        </w:tc>
        <w:tc>
          <w:tcPr>
            <w:tcW w:w="1079" w:type="pct"/>
            <w:tcBorders>
              <w:tl2br w:val="nil"/>
              <w:tr2bl w:val="nil"/>
            </w:tcBorders>
            <w:noWrap w:val="0"/>
            <w:vAlign w:val="center"/>
          </w:tcPr>
          <w:p w14:paraId="41F6183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5079AA2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85" w:type="pct"/>
            <w:tcBorders>
              <w:tl2br w:val="nil"/>
              <w:tr2bl w:val="nil"/>
            </w:tcBorders>
            <w:noWrap w:val="0"/>
            <w:vAlign w:val="center"/>
          </w:tcPr>
          <w:p w14:paraId="47C0CD3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30" w:type="pct"/>
            <w:tcBorders>
              <w:tl2br w:val="nil"/>
              <w:tr2bl w:val="nil"/>
            </w:tcBorders>
            <w:noWrap/>
            <w:vAlign w:val="center"/>
          </w:tcPr>
          <w:p w14:paraId="521B945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5000</w:t>
            </w:r>
          </w:p>
        </w:tc>
        <w:tc>
          <w:tcPr>
            <w:tcW w:w="790" w:type="pct"/>
            <w:tcBorders>
              <w:tl2br w:val="nil"/>
              <w:tr2bl w:val="nil"/>
            </w:tcBorders>
            <w:noWrap/>
            <w:vAlign w:val="center"/>
          </w:tcPr>
          <w:p w14:paraId="2EFF0A4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666194DF">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62EB200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三氯乙烯</w:t>
            </w:r>
          </w:p>
        </w:tc>
        <w:tc>
          <w:tcPr>
            <w:tcW w:w="1079" w:type="pct"/>
            <w:tcBorders>
              <w:tl2br w:val="nil"/>
              <w:tr2bl w:val="nil"/>
            </w:tcBorders>
            <w:noWrap w:val="0"/>
            <w:vAlign w:val="center"/>
          </w:tcPr>
          <w:p w14:paraId="48B6906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57FC1FA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653CAAD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4DCDD95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2800</w:t>
            </w:r>
          </w:p>
        </w:tc>
        <w:tc>
          <w:tcPr>
            <w:tcW w:w="790" w:type="pct"/>
            <w:tcBorders>
              <w:tl2br w:val="nil"/>
              <w:tr2bl w:val="nil"/>
            </w:tcBorders>
            <w:noWrap/>
            <w:vAlign w:val="center"/>
          </w:tcPr>
          <w:p w14:paraId="2A2C756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7A146F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77B887D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1,2-二氯丙烷</w:t>
            </w:r>
          </w:p>
        </w:tc>
        <w:tc>
          <w:tcPr>
            <w:tcW w:w="1079" w:type="pct"/>
            <w:tcBorders>
              <w:tl2br w:val="nil"/>
              <w:tr2bl w:val="nil"/>
            </w:tcBorders>
            <w:noWrap w:val="0"/>
            <w:vAlign w:val="center"/>
          </w:tcPr>
          <w:p w14:paraId="36255B5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4016AE4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1.1L</w:t>
            </w:r>
          </w:p>
        </w:tc>
        <w:tc>
          <w:tcPr>
            <w:tcW w:w="685" w:type="pct"/>
            <w:tcBorders>
              <w:tl2br w:val="nil"/>
              <w:tr2bl w:val="nil"/>
            </w:tcBorders>
            <w:noWrap w:val="0"/>
            <w:vAlign w:val="center"/>
          </w:tcPr>
          <w:p w14:paraId="232980C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1.1L</w:t>
            </w:r>
          </w:p>
        </w:tc>
        <w:tc>
          <w:tcPr>
            <w:tcW w:w="630" w:type="pct"/>
            <w:tcBorders>
              <w:tl2br w:val="nil"/>
              <w:tr2bl w:val="nil"/>
            </w:tcBorders>
            <w:noWrap/>
            <w:vAlign w:val="center"/>
          </w:tcPr>
          <w:p w14:paraId="077D529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5000</w:t>
            </w:r>
          </w:p>
        </w:tc>
        <w:tc>
          <w:tcPr>
            <w:tcW w:w="790" w:type="pct"/>
            <w:tcBorders>
              <w:tl2br w:val="nil"/>
              <w:tr2bl w:val="nil"/>
            </w:tcBorders>
            <w:noWrap/>
            <w:vAlign w:val="center"/>
          </w:tcPr>
          <w:p w14:paraId="2F61E25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2212B356">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73C0243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甲苯</w:t>
            </w:r>
          </w:p>
        </w:tc>
        <w:tc>
          <w:tcPr>
            <w:tcW w:w="1079" w:type="pct"/>
            <w:tcBorders>
              <w:tl2br w:val="nil"/>
              <w:tr2bl w:val="nil"/>
            </w:tcBorders>
            <w:noWrap w:val="0"/>
            <w:vAlign w:val="center"/>
          </w:tcPr>
          <w:p w14:paraId="3D11F68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4A41C21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85" w:type="pct"/>
            <w:tcBorders>
              <w:tl2br w:val="nil"/>
              <w:tr2bl w:val="nil"/>
            </w:tcBorders>
            <w:noWrap w:val="0"/>
            <w:vAlign w:val="center"/>
          </w:tcPr>
          <w:p w14:paraId="04293F9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1.3L</w:t>
            </w:r>
          </w:p>
        </w:tc>
        <w:tc>
          <w:tcPr>
            <w:tcW w:w="630" w:type="pct"/>
            <w:tcBorders>
              <w:tl2br w:val="nil"/>
              <w:tr2bl w:val="nil"/>
            </w:tcBorders>
            <w:noWrap/>
            <w:vAlign w:val="center"/>
          </w:tcPr>
          <w:p w14:paraId="0080AE3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120000</w:t>
            </w:r>
          </w:p>
        </w:tc>
        <w:tc>
          <w:tcPr>
            <w:tcW w:w="790" w:type="pct"/>
            <w:tcBorders>
              <w:tl2br w:val="nil"/>
              <w:tr2bl w:val="nil"/>
            </w:tcBorders>
            <w:noWrap/>
            <w:vAlign w:val="center"/>
          </w:tcPr>
          <w:p w14:paraId="0E48B15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716A2009">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1BBA2EC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1,1,2-三氯乙烷</w:t>
            </w:r>
          </w:p>
        </w:tc>
        <w:tc>
          <w:tcPr>
            <w:tcW w:w="1079" w:type="pct"/>
            <w:tcBorders>
              <w:tl2br w:val="nil"/>
              <w:tr2bl w:val="nil"/>
            </w:tcBorders>
            <w:noWrap w:val="0"/>
            <w:vAlign w:val="center"/>
          </w:tcPr>
          <w:p w14:paraId="707DDFA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78BD097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0710BBB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672CB6D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eastAsia="zh-CN"/>
              </w:rPr>
            </w:pPr>
            <w:r>
              <w:rPr>
                <w:rFonts w:hint="default" w:ascii="Times New Roman" w:hAnsi="Times New Roman" w:eastAsia="宋体" w:cs="Times New Roman"/>
                <w:i w:val="0"/>
                <w:iCs w:val="0"/>
                <w:color w:val="000000"/>
                <w:sz w:val="21"/>
                <w:szCs w:val="21"/>
                <w:u w:val="none"/>
                <w:lang w:val="en-US" w:eastAsia="zh-CN"/>
              </w:rPr>
              <w:t>2800</w:t>
            </w:r>
          </w:p>
        </w:tc>
        <w:tc>
          <w:tcPr>
            <w:tcW w:w="790" w:type="pct"/>
            <w:tcBorders>
              <w:tl2br w:val="nil"/>
              <w:tr2bl w:val="nil"/>
            </w:tcBorders>
            <w:noWrap/>
            <w:vAlign w:val="center"/>
          </w:tcPr>
          <w:p w14:paraId="384277B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7673E1D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669C74B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四氯乙烯</w:t>
            </w:r>
          </w:p>
        </w:tc>
        <w:tc>
          <w:tcPr>
            <w:tcW w:w="1079" w:type="pct"/>
            <w:tcBorders>
              <w:tl2br w:val="nil"/>
              <w:tr2bl w:val="nil"/>
            </w:tcBorders>
            <w:noWrap w:val="0"/>
            <w:vAlign w:val="center"/>
          </w:tcPr>
          <w:p w14:paraId="5FEE97D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33F0614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1.4L</w:t>
            </w:r>
          </w:p>
        </w:tc>
        <w:tc>
          <w:tcPr>
            <w:tcW w:w="685" w:type="pct"/>
            <w:tcBorders>
              <w:tl2br w:val="nil"/>
              <w:tr2bl w:val="nil"/>
            </w:tcBorders>
            <w:noWrap w:val="0"/>
            <w:vAlign w:val="center"/>
          </w:tcPr>
          <w:p w14:paraId="69B54B9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1.4L</w:t>
            </w:r>
          </w:p>
        </w:tc>
        <w:tc>
          <w:tcPr>
            <w:tcW w:w="630" w:type="pct"/>
            <w:tcBorders>
              <w:tl2br w:val="nil"/>
              <w:tr2bl w:val="nil"/>
            </w:tcBorders>
            <w:noWrap/>
            <w:vAlign w:val="center"/>
          </w:tcPr>
          <w:p w14:paraId="1A3F1323">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53000</w:t>
            </w:r>
          </w:p>
        </w:tc>
        <w:tc>
          <w:tcPr>
            <w:tcW w:w="790" w:type="pct"/>
            <w:tcBorders>
              <w:tl2br w:val="nil"/>
              <w:tr2bl w:val="nil"/>
            </w:tcBorders>
            <w:noWrap/>
            <w:vAlign w:val="center"/>
          </w:tcPr>
          <w:p w14:paraId="19FBC82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6550020">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1D76FDD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氯苯</w:t>
            </w:r>
          </w:p>
        </w:tc>
        <w:tc>
          <w:tcPr>
            <w:tcW w:w="1079" w:type="pct"/>
            <w:tcBorders>
              <w:tl2br w:val="nil"/>
              <w:tr2bl w:val="nil"/>
            </w:tcBorders>
            <w:noWrap w:val="0"/>
            <w:vAlign w:val="center"/>
          </w:tcPr>
          <w:p w14:paraId="4B67A97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25B2C5C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0621A76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5E1580F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270000</w:t>
            </w:r>
          </w:p>
        </w:tc>
        <w:tc>
          <w:tcPr>
            <w:tcW w:w="790" w:type="pct"/>
            <w:tcBorders>
              <w:tl2br w:val="nil"/>
              <w:tr2bl w:val="nil"/>
            </w:tcBorders>
            <w:noWrap/>
            <w:vAlign w:val="center"/>
          </w:tcPr>
          <w:p w14:paraId="23060877">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D2D1D7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076AF13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1,1,1,2-四氯乙烷</w:t>
            </w:r>
          </w:p>
        </w:tc>
        <w:tc>
          <w:tcPr>
            <w:tcW w:w="1079" w:type="pct"/>
            <w:tcBorders>
              <w:tl2br w:val="nil"/>
              <w:tr2bl w:val="nil"/>
            </w:tcBorders>
            <w:noWrap w:val="0"/>
            <w:vAlign w:val="center"/>
          </w:tcPr>
          <w:p w14:paraId="6C896CF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0EC6C1F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7E92816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314DA52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10000</w:t>
            </w:r>
          </w:p>
        </w:tc>
        <w:tc>
          <w:tcPr>
            <w:tcW w:w="790" w:type="pct"/>
            <w:tcBorders>
              <w:tl2br w:val="nil"/>
              <w:tr2bl w:val="nil"/>
            </w:tcBorders>
            <w:noWrap/>
            <w:vAlign w:val="center"/>
          </w:tcPr>
          <w:p w14:paraId="7573430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7E726DE9">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20B1685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乙苯</w:t>
            </w:r>
          </w:p>
        </w:tc>
        <w:tc>
          <w:tcPr>
            <w:tcW w:w="1079" w:type="pct"/>
            <w:tcBorders>
              <w:tl2br w:val="nil"/>
              <w:tr2bl w:val="nil"/>
            </w:tcBorders>
            <w:noWrap w:val="0"/>
            <w:vAlign w:val="center"/>
          </w:tcPr>
          <w:p w14:paraId="4737FEB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3B71A7E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596E1E11">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6567B0A7">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28000</w:t>
            </w:r>
          </w:p>
        </w:tc>
        <w:tc>
          <w:tcPr>
            <w:tcW w:w="790" w:type="pct"/>
            <w:tcBorders>
              <w:tl2br w:val="nil"/>
              <w:tr2bl w:val="nil"/>
            </w:tcBorders>
            <w:noWrap/>
            <w:vAlign w:val="center"/>
          </w:tcPr>
          <w:p w14:paraId="5056ED3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0EB48E9">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2DF9262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间，对-二甲苯</w:t>
            </w:r>
          </w:p>
        </w:tc>
        <w:tc>
          <w:tcPr>
            <w:tcW w:w="1079" w:type="pct"/>
            <w:tcBorders>
              <w:tl2br w:val="nil"/>
              <w:tr2bl w:val="nil"/>
            </w:tcBorders>
            <w:noWrap w:val="0"/>
            <w:vAlign w:val="center"/>
          </w:tcPr>
          <w:p w14:paraId="66B1A86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578E734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43318A5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7785D3F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570000</w:t>
            </w:r>
          </w:p>
        </w:tc>
        <w:tc>
          <w:tcPr>
            <w:tcW w:w="790" w:type="pct"/>
            <w:tcBorders>
              <w:tl2br w:val="nil"/>
              <w:tr2bl w:val="nil"/>
            </w:tcBorders>
            <w:noWrap/>
            <w:vAlign w:val="center"/>
          </w:tcPr>
          <w:p w14:paraId="6E22667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84665CE">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2DAF796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邻-二甲苯</w:t>
            </w:r>
          </w:p>
        </w:tc>
        <w:tc>
          <w:tcPr>
            <w:tcW w:w="1079" w:type="pct"/>
            <w:tcBorders>
              <w:tl2br w:val="nil"/>
              <w:tr2bl w:val="nil"/>
            </w:tcBorders>
            <w:noWrap w:val="0"/>
            <w:vAlign w:val="center"/>
          </w:tcPr>
          <w:p w14:paraId="4FA34C8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4634A1B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167CE39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7E8ED0C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640000</w:t>
            </w:r>
          </w:p>
        </w:tc>
        <w:tc>
          <w:tcPr>
            <w:tcW w:w="790" w:type="pct"/>
            <w:tcBorders>
              <w:tl2br w:val="nil"/>
              <w:tr2bl w:val="nil"/>
            </w:tcBorders>
            <w:noWrap/>
            <w:vAlign w:val="center"/>
          </w:tcPr>
          <w:p w14:paraId="7E73FE2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985AB7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69CC4EA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苯乙烯</w:t>
            </w:r>
          </w:p>
        </w:tc>
        <w:tc>
          <w:tcPr>
            <w:tcW w:w="1079" w:type="pct"/>
            <w:tcBorders>
              <w:tl2br w:val="nil"/>
              <w:tr2bl w:val="nil"/>
            </w:tcBorders>
            <w:noWrap w:val="0"/>
            <w:vAlign w:val="center"/>
          </w:tcPr>
          <w:p w14:paraId="58ABC79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0954450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1.1L</w:t>
            </w:r>
          </w:p>
        </w:tc>
        <w:tc>
          <w:tcPr>
            <w:tcW w:w="685" w:type="pct"/>
            <w:tcBorders>
              <w:tl2br w:val="nil"/>
              <w:tr2bl w:val="nil"/>
            </w:tcBorders>
            <w:noWrap w:val="0"/>
            <w:vAlign w:val="center"/>
          </w:tcPr>
          <w:p w14:paraId="0D0E026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1.1L</w:t>
            </w:r>
          </w:p>
        </w:tc>
        <w:tc>
          <w:tcPr>
            <w:tcW w:w="630" w:type="pct"/>
            <w:tcBorders>
              <w:tl2br w:val="nil"/>
              <w:tr2bl w:val="nil"/>
            </w:tcBorders>
            <w:noWrap/>
            <w:vAlign w:val="center"/>
          </w:tcPr>
          <w:p w14:paraId="72E21B0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1290000</w:t>
            </w:r>
          </w:p>
        </w:tc>
        <w:tc>
          <w:tcPr>
            <w:tcW w:w="790" w:type="pct"/>
            <w:tcBorders>
              <w:tl2br w:val="nil"/>
              <w:tr2bl w:val="nil"/>
            </w:tcBorders>
            <w:noWrap/>
            <w:vAlign w:val="center"/>
          </w:tcPr>
          <w:p w14:paraId="461D96E7">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0404792">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1BB0E45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1,1,2,2-四氯乙烷</w:t>
            </w:r>
          </w:p>
        </w:tc>
        <w:tc>
          <w:tcPr>
            <w:tcW w:w="1079" w:type="pct"/>
            <w:tcBorders>
              <w:tl2br w:val="nil"/>
              <w:tr2bl w:val="nil"/>
            </w:tcBorders>
            <w:noWrap w:val="0"/>
            <w:vAlign w:val="center"/>
          </w:tcPr>
          <w:p w14:paraId="47F3DD6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302EA518">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49B9733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2DCB5F1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6800</w:t>
            </w:r>
          </w:p>
        </w:tc>
        <w:tc>
          <w:tcPr>
            <w:tcW w:w="790" w:type="pct"/>
            <w:tcBorders>
              <w:tl2br w:val="nil"/>
              <w:tr2bl w:val="nil"/>
            </w:tcBorders>
            <w:noWrap/>
            <w:vAlign w:val="center"/>
          </w:tcPr>
          <w:p w14:paraId="2B00ED4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68E3201">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6C8FBA7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1,2,3-三氯丙烷</w:t>
            </w:r>
          </w:p>
        </w:tc>
        <w:tc>
          <w:tcPr>
            <w:tcW w:w="1079" w:type="pct"/>
            <w:tcBorders>
              <w:tl2br w:val="nil"/>
              <w:tr2bl w:val="nil"/>
            </w:tcBorders>
            <w:noWrap w:val="0"/>
            <w:vAlign w:val="center"/>
          </w:tcPr>
          <w:p w14:paraId="44F3AD3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34F9981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85" w:type="pct"/>
            <w:tcBorders>
              <w:tl2br w:val="nil"/>
              <w:tr2bl w:val="nil"/>
            </w:tcBorders>
            <w:noWrap w:val="0"/>
            <w:vAlign w:val="center"/>
          </w:tcPr>
          <w:p w14:paraId="5EB55B3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1.2L</w:t>
            </w:r>
          </w:p>
        </w:tc>
        <w:tc>
          <w:tcPr>
            <w:tcW w:w="630" w:type="pct"/>
            <w:tcBorders>
              <w:tl2br w:val="nil"/>
              <w:tr2bl w:val="nil"/>
            </w:tcBorders>
            <w:noWrap/>
            <w:vAlign w:val="center"/>
          </w:tcPr>
          <w:p w14:paraId="2A54FB0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500</w:t>
            </w:r>
          </w:p>
        </w:tc>
        <w:tc>
          <w:tcPr>
            <w:tcW w:w="790" w:type="pct"/>
            <w:tcBorders>
              <w:tl2br w:val="nil"/>
              <w:tr2bl w:val="nil"/>
            </w:tcBorders>
            <w:noWrap/>
            <w:vAlign w:val="center"/>
          </w:tcPr>
          <w:p w14:paraId="3B85C9D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7CFA7414">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517C149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1,4-二氯苯</w:t>
            </w:r>
          </w:p>
        </w:tc>
        <w:tc>
          <w:tcPr>
            <w:tcW w:w="1079" w:type="pct"/>
            <w:tcBorders>
              <w:tl2br w:val="nil"/>
              <w:tr2bl w:val="nil"/>
            </w:tcBorders>
            <w:noWrap w:val="0"/>
            <w:vAlign w:val="center"/>
          </w:tcPr>
          <w:p w14:paraId="0D93230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μg/kg</w:t>
            </w:r>
          </w:p>
        </w:tc>
        <w:tc>
          <w:tcPr>
            <w:tcW w:w="772" w:type="pct"/>
            <w:tcBorders>
              <w:tl2br w:val="nil"/>
              <w:tr2bl w:val="nil"/>
            </w:tcBorders>
            <w:noWrap w:val="0"/>
            <w:vAlign w:val="center"/>
          </w:tcPr>
          <w:p w14:paraId="185BBCC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1.5L</w:t>
            </w:r>
          </w:p>
        </w:tc>
        <w:tc>
          <w:tcPr>
            <w:tcW w:w="685" w:type="pct"/>
            <w:tcBorders>
              <w:tl2br w:val="nil"/>
              <w:tr2bl w:val="nil"/>
            </w:tcBorders>
            <w:noWrap w:val="0"/>
            <w:vAlign w:val="center"/>
          </w:tcPr>
          <w:p w14:paraId="388A915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1.5L</w:t>
            </w:r>
          </w:p>
        </w:tc>
        <w:tc>
          <w:tcPr>
            <w:tcW w:w="630" w:type="pct"/>
            <w:tcBorders>
              <w:tl2br w:val="nil"/>
              <w:tr2bl w:val="nil"/>
            </w:tcBorders>
            <w:noWrap/>
            <w:vAlign w:val="center"/>
          </w:tcPr>
          <w:p w14:paraId="4497A49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20000</w:t>
            </w:r>
          </w:p>
        </w:tc>
        <w:tc>
          <w:tcPr>
            <w:tcW w:w="790" w:type="pct"/>
            <w:tcBorders>
              <w:tl2br w:val="nil"/>
              <w:tr2bl w:val="nil"/>
            </w:tcBorders>
            <w:noWrap/>
            <w:vAlign w:val="center"/>
          </w:tcPr>
          <w:p w14:paraId="7A5F4F7F">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884E28A">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393EE81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2-氯苯酚</w:t>
            </w:r>
          </w:p>
        </w:tc>
        <w:tc>
          <w:tcPr>
            <w:tcW w:w="1079" w:type="pct"/>
            <w:tcBorders>
              <w:tl2br w:val="nil"/>
              <w:tr2bl w:val="nil"/>
            </w:tcBorders>
            <w:noWrap w:val="0"/>
            <w:vAlign w:val="center"/>
          </w:tcPr>
          <w:p w14:paraId="2DD7047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0A7ECFA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0.06L</w:t>
            </w:r>
          </w:p>
        </w:tc>
        <w:tc>
          <w:tcPr>
            <w:tcW w:w="685" w:type="pct"/>
            <w:tcBorders>
              <w:tl2br w:val="nil"/>
              <w:tr2bl w:val="nil"/>
            </w:tcBorders>
            <w:noWrap w:val="0"/>
            <w:vAlign w:val="center"/>
          </w:tcPr>
          <w:p w14:paraId="5AA271A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0.06L</w:t>
            </w:r>
          </w:p>
        </w:tc>
        <w:tc>
          <w:tcPr>
            <w:tcW w:w="630" w:type="pct"/>
            <w:tcBorders>
              <w:tl2br w:val="nil"/>
              <w:tr2bl w:val="nil"/>
            </w:tcBorders>
            <w:noWrap/>
            <w:vAlign w:val="center"/>
          </w:tcPr>
          <w:p w14:paraId="15D78EE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2256</w:t>
            </w:r>
          </w:p>
        </w:tc>
        <w:tc>
          <w:tcPr>
            <w:tcW w:w="790" w:type="pct"/>
            <w:tcBorders>
              <w:tl2br w:val="nil"/>
              <w:tr2bl w:val="nil"/>
            </w:tcBorders>
            <w:noWrap/>
            <w:vAlign w:val="center"/>
          </w:tcPr>
          <w:p w14:paraId="5A584BD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D7D38D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2E1C8F9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硝基苯</w:t>
            </w:r>
          </w:p>
        </w:tc>
        <w:tc>
          <w:tcPr>
            <w:tcW w:w="1079" w:type="pct"/>
            <w:tcBorders>
              <w:tl2br w:val="nil"/>
              <w:tr2bl w:val="nil"/>
            </w:tcBorders>
            <w:noWrap w:val="0"/>
            <w:vAlign w:val="center"/>
          </w:tcPr>
          <w:p w14:paraId="11A292F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4042559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0.09L</w:t>
            </w:r>
          </w:p>
        </w:tc>
        <w:tc>
          <w:tcPr>
            <w:tcW w:w="685" w:type="pct"/>
            <w:tcBorders>
              <w:tl2br w:val="nil"/>
              <w:tr2bl w:val="nil"/>
            </w:tcBorders>
            <w:noWrap w:val="0"/>
            <w:vAlign w:val="center"/>
          </w:tcPr>
          <w:p w14:paraId="601522D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0.09L</w:t>
            </w:r>
          </w:p>
        </w:tc>
        <w:tc>
          <w:tcPr>
            <w:tcW w:w="630" w:type="pct"/>
            <w:tcBorders>
              <w:tl2br w:val="nil"/>
              <w:tr2bl w:val="nil"/>
            </w:tcBorders>
            <w:noWrap/>
            <w:vAlign w:val="center"/>
          </w:tcPr>
          <w:p w14:paraId="69DECD1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76</w:t>
            </w:r>
          </w:p>
        </w:tc>
        <w:tc>
          <w:tcPr>
            <w:tcW w:w="790" w:type="pct"/>
            <w:tcBorders>
              <w:tl2br w:val="nil"/>
              <w:tr2bl w:val="nil"/>
            </w:tcBorders>
            <w:noWrap/>
            <w:vAlign w:val="center"/>
          </w:tcPr>
          <w:p w14:paraId="2816805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6F8BF642">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70AFABD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萘</w:t>
            </w:r>
          </w:p>
        </w:tc>
        <w:tc>
          <w:tcPr>
            <w:tcW w:w="1079" w:type="pct"/>
            <w:tcBorders>
              <w:tl2br w:val="nil"/>
              <w:tr2bl w:val="nil"/>
            </w:tcBorders>
            <w:noWrap w:val="0"/>
            <w:vAlign w:val="top"/>
          </w:tcPr>
          <w:p w14:paraId="32F017D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top"/>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4B0B163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0.09L</w:t>
            </w:r>
          </w:p>
        </w:tc>
        <w:tc>
          <w:tcPr>
            <w:tcW w:w="685" w:type="pct"/>
            <w:tcBorders>
              <w:tl2br w:val="nil"/>
              <w:tr2bl w:val="nil"/>
            </w:tcBorders>
            <w:noWrap w:val="0"/>
            <w:vAlign w:val="center"/>
          </w:tcPr>
          <w:p w14:paraId="5C12BC0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0.09L</w:t>
            </w:r>
          </w:p>
        </w:tc>
        <w:tc>
          <w:tcPr>
            <w:tcW w:w="630" w:type="pct"/>
            <w:tcBorders>
              <w:tl2br w:val="nil"/>
              <w:tr2bl w:val="nil"/>
            </w:tcBorders>
            <w:noWrap/>
            <w:vAlign w:val="center"/>
          </w:tcPr>
          <w:p w14:paraId="71DF75F0">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70</w:t>
            </w:r>
          </w:p>
        </w:tc>
        <w:tc>
          <w:tcPr>
            <w:tcW w:w="790" w:type="pct"/>
            <w:tcBorders>
              <w:tl2br w:val="nil"/>
              <w:tr2bl w:val="nil"/>
            </w:tcBorders>
            <w:noWrap/>
            <w:vAlign w:val="center"/>
          </w:tcPr>
          <w:p w14:paraId="732EE6E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B5FD4EC">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0A1D529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苯胺</w:t>
            </w:r>
          </w:p>
        </w:tc>
        <w:tc>
          <w:tcPr>
            <w:tcW w:w="1079" w:type="pct"/>
            <w:tcBorders>
              <w:tl2br w:val="nil"/>
              <w:tr2bl w:val="nil"/>
            </w:tcBorders>
            <w:noWrap w:val="0"/>
            <w:vAlign w:val="center"/>
          </w:tcPr>
          <w:p w14:paraId="2DF3481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05896300">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未检出</w:t>
            </w:r>
          </w:p>
        </w:tc>
        <w:tc>
          <w:tcPr>
            <w:tcW w:w="685" w:type="pct"/>
            <w:tcBorders>
              <w:tl2br w:val="nil"/>
              <w:tr2bl w:val="nil"/>
            </w:tcBorders>
            <w:noWrap w:val="0"/>
            <w:vAlign w:val="center"/>
          </w:tcPr>
          <w:p w14:paraId="7BD59C6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未检出</w:t>
            </w:r>
          </w:p>
        </w:tc>
        <w:tc>
          <w:tcPr>
            <w:tcW w:w="630" w:type="pct"/>
            <w:tcBorders>
              <w:tl2br w:val="nil"/>
              <w:tr2bl w:val="nil"/>
            </w:tcBorders>
            <w:noWrap/>
            <w:vAlign w:val="center"/>
          </w:tcPr>
          <w:p w14:paraId="586F56A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260</w:t>
            </w:r>
          </w:p>
        </w:tc>
        <w:tc>
          <w:tcPr>
            <w:tcW w:w="790" w:type="pct"/>
            <w:tcBorders>
              <w:tl2br w:val="nil"/>
              <w:tr2bl w:val="nil"/>
            </w:tcBorders>
            <w:noWrap/>
            <w:vAlign w:val="center"/>
          </w:tcPr>
          <w:p w14:paraId="6D0FD4F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2D3D0EEF">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09AEA23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苯并[a]蒽</w:t>
            </w:r>
          </w:p>
        </w:tc>
        <w:tc>
          <w:tcPr>
            <w:tcW w:w="1079" w:type="pct"/>
            <w:tcBorders>
              <w:tl2br w:val="nil"/>
              <w:tr2bl w:val="nil"/>
            </w:tcBorders>
            <w:noWrap w:val="0"/>
            <w:vAlign w:val="center"/>
          </w:tcPr>
          <w:p w14:paraId="5F4594B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400C77C3">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85" w:type="pct"/>
            <w:tcBorders>
              <w:tl2br w:val="nil"/>
              <w:tr2bl w:val="nil"/>
            </w:tcBorders>
            <w:noWrap w:val="0"/>
            <w:vAlign w:val="center"/>
          </w:tcPr>
          <w:p w14:paraId="0934692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30" w:type="pct"/>
            <w:tcBorders>
              <w:tl2br w:val="nil"/>
              <w:tr2bl w:val="nil"/>
            </w:tcBorders>
            <w:noWrap/>
            <w:vAlign w:val="center"/>
          </w:tcPr>
          <w:p w14:paraId="78FBE4D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790" w:type="pct"/>
            <w:tcBorders>
              <w:tl2br w:val="nil"/>
              <w:tr2bl w:val="nil"/>
            </w:tcBorders>
            <w:noWrap/>
            <w:vAlign w:val="center"/>
          </w:tcPr>
          <w:p w14:paraId="465CD4F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58819EFE">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5DA1919F">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䓛</w:t>
            </w:r>
          </w:p>
        </w:tc>
        <w:tc>
          <w:tcPr>
            <w:tcW w:w="1079" w:type="pct"/>
            <w:tcBorders>
              <w:tl2br w:val="nil"/>
              <w:tr2bl w:val="nil"/>
            </w:tcBorders>
            <w:noWrap w:val="0"/>
            <w:vAlign w:val="center"/>
          </w:tcPr>
          <w:p w14:paraId="6F159D4D">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47C2094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85" w:type="pct"/>
            <w:tcBorders>
              <w:tl2br w:val="nil"/>
              <w:tr2bl w:val="nil"/>
            </w:tcBorders>
            <w:noWrap w:val="0"/>
            <w:vAlign w:val="center"/>
          </w:tcPr>
          <w:p w14:paraId="76091EF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30" w:type="pct"/>
            <w:tcBorders>
              <w:tl2br w:val="nil"/>
              <w:tr2bl w:val="nil"/>
            </w:tcBorders>
            <w:noWrap/>
            <w:vAlign w:val="center"/>
          </w:tcPr>
          <w:p w14:paraId="364EBB22">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1293</w:t>
            </w:r>
          </w:p>
        </w:tc>
        <w:tc>
          <w:tcPr>
            <w:tcW w:w="790" w:type="pct"/>
            <w:tcBorders>
              <w:tl2br w:val="nil"/>
              <w:tr2bl w:val="nil"/>
            </w:tcBorders>
            <w:noWrap/>
            <w:vAlign w:val="center"/>
          </w:tcPr>
          <w:p w14:paraId="61A1519E">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490D2922">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077EE6B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苯并[b]荧蒽</w:t>
            </w:r>
          </w:p>
        </w:tc>
        <w:tc>
          <w:tcPr>
            <w:tcW w:w="1079" w:type="pct"/>
            <w:tcBorders>
              <w:tl2br w:val="nil"/>
              <w:tr2bl w:val="nil"/>
            </w:tcBorders>
            <w:noWrap w:val="0"/>
            <w:vAlign w:val="center"/>
          </w:tcPr>
          <w:p w14:paraId="072CC6F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3760066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0.2L</w:t>
            </w:r>
          </w:p>
        </w:tc>
        <w:tc>
          <w:tcPr>
            <w:tcW w:w="685" w:type="pct"/>
            <w:tcBorders>
              <w:tl2br w:val="nil"/>
              <w:tr2bl w:val="nil"/>
            </w:tcBorders>
            <w:noWrap w:val="0"/>
            <w:vAlign w:val="center"/>
          </w:tcPr>
          <w:p w14:paraId="61F2FD0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0.2L</w:t>
            </w:r>
          </w:p>
        </w:tc>
        <w:tc>
          <w:tcPr>
            <w:tcW w:w="630" w:type="pct"/>
            <w:tcBorders>
              <w:tl2br w:val="nil"/>
              <w:tr2bl w:val="nil"/>
            </w:tcBorders>
            <w:noWrap/>
            <w:vAlign w:val="center"/>
          </w:tcPr>
          <w:p w14:paraId="1FAE7E39">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790" w:type="pct"/>
            <w:tcBorders>
              <w:tl2br w:val="nil"/>
              <w:tr2bl w:val="nil"/>
            </w:tcBorders>
            <w:noWrap/>
            <w:vAlign w:val="center"/>
          </w:tcPr>
          <w:p w14:paraId="7C6C7AE6">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7DC39A90">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6CC9FFE2">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苯并[k]荧蒽</w:t>
            </w:r>
          </w:p>
        </w:tc>
        <w:tc>
          <w:tcPr>
            <w:tcW w:w="1079" w:type="pct"/>
            <w:tcBorders>
              <w:tl2br w:val="nil"/>
              <w:tr2bl w:val="nil"/>
            </w:tcBorders>
            <w:noWrap w:val="0"/>
            <w:vAlign w:val="center"/>
          </w:tcPr>
          <w:p w14:paraId="4B8E269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5AA8355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85" w:type="pct"/>
            <w:tcBorders>
              <w:tl2br w:val="nil"/>
              <w:tr2bl w:val="nil"/>
            </w:tcBorders>
            <w:noWrap w:val="0"/>
            <w:vAlign w:val="center"/>
          </w:tcPr>
          <w:p w14:paraId="430D427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30" w:type="pct"/>
            <w:tcBorders>
              <w:tl2br w:val="nil"/>
              <w:tr2bl w:val="nil"/>
            </w:tcBorders>
            <w:noWrap/>
            <w:vAlign w:val="center"/>
          </w:tcPr>
          <w:p w14:paraId="2B7747A8">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lang w:val="en-US"/>
              </w:rPr>
            </w:pPr>
            <w:r>
              <w:rPr>
                <w:rFonts w:hint="default" w:ascii="Times New Roman" w:hAnsi="Times New Roman" w:eastAsia="宋体" w:cs="Times New Roman"/>
                <w:i w:val="0"/>
                <w:iCs w:val="0"/>
                <w:color w:val="000000"/>
                <w:kern w:val="0"/>
                <w:sz w:val="21"/>
                <w:szCs w:val="21"/>
                <w:u w:val="none"/>
                <w:lang w:val="en-US" w:eastAsia="zh-CN" w:bidi="ar"/>
              </w:rPr>
              <w:t>151</w:t>
            </w:r>
          </w:p>
        </w:tc>
        <w:tc>
          <w:tcPr>
            <w:tcW w:w="790" w:type="pct"/>
            <w:tcBorders>
              <w:tl2br w:val="nil"/>
              <w:tr2bl w:val="nil"/>
            </w:tcBorders>
            <w:noWrap/>
            <w:vAlign w:val="center"/>
          </w:tcPr>
          <w:p w14:paraId="3D825A6A">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0F2EA5D5">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209F1F8B">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苯并[a]芘</w:t>
            </w:r>
          </w:p>
        </w:tc>
        <w:tc>
          <w:tcPr>
            <w:tcW w:w="1079" w:type="pct"/>
            <w:tcBorders>
              <w:tl2br w:val="nil"/>
              <w:tr2bl w:val="nil"/>
            </w:tcBorders>
            <w:noWrap w:val="0"/>
            <w:vAlign w:val="center"/>
          </w:tcPr>
          <w:p w14:paraId="7B23568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1DCFD77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85" w:type="pct"/>
            <w:tcBorders>
              <w:tl2br w:val="nil"/>
              <w:tr2bl w:val="nil"/>
            </w:tcBorders>
            <w:noWrap w:val="0"/>
            <w:vAlign w:val="center"/>
          </w:tcPr>
          <w:p w14:paraId="669A64C9">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30" w:type="pct"/>
            <w:tcBorders>
              <w:tl2br w:val="nil"/>
              <w:tr2bl w:val="nil"/>
            </w:tcBorders>
            <w:noWrap/>
            <w:vAlign w:val="center"/>
          </w:tcPr>
          <w:p w14:paraId="606D118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790" w:type="pct"/>
            <w:tcBorders>
              <w:tl2br w:val="nil"/>
              <w:tr2bl w:val="nil"/>
            </w:tcBorders>
            <w:noWrap/>
            <w:vAlign w:val="center"/>
          </w:tcPr>
          <w:p w14:paraId="346F8D5C">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16C806B6">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33CBC787">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茚并[1,2,3-cd]芘</w:t>
            </w:r>
          </w:p>
        </w:tc>
        <w:tc>
          <w:tcPr>
            <w:tcW w:w="1079" w:type="pct"/>
            <w:tcBorders>
              <w:tl2br w:val="nil"/>
              <w:tr2bl w:val="nil"/>
            </w:tcBorders>
            <w:noWrap w:val="0"/>
            <w:vAlign w:val="center"/>
          </w:tcPr>
          <w:p w14:paraId="66458BEC">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6ED0762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85" w:type="pct"/>
            <w:tcBorders>
              <w:tl2br w:val="nil"/>
              <w:tr2bl w:val="nil"/>
            </w:tcBorders>
            <w:noWrap w:val="0"/>
            <w:vAlign w:val="center"/>
          </w:tcPr>
          <w:p w14:paraId="17B46224">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30" w:type="pct"/>
            <w:tcBorders>
              <w:tl2br w:val="nil"/>
              <w:tr2bl w:val="nil"/>
            </w:tcBorders>
            <w:noWrap/>
            <w:vAlign w:val="center"/>
          </w:tcPr>
          <w:p w14:paraId="7D093105">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790" w:type="pct"/>
            <w:tcBorders>
              <w:tl2br w:val="nil"/>
              <w:tr2bl w:val="nil"/>
            </w:tcBorders>
            <w:noWrap/>
            <w:vAlign w:val="center"/>
          </w:tcPr>
          <w:p w14:paraId="0FE02BCD">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r w14:paraId="3FEEEC97">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2" w:hRule="atLeast"/>
          <w:jc w:val="center"/>
        </w:trPr>
        <w:tc>
          <w:tcPr>
            <w:tcW w:w="1041" w:type="pct"/>
            <w:tcBorders>
              <w:tl2br w:val="nil"/>
              <w:tr2bl w:val="nil"/>
            </w:tcBorders>
            <w:noWrap w:val="0"/>
            <w:vAlign w:val="center"/>
          </w:tcPr>
          <w:p w14:paraId="734BE796">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二苯并[a,h]蒽</w:t>
            </w:r>
          </w:p>
        </w:tc>
        <w:tc>
          <w:tcPr>
            <w:tcW w:w="1079" w:type="pct"/>
            <w:tcBorders>
              <w:tl2br w:val="nil"/>
              <w:tr2bl w:val="nil"/>
            </w:tcBorders>
            <w:noWrap w:val="0"/>
            <w:vAlign w:val="center"/>
          </w:tcPr>
          <w:p w14:paraId="16E1BB7A">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mg/kg</w:t>
            </w:r>
          </w:p>
        </w:tc>
        <w:tc>
          <w:tcPr>
            <w:tcW w:w="772" w:type="pct"/>
            <w:tcBorders>
              <w:tl2br w:val="nil"/>
              <w:tr2bl w:val="nil"/>
            </w:tcBorders>
            <w:noWrap w:val="0"/>
            <w:vAlign w:val="center"/>
          </w:tcPr>
          <w:p w14:paraId="2A19016E">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85" w:type="pct"/>
            <w:tcBorders>
              <w:tl2br w:val="nil"/>
              <w:tr2bl w:val="nil"/>
            </w:tcBorders>
            <w:noWrap w:val="0"/>
            <w:vAlign w:val="center"/>
          </w:tcPr>
          <w:p w14:paraId="6D525695">
            <w:pPr>
              <w:keepNext w:val="0"/>
              <w:keepLines w:val="0"/>
              <w:pageBreakBefore w:val="0"/>
              <w:widowControl/>
              <w:suppressLineNumbers w:val="0"/>
              <w:kinsoku/>
              <w:wordWrap/>
              <w:overflowPunct/>
              <w:topLinePunct w:val="0"/>
              <w:autoSpaceDE/>
              <w:autoSpaceDN/>
              <w:bidi w:val="0"/>
              <w:adjustRightInd/>
              <w:snapToGrid/>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0.1L</w:t>
            </w:r>
          </w:p>
        </w:tc>
        <w:tc>
          <w:tcPr>
            <w:tcW w:w="630" w:type="pct"/>
            <w:tcBorders>
              <w:tl2br w:val="nil"/>
              <w:tr2bl w:val="nil"/>
            </w:tcBorders>
            <w:noWrap/>
            <w:vAlign w:val="center"/>
          </w:tcPr>
          <w:p w14:paraId="211A9DC1">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790" w:type="pct"/>
            <w:tcBorders>
              <w:tl2br w:val="nil"/>
              <w:tr2bl w:val="nil"/>
            </w:tcBorders>
            <w:noWrap/>
            <w:vAlign w:val="center"/>
          </w:tcPr>
          <w:p w14:paraId="018D334B">
            <w:pPr>
              <w:keepNext w:val="0"/>
              <w:keepLines w:val="0"/>
              <w:widowControl/>
              <w:suppressLineNumbers w:val="0"/>
              <w:autoSpaceDE/>
              <w:autoSpaceDN/>
              <w:spacing w:before="0" w:after="0" w:line="240" w:lineRule="auto"/>
              <w:ind w:left="0" w:firstLine="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达标</w:t>
            </w:r>
          </w:p>
        </w:tc>
      </w:tr>
    </w:tbl>
    <w:p w14:paraId="4AC2101C">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bCs/>
          <w:color w:val="000000"/>
          <w:sz w:val="24"/>
          <w:szCs w:val="24"/>
          <w:highlight w:val="none"/>
        </w:rPr>
        <w:t>根据表中评价结果可以看出，</w:t>
      </w:r>
      <w:r>
        <w:rPr>
          <w:rFonts w:hint="default" w:ascii="Times New Roman" w:hAnsi="Times New Roman" w:cs="Times New Roman"/>
          <w:bCs/>
          <w:color w:val="000000"/>
          <w:sz w:val="24"/>
          <w:szCs w:val="24"/>
          <w:highlight w:val="none"/>
          <w:lang w:val="en-US" w:eastAsia="zh-CN"/>
        </w:rPr>
        <w:t>项目</w:t>
      </w:r>
      <w:r>
        <w:rPr>
          <w:rFonts w:hint="default" w:ascii="Times New Roman" w:hAnsi="Times New Roman" w:cs="Times New Roman"/>
          <w:bCs/>
          <w:color w:val="000000"/>
          <w:sz w:val="24"/>
          <w:szCs w:val="24"/>
          <w:highlight w:val="none"/>
        </w:rPr>
        <w:t>占地范围外建设用地各监测点的基本项目均可满足《土壤环境质量 建设用地土壤污染风险管控标准（试行）》（GB36600-2018）中表1建设用地土壤污染风险第二类筛选值要求，说明拟建项目周边土壤的环境质量较好。</w:t>
      </w:r>
    </w:p>
    <w:p w14:paraId="5C613A9E">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val="en-US" w:eastAsia="zh-CN"/>
        </w:rPr>
      </w:pPr>
    </w:p>
    <w:p w14:paraId="135943B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highlight w:val="none"/>
          <w:lang w:val="en-US"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C3022E2">
      <w:pPr>
        <w:spacing w:line="360" w:lineRule="auto"/>
        <w:ind w:left="0" w:leftChars="0" w:right="0" w:rightChars="0" w:firstLine="0" w:firstLineChars="0"/>
        <w:jc w:val="center"/>
        <w:rPr>
          <w:rFonts w:hint="eastAsia" w:ascii="Times New Roman" w:hAnsi="Times New Roman" w:eastAsia="宋体" w:cs="Times New Roman"/>
          <w:sz w:val="24"/>
          <w:szCs w:val="24"/>
          <w:lang w:val="en-US" w:eastAsia="zh-CN"/>
        </w:rPr>
      </w:pPr>
      <w:r>
        <w:rPr>
          <w:rFonts w:hint="default" w:ascii="Times New Roman" w:hAnsi="Times New Roman" w:cs="Times New Roman"/>
        </w:rPr>
        <w:drawing>
          <wp:anchor distT="0" distB="0" distL="114300" distR="114300" simplePos="0" relativeHeight="251714560" behindDoc="0" locked="0" layoutInCell="1" allowOverlap="1">
            <wp:simplePos x="0" y="0"/>
            <wp:positionH relativeFrom="column">
              <wp:posOffset>7789545</wp:posOffset>
            </wp:positionH>
            <wp:positionV relativeFrom="paragraph">
              <wp:posOffset>42545</wp:posOffset>
            </wp:positionV>
            <wp:extent cx="641350" cy="720090"/>
            <wp:effectExtent l="0" t="0" r="13970" b="11430"/>
            <wp:wrapNone/>
            <wp:docPr id="7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
                    <pic:cNvPicPr>
                      <a:picLocks noChangeAspect="1"/>
                    </pic:cNvPicPr>
                  </pic:nvPicPr>
                  <pic:blipFill>
                    <a:blip r:embed="rId13"/>
                    <a:stretch>
                      <a:fillRect/>
                    </a:stretch>
                  </pic:blipFill>
                  <pic:spPr>
                    <a:xfrm>
                      <a:off x="0" y="0"/>
                      <a:ext cx="641350" cy="720090"/>
                    </a:xfrm>
                    <a:prstGeom prst="rect">
                      <a:avLst/>
                    </a:prstGeom>
                    <a:noFill/>
                    <a:ln>
                      <a:noFill/>
                    </a:ln>
                  </pic:spPr>
                </pic:pic>
              </a:graphicData>
            </a:graphic>
          </wp:anchor>
        </w:drawing>
      </w:r>
      <w:r>
        <w:rPr>
          <w:rFonts w:hint="default" w:ascii="Times New Roman" w:hAnsi="Times New Roman" w:cs="Times New Roman"/>
        </w:rPr>
        <w:drawing>
          <wp:anchor distT="0" distB="0" distL="114300" distR="114300" simplePos="0" relativeHeight="251722752" behindDoc="0" locked="0" layoutInCell="1" allowOverlap="1">
            <wp:simplePos x="0" y="0"/>
            <wp:positionH relativeFrom="column">
              <wp:posOffset>6844665</wp:posOffset>
            </wp:positionH>
            <wp:positionV relativeFrom="paragraph">
              <wp:posOffset>4672965</wp:posOffset>
            </wp:positionV>
            <wp:extent cx="129540" cy="144145"/>
            <wp:effectExtent l="0" t="0" r="7620" b="8255"/>
            <wp:wrapNone/>
            <wp:docPr id="88"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39"/>
                    <pic:cNvPicPr>
                      <a:picLocks noChangeAspect="1"/>
                    </pic:cNvPicPr>
                  </pic:nvPicPr>
                  <pic:blipFill>
                    <a:blip r:embed="rId38"/>
                    <a:stretch>
                      <a:fillRect/>
                    </a:stretch>
                  </pic:blipFill>
                  <pic:spPr>
                    <a:xfrm>
                      <a:off x="0" y="0"/>
                      <a:ext cx="129540" cy="144145"/>
                    </a:xfrm>
                    <a:prstGeom prst="rect">
                      <a:avLst/>
                    </a:prstGeom>
                    <a:noFill/>
                    <a:ln>
                      <a:noFill/>
                    </a:ln>
                  </pic:spPr>
                </pic:pic>
              </a:graphicData>
            </a:graphic>
          </wp:anchor>
        </w:drawing>
      </w:r>
      <w:r>
        <w:rPr>
          <w:rFonts w:hint="default" w:ascii="Times New Roman" w:hAnsi="Times New Roman" w:cs="Times New Roman"/>
        </w:rPr>
        <w:drawing>
          <wp:anchor distT="0" distB="0" distL="114300" distR="114300" simplePos="0" relativeHeight="251721728" behindDoc="0" locked="0" layoutInCell="1" allowOverlap="1">
            <wp:simplePos x="0" y="0"/>
            <wp:positionH relativeFrom="column">
              <wp:posOffset>6830060</wp:posOffset>
            </wp:positionH>
            <wp:positionV relativeFrom="paragraph">
              <wp:posOffset>4397375</wp:posOffset>
            </wp:positionV>
            <wp:extent cx="140335" cy="144145"/>
            <wp:effectExtent l="0" t="0" r="12065" b="8255"/>
            <wp:wrapNone/>
            <wp:docPr id="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
                    <pic:cNvPicPr>
                      <a:picLocks noChangeAspect="1"/>
                    </pic:cNvPicPr>
                  </pic:nvPicPr>
                  <pic:blipFill>
                    <a:blip r:embed="rId39"/>
                    <a:stretch>
                      <a:fillRect/>
                    </a:stretch>
                  </pic:blipFill>
                  <pic:spPr>
                    <a:xfrm>
                      <a:off x="0" y="0"/>
                      <a:ext cx="140335" cy="144145"/>
                    </a:xfrm>
                    <a:prstGeom prst="rect">
                      <a:avLst/>
                    </a:prstGeom>
                    <a:noFill/>
                    <a:ln>
                      <a:noFill/>
                    </a:ln>
                  </pic:spPr>
                </pic:pic>
              </a:graphicData>
            </a:graphic>
          </wp:anchor>
        </w:drawing>
      </w:r>
      <w:r>
        <w:rPr>
          <w:rFonts w:hint="default" w:ascii="Times New Roman" w:hAnsi="Times New Roman" w:cs="Times New Roman"/>
        </w:rPr>
        <w:drawing>
          <wp:anchor distT="0" distB="0" distL="114300" distR="114300" simplePos="0" relativeHeight="251719680" behindDoc="0" locked="0" layoutInCell="1" allowOverlap="1">
            <wp:simplePos x="0" y="0"/>
            <wp:positionH relativeFrom="column">
              <wp:posOffset>6834505</wp:posOffset>
            </wp:positionH>
            <wp:positionV relativeFrom="paragraph">
              <wp:posOffset>4156710</wp:posOffset>
            </wp:positionV>
            <wp:extent cx="119380" cy="144145"/>
            <wp:effectExtent l="0" t="0" r="2540" b="8255"/>
            <wp:wrapNone/>
            <wp:docPr id="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
                    <pic:cNvPicPr>
                      <a:picLocks noChangeAspect="1"/>
                    </pic:cNvPicPr>
                  </pic:nvPicPr>
                  <pic:blipFill>
                    <a:blip r:embed="rId40"/>
                    <a:stretch>
                      <a:fillRect/>
                    </a:stretch>
                  </pic:blipFill>
                  <pic:spPr>
                    <a:xfrm>
                      <a:off x="0" y="0"/>
                      <a:ext cx="119380" cy="144145"/>
                    </a:xfrm>
                    <a:prstGeom prst="rect">
                      <a:avLst/>
                    </a:prstGeom>
                    <a:noFill/>
                    <a:ln>
                      <a:noFill/>
                    </a:ln>
                  </pic:spPr>
                </pic:pic>
              </a:graphicData>
            </a:graphic>
          </wp:anchor>
        </w:drawing>
      </w:r>
      <w:r>
        <w:rPr>
          <w:rFonts w:hint="default" w:ascii="Times New Roman" w:hAnsi="Times New Roman" w:cs="Times New Roman"/>
        </w:rPr>
        <w:drawing>
          <wp:anchor distT="0" distB="0" distL="114300" distR="114300" simplePos="0" relativeHeight="251723776" behindDoc="0" locked="0" layoutInCell="1" allowOverlap="1">
            <wp:simplePos x="0" y="0"/>
            <wp:positionH relativeFrom="column">
              <wp:posOffset>6838315</wp:posOffset>
            </wp:positionH>
            <wp:positionV relativeFrom="paragraph">
              <wp:posOffset>3901440</wp:posOffset>
            </wp:positionV>
            <wp:extent cx="119380" cy="144145"/>
            <wp:effectExtent l="0" t="0" r="2540" b="8255"/>
            <wp:wrapNone/>
            <wp:docPr id="7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6"/>
                    <pic:cNvPicPr>
                      <a:picLocks noChangeAspect="1"/>
                    </pic:cNvPicPr>
                  </pic:nvPicPr>
                  <pic:blipFill>
                    <a:blip r:embed="rId41"/>
                    <a:stretch>
                      <a:fillRect/>
                    </a:stretch>
                  </pic:blipFill>
                  <pic:spPr>
                    <a:xfrm>
                      <a:off x="0" y="0"/>
                      <a:ext cx="119380" cy="144145"/>
                    </a:xfrm>
                    <a:prstGeom prst="rect">
                      <a:avLst/>
                    </a:prstGeom>
                    <a:noFill/>
                    <a:ln>
                      <a:noFill/>
                    </a:ln>
                  </pic:spPr>
                </pic:pic>
              </a:graphicData>
            </a:graphic>
          </wp:anchor>
        </w:drawing>
      </w:r>
      <w:r>
        <w:rPr>
          <w:rFonts w:hint="default" w:ascii="Times New Roman" w:hAnsi="Times New Roman" w:cs="Times New Roman"/>
          <w:kern w:val="0"/>
          <w:sz w:val="24"/>
          <w:lang w:val="en-US" w:eastAsia="zh-CN"/>
        </w:rPr>
        <mc:AlternateContent>
          <mc:Choice Requires="wps">
            <w:drawing>
              <wp:anchor distT="0" distB="0" distL="114300" distR="114300" simplePos="0" relativeHeight="251720704" behindDoc="0" locked="0" layoutInCell="1" allowOverlap="1">
                <wp:simplePos x="0" y="0"/>
                <wp:positionH relativeFrom="column">
                  <wp:posOffset>6700520</wp:posOffset>
                </wp:positionH>
                <wp:positionV relativeFrom="paragraph">
                  <wp:posOffset>3709670</wp:posOffset>
                </wp:positionV>
                <wp:extent cx="342900" cy="0"/>
                <wp:effectExtent l="0" t="19050" r="7620" b="26670"/>
                <wp:wrapNone/>
                <wp:docPr id="80" name="直接连接符 80"/>
                <wp:cNvGraphicFramePr/>
                <a:graphic xmlns:a="http://schemas.openxmlformats.org/drawingml/2006/main">
                  <a:graphicData uri="http://schemas.microsoft.com/office/word/2010/wordprocessingShape">
                    <wps:wsp>
                      <wps:cNvCnPr/>
                      <wps:spPr>
                        <a:xfrm>
                          <a:off x="0" y="0"/>
                          <a:ext cx="342900" cy="0"/>
                        </a:xfrm>
                        <a:prstGeom prst="line">
                          <a:avLst/>
                        </a:prstGeom>
                        <a:ln w="38100" cap="flat" cmpd="sng">
                          <a:solidFill>
                            <a:srgbClr val="FFFF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7.6pt;margin-top:292.1pt;height:0pt;width:27pt;z-index:251720704;mso-width-relative:page;mso-height-relative:page;" filled="f" stroked="t" coordsize="21600,21600" o:gfxdata="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qDu8g2QAAAA0BAAAPAAAAAAAAAAEAIAAAACIAAABkcnMvZG93bnJldi54bWxQSwEC&#10;FAAUAAAACACHTuJAncnpyfMBAADmAwAADgAAAAAAAAABACAAAAAoAQAAZHJzL2Uyb0RvYy54bWxQ&#10;SwUGAAAAAAYABgBZAQAAjQUAAAAA&#10;">
                <v:fill on="f" focussize="0,0"/>
                <v:stroke weight="3pt" color="#FFFF00" joinstyle="round"/>
                <v:imagedata o:title=""/>
                <o:lock v:ext="edit" aspectratio="f"/>
              </v:line>
            </w:pict>
          </mc:Fallback>
        </mc:AlternateContent>
      </w:r>
      <w:r>
        <w:rPr>
          <w:rFonts w:hint="default" w:ascii="Times New Roman" w:hAnsi="Times New Roman" w:cs="Times New Roman"/>
          <w:kern w:val="0"/>
          <w:sz w:val="24"/>
          <w:lang w:val="en-US" w:eastAsia="zh-CN"/>
        </w:rPr>
        <mc:AlternateContent>
          <mc:Choice Requires="wps">
            <w:drawing>
              <wp:anchor distT="0" distB="0" distL="114300" distR="114300" simplePos="0" relativeHeight="251718656" behindDoc="0" locked="0" layoutInCell="1" allowOverlap="1">
                <wp:simplePos x="0" y="0"/>
                <wp:positionH relativeFrom="column">
                  <wp:posOffset>6701790</wp:posOffset>
                </wp:positionH>
                <wp:positionV relativeFrom="paragraph">
                  <wp:posOffset>3453130</wp:posOffset>
                </wp:positionV>
                <wp:extent cx="342900" cy="0"/>
                <wp:effectExtent l="0" t="19050" r="7620" b="26670"/>
                <wp:wrapNone/>
                <wp:docPr id="81" name="直接连接符 81"/>
                <wp:cNvGraphicFramePr/>
                <a:graphic xmlns:a="http://schemas.openxmlformats.org/drawingml/2006/main">
                  <a:graphicData uri="http://schemas.microsoft.com/office/word/2010/wordprocessingShape">
                    <wps:wsp>
                      <wps:cNvCnPr/>
                      <wps:spPr>
                        <a:xfrm>
                          <a:off x="0" y="0"/>
                          <a:ext cx="342900" cy="0"/>
                        </a:xfrm>
                        <a:prstGeom prst="line">
                          <a:avLst/>
                        </a:prstGeom>
                        <a:ln w="38100" cap="flat" cmpd="sng">
                          <a:solidFill>
                            <a:srgbClr val="ED872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7.7pt;margin-top:271.9pt;height:0pt;width:27pt;z-index:251718656;mso-width-relative:page;mso-height-relative:page;" filled="f" stroked="t" coordsize="21600,21600" o:gfxdata="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PwFvgjWAAAADQEAAA8AAAAAAAAAAQAgAAAAIgAAAGRycy9kb3ducmV2LnhtbFBLAQIU&#10;ABQAAAAIAIdO4kDv5MrG9QEAAOYDAAAOAAAAAAAAAAEAIAAAACUBAABkcnMvZTJvRG9jLnhtbFBL&#10;BQYAAAAABgAGAFkBAACMBQAAAAA=&#10;">
                <v:fill on="f" focussize="0,0"/>
                <v:stroke weight="3pt" color="#ED8720" joinstyle="round"/>
                <v:imagedata o:title=""/>
                <o:lock v:ext="edit" aspectratio="f"/>
              </v:line>
            </w:pict>
          </mc:Fallback>
        </mc:AlternateContent>
      </w:r>
      <w:r>
        <w:rPr>
          <w:rFonts w:hint="default" w:ascii="Times New Roman" w:hAnsi="Times New Roman" w:cs="Times New Roman"/>
          <w:kern w:val="0"/>
          <w:sz w:val="24"/>
          <w:lang w:val="en-US" w:eastAsia="zh-CN"/>
        </w:rPr>
        <mc:AlternateContent>
          <mc:Choice Requires="wps">
            <w:drawing>
              <wp:anchor distT="0" distB="0" distL="114300" distR="114300" simplePos="0" relativeHeight="251717632" behindDoc="0" locked="0" layoutInCell="1" allowOverlap="1">
                <wp:simplePos x="0" y="0"/>
                <wp:positionH relativeFrom="column">
                  <wp:posOffset>6699885</wp:posOffset>
                </wp:positionH>
                <wp:positionV relativeFrom="paragraph">
                  <wp:posOffset>3212465</wp:posOffset>
                </wp:positionV>
                <wp:extent cx="342900" cy="0"/>
                <wp:effectExtent l="0" t="19050" r="7620" b="26670"/>
                <wp:wrapNone/>
                <wp:docPr id="82" name="直接连接符 82"/>
                <wp:cNvGraphicFramePr/>
                <a:graphic xmlns:a="http://schemas.openxmlformats.org/drawingml/2006/main">
                  <a:graphicData uri="http://schemas.microsoft.com/office/word/2010/wordprocessingShape">
                    <wps:wsp>
                      <wps:cNvCnPr/>
                      <wps:spPr>
                        <a:xfrm>
                          <a:off x="0" y="0"/>
                          <a:ext cx="342900" cy="0"/>
                        </a:xfrm>
                        <a:prstGeom prst="line">
                          <a:avLst/>
                        </a:prstGeom>
                        <a:ln w="38100" cap="flat" cmpd="sng">
                          <a:solidFill>
                            <a:srgbClr val="0000E1"/>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7.55pt;margin-top:252.95pt;height:0pt;width:27pt;z-index:251717632;mso-width-relative:page;mso-height-relative:page;" filled="f" stroked="t" coordsize="21600,21600" o:gfxdata="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Hu5YX1AAAAA0BAAAPAAAAAAAAAAEAIAAAACIAAABkcnMvZG93bnJldi54bWxQSwECFAAU&#10;AAAACACHTuJAiQ/scPUBAADmAwAADgAAAAAAAAABACAAAAAjAQAAZHJzL2Uyb0RvYy54bWxQSwUG&#10;AAAAAAYABgBZAQAAigUAAAAA&#10;">
                <v:fill on="f" focussize="0,0"/>
                <v:stroke weight="3pt" color="#0000E1" joinstyle="round"/>
                <v:imagedata o:title=""/>
                <o:lock v:ext="edit" aspectratio="f"/>
              </v:line>
            </w:pict>
          </mc:Fallback>
        </mc:AlternateContent>
      </w:r>
      <w:r>
        <w:rPr>
          <w:rFonts w:hint="default" w:ascii="Times New Roman" w:hAnsi="Times New Roman" w:cs="Times New Roman"/>
          <w:kern w:val="0"/>
          <w:sz w:val="24"/>
          <w:lang w:val="en-US" w:eastAsia="zh-CN"/>
        </w:rPr>
        <mc:AlternateContent>
          <mc:Choice Requires="wps">
            <w:drawing>
              <wp:anchor distT="0" distB="0" distL="114300" distR="114300" simplePos="0" relativeHeight="251716608" behindDoc="0" locked="0" layoutInCell="1" allowOverlap="1">
                <wp:simplePos x="0" y="0"/>
                <wp:positionH relativeFrom="column">
                  <wp:posOffset>6694805</wp:posOffset>
                </wp:positionH>
                <wp:positionV relativeFrom="paragraph">
                  <wp:posOffset>2938145</wp:posOffset>
                </wp:positionV>
                <wp:extent cx="342900" cy="0"/>
                <wp:effectExtent l="0" t="19050" r="7620" b="26670"/>
                <wp:wrapNone/>
                <wp:docPr id="83" name="直接连接符 83"/>
                <wp:cNvGraphicFramePr/>
                <a:graphic xmlns:a="http://schemas.openxmlformats.org/drawingml/2006/main">
                  <a:graphicData uri="http://schemas.microsoft.com/office/word/2010/wordprocessingShape">
                    <wps:wsp>
                      <wps:cNvCnPr/>
                      <wps:spPr>
                        <a:xfrm>
                          <a:off x="0" y="0"/>
                          <a:ext cx="342900" cy="0"/>
                        </a:xfrm>
                        <a:prstGeom prst="line">
                          <a:avLst/>
                        </a:prstGeom>
                        <a:ln w="38100" cap="flat" cmpd="sng">
                          <a:solidFill>
                            <a:schemeClr val="tx1"/>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7.15pt;margin-top:231.35pt;height:0pt;width:27pt;z-index:251716608;mso-width-relative:page;mso-height-relative:page;" filled="f" stroked="t" coordsize="21600,21600" o:gfxdata="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QnsRF1QAAAA0BAAAPAAAAAAAAAAEAIAAAACIAAABkcnMvZG93bnJldi54bWxQSwECFAAU&#10;AAAACACHTuJAPWF7SfQBAADmAwAADgAAAAAAAAABACAAAAAkAQAAZHJzL2Uyb0RvYy54bWxQSwUG&#10;AAAAAAYABgBZAQAAigUAAAAA&#10;">
                <v:fill on="f" focussize="0,0"/>
                <v:stroke weight="3pt" color="#000000 [3213]" joinstyle="round"/>
                <v:imagedata o:title=""/>
                <o:lock v:ext="edit" aspectratio="f"/>
              </v:line>
            </w:pict>
          </mc:Fallback>
        </mc:AlternateContent>
      </w:r>
      <w:r>
        <w:rPr>
          <w:rFonts w:hint="default" w:ascii="Times New Roman" w:hAnsi="Times New Roman" w:cs="Times New Roman"/>
          <w:kern w:val="0"/>
          <w:sz w:val="24"/>
          <w:lang w:val="en-US" w:eastAsia="zh-CN"/>
        </w:rPr>
        <mc:AlternateContent>
          <mc:Choice Requires="wps">
            <w:drawing>
              <wp:anchor distT="0" distB="0" distL="114300" distR="114300" simplePos="0" relativeHeight="251724800" behindDoc="0" locked="0" layoutInCell="1" allowOverlap="1">
                <wp:simplePos x="0" y="0"/>
                <wp:positionH relativeFrom="column">
                  <wp:posOffset>6679565</wp:posOffset>
                </wp:positionH>
                <wp:positionV relativeFrom="paragraph">
                  <wp:posOffset>2649855</wp:posOffset>
                </wp:positionV>
                <wp:extent cx="342900" cy="0"/>
                <wp:effectExtent l="0" t="19050" r="7620" b="26670"/>
                <wp:wrapNone/>
                <wp:docPr id="52" name="直接连接符 52"/>
                <wp:cNvGraphicFramePr/>
                <a:graphic xmlns:a="http://schemas.openxmlformats.org/drawingml/2006/main">
                  <a:graphicData uri="http://schemas.microsoft.com/office/word/2010/wordprocessingShape">
                    <wps:wsp>
                      <wps:cNvCnPr/>
                      <wps:spPr>
                        <a:xfrm>
                          <a:off x="0" y="0"/>
                          <a:ext cx="342900" cy="0"/>
                        </a:xfrm>
                        <a:prstGeom prst="line">
                          <a:avLst/>
                        </a:prstGeom>
                        <a:ln w="3810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525.95pt;margin-top:208.65pt;height:0pt;width:27pt;z-index:251724800;mso-width-relative:page;mso-height-relative:page;" filled="f" stroked="t" coordsize="21600,21600" o:gfxdata="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Nzg+B7aAAAADQEAAA8AAAAAAAAAAQAgAAAAIgAAAGRycy9kb3ducmV2Lnht&#10;bFBLAQIUABQAAAAIAIdO4kCGKIv89wEAAOYDAAAOAAAAAAAAAAEAIAAAACkBAABkcnMvZTJvRG9j&#10;LnhtbFBLBQYAAAAABgAGAFkBAACSBQAAAAA=&#10;">
                <v:fill on="f" focussize="0,0"/>
                <v:stroke weight="3pt" color="#FF0000" joinstyle="round"/>
                <v:imagedata o:title=""/>
                <o:lock v:ext="edit" aspectratio="f"/>
              </v:line>
            </w:pict>
          </mc:Fallback>
        </mc:AlternateContent>
      </w:r>
      <w:r>
        <w:rPr>
          <w:rFonts w:hint="default" w:ascii="Times New Roman" w:hAnsi="Times New Roman" w:cs="Times New Roman"/>
          <w:kern w:val="0"/>
          <w:sz w:val="24"/>
          <w:lang w:val="en-US" w:eastAsia="zh-CN"/>
        </w:rPr>
        <mc:AlternateContent>
          <mc:Choice Requires="wps">
            <w:drawing>
              <wp:anchor distT="0" distB="0" distL="114300" distR="114300" simplePos="0" relativeHeight="251715584" behindDoc="0" locked="0" layoutInCell="1" allowOverlap="1">
                <wp:simplePos x="0" y="0"/>
                <wp:positionH relativeFrom="column">
                  <wp:posOffset>6567805</wp:posOffset>
                </wp:positionH>
                <wp:positionV relativeFrom="paragraph">
                  <wp:posOffset>2247265</wp:posOffset>
                </wp:positionV>
                <wp:extent cx="1844675" cy="2637155"/>
                <wp:effectExtent l="4445" t="5080" r="10160" b="9525"/>
                <wp:wrapNone/>
                <wp:docPr id="84" name="文本框 84"/>
                <wp:cNvGraphicFramePr/>
                <a:graphic xmlns:a="http://schemas.openxmlformats.org/drawingml/2006/main">
                  <a:graphicData uri="http://schemas.microsoft.com/office/word/2010/wordprocessingShape">
                    <wps:wsp>
                      <wps:cNvSpPr txBox="1"/>
                      <wps:spPr>
                        <a:xfrm>
                          <a:off x="0" y="0"/>
                          <a:ext cx="1844675" cy="26371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421660">
                            <w:pPr>
                              <w:keepNext w:val="0"/>
                              <w:keepLines w:val="0"/>
                              <w:pageBreakBefore w:val="0"/>
                              <w:widowControl w:val="0"/>
                              <w:kinsoku/>
                              <w:wordWrap/>
                              <w:overflowPunct/>
                              <w:topLinePunct w:val="0"/>
                              <w:bidi w:val="0"/>
                              <w:adjustRightInd w:val="0"/>
                              <w:snapToGrid w:val="0"/>
                              <w:spacing w:line="360" w:lineRule="auto"/>
                              <w:jc w:val="center"/>
                              <w:textAlignment w:val="auto"/>
                              <w:rPr>
                                <w:b/>
                                <w:sz w:val="24"/>
                                <w:szCs w:val="32"/>
                              </w:rPr>
                            </w:pPr>
                            <w:r>
                              <w:rPr>
                                <w:rFonts w:hint="eastAsia"/>
                                <w:b/>
                                <w:sz w:val="24"/>
                                <w:szCs w:val="32"/>
                              </w:rPr>
                              <w:t>图</w:t>
                            </w:r>
                            <w:r>
                              <w:rPr>
                                <w:b/>
                                <w:sz w:val="24"/>
                                <w:szCs w:val="32"/>
                              </w:rPr>
                              <w:t xml:space="preserve">  </w:t>
                            </w:r>
                            <w:r>
                              <w:rPr>
                                <w:rFonts w:hint="eastAsia"/>
                                <w:b/>
                                <w:sz w:val="24"/>
                                <w:szCs w:val="32"/>
                              </w:rPr>
                              <w:t>例</w:t>
                            </w:r>
                          </w:p>
                          <w:p w14:paraId="578BFF67">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本项目厂房</w:t>
                            </w:r>
                          </w:p>
                          <w:p w14:paraId="6838E221">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兴悦厂区</w:t>
                            </w:r>
                          </w:p>
                          <w:p w14:paraId="790A0227">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兴发厂区</w:t>
                            </w:r>
                          </w:p>
                          <w:p w14:paraId="23A08C5A">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液态废物输送线路</w:t>
                            </w:r>
                          </w:p>
                          <w:p w14:paraId="7BD6FBD8">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固态废物输送线路</w:t>
                            </w:r>
                          </w:p>
                          <w:p w14:paraId="050F3342">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cs="Times New Roman"/>
                                <w:sz w:val="21"/>
                                <w:szCs w:val="21"/>
                                <w:lang w:val="en-US" w:eastAsia="zh-CN"/>
                              </w:rPr>
                            </w:pPr>
                            <w:r>
                              <w:rPr>
                                <w:rFonts w:hint="eastAsia" w:cs="Times New Roman"/>
                                <w:sz w:val="21"/>
                                <w:szCs w:val="21"/>
                                <w:lang w:val="en-US" w:eastAsia="zh-CN"/>
                              </w:rPr>
                              <w:t>大气监测点位</w:t>
                            </w:r>
                          </w:p>
                          <w:p w14:paraId="4EFC73B4">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sz w:val="21"/>
                                <w:szCs w:val="21"/>
                                <w:lang w:val="en-US" w:eastAsia="zh-CN"/>
                              </w:rPr>
                            </w:pPr>
                            <w:r>
                              <w:rPr>
                                <w:rFonts w:hint="eastAsia"/>
                                <w:sz w:val="21"/>
                                <w:szCs w:val="21"/>
                                <w:lang w:val="en-US" w:eastAsia="zh-CN"/>
                              </w:rPr>
                              <w:t>土壤监测点位</w:t>
                            </w:r>
                          </w:p>
                          <w:p w14:paraId="33E43453">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eastAsia" w:eastAsia="宋体" w:cs="Times New Roman"/>
                                <w:sz w:val="21"/>
                                <w:szCs w:val="21"/>
                                <w:lang w:val="en-US" w:eastAsia="zh-CN"/>
                              </w:rPr>
                            </w:pPr>
                            <w:r>
                              <w:rPr>
                                <w:rFonts w:hint="eastAsia" w:eastAsia="宋体" w:cs="Times New Roman"/>
                                <w:sz w:val="21"/>
                                <w:szCs w:val="21"/>
                                <w:lang w:val="en-US" w:eastAsia="zh-CN"/>
                              </w:rPr>
                              <w:t>噪声监测点位</w:t>
                            </w:r>
                          </w:p>
                          <w:p w14:paraId="082E3A66">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cs="Times New Roman"/>
                                <w:sz w:val="21"/>
                                <w:szCs w:val="21"/>
                                <w:lang w:val="en-US" w:eastAsia="zh-CN"/>
                              </w:rPr>
                            </w:pPr>
                            <w:r>
                              <w:rPr>
                                <w:rFonts w:hint="eastAsia" w:eastAsia="宋体" w:cs="Times New Roman"/>
                                <w:sz w:val="21"/>
                                <w:szCs w:val="21"/>
                                <w:lang w:val="en-US" w:eastAsia="zh-CN"/>
                              </w:rPr>
                              <w:t>地下水监测点位</w:t>
                            </w:r>
                          </w:p>
                        </w:txbxContent>
                      </wps:txbx>
                      <wps:bodyPr upright="1"/>
                    </wps:wsp>
                  </a:graphicData>
                </a:graphic>
              </wp:anchor>
            </w:drawing>
          </mc:Choice>
          <mc:Fallback>
            <w:pict>
              <v:shape id="_x0000_s1026" o:spid="_x0000_s1026" o:spt="202" type="#_x0000_t202" style="position:absolute;left:0pt;margin-left:517.15pt;margin-top:176.95pt;height:207.65pt;width:145.25pt;z-index:251715584;mso-width-relative:page;mso-height-relative:page;" fillcolor="#FFFFFF" filled="t" stroked="t" coordsize="21600,21600" o:gfxdata="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rbFKLtsAAAANAQAADwAAAAAAAAAB&#10;ACAAAAAiAAAAZHJzL2Rvd25yZXYueG1sUEsBAhQAFAAAAAgAh07iQLwRmR8NAgAAOQQAAA4AAAAA&#10;AAAAAQAgAAAAKgEAAGRycy9lMm9Eb2MueG1sUEsFBgAAAAAGAAYAWQEAAKkFAAAAAA==&#10;">
                <v:fill on="t" focussize="0,0"/>
                <v:stroke color="#000000" joinstyle="miter"/>
                <v:imagedata o:title=""/>
                <o:lock v:ext="edit" aspectratio="f"/>
                <v:textbox>
                  <w:txbxContent>
                    <w:p w14:paraId="3D421660">
                      <w:pPr>
                        <w:keepNext w:val="0"/>
                        <w:keepLines w:val="0"/>
                        <w:pageBreakBefore w:val="0"/>
                        <w:widowControl w:val="0"/>
                        <w:kinsoku/>
                        <w:wordWrap/>
                        <w:overflowPunct/>
                        <w:topLinePunct w:val="0"/>
                        <w:bidi w:val="0"/>
                        <w:adjustRightInd w:val="0"/>
                        <w:snapToGrid w:val="0"/>
                        <w:spacing w:line="360" w:lineRule="auto"/>
                        <w:jc w:val="center"/>
                        <w:textAlignment w:val="auto"/>
                        <w:rPr>
                          <w:b/>
                          <w:sz w:val="24"/>
                          <w:szCs w:val="32"/>
                        </w:rPr>
                      </w:pPr>
                      <w:r>
                        <w:rPr>
                          <w:rFonts w:hint="eastAsia"/>
                          <w:b/>
                          <w:sz w:val="24"/>
                          <w:szCs w:val="32"/>
                        </w:rPr>
                        <w:t>图</w:t>
                      </w:r>
                      <w:r>
                        <w:rPr>
                          <w:b/>
                          <w:sz w:val="24"/>
                          <w:szCs w:val="32"/>
                        </w:rPr>
                        <w:t xml:space="preserve">  </w:t>
                      </w:r>
                      <w:r>
                        <w:rPr>
                          <w:rFonts w:hint="eastAsia"/>
                          <w:b/>
                          <w:sz w:val="24"/>
                          <w:szCs w:val="32"/>
                        </w:rPr>
                        <w:t>例</w:t>
                      </w:r>
                    </w:p>
                    <w:p w14:paraId="578BFF67">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本项目厂房</w:t>
                      </w:r>
                    </w:p>
                    <w:p w14:paraId="6838E221">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兴悦厂区</w:t>
                      </w:r>
                    </w:p>
                    <w:p w14:paraId="790A0227">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兴发厂区</w:t>
                      </w:r>
                    </w:p>
                    <w:p w14:paraId="23A08C5A">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液态废物输送线路</w:t>
                      </w:r>
                    </w:p>
                    <w:p w14:paraId="7BD6FBD8">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sz w:val="21"/>
                          <w:szCs w:val="21"/>
                          <w:lang w:val="en-US" w:eastAsia="zh-CN"/>
                        </w:rPr>
                      </w:pPr>
                      <w:r>
                        <w:rPr>
                          <w:rFonts w:hint="eastAsia"/>
                          <w:sz w:val="21"/>
                          <w:szCs w:val="21"/>
                          <w:lang w:val="en-US" w:eastAsia="zh-CN"/>
                        </w:rPr>
                        <w:t>固态废物输送线路</w:t>
                      </w:r>
                    </w:p>
                    <w:p w14:paraId="050F3342">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cs="Times New Roman"/>
                          <w:sz w:val="21"/>
                          <w:szCs w:val="21"/>
                          <w:lang w:val="en-US" w:eastAsia="zh-CN"/>
                        </w:rPr>
                      </w:pPr>
                      <w:r>
                        <w:rPr>
                          <w:rFonts w:hint="eastAsia" w:cs="Times New Roman"/>
                          <w:sz w:val="21"/>
                          <w:szCs w:val="21"/>
                          <w:lang w:val="en-US" w:eastAsia="zh-CN"/>
                        </w:rPr>
                        <w:t>大气监测点位</w:t>
                      </w:r>
                    </w:p>
                    <w:p w14:paraId="4EFC73B4">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sz w:val="21"/>
                          <w:szCs w:val="21"/>
                          <w:lang w:val="en-US" w:eastAsia="zh-CN"/>
                        </w:rPr>
                      </w:pPr>
                      <w:r>
                        <w:rPr>
                          <w:rFonts w:hint="eastAsia"/>
                          <w:sz w:val="21"/>
                          <w:szCs w:val="21"/>
                          <w:lang w:val="en-US" w:eastAsia="zh-CN"/>
                        </w:rPr>
                        <w:t>土壤监测点位</w:t>
                      </w:r>
                    </w:p>
                    <w:p w14:paraId="33E43453">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eastAsia" w:eastAsia="宋体" w:cs="Times New Roman"/>
                          <w:sz w:val="21"/>
                          <w:szCs w:val="21"/>
                          <w:lang w:val="en-US" w:eastAsia="zh-CN"/>
                        </w:rPr>
                      </w:pPr>
                      <w:r>
                        <w:rPr>
                          <w:rFonts w:hint="eastAsia" w:eastAsia="宋体" w:cs="Times New Roman"/>
                          <w:sz w:val="21"/>
                          <w:szCs w:val="21"/>
                          <w:lang w:val="en-US" w:eastAsia="zh-CN"/>
                        </w:rPr>
                        <w:t>噪声监测点位</w:t>
                      </w:r>
                    </w:p>
                    <w:p w14:paraId="082E3A66">
                      <w:pPr>
                        <w:pStyle w:val="38"/>
                        <w:keepNext w:val="0"/>
                        <w:keepLines w:val="0"/>
                        <w:pageBreakBefore w:val="0"/>
                        <w:widowControl w:val="0"/>
                        <w:kinsoku/>
                        <w:wordWrap/>
                        <w:overflowPunct/>
                        <w:topLinePunct w:val="0"/>
                        <w:bidi w:val="0"/>
                        <w:adjustRightInd w:val="0"/>
                        <w:snapToGrid w:val="0"/>
                        <w:spacing w:after="0" w:line="360" w:lineRule="auto"/>
                        <w:ind w:left="0" w:leftChars="0" w:firstLine="702" w:firstLineChars="300"/>
                        <w:textAlignment w:val="auto"/>
                        <w:rPr>
                          <w:rFonts w:hint="default" w:eastAsia="宋体" w:cs="Times New Roman"/>
                          <w:sz w:val="21"/>
                          <w:szCs w:val="21"/>
                          <w:lang w:val="en-US" w:eastAsia="zh-CN"/>
                        </w:rPr>
                      </w:pPr>
                      <w:r>
                        <w:rPr>
                          <w:rFonts w:hint="eastAsia" w:eastAsia="宋体" w:cs="Times New Roman"/>
                          <w:sz w:val="21"/>
                          <w:szCs w:val="21"/>
                          <w:lang w:val="en-US" w:eastAsia="zh-CN"/>
                        </w:rPr>
                        <w:t>地下水监测点位</w:t>
                      </w:r>
                    </w:p>
                  </w:txbxContent>
                </v:textbox>
              </v:shape>
            </w:pict>
          </mc:Fallback>
        </mc:AlternateContent>
      </w:r>
      <w:r>
        <w:drawing>
          <wp:anchor distT="0" distB="0" distL="114300" distR="114300" simplePos="0" relativeHeight="251725824" behindDoc="0" locked="0" layoutInCell="1" allowOverlap="1">
            <wp:simplePos x="0" y="0"/>
            <wp:positionH relativeFrom="column">
              <wp:posOffset>452755</wp:posOffset>
            </wp:positionH>
            <wp:positionV relativeFrom="paragraph">
              <wp:posOffset>68580</wp:posOffset>
            </wp:positionV>
            <wp:extent cx="2160270" cy="2459355"/>
            <wp:effectExtent l="9525" t="9525" r="9525" b="15240"/>
            <wp:wrapNone/>
            <wp:docPr id="5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1"/>
                    <pic:cNvPicPr>
                      <a:picLocks noChangeAspect="1"/>
                    </pic:cNvPicPr>
                  </pic:nvPicPr>
                  <pic:blipFill>
                    <a:blip r:embed="rId42"/>
                    <a:stretch>
                      <a:fillRect/>
                    </a:stretch>
                  </pic:blipFill>
                  <pic:spPr>
                    <a:xfrm>
                      <a:off x="0" y="0"/>
                      <a:ext cx="2160270" cy="2459355"/>
                    </a:xfrm>
                    <a:prstGeom prst="rect">
                      <a:avLst/>
                    </a:prstGeom>
                    <a:noFill/>
                    <a:ln>
                      <a:solidFill>
                        <a:schemeClr val="tx1"/>
                      </a:solidFill>
                    </a:ln>
                  </pic:spPr>
                </pic:pic>
              </a:graphicData>
            </a:graphic>
          </wp:anchor>
        </w:drawing>
      </w:r>
      <w:r>
        <w:rPr>
          <w:rFonts w:hint="eastAsia" w:ascii="Times New Roman" w:hAnsi="Times New Roman" w:eastAsia="宋体" w:cs="Times New Roman"/>
          <w:sz w:val="24"/>
          <w:szCs w:val="24"/>
          <w:lang w:val="en-US" w:eastAsia="zh-CN"/>
        </w:rPr>
        <w:drawing>
          <wp:inline distT="0" distB="0" distL="114300" distR="114300">
            <wp:extent cx="8018145" cy="4860290"/>
            <wp:effectExtent l="9525" t="9525" r="19050" b="22225"/>
            <wp:docPr id="51" name="图片 51" descr="监测点位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监测点位图"/>
                    <pic:cNvPicPr>
                      <a:picLocks noChangeAspect="1"/>
                    </pic:cNvPicPr>
                  </pic:nvPicPr>
                  <pic:blipFill>
                    <a:blip r:embed="rId43"/>
                    <a:srcRect l="143" r="20160" b="486"/>
                    <a:stretch>
                      <a:fillRect/>
                    </a:stretch>
                  </pic:blipFill>
                  <pic:spPr>
                    <a:xfrm>
                      <a:off x="0" y="0"/>
                      <a:ext cx="8018145" cy="4860290"/>
                    </a:xfrm>
                    <a:prstGeom prst="rect">
                      <a:avLst/>
                    </a:prstGeom>
                    <a:ln>
                      <a:solidFill>
                        <a:schemeClr val="tx1"/>
                      </a:solidFill>
                    </a:ln>
                  </pic:spPr>
                </pic:pic>
              </a:graphicData>
            </a:graphic>
          </wp:inline>
        </w:drawing>
      </w:r>
    </w:p>
    <w:p w14:paraId="2298ECF6">
      <w:pPr>
        <w:pageBreakBefore w:val="0"/>
        <w:widowControl/>
        <w:kinsoku/>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图4.</w:t>
      </w:r>
      <w:r>
        <w:rPr>
          <w:rFonts w:hint="eastAsia" w:ascii="Times New Roman" w:hAnsi="Times New Roman" w:eastAsia="宋体" w:cs="Times New Roman"/>
          <w:b/>
          <w:bCs/>
          <w:sz w:val="24"/>
          <w:szCs w:val="24"/>
          <w:highlight w:val="none"/>
          <w:lang w:val="en-US" w:eastAsia="zh-CN"/>
        </w:rPr>
        <w:t>2</w:t>
      </w:r>
      <w:r>
        <w:rPr>
          <w:rFonts w:hint="default" w:ascii="Times New Roman" w:hAnsi="Times New Roman" w:eastAsia="宋体" w:cs="Times New Roman"/>
          <w:b/>
          <w:bCs/>
          <w:sz w:val="24"/>
          <w:szCs w:val="24"/>
          <w:highlight w:val="none"/>
          <w:lang w:val="en-US" w:eastAsia="zh-CN"/>
        </w:rPr>
        <w:t>-1 项目监测点位图</w:t>
      </w:r>
    </w:p>
    <w:p w14:paraId="1F2A63DD">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C102BF4">
      <w:pPr>
        <w:keepNext/>
        <w:keepLines/>
        <w:pageBreakBefore w:val="0"/>
        <w:widowControl/>
        <w:kinsoku/>
        <w:wordWrap/>
        <w:overflowPunct/>
        <w:topLinePunct w:val="0"/>
        <w:autoSpaceDE/>
        <w:autoSpaceDN/>
        <w:bidi w:val="0"/>
        <w:adjustRightInd/>
        <w:snapToGrid w:val="0"/>
        <w:spacing w:line="360" w:lineRule="auto"/>
        <w:jc w:val="left"/>
        <w:textAlignment w:val="auto"/>
        <w:outlineLvl w:val="1"/>
        <w:rPr>
          <w:rFonts w:hint="default" w:ascii="Times New Roman" w:hAnsi="Times New Roman" w:eastAsia="宋体" w:cs="Times New Roman"/>
          <w:b/>
          <w:bCs/>
          <w:sz w:val="24"/>
          <w:szCs w:val="18"/>
          <w:highlight w:val="none"/>
        </w:rPr>
      </w:pPr>
      <w:bookmarkStart w:id="166" w:name="_Toc9868256"/>
      <w:bookmarkStart w:id="167" w:name="_Toc17804"/>
      <w:bookmarkStart w:id="168" w:name="_Toc22099"/>
      <w:bookmarkStart w:id="169" w:name="_Toc19207"/>
      <w:r>
        <w:rPr>
          <w:rFonts w:hint="default" w:ascii="Times New Roman" w:hAnsi="Times New Roman" w:eastAsia="宋体" w:cs="Times New Roman"/>
          <w:b/>
          <w:bCs/>
          <w:sz w:val="24"/>
          <w:szCs w:val="18"/>
          <w:highlight w:val="none"/>
        </w:rPr>
        <w:t>4.</w:t>
      </w:r>
      <w:r>
        <w:rPr>
          <w:rFonts w:hint="default" w:ascii="Times New Roman" w:hAnsi="Times New Roman" w:cs="Times New Roman"/>
          <w:b/>
          <w:bCs/>
          <w:sz w:val="24"/>
          <w:szCs w:val="18"/>
          <w:highlight w:val="none"/>
          <w:lang w:val="en-US" w:eastAsia="zh-CN"/>
        </w:rPr>
        <w:t>3</w:t>
      </w:r>
      <w:bookmarkEnd w:id="166"/>
      <w:r>
        <w:rPr>
          <w:rFonts w:hint="default" w:ascii="Times New Roman" w:hAnsi="Times New Roman" w:eastAsia="宋体" w:cs="Times New Roman"/>
          <w:b/>
          <w:bCs/>
          <w:sz w:val="24"/>
          <w:szCs w:val="18"/>
          <w:highlight w:val="none"/>
        </w:rPr>
        <w:t>区域污染源调查</w:t>
      </w:r>
      <w:bookmarkEnd w:id="167"/>
      <w:bookmarkEnd w:id="168"/>
      <w:bookmarkEnd w:id="169"/>
    </w:p>
    <w:p w14:paraId="293F0A70">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lang w:val="en-US" w:eastAsia="zh-CN"/>
        </w:rPr>
      </w:pPr>
      <w:r>
        <w:rPr>
          <w:rFonts w:hint="default" w:ascii="Times New Roman" w:hAnsi="Times New Roman" w:eastAsia="宋体" w:cs="Times New Roman"/>
          <w:b/>
          <w:bCs/>
          <w:sz w:val="24"/>
          <w:szCs w:val="16"/>
          <w:highlight w:val="none"/>
        </w:rPr>
        <w:t>4.</w:t>
      </w:r>
      <w:r>
        <w:rPr>
          <w:rFonts w:hint="default" w:ascii="Times New Roman" w:hAnsi="Times New Roman" w:eastAsia="宋体" w:cs="Times New Roman"/>
          <w:b/>
          <w:bCs/>
          <w:sz w:val="24"/>
          <w:szCs w:val="16"/>
          <w:highlight w:val="none"/>
          <w:lang w:val="en-US" w:eastAsia="zh-CN"/>
        </w:rPr>
        <w:t>3.1园区</w:t>
      </w:r>
      <w:r>
        <w:rPr>
          <w:rFonts w:hint="eastAsia" w:ascii="Times New Roman" w:hAnsi="Times New Roman" w:cs="Times New Roman"/>
          <w:b/>
          <w:bCs/>
          <w:sz w:val="24"/>
          <w:szCs w:val="16"/>
          <w:highlight w:val="none"/>
          <w:lang w:val="en-US" w:eastAsia="zh-CN"/>
        </w:rPr>
        <w:t>基本情况简介</w:t>
      </w:r>
    </w:p>
    <w:p w14:paraId="419C46D0">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2007年</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阿克苏市</w:t>
      </w:r>
      <w:r>
        <w:rPr>
          <w:rFonts w:hint="eastAsia" w:ascii="Times New Roman" w:hAnsi="Times New Roman" w:cs="Times New Roman"/>
          <w:sz w:val="24"/>
          <w:szCs w:val="24"/>
          <w:highlight w:val="none"/>
          <w:lang w:val="en-US" w:eastAsia="zh-CN"/>
        </w:rPr>
        <w:t>组织</w:t>
      </w:r>
      <w:r>
        <w:rPr>
          <w:rFonts w:hint="default" w:ascii="Times New Roman" w:hAnsi="Times New Roman" w:eastAsia="宋体" w:cs="Times New Roman"/>
          <w:sz w:val="24"/>
          <w:szCs w:val="24"/>
          <w:highlight w:val="none"/>
        </w:rPr>
        <w:t>编制了《阿克苏市工业园区总体规划（2006-2015）》，建材化工工业园区位于阿克苏市城市边界西南约7km，轻纺工业园区位于阿克苏市东南约8km，两个园区分居阿克苏河两侧。2009年，经自治区人民政府批准，阿克苏工业园设立为自治区级工业园区，批准文号：新政函〔2009〕2号。</w:t>
      </w:r>
    </w:p>
    <w:p w14:paraId="60E7EA4F">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2011年，阿克苏工业园区更名为阿克苏经济技术开发区（关于同意阿克苏工业园区更名为阿克苏经济技术开发区的批复</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新政函〔2011〕111号）</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同</w:t>
      </w:r>
      <w:r>
        <w:rPr>
          <w:rFonts w:hint="default" w:ascii="Times New Roman" w:hAnsi="Times New Roman" w:eastAsia="宋体" w:cs="Times New Roman"/>
          <w:sz w:val="24"/>
          <w:szCs w:val="24"/>
          <w:highlight w:val="none"/>
        </w:rPr>
        <w:t>年取得</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阿克苏经济技术开发区总体规划环境影响报告书的审查意见</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（新环评价函〔2011〕1057号）。</w:t>
      </w:r>
    </w:p>
    <w:p w14:paraId="2939C4E3">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2018年12月，阿克苏经济技术开发区开展</w:t>
      </w:r>
      <w:r>
        <w:rPr>
          <w:rFonts w:hint="eastAsia" w:ascii="Times New Roman" w:hAnsi="Times New Roman" w:cs="Times New Roman"/>
          <w:sz w:val="24"/>
          <w:szCs w:val="24"/>
          <w:highlight w:val="none"/>
          <w:lang w:val="en-US" w:eastAsia="zh-CN"/>
        </w:rPr>
        <w:t>园区</w:t>
      </w:r>
      <w:r>
        <w:rPr>
          <w:rFonts w:hint="default" w:ascii="Times New Roman" w:hAnsi="Times New Roman" w:eastAsia="宋体" w:cs="Times New Roman"/>
          <w:sz w:val="24"/>
          <w:szCs w:val="24"/>
          <w:highlight w:val="none"/>
        </w:rPr>
        <w:t>总体规划的环境影响评价工作，并于2019年8月7日取得</w:t>
      </w:r>
      <w:r>
        <w:rPr>
          <w:rFonts w:hint="eastAsia" w:ascii="Times New Roman" w:hAnsi="Times New Roman" w:cs="Times New Roman"/>
          <w:sz w:val="24"/>
          <w:szCs w:val="24"/>
          <w:highlight w:val="none"/>
          <w:lang w:val="en-US" w:eastAsia="zh-CN"/>
        </w:rPr>
        <w:t>新疆维吾尔自治区生态环境厅</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关于阿克苏经济技术开发区总体规划（2018-2035年）环境影响报告书的审查意见</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（新环审〔2019〕165号）</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2019年12月取得新疆维吾尔自治区人民政府办公厅</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关于同意阿克苏经济技术开发区总体规划（2018-2035年）的复函</w:t>
      </w:r>
      <w:r>
        <w:rPr>
          <w:rFonts w:hint="eastAsia"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（新政办函〔2019〕262号）。</w:t>
      </w:r>
    </w:p>
    <w:p w14:paraId="6A0F8AE4">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新疆兴悦化工有限公司于2013年建厂，2017年完成环保验收工作。根据《阿克苏经济技术开发区总体规划（2018-2035年）》内容，企业位于规划中划定的</w:t>
      </w:r>
      <w:r>
        <w:rPr>
          <w:rFonts w:hint="eastAsia" w:ascii="Times New Roman" w:hAnsi="Times New Roman" w:cs="Times New Roman"/>
          <w:sz w:val="24"/>
          <w:szCs w:val="24"/>
          <w:highlight w:val="none"/>
          <w:lang w:val="en-US" w:eastAsia="zh-CN"/>
        </w:rPr>
        <w:t>装备制造产业园范围内，规划及规划环评中未对企业提出相关要求，本项目的建设符合规划中提出的“利用现有2000吨/日及以上新型干法水泥窑炉处置工业废弃物”的准入条件要求。</w:t>
      </w:r>
    </w:p>
    <w:p w14:paraId="4C97ED4E">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sz w:val="24"/>
          <w:szCs w:val="24"/>
          <w:highlight w:val="none"/>
          <w:lang w:val="en-US" w:eastAsia="zh-CN"/>
        </w:rPr>
        <w:t>2022年，阿克苏经济技术开发区管理委员会计划在园区内设立化工产业集中区，并于2023年4月7日取得阿克苏市人民政府“关于</w:t>
      </w:r>
      <w:r>
        <w:rPr>
          <w:rFonts w:hint="eastAsia" w:ascii="宋体" w:hAnsi="宋体" w:cs="宋体"/>
          <w:sz w:val="24"/>
          <w:szCs w:val="24"/>
          <w:highlight w:val="none"/>
          <w:lang w:val="en-US" w:eastAsia="zh-CN"/>
        </w:rPr>
        <w:t>《</w:t>
      </w:r>
      <w:r>
        <w:rPr>
          <w:rFonts w:hint="eastAsia" w:ascii="Times New Roman" w:hAnsi="Times New Roman" w:cs="Times New Roman"/>
          <w:sz w:val="24"/>
          <w:szCs w:val="24"/>
          <w:highlight w:val="none"/>
          <w:lang w:val="en-US" w:eastAsia="zh-CN"/>
        </w:rPr>
        <w:t>阿克苏经济技术开发区化工产业集中区总体规划</w:t>
      </w:r>
      <w:r>
        <w:rPr>
          <w:rFonts w:hint="eastAsia" w:ascii="宋体" w:hAnsi="宋体" w:cs="宋体"/>
          <w:sz w:val="24"/>
          <w:szCs w:val="24"/>
          <w:highlight w:val="none"/>
          <w:lang w:val="en-US" w:eastAsia="zh-CN"/>
        </w:rPr>
        <w:t>》</w:t>
      </w:r>
      <w:r>
        <w:rPr>
          <w:rFonts w:hint="eastAsia" w:ascii="Times New Roman" w:hAnsi="Times New Roman" w:cs="Times New Roman"/>
          <w:sz w:val="24"/>
          <w:szCs w:val="24"/>
          <w:highlight w:val="none"/>
          <w:lang w:val="en-US" w:eastAsia="zh-CN"/>
        </w:rPr>
        <w:t>(2022-2035年)的批复”（阿市政字</w:t>
      </w:r>
      <w:r>
        <w:rPr>
          <w:rFonts w:hint="default" w:ascii="Times New Roman" w:hAnsi="Times New Roman" w:eastAsia="宋体" w:cs="Times New Roman"/>
          <w:sz w:val="24"/>
          <w:szCs w:val="24"/>
          <w:highlight w:val="none"/>
        </w:rPr>
        <w:t>〔20</w:t>
      </w:r>
      <w:r>
        <w:rPr>
          <w:rFonts w:hint="eastAsia" w:ascii="Times New Roman" w:hAnsi="Times New Roman" w:cs="Times New Roman"/>
          <w:sz w:val="24"/>
          <w:szCs w:val="24"/>
          <w:highlight w:val="none"/>
          <w:lang w:val="en-US" w:eastAsia="zh-CN"/>
        </w:rPr>
        <w:t>23</w:t>
      </w:r>
      <w:r>
        <w:rPr>
          <w:rFonts w:hint="default" w:ascii="Times New Roman" w:hAnsi="Times New Roman" w:eastAsia="宋体" w:cs="Times New Roman"/>
          <w:sz w:val="24"/>
          <w:szCs w:val="24"/>
          <w:highlight w:val="none"/>
        </w:rPr>
        <w:t>〕</w:t>
      </w:r>
      <w:r>
        <w:rPr>
          <w:rFonts w:hint="eastAsia" w:ascii="Times New Roman" w:hAnsi="Times New Roman" w:cs="Times New Roman"/>
          <w:sz w:val="24"/>
          <w:szCs w:val="24"/>
          <w:highlight w:val="none"/>
          <w:lang w:val="en-US" w:eastAsia="zh-CN"/>
        </w:rPr>
        <w:t>110号），2023年8月15日取得新疆维吾尔自治区生态环境厅“关于</w:t>
      </w:r>
      <w:r>
        <w:rPr>
          <w:rFonts w:hint="eastAsia" w:ascii="宋体" w:hAnsi="宋体" w:cs="宋体"/>
          <w:sz w:val="24"/>
          <w:szCs w:val="24"/>
          <w:highlight w:val="none"/>
          <w:lang w:val="en-US" w:eastAsia="zh-CN"/>
        </w:rPr>
        <w:t>《</w:t>
      </w:r>
      <w:r>
        <w:rPr>
          <w:rFonts w:hint="eastAsia" w:ascii="Times New Roman" w:hAnsi="Times New Roman" w:cs="Times New Roman"/>
          <w:sz w:val="24"/>
          <w:szCs w:val="24"/>
          <w:highlight w:val="none"/>
          <w:lang w:val="en-US" w:eastAsia="zh-CN"/>
        </w:rPr>
        <w:t>阿克苏经济技术开发区化工产业集中区总体规划(2022-2035年)环境影响报告书</w:t>
      </w:r>
      <w:r>
        <w:rPr>
          <w:rFonts w:hint="eastAsia" w:ascii="宋体" w:hAnsi="宋体" w:cs="宋体"/>
          <w:sz w:val="24"/>
          <w:szCs w:val="24"/>
          <w:highlight w:val="none"/>
          <w:lang w:val="en-US" w:eastAsia="zh-CN"/>
        </w:rPr>
        <w:t>》</w:t>
      </w:r>
      <w:r>
        <w:rPr>
          <w:rFonts w:hint="eastAsia" w:ascii="Times New Roman" w:hAnsi="Times New Roman" w:cs="Times New Roman"/>
          <w:sz w:val="24"/>
          <w:szCs w:val="24"/>
          <w:highlight w:val="none"/>
          <w:lang w:val="en-US" w:eastAsia="zh-CN"/>
        </w:rPr>
        <w:t>的审查意见》”（新环审</w:t>
      </w:r>
      <w:r>
        <w:rPr>
          <w:rFonts w:hint="default" w:ascii="Times New Roman" w:hAnsi="Times New Roman" w:eastAsia="宋体" w:cs="Times New Roman"/>
          <w:sz w:val="24"/>
          <w:szCs w:val="24"/>
          <w:highlight w:val="none"/>
        </w:rPr>
        <w:t>〔20</w:t>
      </w:r>
      <w:r>
        <w:rPr>
          <w:rFonts w:hint="eastAsia" w:ascii="Times New Roman" w:hAnsi="Times New Roman" w:cs="Times New Roman"/>
          <w:sz w:val="24"/>
          <w:szCs w:val="24"/>
          <w:highlight w:val="none"/>
          <w:lang w:val="en-US" w:eastAsia="zh-CN"/>
        </w:rPr>
        <w:t>23</w:t>
      </w:r>
      <w:r>
        <w:rPr>
          <w:rFonts w:hint="default" w:ascii="Times New Roman" w:hAnsi="Times New Roman" w:eastAsia="宋体" w:cs="Times New Roman"/>
          <w:sz w:val="24"/>
          <w:szCs w:val="24"/>
          <w:highlight w:val="none"/>
        </w:rPr>
        <w:t>〕</w:t>
      </w:r>
      <w:r>
        <w:rPr>
          <w:rFonts w:hint="eastAsia" w:ascii="Times New Roman" w:hAnsi="Times New Roman" w:cs="Times New Roman"/>
          <w:sz w:val="24"/>
          <w:szCs w:val="24"/>
          <w:highlight w:val="none"/>
          <w:lang w:val="en-US" w:eastAsia="zh-CN"/>
        </w:rPr>
        <w:t>185号）。</w:t>
      </w:r>
    </w:p>
    <w:p w14:paraId="47AF7C56">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本项目建设地点位于阿克苏经济技术开发区化工产业集中区中划定的天然气化工产业区范围内，根据规划内容“新疆兴悦化工有限公司采用新疆兴发化工有限公司有机废气作为部分燃料，节约能源，产生的蒸汽供应给新疆兴发化工有限公司”，本项目的实施不改变企业现有生产工艺及规模，且建成后还可以利用新疆兴发化工有限公司产生的HW11精（蒸）馏残渣（900-013-11）作为替代燃料，符合园区发展循环经济的产业思路。</w:t>
      </w:r>
    </w:p>
    <w:p w14:paraId="48C5CF4E">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lang w:val="en-US" w:eastAsia="zh-CN"/>
        </w:rPr>
      </w:pPr>
      <w:bookmarkStart w:id="170" w:name="_Toc526"/>
      <w:bookmarkStart w:id="171" w:name="_Toc25486"/>
      <w:r>
        <w:rPr>
          <w:rFonts w:hint="default" w:ascii="Times New Roman" w:hAnsi="Times New Roman" w:eastAsia="宋体" w:cs="Times New Roman"/>
          <w:b/>
          <w:bCs/>
          <w:sz w:val="24"/>
          <w:szCs w:val="16"/>
          <w:highlight w:val="none"/>
        </w:rPr>
        <w:t>4.</w:t>
      </w:r>
      <w:r>
        <w:rPr>
          <w:rFonts w:hint="default" w:ascii="Times New Roman" w:hAnsi="Times New Roman" w:eastAsia="宋体" w:cs="Times New Roman"/>
          <w:b/>
          <w:bCs/>
          <w:sz w:val="24"/>
          <w:szCs w:val="16"/>
          <w:highlight w:val="none"/>
          <w:lang w:val="en-US" w:eastAsia="zh-CN"/>
        </w:rPr>
        <w:t>3.</w:t>
      </w:r>
      <w:r>
        <w:rPr>
          <w:rFonts w:hint="eastAsia" w:ascii="Times New Roman" w:hAnsi="Times New Roman" w:cs="Times New Roman"/>
          <w:b/>
          <w:bCs/>
          <w:sz w:val="24"/>
          <w:szCs w:val="16"/>
          <w:highlight w:val="none"/>
          <w:lang w:val="en-US" w:eastAsia="zh-CN"/>
        </w:rPr>
        <w:t>2</w:t>
      </w:r>
      <w:r>
        <w:rPr>
          <w:rFonts w:hint="default" w:ascii="Times New Roman" w:hAnsi="Times New Roman" w:eastAsia="宋体" w:cs="Times New Roman"/>
          <w:b/>
          <w:bCs/>
          <w:sz w:val="24"/>
          <w:szCs w:val="16"/>
          <w:highlight w:val="none"/>
          <w:lang w:val="en-US" w:eastAsia="zh-CN"/>
        </w:rPr>
        <w:t>园区企业基本情况</w:t>
      </w:r>
      <w:bookmarkEnd w:id="170"/>
      <w:bookmarkEnd w:id="171"/>
    </w:p>
    <w:p w14:paraId="47B2B002">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化工园区内目前建成项目企业有8家，分别为新疆嘉轮轮胎有限公司、新疆兴发化工有限公司、新疆兴悦化工有限公司、阿克苏圣驼轮胎有限公司、新疆奥斯特炭黑科技有限公司、新疆国宇生物质碳业有限公司、阿克苏市新发物流有限公司、阿克苏云能科技有限责任公司，其中，运营2家企业、停产1家企业、规划在建4家企业、停建1家企业。主要现状企业情况见表</w:t>
      </w:r>
      <w:r>
        <w:rPr>
          <w:rFonts w:hint="default" w:ascii="Times New Roman" w:hAnsi="Times New Roman" w:eastAsia="宋体" w:cs="Times New Roman"/>
          <w:sz w:val="24"/>
          <w:szCs w:val="24"/>
          <w:highlight w:val="none"/>
          <w:lang w:val="en-US" w:eastAsia="zh-CN"/>
        </w:rPr>
        <w:t>4</w:t>
      </w:r>
      <w:r>
        <w:rPr>
          <w:rFonts w:hint="default" w:ascii="Times New Roman" w:hAnsi="Times New Roman" w:cs="Times New Roman"/>
          <w:sz w:val="24"/>
          <w:szCs w:val="24"/>
          <w:highlight w:val="none"/>
          <w:lang w:val="en-US" w:eastAsia="zh-CN"/>
        </w:rPr>
        <w:t>.3-1</w:t>
      </w:r>
      <w:r>
        <w:rPr>
          <w:rFonts w:hint="default" w:ascii="Times New Roman" w:hAnsi="Times New Roman" w:eastAsia="宋体" w:cs="Times New Roman"/>
          <w:sz w:val="24"/>
          <w:szCs w:val="24"/>
          <w:highlight w:val="none"/>
          <w:lang w:val="en-US" w:eastAsia="zh-CN"/>
        </w:rPr>
        <w:t>。</w:t>
      </w:r>
    </w:p>
    <w:p w14:paraId="369BAE7F">
      <w:pPr>
        <w:pageBreakBefore w:val="0"/>
        <w:widowControl/>
        <w:kinsoku/>
        <w:overflowPunct/>
        <w:topLinePunct w:val="0"/>
        <w:autoSpaceDE/>
        <w:autoSpaceDN/>
        <w:bidi w:val="0"/>
        <w:adjustRightInd/>
        <w:snapToGrid w:val="0"/>
        <w:spacing w:line="360" w:lineRule="auto"/>
        <w:jc w:val="left"/>
        <w:textAlignment w:val="auto"/>
        <w:rPr>
          <w:rFonts w:hint="default" w:ascii="Times New Roman" w:hAnsi="Times New Roman" w:eastAsia="宋体" w:cs="Times New Roman"/>
          <w:sz w:val="24"/>
          <w:szCs w:val="24"/>
          <w:highlight w:val="none"/>
          <w:lang w:val="en-US" w:eastAsia="zh-CN"/>
        </w:rPr>
      </w:pPr>
    </w:p>
    <w:p w14:paraId="6B35FFE1">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6D0615A">
      <w:pPr>
        <w:pStyle w:val="211"/>
        <w:spacing w:line="240" w:lineRule="auto"/>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rPr>
        <w:t>表4</w:t>
      </w:r>
      <w:r>
        <w:rPr>
          <w:rFonts w:hint="default" w:ascii="Times New Roman" w:hAnsi="Times New Roman" w:cs="Times New Roman"/>
          <w:color w:val="000000"/>
          <w:sz w:val="24"/>
          <w:szCs w:val="24"/>
          <w:lang w:val="en-US" w:eastAsia="zh-CN"/>
        </w:rPr>
        <w:t>.3-1 阿克苏经济技术开发区化工产业集中区内已建、在建企业一览表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369"/>
        <w:gridCol w:w="1690"/>
        <w:gridCol w:w="2466"/>
        <w:gridCol w:w="900"/>
        <w:gridCol w:w="1668"/>
        <w:gridCol w:w="2028"/>
        <w:gridCol w:w="1667"/>
        <w:gridCol w:w="1441"/>
        <w:gridCol w:w="1153"/>
        <w:gridCol w:w="568"/>
      </w:tblGrid>
      <w:tr w14:paraId="643356F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32" w:type="pct"/>
            <w:tcBorders>
              <w:tl2br w:val="nil"/>
              <w:tr2bl w:val="nil"/>
            </w:tcBorders>
            <w:noWrap w:val="0"/>
            <w:vAlign w:val="center"/>
          </w:tcPr>
          <w:p w14:paraId="4BDD24B8">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序号</w:t>
            </w:r>
          </w:p>
        </w:tc>
        <w:tc>
          <w:tcPr>
            <w:tcW w:w="605" w:type="pct"/>
            <w:tcBorders>
              <w:tl2br w:val="nil"/>
              <w:tr2bl w:val="nil"/>
            </w:tcBorders>
            <w:noWrap w:val="0"/>
            <w:vAlign w:val="center"/>
          </w:tcPr>
          <w:p w14:paraId="76EFAA45">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企业名称</w:t>
            </w:r>
          </w:p>
        </w:tc>
        <w:tc>
          <w:tcPr>
            <w:tcW w:w="883" w:type="pct"/>
            <w:tcBorders>
              <w:tl2br w:val="nil"/>
              <w:tr2bl w:val="nil"/>
            </w:tcBorders>
            <w:noWrap w:val="0"/>
            <w:vAlign w:val="center"/>
          </w:tcPr>
          <w:p w14:paraId="50B4671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建设内容及规模</w:t>
            </w:r>
          </w:p>
        </w:tc>
        <w:tc>
          <w:tcPr>
            <w:tcW w:w="322" w:type="pct"/>
            <w:tcBorders>
              <w:tl2br w:val="nil"/>
              <w:tr2bl w:val="nil"/>
            </w:tcBorders>
            <w:noWrap w:val="0"/>
            <w:vAlign w:val="center"/>
          </w:tcPr>
          <w:p w14:paraId="5E9D269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lang w:val="en-US" w:eastAsia="zh-CN"/>
              </w:rPr>
              <w:t>项目状态</w:t>
            </w:r>
          </w:p>
        </w:tc>
        <w:tc>
          <w:tcPr>
            <w:tcW w:w="597" w:type="pct"/>
            <w:tcBorders>
              <w:tl2br w:val="nil"/>
              <w:tr2bl w:val="nil"/>
            </w:tcBorders>
            <w:noWrap w:val="0"/>
            <w:vAlign w:val="center"/>
          </w:tcPr>
          <w:p w14:paraId="11DCF88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z w:val="21"/>
                <w:szCs w:val="21"/>
                <w:lang w:val="en-US" w:eastAsia="zh-CN"/>
              </w:rPr>
              <w:t>环评批复文号</w:t>
            </w:r>
          </w:p>
        </w:tc>
        <w:tc>
          <w:tcPr>
            <w:tcW w:w="726" w:type="pct"/>
            <w:tcBorders>
              <w:tl2br w:val="nil"/>
              <w:tr2bl w:val="nil"/>
            </w:tcBorders>
            <w:noWrap w:val="0"/>
            <w:vAlign w:val="center"/>
          </w:tcPr>
          <w:p w14:paraId="1FA19E0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监测执行情况</w:t>
            </w:r>
          </w:p>
        </w:tc>
        <w:tc>
          <w:tcPr>
            <w:tcW w:w="597" w:type="pct"/>
            <w:tcBorders>
              <w:tl2br w:val="nil"/>
              <w:tr2bl w:val="nil"/>
            </w:tcBorders>
            <w:noWrap w:val="0"/>
            <w:vAlign w:val="center"/>
          </w:tcPr>
          <w:p w14:paraId="4239CD8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排污许可证编号</w:t>
            </w:r>
          </w:p>
        </w:tc>
        <w:tc>
          <w:tcPr>
            <w:tcW w:w="516" w:type="pct"/>
            <w:tcBorders>
              <w:tl2br w:val="nil"/>
              <w:tr2bl w:val="nil"/>
            </w:tcBorders>
            <w:noWrap w:val="0"/>
            <w:vAlign w:val="center"/>
          </w:tcPr>
          <w:p w14:paraId="33B99DF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突发环境应急预案备案号</w:t>
            </w:r>
          </w:p>
        </w:tc>
        <w:tc>
          <w:tcPr>
            <w:tcW w:w="413" w:type="pct"/>
            <w:tcBorders>
              <w:tl2br w:val="nil"/>
              <w:tr2bl w:val="nil"/>
            </w:tcBorders>
            <w:noWrap w:val="0"/>
            <w:vAlign w:val="center"/>
          </w:tcPr>
          <w:p w14:paraId="6CFA112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z w:val="21"/>
                <w:szCs w:val="21"/>
                <w:lang w:val="en-US" w:eastAsia="zh-CN"/>
              </w:rPr>
              <w:t>环保验收</w:t>
            </w:r>
          </w:p>
        </w:tc>
        <w:tc>
          <w:tcPr>
            <w:tcW w:w="203" w:type="pct"/>
            <w:tcBorders>
              <w:tl2br w:val="nil"/>
              <w:tr2bl w:val="nil"/>
            </w:tcBorders>
            <w:noWrap w:val="0"/>
            <w:vAlign w:val="center"/>
          </w:tcPr>
          <w:p w14:paraId="4096DDA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清洁生产</w:t>
            </w:r>
          </w:p>
        </w:tc>
      </w:tr>
      <w:tr w14:paraId="721161A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32" w:type="pct"/>
            <w:tcBorders>
              <w:tl2br w:val="nil"/>
              <w:tr2bl w:val="nil"/>
            </w:tcBorders>
            <w:noWrap w:val="0"/>
            <w:vAlign w:val="center"/>
          </w:tcPr>
          <w:p w14:paraId="5458CCC7">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w:t>
            </w:r>
          </w:p>
        </w:tc>
        <w:tc>
          <w:tcPr>
            <w:tcW w:w="605" w:type="pct"/>
            <w:tcBorders>
              <w:tl2br w:val="nil"/>
              <w:tr2bl w:val="nil"/>
            </w:tcBorders>
            <w:noWrap w:val="0"/>
            <w:vAlign w:val="center"/>
          </w:tcPr>
          <w:p w14:paraId="194B536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新疆嘉轮轮胎有限</w:t>
            </w:r>
          </w:p>
          <w:p w14:paraId="376FBD9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公司</w:t>
            </w:r>
          </w:p>
        </w:tc>
        <w:tc>
          <w:tcPr>
            <w:tcW w:w="883" w:type="pct"/>
            <w:tcBorders>
              <w:tl2br w:val="nil"/>
              <w:tr2bl w:val="nil"/>
            </w:tcBorders>
            <w:noWrap w:val="0"/>
            <w:vAlign w:val="center"/>
          </w:tcPr>
          <w:p w14:paraId="6DBC184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年产120万套子午线轮胎建设项目</w:t>
            </w:r>
          </w:p>
        </w:tc>
        <w:tc>
          <w:tcPr>
            <w:tcW w:w="322" w:type="pct"/>
            <w:tcBorders>
              <w:tl2br w:val="nil"/>
              <w:tr2bl w:val="nil"/>
            </w:tcBorders>
            <w:noWrap w:val="0"/>
            <w:vAlign w:val="center"/>
          </w:tcPr>
          <w:p w14:paraId="21A9B60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SA"/>
              </w:rPr>
              <w:t>停产</w:t>
            </w:r>
          </w:p>
        </w:tc>
        <w:tc>
          <w:tcPr>
            <w:tcW w:w="597" w:type="pct"/>
            <w:tcBorders>
              <w:tl2br w:val="nil"/>
              <w:tr2bl w:val="nil"/>
            </w:tcBorders>
            <w:noWrap w:val="0"/>
            <w:vAlign w:val="center"/>
          </w:tcPr>
          <w:p w14:paraId="4CCC930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新环审</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2020</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66号</w:t>
            </w:r>
          </w:p>
        </w:tc>
        <w:tc>
          <w:tcPr>
            <w:tcW w:w="726" w:type="pct"/>
            <w:tcBorders>
              <w:tl2br w:val="nil"/>
              <w:tr2bl w:val="nil"/>
            </w:tcBorders>
            <w:noWrap w:val="0"/>
            <w:vAlign w:val="center"/>
          </w:tcPr>
          <w:p w14:paraId="16253146">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已执行手工监测，达标排放</w:t>
            </w:r>
          </w:p>
        </w:tc>
        <w:tc>
          <w:tcPr>
            <w:tcW w:w="597" w:type="pct"/>
            <w:tcBorders>
              <w:tl2br w:val="nil"/>
              <w:tr2bl w:val="nil"/>
            </w:tcBorders>
            <w:noWrap w:val="0"/>
            <w:vAlign w:val="center"/>
          </w:tcPr>
          <w:p w14:paraId="12326F87">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91652900MA77JQYX7Y001U</w:t>
            </w:r>
          </w:p>
        </w:tc>
        <w:tc>
          <w:tcPr>
            <w:tcW w:w="516" w:type="pct"/>
            <w:tcBorders>
              <w:tl2br w:val="nil"/>
              <w:tr2bl w:val="nil"/>
            </w:tcBorders>
            <w:noWrap w:val="0"/>
            <w:vAlign w:val="center"/>
          </w:tcPr>
          <w:p w14:paraId="5CDEAEC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413" w:type="pct"/>
            <w:tcBorders>
              <w:tl2br w:val="nil"/>
              <w:tr2bl w:val="nil"/>
            </w:tcBorders>
            <w:noWrap w:val="0"/>
            <w:vAlign w:val="center"/>
          </w:tcPr>
          <w:p w14:paraId="4BBFAA4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调试阶段</w:t>
            </w:r>
          </w:p>
        </w:tc>
        <w:tc>
          <w:tcPr>
            <w:tcW w:w="203" w:type="pct"/>
            <w:tcBorders>
              <w:tl2br w:val="nil"/>
              <w:tr2bl w:val="nil"/>
            </w:tcBorders>
            <w:noWrap w:val="0"/>
            <w:vAlign w:val="center"/>
          </w:tcPr>
          <w:p w14:paraId="690114B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kern w:val="0"/>
                <w:sz w:val="21"/>
                <w:szCs w:val="21"/>
                <w:lang w:val="en-US" w:eastAsia="zh-CN" w:bidi="ar-SA"/>
              </w:rPr>
              <w:t>尚未开展</w:t>
            </w:r>
          </w:p>
        </w:tc>
      </w:tr>
      <w:tr w14:paraId="4AB8C50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32" w:type="pct"/>
            <w:tcBorders>
              <w:tl2br w:val="nil"/>
              <w:tr2bl w:val="nil"/>
            </w:tcBorders>
            <w:noWrap w:val="0"/>
            <w:vAlign w:val="center"/>
          </w:tcPr>
          <w:p w14:paraId="46E2AD7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w:t>
            </w:r>
          </w:p>
        </w:tc>
        <w:tc>
          <w:tcPr>
            <w:tcW w:w="605" w:type="pct"/>
            <w:tcBorders>
              <w:tl2br w:val="nil"/>
              <w:tr2bl w:val="nil"/>
            </w:tcBorders>
            <w:noWrap w:val="0"/>
            <w:vAlign w:val="center"/>
          </w:tcPr>
          <w:p w14:paraId="61AD053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新疆兴发化工有限</w:t>
            </w:r>
          </w:p>
          <w:p w14:paraId="37F2DC4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公司</w:t>
            </w:r>
          </w:p>
        </w:tc>
        <w:tc>
          <w:tcPr>
            <w:tcW w:w="883" w:type="pct"/>
            <w:tcBorders>
              <w:tl2br w:val="nil"/>
              <w:tr2bl w:val="nil"/>
            </w:tcBorders>
            <w:noWrap w:val="0"/>
            <w:vAlign w:val="center"/>
          </w:tcPr>
          <w:p w14:paraId="603A88E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年产5万吨二甲基亚砜生产线项目</w:t>
            </w:r>
          </w:p>
        </w:tc>
        <w:tc>
          <w:tcPr>
            <w:tcW w:w="322" w:type="pct"/>
            <w:tcBorders>
              <w:tl2br w:val="nil"/>
              <w:tr2bl w:val="nil"/>
            </w:tcBorders>
            <w:noWrap w:val="0"/>
            <w:vAlign w:val="center"/>
          </w:tcPr>
          <w:p w14:paraId="7311F3B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投产</w:t>
            </w:r>
          </w:p>
        </w:tc>
        <w:tc>
          <w:tcPr>
            <w:tcW w:w="597" w:type="pct"/>
            <w:tcBorders>
              <w:tl2br w:val="nil"/>
              <w:tr2bl w:val="nil"/>
            </w:tcBorders>
            <w:noWrap w:val="0"/>
            <w:vAlign w:val="center"/>
          </w:tcPr>
          <w:p w14:paraId="58D7CE0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新环评价函</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2012</w:t>
            </w:r>
            <w:r>
              <w:rPr>
                <w:rFonts w:hint="default"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rPr>
              <w:t>613号</w:t>
            </w:r>
          </w:p>
        </w:tc>
        <w:tc>
          <w:tcPr>
            <w:tcW w:w="726" w:type="pct"/>
            <w:tcBorders>
              <w:tl2br w:val="nil"/>
              <w:tr2bl w:val="nil"/>
            </w:tcBorders>
            <w:noWrap w:val="0"/>
            <w:vAlign w:val="center"/>
          </w:tcPr>
          <w:p w14:paraId="17C00F1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已执行手工监测，达标排放</w:t>
            </w:r>
          </w:p>
        </w:tc>
        <w:tc>
          <w:tcPr>
            <w:tcW w:w="597" w:type="pct"/>
            <w:tcBorders>
              <w:tl2br w:val="nil"/>
              <w:tr2bl w:val="nil"/>
            </w:tcBorders>
            <w:noWrap w:val="0"/>
            <w:vAlign w:val="center"/>
          </w:tcPr>
          <w:p w14:paraId="53635E7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9165290058933810X1001V</w:t>
            </w:r>
          </w:p>
        </w:tc>
        <w:tc>
          <w:tcPr>
            <w:tcW w:w="516" w:type="pct"/>
            <w:tcBorders>
              <w:tl2br w:val="nil"/>
              <w:tr2bl w:val="nil"/>
            </w:tcBorders>
            <w:noWrap w:val="0"/>
            <w:vAlign w:val="center"/>
          </w:tcPr>
          <w:p w14:paraId="797927B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652901-2021-</w:t>
            </w:r>
          </w:p>
          <w:p w14:paraId="106488F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35</w:t>
            </w:r>
          </w:p>
        </w:tc>
        <w:tc>
          <w:tcPr>
            <w:tcW w:w="413" w:type="pct"/>
            <w:tcBorders>
              <w:tl2br w:val="nil"/>
              <w:tr2bl w:val="nil"/>
            </w:tcBorders>
            <w:noWrap w:val="0"/>
            <w:vAlign w:val="center"/>
          </w:tcPr>
          <w:p w14:paraId="52C0B547">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新环函〔2014〕1473号</w:t>
            </w:r>
          </w:p>
        </w:tc>
        <w:tc>
          <w:tcPr>
            <w:tcW w:w="203" w:type="pct"/>
            <w:tcBorders>
              <w:tl2br w:val="nil"/>
              <w:tr2bl w:val="nil"/>
            </w:tcBorders>
            <w:noWrap w:val="0"/>
            <w:vAlign w:val="center"/>
          </w:tcPr>
          <w:p w14:paraId="650A8FD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尚未开展</w:t>
            </w:r>
          </w:p>
        </w:tc>
      </w:tr>
      <w:tr w14:paraId="1F2C443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32" w:type="pct"/>
            <w:tcBorders>
              <w:tl2br w:val="nil"/>
              <w:tr2bl w:val="nil"/>
            </w:tcBorders>
            <w:noWrap w:val="0"/>
            <w:vAlign w:val="center"/>
          </w:tcPr>
          <w:p w14:paraId="5DDC901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3</w:t>
            </w:r>
          </w:p>
        </w:tc>
        <w:tc>
          <w:tcPr>
            <w:tcW w:w="605" w:type="pct"/>
            <w:tcBorders>
              <w:tl2br w:val="nil"/>
              <w:tr2bl w:val="nil"/>
            </w:tcBorders>
            <w:noWrap w:val="0"/>
            <w:vAlign w:val="center"/>
          </w:tcPr>
          <w:p w14:paraId="4D07B3C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新疆兴悦化工有限</w:t>
            </w:r>
          </w:p>
          <w:p w14:paraId="55F6F1F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公司</w:t>
            </w:r>
          </w:p>
        </w:tc>
        <w:tc>
          <w:tcPr>
            <w:tcW w:w="883" w:type="pct"/>
            <w:tcBorders>
              <w:tl2br w:val="nil"/>
              <w:tr2bl w:val="nil"/>
            </w:tcBorders>
            <w:noWrap w:val="0"/>
            <w:vAlign w:val="center"/>
          </w:tcPr>
          <w:p w14:paraId="01BE6AF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3200t/d水泥熟料</w:t>
            </w:r>
          </w:p>
        </w:tc>
        <w:tc>
          <w:tcPr>
            <w:tcW w:w="322" w:type="pct"/>
            <w:tcBorders>
              <w:tl2br w:val="nil"/>
              <w:tr2bl w:val="nil"/>
            </w:tcBorders>
            <w:noWrap w:val="0"/>
            <w:vAlign w:val="center"/>
          </w:tcPr>
          <w:p w14:paraId="5C10191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投产</w:t>
            </w:r>
          </w:p>
        </w:tc>
        <w:tc>
          <w:tcPr>
            <w:tcW w:w="597" w:type="pct"/>
            <w:tcBorders>
              <w:tl2br w:val="nil"/>
              <w:tr2bl w:val="nil"/>
            </w:tcBorders>
            <w:noWrap w:val="0"/>
            <w:vAlign w:val="center"/>
          </w:tcPr>
          <w:p w14:paraId="3AC56869">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新环评价函</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2013</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279号</w:t>
            </w:r>
          </w:p>
        </w:tc>
        <w:tc>
          <w:tcPr>
            <w:tcW w:w="726" w:type="pct"/>
            <w:tcBorders>
              <w:tl2br w:val="nil"/>
              <w:tr2bl w:val="nil"/>
            </w:tcBorders>
            <w:noWrap w:val="0"/>
            <w:vAlign w:val="center"/>
          </w:tcPr>
          <w:p w14:paraId="7D9058A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颗粒物执行手工监测；二氧化硫、氮氧化物执行自动监测，已联网。</w:t>
            </w:r>
          </w:p>
          <w:p w14:paraId="17AEC429">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 w:val="21"/>
                <w:szCs w:val="21"/>
                <w:lang w:val="en-US" w:eastAsia="zh-CN"/>
              </w:rPr>
              <w:t>达标排放</w:t>
            </w:r>
          </w:p>
        </w:tc>
        <w:tc>
          <w:tcPr>
            <w:tcW w:w="597" w:type="pct"/>
            <w:tcBorders>
              <w:tl2br w:val="nil"/>
              <w:tr2bl w:val="nil"/>
            </w:tcBorders>
            <w:noWrap w:val="0"/>
            <w:vAlign w:val="center"/>
          </w:tcPr>
          <w:p w14:paraId="38A4627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91652900568850956L001P</w:t>
            </w:r>
          </w:p>
        </w:tc>
        <w:tc>
          <w:tcPr>
            <w:tcW w:w="516" w:type="pct"/>
            <w:tcBorders>
              <w:tl2br w:val="nil"/>
              <w:tr2bl w:val="nil"/>
            </w:tcBorders>
            <w:noWrap w:val="0"/>
            <w:vAlign w:val="center"/>
          </w:tcPr>
          <w:p w14:paraId="053FD75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rPr>
              <w:t>6529-2018-045</w:t>
            </w:r>
          </w:p>
        </w:tc>
        <w:tc>
          <w:tcPr>
            <w:tcW w:w="413" w:type="pct"/>
            <w:tcBorders>
              <w:tl2br w:val="nil"/>
              <w:tr2bl w:val="nil"/>
            </w:tcBorders>
            <w:noWrap w:val="0"/>
            <w:vAlign w:val="center"/>
          </w:tcPr>
          <w:p w14:paraId="67B0172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阿地环函字〔2017〕356号</w:t>
            </w:r>
          </w:p>
        </w:tc>
        <w:tc>
          <w:tcPr>
            <w:tcW w:w="203" w:type="pct"/>
            <w:tcBorders>
              <w:tl2br w:val="nil"/>
              <w:tr2bl w:val="nil"/>
            </w:tcBorders>
            <w:noWrap w:val="0"/>
            <w:vAlign w:val="center"/>
          </w:tcPr>
          <w:p w14:paraId="30203AB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尚未开展</w:t>
            </w:r>
          </w:p>
        </w:tc>
      </w:tr>
      <w:tr w14:paraId="15C7C2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32" w:type="pct"/>
            <w:tcBorders>
              <w:tl2br w:val="nil"/>
              <w:tr2bl w:val="nil"/>
            </w:tcBorders>
            <w:noWrap w:val="0"/>
            <w:vAlign w:val="center"/>
          </w:tcPr>
          <w:p w14:paraId="55BEF4D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4</w:t>
            </w:r>
          </w:p>
        </w:tc>
        <w:tc>
          <w:tcPr>
            <w:tcW w:w="605" w:type="pct"/>
            <w:tcBorders>
              <w:tl2br w:val="nil"/>
              <w:tr2bl w:val="nil"/>
            </w:tcBorders>
            <w:noWrap w:val="0"/>
            <w:vAlign w:val="center"/>
          </w:tcPr>
          <w:p w14:paraId="72908A9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阿克苏圣驼轮胎有限公司</w:t>
            </w:r>
          </w:p>
        </w:tc>
        <w:tc>
          <w:tcPr>
            <w:tcW w:w="883" w:type="pct"/>
            <w:tcBorders>
              <w:tl2br w:val="nil"/>
              <w:tr2bl w:val="nil"/>
            </w:tcBorders>
            <w:noWrap w:val="0"/>
            <w:vAlign w:val="center"/>
          </w:tcPr>
          <w:p w14:paraId="45125A2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年产60万套巨型轮胎、工业轮胎建设项目</w:t>
            </w:r>
          </w:p>
        </w:tc>
        <w:tc>
          <w:tcPr>
            <w:tcW w:w="322" w:type="pct"/>
            <w:tcBorders>
              <w:tl2br w:val="nil"/>
              <w:tr2bl w:val="nil"/>
            </w:tcBorders>
            <w:noWrap w:val="0"/>
            <w:vAlign w:val="center"/>
          </w:tcPr>
          <w:p w14:paraId="42E8FF06">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在建，规划</w:t>
            </w:r>
          </w:p>
        </w:tc>
        <w:tc>
          <w:tcPr>
            <w:tcW w:w="597" w:type="pct"/>
            <w:tcBorders>
              <w:tl2br w:val="nil"/>
              <w:tr2bl w:val="nil"/>
            </w:tcBorders>
            <w:noWrap w:val="0"/>
            <w:vAlign w:val="center"/>
          </w:tcPr>
          <w:p w14:paraId="33E4CCD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726" w:type="pct"/>
            <w:tcBorders>
              <w:tl2br w:val="nil"/>
              <w:tr2bl w:val="nil"/>
            </w:tcBorders>
            <w:noWrap w:val="0"/>
            <w:vAlign w:val="center"/>
          </w:tcPr>
          <w:p w14:paraId="1E23492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97" w:type="pct"/>
            <w:tcBorders>
              <w:tl2br w:val="nil"/>
              <w:tr2bl w:val="nil"/>
            </w:tcBorders>
            <w:noWrap w:val="0"/>
            <w:vAlign w:val="center"/>
          </w:tcPr>
          <w:p w14:paraId="17D50C6A">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16" w:type="pct"/>
            <w:tcBorders>
              <w:tl2br w:val="nil"/>
              <w:tr2bl w:val="nil"/>
            </w:tcBorders>
            <w:noWrap w:val="0"/>
            <w:vAlign w:val="center"/>
          </w:tcPr>
          <w:p w14:paraId="1FDAEA5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13" w:type="pct"/>
            <w:tcBorders>
              <w:tl2br w:val="nil"/>
              <w:tr2bl w:val="nil"/>
            </w:tcBorders>
            <w:noWrap w:val="0"/>
            <w:vAlign w:val="center"/>
          </w:tcPr>
          <w:p w14:paraId="2C2B98E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203" w:type="pct"/>
            <w:tcBorders>
              <w:tl2br w:val="nil"/>
              <w:tr2bl w:val="nil"/>
            </w:tcBorders>
            <w:noWrap w:val="0"/>
            <w:vAlign w:val="center"/>
          </w:tcPr>
          <w:p w14:paraId="45226087">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r>
      <w:tr w14:paraId="22475A2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32" w:type="pct"/>
            <w:tcBorders>
              <w:tl2br w:val="nil"/>
              <w:tr2bl w:val="nil"/>
            </w:tcBorders>
            <w:noWrap w:val="0"/>
            <w:vAlign w:val="center"/>
          </w:tcPr>
          <w:p w14:paraId="1B840A7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605" w:type="pct"/>
            <w:tcBorders>
              <w:tl2br w:val="nil"/>
              <w:tr2bl w:val="nil"/>
            </w:tcBorders>
            <w:noWrap w:val="0"/>
            <w:vAlign w:val="center"/>
          </w:tcPr>
          <w:p w14:paraId="1656AC4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新疆奥斯特炭黑科技有限公司</w:t>
            </w:r>
          </w:p>
        </w:tc>
        <w:tc>
          <w:tcPr>
            <w:tcW w:w="883" w:type="pct"/>
            <w:tcBorders>
              <w:tl2br w:val="nil"/>
              <w:tr2bl w:val="nil"/>
            </w:tcBorders>
            <w:noWrap w:val="0"/>
            <w:vAlign w:val="center"/>
          </w:tcPr>
          <w:p w14:paraId="0289B81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年产12万吨炭黑生产线建设项目</w:t>
            </w:r>
          </w:p>
        </w:tc>
        <w:tc>
          <w:tcPr>
            <w:tcW w:w="322" w:type="pct"/>
            <w:tcBorders>
              <w:tl2br w:val="nil"/>
              <w:tr2bl w:val="nil"/>
            </w:tcBorders>
            <w:noWrap w:val="0"/>
            <w:vAlign w:val="center"/>
          </w:tcPr>
          <w:p w14:paraId="597485E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在建，规划</w:t>
            </w:r>
          </w:p>
        </w:tc>
        <w:tc>
          <w:tcPr>
            <w:tcW w:w="597" w:type="pct"/>
            <w:tcBorders>
              <w:tl2br w:val="nil"/>
              <w:tr2bl w:val="nil"/>
            </w:tcBorders>
            <w:noWrap w:val="0"/>
            <w:vAlign w:val="center"/>
          </w:tcPr>
          <w:p w14:paraId="0FCA47D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726" w:type="pct"/>
            <w:tcBorders>
              <w:tl2br w:val="nil"/>
              <w:tr2bl w:val="nil"/>
            </w:tcBorders>
            <w:noWrap w:val="0"/>
            <w:vAlign w:val="center"/>
          </w:tcPr>
          <w:p w14:paraId="7184CBB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97" w:type="pct"/>
            <w:tcBorders>
              <w:tl2br w:val="nil"/>
              <w:tr2bl w:val="nil"/>
            </w:tcBorders>
            <w:noWrap w:val="0"/>
            <w:vAlign w:val="center"/>
          </w:tcPr>
          <w:p w14:paraId="40150E78">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16" w:type="pct"/>
            <w:tcBorders>
              <w:tl2br w:val="nil"/>
              <w:tr2bl w:val="nil"/>
            </w:tcBorders>
            <w:noWrap w:val="0"/>
            <w:vAlign w:val="center"/>
          </w:tcPr>
          <w:p w14:paraId="575D47C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13" w:type="pct"/>
            <w:tcBorders>
              <w:tl2br w:val="nil"/>
              <w:tr2bl w:val="nil"/>
            </w:tcBorders>
            <w:noWrap w:val="0"/>
            <w:vAlign w:val="center"/>
          </w:tcPr>
          <w:p w14:paraId="1002DF5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203" w:type="pct"/>
            <w:tcBorders>
              <w:tl2br w:val="nil"/>
              <w:tr2bl w:val="nil"/>
            </w:tcBorders>
            <w:noWrap w:val="0"/>
            <w:vAlign w:val="center"/>
          </w:tcPr>
          <w:p w14:paraId="066149B6">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r>
      <w:tr w14:paraId="3D050C4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32" w:type="pct"/>
            <w:tcBorders>
              <w:tl2br w:val="nil"/>
              <w:tr2bl w:val="nil"/>
            </w:tcBorders>
            <w:noWrap w:val="0"/>
            <w:vAlign w:val="center"/>
          </w:tcPr>
          <w:p w14:paraId="03EDE17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w:t>
            </w:r>
          </w:p>
        </w:tc>
        <w:tc>
          <w:tcPr>
            <w:tcW w:w="605" w:type="pct"/>
            <w:tcBorders>
              <w:tl2br w:val="nil"/>
              <w:tr2bl w:val="nil"/>
            </w:tcBorders>
            <w:noWrap w:val="0"/>
            <w:vAlign w:val="center"/>
          </w:tcPr>
          <w:p w14:paraId="384B818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新疆国宇生物质碳业有限公司</w:t>
            </w:r>
          </w:p>
        </w:tc>
        <w:tc>
          <w:tcPr>
            <w:tcW w:w="883" w:type="pct"/>
            <w:tcBorders>
              <w:tl2br w:val="nil"/>
              <w:tr2bl w:val="nil"/>
            </w:tcBorders>
            <w:noWrap w:val="0"/>
            <w:vAlign w:val="center"/>
          </w:tcPr>
          <w:p w14:paraId="414E47D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阿克苏市30万吨/年生物质能源化、资源化利用示范</w:t>
            </w:r>
          </w:p>
          <w:p w14:paraId="11785EC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工程</w:t>
            </w:r>
          </w:p>
        </w:tc>
        <w:tc>
          <w:tcPr>
            <w:tcW w:w="322" w:type="pct"/>
            <w:tcBorders>
              <w:tl2br w:val="nil"/>
              <w:tr2bl w:val="nil"/>
            </w:tcBorders>
            <w:noWrap w:val="0"/>
            <w:vAlign w:val="center"/>
          </w:tcPr>
          <w:p w14:paraId="59C19AC5">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在建，规划</w:t>
            </w:r>
          </w:p>
        </w:tc>
        <w:tc>
          <w:tcPr>
            <w:tcW w:w="597" w:type="pct"/>
            <w:tcBorders>
              <w:tl2br w:val="nil"/>
              <w:tr2bl w:val="nil"/>
            </w:tcBorders>
            <w:noWrap w:val="0"/>
            <w:vAlign w:val="center"/>
          </w:tcPr>
          <w:p w14:paraId="24E17049">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阿地环函字〔2020〕930号</w:t>
            </w:r>
          </w:p>
        </w:tc>
        <w:tc>
          <w:tcPr>
            <w:tcW w:w="726" w:type="pct"/>
            <w:tcBorders>
              <w:tl2br w:val="nil"/>
              <w:tr2bl w:val="nil"/>
            </w:tcBorders>
            <w:noWrap w:val="0"/>
            <w:vAlign w:val="center"/>
          </w:tcPr>
          <w:p w14:paraId="03B754B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97" w:type="pct"/>
            <w:tcBorders>
              <w:tl2br w:val="nil"/>
              <w:tr2bl w:val="nil"/>
            </w:tcBorders>
            <w:noWrap w:val="0"/>
            <w:vAlign w:val="center"/>
          </w:tcPr>
          <w:p w14:paraId="7303C1F9">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16" w:type="pct"/>
            <w:tcBorders>
              <w:tl2br w:val="nil"/>
              <w:tr2bl w:val="nil"/>
            </w:tcBorders>
            <w:noWrap w:val="0"/>
            <w:vAlign w:val="center"/>
          </w:tcPr>
          <w:p w14:paraId="5FC401B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413" w:type="pct"/>
            <w:tcBorders>
              <w:tl2br w:val="nil"/>
              <w:tr2bl w:val="nil"/>
            </w:tcBorders>
            <w:noWrap w:val="0"/>
            <w:vAlign w:val="center"/>
          </w:tcPr>
          <w:p w14:paraId="473A611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203" w:type="pct"/>
            <w:tcBorders>
              <w:tl2br w:val="nil"/>
              <w:tr2bl w:val="nil"/>
            </w:tcBorders>
            <w:noWrap w:val="0"/>
            <w:vAlign w:val="center"/>
          </w:tcPr>
          <w:p w14:paraId="05368E9A">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r>
      <w:tr w14:paraId="0A312AB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32" w:type="pct"/>
            <w:tcBorders>
              <w:tl2br w:val="nil"/>
              <w:tr2bl w:val="nil"/>
            </w:tcBorders>
            <w:noWrap w:val="0"/>
            <w:vAlign w:val="center"/>
          </w:tcPr>
          <w:p w14:paraId="2DE66DC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w:t>
            </w:r>
          </w:p>
        </w:tc>
        <w:tc>
          <w:tcPr>
            <w:tcW w:w="605" w:type="pct"/>
            <w:tcBorders>
              <w:tl2br w:val="nil"/>
              <w:tr2bl w:val="nil"/>
            </w:tcBorders>
            <w:noWrap w:val="0"/>
            <w:vAlign w:val="center"/>
          </w:tcPr>
          <w:p w14:paraId="4348FD6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阿克苏市新发物流有限公司</w:t>
            </w:r>
          </w:p>
        </w:tc>
        <w:tc>
          <w:tcPr>
            <w:tcW w:w="883" w:type="pct"/>
            <w:tcBorders>
              <w:tl2br w:val="nil"/>
              <w:tr2bl w:val="nil"/>
            </w:tcBorders>
            <w:noWrap w:val="0"/>
            <w:vAlign w:val="center"/>
          </w:tcPr>
          <w:p w14:paraId="330D167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阿克苏市硫化工系列产品配套仓储项目</w:t>
            </w:r>
          </w:p>
        </w:tc>
        <w:tc>
          <w:tcPr>
            <w:tcW w:w="322" w:type="pct"/>
            <w:tcBorders>
              <w:tl2br w:val="nil"/>
              <w:tr2bl w:val="nil"/>
            </w:tcBorders>
            <w:noWrap w:val="0"/>
            <w:vAlign w:val="center"/>
          </w:tcPr>
          <w:p w14:paraId="6E4E433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在建，</w:t>
            </w:r>
            <w:r>
              <w:rPr>
                <w:rFonts w:hint="default" w:ascii="Times New Roman" w:hAnsi="Times New Roman" w:eastAsia="宋体" w:cs="Times New Roman"/>
                <w:color w:val="auto"/>
                <w:kern w:val="0"/>
                <w:sz w:val="21"/>
                <w:szCs w:val="21"/>
                <w:lang w:val="en-US" w:eastAsia="zh-CN" w:bidi="ar-SA"/>
              </w:rPr>
              <w:t>规划</w:t>
            </w:r>
          </w:p>
        </w:tc>
        <w:tc>
          <w:tcPr>
            <w:tcW w:w="597" w:type="pct"/>
            <w:tcBorders>
              <w:tl2br w:val="nil"/>
              <w:tr2bl w:val="nil"/>
            </w:tcBorders>
            <w:noWrap w:val="0"/>
            <w:vAlign w:val="center"/>
          </w:tcPr>
          <w:p w14:paraId="18BAC29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726" w:type="pct"/>
            <w:tcBorders>
              <w:tl2br w:val="nil"/>
              <w:tr2bl w:val="nil"/>
            </w:tcBorders>
            <w:noWrap w:val="0"/>
            <w:vAlign w:val="center"/>
          </w:tcPr>
          <w:p w14:paraId="5C7E0607">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p>
        </w:tc>
        <w:tc>
          <w:tcPr>
            <w:tcW w:w="597" w:type="pct"/>
            <w:tcBorders>
              <w:tl2br w:val="nil"/>
              <w:tr2bl w:val="nil"/>
            </w:tcBorders>
            <w:noWrap w:val="0"/>
            <w:vAlign w:val="center"/>
          </w:tcPr>
          <w:p w14:paraId="026015F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516" w:type="pct"/>
            <w:tcBorders>
              <w:tl2br w:val="nil"/>
              <w:tr2bl w:val="nil"/>
            </w:tcBorders>
            <w:noWrap w:val="0"/>
            <w:vAlign w:val="center"/>
          </w:tcPr>
          <w:p w14:paraId="4623DAE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w:t>
            </w:r>
          </w:p>
        </w:tc>
        <w:tc>
          <w:tcPr>
            <w:tcW w:w="413" w:type="pct"/>
            <w:tcBorders>
              <w:tl2br w:val="nil"/>
              <w:tr2bl w:val="nil"/>
            </w:tcBorders>
            <w:noWrap w:val="0"/>
            <w:vAlign w:val="center"/>
          </w:tcPr>
          <w:p w14:paraId="7F60084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203" w:type="pct"/>
            <w:tcBorders>
              <w:tl2br w:val="nil"/>
              <w:tr2bl w:val="nil"/>
            </w:tcBorders>
            <w:noWrap w:val="0"/>
            <w:vAlign w:val="center"/>
          </w:tcPr>
          <w:p w14:paraId="7E84183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r>
      <w:tr w14:paraId="48B6EB3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32" w:type="pct"/>
            <w:tcBorders>
              <w:tl2br w:val="nil"/>
              <w:tr2bl w:val="nil"/>
            </w:tcBorders>
            <w:noWrap w:val="0"/>
            <w:vAlign w:val="center"/>
          </w:tcPr>
          <w:p w14:paraId="651CFBC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8</w:t>
            </w:r>
          </w:p>
        </w:tc>
        <w:tc>
          <w:tcPr>
            <w:tcW w:w="605" w:type="pct"/>
            <w:tcBorders>
              <w:tl2br w:val="nil"/>
              <w:tr2bl w:val="nil"/>
            </w:tcBorders>
            <w:noWrap w:val="0"/>
            <w:vAlign w:val="center"/>
          </w:tcPr>
          <w:p w14:paraId="63F8431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阿克苏云能科技有限责任公司</w:t>
            </w:r>
          </w:p>
        </w:tc>
        <w:tc>
          <w:tcPr>
            <w:tcW w:w="883" w:type="pct"/>
            <w:tcBorders>
              <w:tl2br w:val="nil"/>
              <w:tr2bl w:val="nil"/>
            </w:tcBorders>
            <w:noWrap w:val="0"/>
            <w:vAlign w:val="center"/>
          </w:tcPr>
          <w:p w14:paraId="6D54A1E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220千伏变电站、大型超算中心及区块链项目</w:t>
            </w:r>
          </w:p>
        </w:tc>
        <w:tc>
          <w:tcPr>
            <w:tcW w:w="322" w:type="pct"/>
            <w:tcBorders>
              <w:tl2br w:val="nil"/>
              <w:tr2bl w:val="nil"/>
            </w:tcBorders>
            <w:noWrap w:val="0"/>
            <w:vAlign w:val="center"/>
          </w:tcPr>
          <w:p w14:paraId="407E586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停建</w:t>
            </w:r>
          </w:p>
        </w:tc>
        <w:tc>
          <w:tcPr>
            <w:tcW w:w="597" w:type="pct"/>
            <w:tcBorders>
              <w:tl2br w:val="nil"/>
              <w:tr2bl w:val="nil"/>
            </w:tcBorders>
            <w:noWrap w:val="0"/>
            <w:vAlign w:val="center"/>
          </w:tcPr>
          <w:p w14:paraId="0ECC663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726" w:type="pct"/>
            <w:tcBorders>
              <w:tl2br w:val="nil"/>
              <w:tr2bl w:val="nil"/>
            </w:tcBorders>
            <w:noWrap w:val="0"/>
            <w:vAlign w:val="center"/>
          </w:tcPr>
          <w:p w14:paraId="3466EC3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597" w:type="pct"/>
            <w:tcBorders>
              <w:tl2br w:val="nil"/>
              <w:tr2bl w:val="nil"/>
            </w:tcBorders>
            <w:noWrap w:val="0"/>
            <w:vAlign w:val="center"/>
          </w:tcPr>
          <w:p w14:paraId="0B07F79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16" w:type="pct"/>
            <w:tcBorders>
              <w:tl2br w:val="nil"/>
              <w:tr2bl w:val="nil"/>
            </w:tcBorders>
            <w:noWrap w:val="0"/>
            <w:vAlign w:val="center"/>
          </w:tcPr>
          <w:p w14:paraId="51EE015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413" w:type="pct"/>
            <w:tcBorders>
              <w:tl2br w:val="nil"/>
              <w:tr2bl w:val="nil"/>
            </w:tcBorders>
            <w:noWrap w:val="0"/>
            <w:vAlign w:val="center"/>
          </w:tcPr>
          <w:p w14:paraId="265031C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203" w:type="pct"/>
            <w:tcBorders>
              <w:tl2br w:val="nil"/>
              <w:tr2bl w:val="nil"/>
            </w:tcBorders>
            <w:noWrap w:val="0"/>
            <w:vAlign w:val="center"/>
          </w:tcPr>
          <w:p w14:paraId="4D81242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r>
    </w:tbl>
    <w:p w14:paraId="3313F484">
      <w:pPr>
        <w:pStyle w:val="11"/>
        <w:spacing w:after="0" w:line="360" w:lineRule="auto"/>
        <w:ind w:firstLine="480" w:firstLineChars="200"/>
        <w:rPr>
          <w:rFonts w:hint="default" w:ascii="Times New Roman" w:hAnsi="Times New Roman" w:cs="Times New Roman"/>
          <w:sz w:val="24"/>
          <w:szCs w:val="24"/>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06035872">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lang w:val="en-US" w:eastAsia="zh-CN"/>
        </w:rPr>
      </w:pPr>
      <w:bookmarkStart w:id="172" w:name="_Toc1983"/>
      <w:bookmarkStart w:id="173" w:name="_Toc17066"/>
      <w:r>
        <w:rPr>
          <w:rFonts w:hint="default" w:ascii="Times New Roman" w:hAnsi="Times New Roman" w:eastAsia="宋体" w:cs="Times New Roman"/>
          <w:b/>
          <w:bCs/>
          <w:sz w:val="24"/>
          <w:szCs w:val="16"/>
          <w:highlight w:val="none"/>
        </w:rPr>
        <w:t>4.</w:t>
      </w:r>
      <w:r>
        <w:rPr>
          <w:rFonts w:hint="default" w:ascii="Times New Roman" w:hAnsi="Times New Roman" w:cs="Times New Roman"/>
          <w:b/>
          <w:bCs/>
          <w:sz w:val="24"/>
          <w:szCs w:val="16"/>
          <w:highlight w:val="none"/>
          <w:lang w:val="en-US" w:eastAsia="zh-CN"/>
        </w:rPr>
        <w:t>3</w:t>
      </w:r>
      <w:r>
        <w:rPr>
          <w:rFonts w:hint="default" w:ascii="Times New Roman" w:hAnsi="Times New Roman" w:eastAsia="宋体" w:cs="Times New Roman"/>
          <w:b/>
          <w:bCs/>
          <w:sz w:val="24"/>
          <w:szCs w:val="16"/>
          <w:highlight w:val="none"/>
          <w:lang w:val="en-US" w:eastAsia="zh-CN"/>
        </w:rPr>
        <w:t>.</w:t>
      </w:r>
      <w:r>
        <w:rPr>
          <w:rFonts w:hint="eastAsia" w:cs="Times New Roman"/>
          <w:b/>
          <w:bCs/>
          <w:sz w:val="24"/>
          <w:szCs w:val="16"/>
          <w:highlight w:val="none"/>
          <w:lang w:val="en-US" w:eastAsia="zh-CN"/>
        </w:rPr>
        <w:t>3</w:t>
      </w:r>
      <w:r>
        <w:rPr>
          <w:rFonts w:hint="default" w:ascii="Times New Roman" w:hAnsi="Times New Roman" w:eastAsia="宋体" w:cs="Times New Roman"/>
          <w:b/>
          <w:bCs/>
          <w:sz w:val="24"/>
          <w:szCs w:val="16"/>
          <w:highlight w:val="none"/>
          <w:lang w:val="en-US" w:eastAsia="zh-CN"/>
        </w:rPr>
        <w:t>园区内已建主要企业污染物排放情况</w:t>
      </w:r>
      <w:bookmarkEnd w:id="172"/>
      <w:bookmarkEnd w:id="173"/>
    </w:p>
    <w:p w14:paraId="0BE69A53">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（1）废气污染物排放情况</w:t>
      </w:r>
    </w:p>
    <w:p w14:paraId="25171D16">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根据《阿克苏经济技术开发区化工产业集中区总体规划（2022-2035）环境影响评价报告书》的统计，化工产业集中区内主要废气排放企业污染源见表</w:t>
      </w:r>
      <w:r>
        <w:rPr>
          <w:rFonts w:hint="default" w:ascii="Times New Roman" w:hAnsi="Times New Roman" w:eastAsia="宋体" w:cs="Times New Roman"/>
          <w:sz w:val="24"/>
          <w:szCs w:val="24"/>
          <w:highlight w:val="none"/>
          <w:lang w:val="en-US" w:eastAsia="zh-CN"/>
        </w:rPr>
        <w:t>4</w:t>
      </w:r>
      <w:r>
        <w:rPr>
          <w:rFonts w:hint="default" w:ascii="Times New Roman" w:hAnsi="Times New Roman" w:cs="Times New Roman"/>
          <w:sz w:val="24"/>
          <w:szCs w:val="24"/>
          <w:highlight w:val="none"/>
          <w:lang w:val="en-US" w:eastAsia="zh-CN"/>
        </w:rPr>
        <w:t>.3-2</w:t>
      </w:r>
      <w:r>
        <w:rPr>
          <w:rFonts w:hint="default" w:ascii="Times New Roman" w:hAnsi="Times New Roman" w:eastAsia="宋体" w:cs="Times New Roman"/>
          <w:sz w:val="24"/>
          <w:szCs w:val="24"/>
          <w:highlight w:val="none"/>
          <w:lang w:val="en-US" w:eastAsia="zh-CN"/>
        </w:rPr>
        <w:t>。</w:t>
      </w:r>
    </w:p>
    <w:p w14:paraId="0A2ECB8C">
      <w:pPr>
        <w:pStyle w:val="211"/>
        <w:spacing w:line="240" w:lineRule="auto"/>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rPr>
        <w:t>表4</w:t>
      </w:r>
      <w:r>
        <w:rPr>
          <w:rFonts w:hint="default" w:ascii="Times New Roman" w:hAnsi="Times New Roman" w:cs="Times New Roman"/>
          <w:color w:val="000000"/>
          <w:sz w:val="24"/>
          <w:szCs w:val="24"/>
          <w:lang w:val="en-US" w:eastAsia="zh-CN"/>
        </w:rPr>
        <w:t>.3-2</w:t>
      </w:r>
      <w:r>
        <w:rPr>
          <w:rFonts w:hint="default" w:ascii="Times New Roman" w:hAnsi="Times New Roman" w:cs="Times New Roman"/>
          <w:color w:val="000000"/>
          <w:sz w:val="24"/>
          <w:szCs w:val="24"/>
        </w:rPr>
        <w:t xml:space="preserve"> </w:t>
      </w:r>
      <w:r>
        <w:rPr>
          <w:rFonts w:hint="default" w:ascii="Times New Roman" w:hAnsi="Times New Roman" w:cs="Times New Roman"/>
          <w:color w:val="000000"/>
          <w:sz w:val="24"/>
          <w:szCs w:val="24"/>
          <w:lang w:val="en-US" w:eastAsia="zh-CN"/>
        </w:rPr>
        <w:t>主要企业现状废气污染源统计</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1906"/>
        <w:gridCol w:w="2087"/>
        <w:gridCol w:w="978"/>
        <w:gridCol w:w="1092"/>
        <w:gridCol w:w="950"/>
        <w:gridCol w:w="872"/>
      </w:tblGrid>
      <w:tr w14:paraId="553D9D1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tcBorders>
              <w:tl2br w:val="nil"/>
              <w:tr2bl w:val="nil"/>
            </w:tcBorders>
            <w:noWrap w:val="0"/>
            <w:vAlign w:val="center"/>
          </w:tcPr>
          <w:p w14:paraId="59D4EED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序号</w:t>
            </w:r>
          </w:p>
        </w:tc>
        <w:tc>
          <w:tcPr>
            <w:tcW w:w="1120" w:type="pct"/>
            <w:tcBorders>
              <w:tl2br w:val="nil"/>
              <w:tr2bl w:val="nil"/>
            </w:tcBorders>
            <w:noWrap w:val="0"/>
            <w:vAlign w:val="center"/>
          </w:tcPr>
          <w:p w14:paraId="7C3DB76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企业名称</w:t>
            </w:r>
          </w:p>
        </w:tc>
        <w:tc>
          <w:tcPr>
            <w:tcW w:w="1227" w:type="pct"/>
            <w:tcBorders>
              <w:tl2br w:val="nil"/>
              <w:tr2bl w:val="nil"/>
            </w:tcBorders>
            <w:noWrap w:val="0"/>
            <w:vAlign w:val="center"/>
          </w:tcPr>
          <w:p w14:paraId="16B3DC3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主要产品/规模</w:t>
            </w:r>
          </w:p>
        </w:tc>
        <w:tc>
          <w:tcPr>
            <w:tcW w:w="576" w:type="pct"/>
            <w:tcBorders>
              <w:tl2br w:val="nil"/>
              <w:tr2bl w:val="nil"/>
            </w:tcBorders>
            <w:noWrap w:val="0"/>
            <w:vAlign w:val="center"/>
          </w:tcPr>
          <w:p w14:paraId="52F8208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SO</w:t>
            </w:r>
            <w:r>
              <w:rPr>
                <w:rFonts w:hint="default" w:ascii="Times New Roman" w:hAnsi="Times New Roman" w:eastAsia="宋体" w:cs="Times New Roman"/>
                <w:b/>
                <w:bCs/>
                <w:color w:val="auto"/>
                <w:sz w:val="21"/>
                <w:szCs w:val="21"/>
                <w:vertAlign w:val="subscript"/>
                <w:lang w:val="en-US" w:eastAsia="zh-CN"/>
              </w:rPr>
              <w:t>2</w:t>
            </w:r>
            <w:r>
              <w:rPr>
                <w:rFonts w:hint="default" w:ascii="Times New Roman" w:hAnsi="Times New Roman" w:eastAsia="宋体" w:cs="Times New Roman"/>
                <w:b/>
                <w:bCs/>
                <w:color w:val="auto"/>
                <w:sz w:val="21"/>
                <w:szCs w:val="21"/>
                <w:lang w:val="en-US" w:eastAsia="zh-CN"/>
              </w:rPr>
              <w:t>（t/a）</w:t>
            </w:r>
          </w:p>
        </w:tc>
        <w:tc>
          <w:tcPr>
            <w:tcW w:w="643" w:type="pct"/>
            <w:tcBorders>
              <w:tl2br w:val="nil"/>
              <w:tr2bl w:val="nil"/>
            </w:tcBorders>
            <w:noWrap w:val="0"/>
            <w:vAlign w:val="center"/>
          </w:tcPr>
          <w:p w14:paraId="1A0F5968">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NO</w:t>
            </w:r>
            <w:r>
              <w:rPr>
                <w:rFonts w:hint="default" w:ascii="Times New Roman" w:hAnsi="Times New Roman" w:eastAsia="宋体" w:cs="Times New Roman"/>
                <w:b/>
                <w:bCs/>
                <w:color w:val="auto"/>
                <w:sz w:val="21"/>
                <w:szCs w:val="21"/>
                <w:vertAlign w:val="subscript"/>
                <w:lang w:val="en-US" w:eastAsia="zh-CN"/>
              </w:rPr>
              <w:t>X</w:t>
            </w:r>
            <w:r>
              <w:rPr>
                <w:rFonts w:hint="default" w:ascii="Times New Roman" w:hAnsi="Times New Roman" w:eastAsia="宋体" w:cs="Times New Roman"/>
                <w:b/>
                <w:bCs/>
                <w:color w:val="auto"/>
                <w:sz w:val="21"/>
                <w:szCs w:val="21"/>
                <w:lang w:val="en-US" w:eastAsia="zh-CN"/>
              </w:rPr>
              <w:t>（t/a）</w:t>
            </w:r>
          </w:p>
        </w:tc>
        <w:tc>
          <w:tcPr>
            <w:tcW w:w="560" w:type="pct"/>
            <w:tcBorders>
              <w:tl2br w:val="nil"/>
              <w:tr2bl w:val="nil"/>
            </w:tcBorders>
            <w:noWrap w:val="0"/>
            <w:vAlign w:val="center"/>
          </w:tcPr>
          <w:p w14:paraId="144C6F4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z w:val="21"/>
                <w:szCs w:val="21"/>
                <w:lang w:val="en-US" w:eastAsia="zh-CN"/>
              </w:rPr>
              <w:t>颗粒物（t/a）</w:t>
            </w:r>
          </w:p>
        </w:tc>
        <w:tc>
          <w:tcPr>
            <w:tcW w:w="498" w:type="pct"/>
            <w:tcBorders>
              <w:tl2br w:val="nil"/>
              <w:tr2bl w:val="nil"/>
            </w:tcBorders>
            <w:noWrap w:val="0"/>
            <w:vAlign w:val="center"/>
          </w:tcPr>
          <w:p w14:paraId="4C07B65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sz w:val="21"/>
                <w:szCs w:val="21"/>
                <w:lang w:val="en-US" w:eastAsia="zh-CN"/>
              </w:rPr>
              <w:t>VOCS（t/a）</w:t>
            </w:r>
          </w:p>
        </w:tc>
      </w:tr>
      <w:tr w14:paraId="0A301E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tcBorders>
              <w:tl2br w:val="nil"/>
              <w:tr2bl w:val="nil"/>
            </w:tcBorders>
            <w:noWrap w:val="0"/>
            <w:vAlign w:val="center"/>
          </w:tcPr>
          <w:p w14:paraId="1A7D4406">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1120" w:type="pct"/>
            <w:tcBorders>
              <w:tl2br w:val="nil"/>
              <w:tr2bl w:val="nil"/>
            </w:tcBorders>
            <w:noWrap w:val="0"/>
            <w:vAlign w:val="center"/>
          </w:tcPr>
          <w:p w14:paraId="5BEB16B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新疆嘉轮轮胎有限公司</w:t>
            </w:r>
          </w:p>
        </w:tc>
        <w:tc>
          <w:tcPr>
            <w:tcW w:w="1227" w:type="pct"/>
            <w:tcBorders>
              <w:tl2br w:val="nil"/>
              <w:tr2bl w:val="nil"/>
            </w:tcBorders>
            <w:noWrap w:val="0"/>
            <w:vAlign w:val="center"/>
          </w:tcPr>
          <w:p w14:paraId="3044CBF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年产120万套子午线轮胎建设项目</w:t>
            </w:r>
          </w:p>
        </w:tc>
        <w:tc>
          <w:tcPr>
            <w:tcW w:w="576" w:type="pct"/>
            <w:tcBorders>
              <w:tl2br w:val="nil"/>
              <w:tr2bl w:val="nil"/>
            </w:tcBorders>
            <w:noWrap w:val="0"/>
            <w:vAlign w:val="center"/>
          </w:tcPr>
          <w:p w14:paraId="3C7E3FA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643" w:type="pct"/>
            <w:tcBorders>
              <w:tl2br w:val="nil"/>
              <w:tr2bl w:val="nil"/>
            </w:tcBorders>
            <w:noWrap w:val="0"/>
            <w:vAlign w:val="center"/>
          </w:tcPr>
          <w:p w14:paraId="44950AF7">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60" w:type="pct"/>
            <w:tcBorders>
              <w:tl2br w:val="nil"/>
              <w:tr2bl w:val="nil"/>
            </w:tcBorders>
            <w:noWrap w:val="0"/>
            <w:vAlign w:val="center"/>
          </w:tcPr>
          <w:p w14:paraId="18BC7946">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0.64</w:t>
            </w:r>
          </w:p>
        </w:tc>
        <w:tc>
          <w:tcPr>
            <w:tcW w:w="498" w:type="pct"/>
            <w:tcBorders>
              <w:tl2br w:val="nil"/>
              <w:tr2bl w:val="nil"/>
            </w:tcBorders>
            <w:noWrap w:val="0"/>
            <w:vAlign w:val="center"/>
          </w:tcPr>
          <w:p w14:paraId="547988B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1.01</w:t>
            </w:r>
          </w:p>
        </w:tc>
      </w:tr>
      <w:tr w14:paraId="7FC71E4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373" w:type="pct"/>
            <w:tcBorders>
              <w:tl2br w:val="nil"/>
              <w:tr2bl w:val="nil"/>
            </w:tcBorders>
            <w:noWrap w:val="0"/>
            <w:vAlign w:val="center"/>
          </w:tcPr>
          <w:p w14:paraId="322092D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1120" w:type="pct"/>
            <w:tcBorders>
              <w:tl2br w:val="nil"/>
              <w:tr2bl w:val="nil"/>
            </w:tcBorders>
            <w:noWrap w:val="0"/>
            <w:vAlign w:val="center"/>
          </w:tcPr>
          <w:p w14:paraId="756A642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新疆兴发化工有限公司</w:t>
            </w:r>
          </w:p>
        </w:tc>
        <w:tc>
          <w:tcPr>
            <w:tcW w:w="1227" w:type="pct"/>
            <w:tcBorders>
              <w:tl2br w:val="nil"/>
              <w:tr2bl w:val="nil"/>
            </w:tcBorders>
            <w:noWrap w:val="0"/>
            <w:vAlign w:val="center"/>
          </w:tcPr>
          <w:p w14:paraId="0F0119A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年产5万吨二甲基亚砜生产线项目</w:t>
            </w:r>
          </w:p>
        </w:tc>
        <w:tc>
          <w:tcPr>
            <w:tcW w:w="576" w:type="pct"/>
            <w:tcBorders>
              <w:tl2br w:val="nil"/>
              <w:tr2bl w:val="nil"/>
            </w:tcBorders>
            <w:noWrap w:val="0"/>
            <w:vAlign w:val="center"/>
          </w:tcPr>
          <w:p w14:paraId="3B558DB8">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65.54</w:t>
            </w:r>
          </w:p>
        </w:tc>
        <w:tc>
          <w:tcPr>
            <w:tcW w:w="643" w:type="pct"/>
            <w:tcBorders>
              <w:tl2br w:val="nil"/>
              <w:tr2bl w:val="nil"/>
            </w:tcBorders>
            <w:noWrap w:val="0"/>
            <w:vAlign w:val="center"/>
          </w:tcPr>
          <w:p w14:paraId="0DDD0DA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18.13</w:t>
            </w:r>
          </w:p>
        </w:tc>
        <w:tc>
          <w:tcPr>
            <w:tcW w:w="560" w:type="pct"/>
            <w:tcBorders>
              <w:tl2br w:val="nil"/>
              <w:tr2bl w:val="nil"/>
            </w:tcBorders>
            <w:noWrap w:val="0"/>
            <w:vAlign w:val="center"/>
          </w:tcPr>
          <w:p w14:paraId="1F56F86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5.09</w:t>
            </w:r>
          </w:p>
        </w:tc>
        <w:tc>
          <w:tcPr>
            <w:tcW w:w="498" w:type="pct"/>
            <w:tcBorders>
              <w:tl2br w:val="nil"/>
              <w:tr2bl w:val="nil"/>
            </w:tcBorders>
            <w:noWrap w:val="0"/>
            <w:vAlign w:val="center"/>
          </w:tcPr>
          <w:p w14:paraId="0CEF8EF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42D90C2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tcBorders>
              <w:tl2br w:val="nil"/>
              <w:tr2bl w:val="nil"/>
            </w:tcBorders>
            <w:noWrap w:val="0"/>
            <w:vAlign w:val="center"/>
          </w:tcPr>
          <w:p w14:paraId="0161A5E6">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1120" w:type="pct"/>
            <w:tcBorders>
              <w:tl2br w:val="nil"/>
              <w:tr2bl w:val="nil"/>
            </w:tcBorders>
            <w:noWrap w:val="0"/>
            <w:vAlign w:val="center"/>
          </w:tcPr>
          <w:p w14:paraId="6E6A039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新疆兴悦化工有限公司</w:t>
            </w:r>
          </w:p>
        </w:tc>
        <w:tc>
          <w:tcPr>
            <w:tcW w:w="1227" w:type="pct"/>
            <w:tcBorders>
              <w:tl2br w:val="nil"/>
              <w:tr2bl w:val="nil"/>
            </w:tcBorders>
            <w:noWrap w:val="0"/>
            <w:vAlign w:val="center"/>
          </w:tcPr>
          <w:p w14:paraId="754610D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3200t/d水泥熟料</w:t>
            </w:r>
          </w:p>
        </w:tc>
        <w:tc>
          <w:tcPr>
            <w:tcW w:w="576" w:type="pct"/>
            <w:tcBorders>
              <w:tl2br w:val="nil"/>
              <w:tr2bl w:val="nil"/>
            </w:tcBorders>
            <w:noWrap w:val="0"/>
            <w:vAlign w:val="center"/>
          </w:tcPr>
          <w:p w14:paraId="76C45BB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490.67</w:t>
            </w:r>
          </w:p>
        </w:tc>
        <w:tc>
          <w:tcPr>
            <w:tcW w:w="643" w:type="pct"/>
            <w:tcBorders>
              <w:tl2br w:val="nil"/>
              <w:tr2bl w:val="nil"/>
            </w:tcBorders>
            <w:noWrap w:val="0"/>
            <w:vAlign w:val="center"/>
          </w:tcPr>
          <w:p w14:paraId="04D1D17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1088.78</w:t>
            </w:r>
          </w:p>
        </w:tc>
        <w:tc>
          <w:tcPr>
            <w:tcW w:w="560" w:type="pct"/>
            <w:tcBorders>
              <w:tl2br w:val="nil"/>
              <w:tr2bl w:val="nil"/>
            </w:tcBorders>
            <w:noWrap w:val="0"/>
            <w:vAlign w:val="center"/>
          </w:tcPr>
          <w:p w14:paraId="732B51F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507.99</w:t>
            </w:r>
          </w:p>
        </w:tc>
        <w:tc>
          <w:tcPr>
            <w:tcW w:w="498" w:type="pct"/>
            <w:tcBorders>
              <w:tl2br w:val="nil"/>
              <w:tr2bl w:val="nil"/>
            </w:tcBorders>
            <w:noWrap w:val="0"/>
            <w:vAlign w:val="center"/>
          </w:tcPr>
          <w:p w14:paraId="3120107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77E50B3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73" w:type="pct"/>
            <w:tcBorders>
              <w:tl2br w:val="nil"/>
              <w:tr2bl w:val="nil"/>
            </w:tcBorders>
            <w:noWrap w:val="0"/>
            <w:vAlign w:val="center"/>
          </w:tcPr>
          <w:p w14:paraId="70DDFC28">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1120" w:type="pct"/>
            <w:tcBorders>
              <w:tl2br w:val="nil"/>
              <w:tr2bl w:val="nil"/>
            </w:tcBorders>
            <w:noWrap w:val="0"/>
            <w:vAlign w:val="center"/>
          </w:tcPr>
          <w:p w14:paraId="0870453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新疆国宇生物质碳业有限公司（在建）</w:t>
            </w:r>
          </w:p>
        </w:tc>
        <w:tc>
          <w:tcPr>
            <w:tcW w:w="1227" w:type="pct"/>
            <w:tcBorders>
              <w:tl2br w:val="nil"/>
              <w:tr2bl w:val="nil"/>
            </w:tcBorders>
            <w:noWrap w:val="0"/>
            <w:vAlign w:val="center"/>
          </w:tcPr>
          <w:p w14:paraId="206A91B9">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阿克苏市30万吨/年生物质能源化、资源化利用示范工程</w:t>
            </w:r>
          </w:p>
        </w:tc>
        <w:tc>
          <w:tcPr>
            <w:tcW w:w="576" w:type="pct"/>
            <w:tcBorders>
              <w:tl2br w:val="nil"/>
              <w:tr2bl w:val="nil"/>
            </w:tcBorders>
            <w:noWrap w:val="0"/>
            <w:vAlign w:val="center"/>
          </w:tcPr>
          <w:p w14:paraId="0EE38CA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48.89</w:t>
            </w:r>
          </w:p>
        </w:tc>
        <w:tc>
          <w:tcPr>
            <w:tcW w:w="643" w:type="pct"/>
            <w:tcBorders>
              <w:tl2br w:val="nil"/>
              <w:tr2bl w:val="nil"/>
            </w:tcBorders>
            <w:noWrap w:val="0"/>
            <w:vAlign w:val="center"/>
          </w:tcPr>
          <w:p w14:paraId="61BC9C9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70.54</w:t>
            </w:r>
          </w:p>
        </w:tc>
        <w:tc>
          <w:tcPr>
            <w:tcW w:w="560" w:type="pct"/>
            <w:tcBorders>
              <w:tl2br w:val="nil"/>
              <w:tr2bl w:val="nil"/>
            </w:tcBorders>
            <w:noWrap w:val="0"/>
            <w:vAlign w:val="center"/>
          </w:tcPr>
          <w:p w14:paraId="43555395">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2.845</w:t>
            </w:r>
          </w:p>
        </w:tc>
        <w:tc>
          <w:tcPr>
            <w:tcW w:w="498" w:type="pct"/>
            <w:tcBorders>
              <w:tl2br w:val="nil"/>
              <w:tr2bl w:val="nil"/>
            </w:tcBorders>
            <w:noWrap w:val="0"/>
            <w:vAlign w:val="center"/>
          </w:tcPr>
          <w:p w14:paraId="07B86B1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r>
      <w:tr w14:paraId="48ACCFF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494" w:type="pct"/>
            <w:gridSpan w:val="2"/>
            <w:tcBorders>
              <w:tl2br w:val="nil"/>
              <w:tr2bl w:val="nil"/>
            </w:tcBorders>
            <w:noWrap w:val="0"/>
            <w:vAlign w:val="center"/>
          </w:tcPr>
          <w:p w14:paraId="7742F5C5">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合计</w:t>
            </w:r>
          </w:p>
        </w:tc>
        <w:tc>
          <w:tcPr>
            <w:tcW w:w="1227" w:type="pct"/>
            <w:tcBorders>
              <w:tl2br w:val="nil"/>
              <w:tr2bl w:val="nil"/>
            </w:tcBorders>
            <w:noWrap w:val="0"/>
            <w:vAlign w:val="center"/>
          </w:tcPr>
          <w:p w14:paraId="758FA78A">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w:t>
            </w:r>
          </w:p>
        </w:tc>
        <w:tc>
          <w:tcPr>
            <w:tcW w:w="576" w:type="pct"/>
            <w:tcBorders>
              <w:tl2br w:val="nil"/>
              <w:tr2bl w:val="nil"/>
            </w:tcBorders>
            <w:noWrap w:val="0"/>
            <w:vAlign w:val="center"/>
          </w:tcPr>
          <w:p w14:paraId="5BE7725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605.1</w:t>
            </w:r>
          </w:p>
        </w:tc>
        <w:tc>
          <w:tcPr>
            <w:tcW w:w="643" w:type="pct"/>
            <w:tcBorders>
              <w:tl2br w:val="nil"/>
              <w:tr2bl w:val="nil"/>
            </w:tcBorders>
            <w:noWrap w:val="0"/>
            <w:vAlign w:val="center"/>
          </w:tcPr>
          <w:p w14:paraId="3BE49256">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1177.45</w:t>
            </w:r>
          </w:p>
        </w:tc>
        <w:tc>
          <w:tcPr>
            <w:tcW w:w="560" w:type="pct"/>
            <w:tcBorders>
              <w:tl2br w:val="nil"/>
              <w:tr2bl w:val="nil"/>
            </w:tcBorders>
            <w:noWrap w:val="0"/>
            <w:vAlign w:val="center"/>
          </w:tcPr>
          <w:p w14:paraId="7D18B08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516.565</w:t>
            </w:r>
          </w:p>
        </w:tc>
        <w:tc>
          <w:tcPr>
            <w:tcW w:w="498" w:type="pct"/>
            <w:tcBorders>
              <w:tl2br w:val="nil"/>
              <w:tr2bl w:val="nil"/>
            </w:tcBorders>
            <w:noWrap w:val="0"/>
            <w:vAlign w:val="center"/>
          </w:tcPr>
          <w:p w14:paraId="200B91E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1.01</w:t>
            </w:r>
          </w:p>
        </w:tc>
      </w:tr>
    </w:tbl>
    <w:p w14:paraId="23CE982E">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（2）废水污染物排放情况</w:t>
      </w:r>
    </w:p>
    <w:p w14:paraId="71864B72">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化工产业集中区规模以上企业废水排放情况见表4</w:t>
      </w:r>
      <w:r>
        <w:rPr>
          <w:rFonts w:hint="default" w:ascii="Times New Roman" w:hAnsi="Times New Roman" w:cs="Times New Roman"/>
          <w:sz w:val="24"/>
          <w:szCs w:val="24"/>
          <w:highlight w:val="none"/>
          <w:lang w:val="en-US" w:eastAsia="zh-CN"/>
        </w:rPr>
        <w:t>.3-3</w:t>
      </w:r>
      <w:r>
        <w:rPr>
          <w:rFonts w:hint="default" w:ascii="Times New Roman" w:hAnsi="Times New Roman" w:eastAsia="宋体" w:cs="Times New Roman"/>
          <w:sz w:val="24"/>
          <w:szCs w:val="24"/>
          <w:highlight w:val="none"/>
          <w:lang w:val="en-US" w:eastAsia="zh-CN"/>
        </w:rPr>
        <w:t>。</w:t>
      </w:r>
    </w:p>
    <w:p w14:paraId="6A4033F3">
      <w:pPr>
        <w:pStyle w:val="211"/>
        <w:spacing w:line="240" w:lineRule="auto"/>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rPr>
        <w:t>表</w:t>
      </w:r>
      <w:r>
        <w:rPr>
          <w:rFonts w:hint="default" w:ascii="Times New Roman" w:hAnsi="Times New Roman" w:cs="Times New Roman"/>
          <w:color w:val="000000"/>
          <w:sz w:val="24"/>
          <w:szCs w:val="24"/>
          <w:lang w:val="en-US" w:eastAsia="zh-CN"/>
        </w:rPr>
        <w:t>4.3-3 主要企业现状废水污染源统计</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9"/>
        <w:gridCol w:w="3411"/>
        <w:gridCol w:w="1276"/>
        <w:gridCol w:w="853"/>
        <w:gridCol w:w="708"/>
        <w:gridCol w:w="1605"/>
      </w:tblGrid>
      <w:tr w14:paraId="3A03DA7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3" w:type="pct"/>
            <w:tcBorders>
              <w:tl2br w:val="nil"/>
              <w:tr2bl w:val="nil"/>
            </w:tcBorders>
            <w:noWrap w:val="0"/>
            <w:vAlign w:val="center"/>
          </w:tcPr>
          <w:p w14:paraId="16A2299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序号</w:t>
            </w:r>
          </w:p>
        </w:tc>
        <w:tc>
          <w:tcPr>
            <w:tcW w:w="2000" w:type="pct"/>
            <w:tcBorders>
              <w:tl2br w:val="nil"/>
              <w:tr2bl w:val="nil"/>
            </w:tcBorders>
            <w:noWrap w:val="0"/>
            <w:vAlign w:val="center"/>
          </w:tcPr>
          <w:p w14:paraId="2EE9931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企业名称</w:t>
            </w:r>
          </w:p>
        </w:tc>
        <w:tc>
          <w:tcPr>
            <w:tcW w:w="748" w:type="pct"/>
            <w:tcBorders>
              <w:tl2br w:val="nil"/>
              <w:tr2bl w:val="nil"/>
            </w:tcBorders>
            <w:noWrap w:val="0"/>
            <w:vAlign w:val="center"/>
          </w:tcPr>
          <w:p w14:paraId="21A74BB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废水产生量</w:t>
            </w:r>
          </w:p>
        </w:tc>
        <w:tc>
          <w:tcPr>
            <w:tcW w:w="500" w:type="pct"/>
            <w:tcBorders>
              <w:tl2br w:val="nil"/>
              <w:tr2bl w:val="nil"/>
            </w:tcBorders>
            <w:noWrap w:val="0"/>
            <w:vAlign w:val="center"/>
          </w:tcPr>
          <w:p w14:paraId="3907A40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COD</w:t>
            </w:r>
          </w:p>
        </w:tc>
        <w:tc>
          <w:tcPr>
            <w:tcW w:w="415" w:type="pct"/>
            <w:tcBorders>
              <w:tl2br w:val="nil"/>
              <w:tr2bl w:val="nil"/>
            </w:tcBorders>
            <w:noWrap w:val="0"/>
            <w:vAlign w:val="center"/>
          </w:tcPr>
          <w:p w14:paraId="6DD564D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氨氮</w:t>
            </w:r>
          </w:p>
        </w:tc>
        <w:tc>
          <w:tcPr>
            <w:tcW w:w="941" w:type="pct"/>
            <w:tcBorders>
              <w:tl2br w:val="nil"/>
              <w:tr2bl w:val="nil"/>
            </w:tcBorders>
            <w:noWrap w:val="0"/>
            <w:vAlign w:val="center"/>
          </w:tcPr>
          <w:p w14:paraId="6DD91155">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废水排放去向</w:t>
            </w:r>
          </w:p>
        </w:tc>
      </w:tr>
      <w:tr w14:paraId="1CA3092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393" w:type="pct"/>
            <w:tcBorders>
              <w:tl2br w:val="nil"/>
              <w:tr2bl w:val="nil"/>
            </w:tcBorders>
            <w:noWrap w:val="0"/>
            <w:vAlign w:val="center"/>
          </w:tcPr>
          <w:p w14:paraId="2E6EDBDA">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000" w:type="pct"/>
            <w:tcBorders>
              <w:tl2br w:val="nil"/>
              <w:tr2bl w:val="nil"/>
            </w:tcBorders>
            <w:noWrap w:val="0"/>
            <w:vAlign w:val="center"/>
          </w:tcPr>
          <w:p w14:paraId="0B4027F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GB" w:eastAsia="zh-CN"/>
              </w:rPr>
            </w:pPr>
            <w:r>
              <w:rPr>
                <w:rFonts w:hint="default" w:ascii="Times New Roman" w:hAnsi="Times New Roman" w:eastAsia="宋体" w:cs="Times New Roman"/>
                <w:color w:val="auto"/>
                <w:sz w:val="21"/>
                <w:szCs w:val="21"/>
                <w:lang w:val="en-US" w:eastAsia="zh-CN"/>
              </w:rPr>
              <w:t>新疆嘉轮轮胎有限公司</w:t>
            </w:r>
          </w:p>
        </w:tc>
        <w:tc>
          <w:tcPr>
            <w:tcW w:w="748" w:type="pct"/>
            <w:tcBorders>
              <w:tl2br w:val="nil"/>
              <w:tr2bl w:val="nil"/>
            </w:tcBorders>
            <w:noWrap w:val="0"/>
            <w:vAlign w:val="center"/>
          </w:tcPr>
          <w:p w14:paraId="704C0A88">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GB" w:eastAsia="zh-CN"/>
              </w:rPr>
            </w:pPr>
            <w:r>
              <w:rPr>
                <w:rFonts w:hint="default" w:ascii="Times New Roman" w:hAnsi="Times New Roman" w:eastAsia="宋体" w:cs="Times New Roman"/>
                <w:color w:val="auto"/>
                <w:sz w:val="21"/>
                <w:szCs w:val="21"/>
                <w:lang w:val="en-US" w:eastAsia="zh-CN"/>
              </w:rPr>
              <w:t>17790</w:t>
            </w:r>
          </w:p>
        </w:tc>
        <w:tc>
          <w:tcPr>
            <w:tcW w:w="500" w:type="pct"/>
            <w:tcBorders>
              <w:tl2br w:val="nil"/>
              <w:tr2bl w:val="nil"/>
            </w:tcBorders>
            <w:noWrap w:val="0"/>
            <w:vAlign w:val="center"/>
          </w:tcPr>
          <w:p w14:paraId="1431822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GB" w:eastAsia="zh-CN"/>
              </w:rPr>
            </w:pPr>
            <w:r>
              <w:rPr>
                <w:rFonts w:hint="default" w:ascii="Times New Roman" w:hAnsi="Times New Roman" w:eastAsia="宋体" w:cs="Times New Roman"/>
                <w:color w:val="auto"/>
                <w:sz w:val="21"/>
                <w:szCs w:val="21"/>
                <w:lang w:val="en-US" w:eastAsia="zh-CN"/>
              </w:rPr>
              <w:t>4.80</w:t>
            </w:r>
          </w:p>
        </w:tc>
        <w:tc>
          <w:tcPr>
            <w:tcW w:w="415" w:type="pct"/>
            <w:tcBorders>
              <w:tl2br w:val="nil"/>
              <w:tr2bl w:val="nil"/>
            </w:tcBorders>
            <w:noWrap w:val="0"/>
            <w:vAlign w:val="center"/>
          </w:tcPr>
          <w:p w14:paraId="709384B5">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GB" w:eastAsia="zh-CN"/>
              </w:rPr>
            </w:pPr>
            <w:r>
              <w:rPr>
                <w:rFonts w:hint="default" w:ascii="Times New Roman" w:hAnsi="Times New Roman" w:eastAsia="宋体" w:cs="Times New Roman"/>
                <w:color w:val="auto"/>
                <w:sz w:val="21"/>
                <w:szCs w:val="21"/>
                <w:lang w:val="en-US" w:eastAsia="zh-CN"/>
              </w:rPr>
              <w:t>0.44</w:t>
            </w:r>
          </w:p>
        </w:tc>
        <w:tc>
          <w:tcPr>
            <w:tcW w:w="941" w:type="pct"/>
            <w:vMerge w:val="restart"/>
            <w:tcBorders>
              <w:tl2br w:val="nil"/>
              <w:tr2bl w:val="nil"/>
            </w:tcBorders>
            <w:noWrap w:val="0"/>
            <w:vAlign w:val="center"/>
          </w:tcPr>
          <w:p w14:paraId="26A3C2B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阿克苏市第二污水处理厂处理</w:t>
            </w:r>
          </w:p>
        </w:tc>
      </w:tr>
      <w:tr w14:paraId="3F0CADD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3" w:type="pct"/>
            <w:tcBorders>
              <w:tl2br w:val="nil"/>
              <w:tr2bl w:val="nil"/>
            </w:tcBorders>
            <w:noWrap w:val="0"/>
            <w:vAlign w:val="center"/>
          </w:tcPr>
          <w:p w14:paraId="2E7BAE2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w:t>
            </w:r>
          </w:p>
        </w:tc>
        <w:tc>
          <w:tcPr>
            <w:tcW w:w="2000" w:type="pct"/>
            <w:tcBorders>
              <w:tl2br w:val="nil"/>
              <w:tr2bl w:val="nil"/>
            </w:tcBorders>
            <w:noWrap w:val="0"/>
            <w:vAlign w:val="center"/>
          </w:tcPr>
          <w:p w14:paraId="49D6202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新疆兴发化工有限公司</w:t>
            </w:r>
          </w:p>
        </w:tc>
        <w:tc>
          <w:tcPr>
            <w:tcW w:w="748" w:type="pct"/>
            <w:tcBorders>
              <w:tl2br w:val="nil"/>
              <w:tr2bl w:val="nil"/>
            </w:tcBorders>
            <w:noWrap w:val="0"/>
            <w:vAlign w:val="center"/>
          </w:tcPr>
          <w:p w14:paraId="363DA4D8">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502000</w:t>
            </w:r>
          </w:p>
        </w:tc>
        <w:tc>
          <w:tcPr>
            <w:tcW w:w="500" w:type="pct"/>
            <w:tcBorders>
              <w:tl2br w:val="nil"/>
              <w:tr2bl w:val="nil"/>
            </w:tcBorders>
            <w:noWrap w:val="0"/>
            <w:vAlign w:val="center"/>
          </w:tcPr>
          <w:p w14:paraId="7D8C2695">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37.34</w:t>
            </w:r>
          </w:p>
        </w:tc>
        <w:tc>
          <w:tcPr>
            <w:tcW w:w="415" w:type="pct"/>
            <w:tcBorders>
              <w:tl2br w:val="nil"/>
              <w:tr2bl w:val="nil"/>
            </w:tcBorders>
            <w:noWrap w:val="0"/>
            <w:vAlign w:val="center"/>
          </w:tcPr>
          <w:p w14:paraId="4CDDE65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0.4</w:t>
            </w:r>
          </w:p>
        </w:tc>
        <w:tc>
          <w:tcPr>
            <w:tcW w:w="941" w:type="pct"/>
            <w:vMerge w:val="continue"/>
            <w:tcBorders>
              <w:tl2br w:val="nil"/>
              <w:tr2bl w:val="nil"/>
            </w:tcBorders>
            <w:noWrap w:val="0"/>
            <w:vAlign w:val="center"/>
          </w:tcPr>
          <w:p w14:paraId="3E4D027A">
            <w:pPr>
              <w:pStyle w:val="216"/>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rPr>
                <w:rFonts w:hint="default" w:ascii="Times New Roman" w:hAnsi="Times New Roman" w:eastAsia="宋体" w:cs="Times New Roman"/>
                <w:color w:val="auto"/>
                <w:sz w:val="21"/>
                <w:szCs w:val="21"/>
              </w:rPr>
            </w:pPr>
          </w:p>
        </w:tc>
      </w:tr>
      <w:tr w14:paraId="22B1167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3" w:type="pct"/>
            <w:tcBorders>
              <w:tl2br w:val="nil"/>
              <w:tr2bl w:val="nil"/>
            </w:tcBorders>
            <w:noWrap w:val="0"/>
            <w:vAlign w:val="center"/>
          </w:tcPr>
          <w:p w14:paraId="2A0B081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2000" w:type="pct"/>
            <w:tcBorders>
              <w:tl2br w:val="nil"/>
              <w:tr2bl w:val="nil"/>
            </w:tcBorders>
            <w:noWrap w:val="0"/>
            <w:vAlign w:val="center"/>
          </w:tcPr>
          <w:p w14:paraId="578A9AD7">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新疆兴悦化工有限公司</w:t>
            </w:r>
          </w:p>
        </w:tc>
        <w:tc>
          <w:tcPr>
            <w:tcW w:w="748" w:type="pct"/>
            <w:tcBorders>
              <w:tl2br w:val="nil"/>
              <w:tr2bl w:val="nil"/>
            </w:tcBorders>
            <w:noWrap w:val="0"/>
            <w:vAlign w:val="center"/>
          </w:tcPr>
          <w:p w14:paraId="46BB81A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15360</w:t>
            </w:r>
          </w:p>
        </w:tc>
        <w:tc>
          <w:tcPr>
            <w:tcW w:w="500" w:type="pct"/>
            <w:tcBorders>
              <w:tl2br w:val="nil"/>
              <w:tr2bl w:val="nil"/>
            </w:tcBorders>
            <w:noWrap w:val="0"/>
            <w:vAlign w:val="center"/>
          </w:tcPr>
          <w:p w14:paraId="2FD0D2B8">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2.51</w:t>
            </w:r>
          </w:p>
        </w:tc>
        <w:tc>
          <w:tcPr>
            <w:tcW w:w="415" w:type="pct"/>
            <w:tcBorders>
              <w:tl2br w:val="nil"/>
              <w:tr2bl w:val="nil"/>
            </w:tcBorders>
            <w:noWrap w:val="0"/>
            <w:vAlign w:val="center"/>
          </w:tcPr>
          <w:p w14:paraId="12E9724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0.42</w:t>
            </w:r>
          </w:p>
        </w:tc>
        <w:tc>
          <w:tcPr>
            <w:tcW w:w="941" w:type="pct"/>
            <w:vMerge w:val="continue"/>
            <w:tcBorders>
              <w:tl2br w:val="nil"/>
              <w:tr2bl w:val="nil"/>
            </w:tcBorders>
            <w:noWrap w:val="0"/>
            <w:vAlign w:val="center"/>
          </w:tcPr>
          <w:p w14:paraId="09EDDAB4">
            <w:pPr>
              <w:pStyle w:val="216"/>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rPr>
                <w:rFonts w:hint="default" w:ascii="Times New Roman" w:hAnsi="Times New Roman" w:eastAsia="宋体" w:cs="Times New Roman"/>
                <w:color w:val="auto"/>
                <w:sz w:val="21"/>
                <w:szCs w:val="21"/>
              </w:rPr>
            </w:pPr>
          </w:p>
        </w:tc>
      </w:tr>
      <w:tr w14:paraId="6409004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3" w:type="pct"/>
            <w:tcBorders>
              <w:tl2br w:val="nil"/>
              <w:tr2bl w:val="nil"/>
            </w:tcBorders>
            <w:noWrap w:val="0"/>
            <w:vAlign w:val="center"/>
          </w:tcPr>
          <w:p w14:paraId="25B4FC0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2000" w:type="pct"/>
            <w:tcBorders>
              <w:tl2br w:val="nil"/>
              <w:tr2bl w:val="nil"/>
            </w:tcBorders>
            <w:noWrap w:val="0"/>
            <w:vAlign w:val="center"/>
          </w:tcPr>
          <w:p w14:paraId="11D7CB33">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新疆国宇生物质碳业有限公司</w:t>
            </w:r>
          </w:p>
          <w:p w14:paraId="0248E68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（在建）</w:t>
            </w:r>
          </w:p>
        </w:tc>
        <w:tc>
          <w:tcPr>
            <w:tcW w:w="748" w:type="pct"/>
            <w:tcBorders>
              <w:tl2br w:val="nil"/>
              <w:tr2bl w:val="nil"/>
            </w:tcBorders>
            <w:noWrap w:val="0"/>
            <w:vAlign w:val="center"/>
          </w:tcPr>
          <w:p w14:paraId="604C5194">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2880</w:t>
            </w:r>
          </w:p>
        </w:tc>
        <w:tc>
          <w:tcPr>
            <w:tcW w:w="500" w:type="pct"/>
            <w:tcBorders>
              <w:tl2br w:val="nil"/>
              <w:tr2bl w:val="nil"/>
            </w:tcBorders>
            <w:noWrap w:val="0"/>
            <w:vAlign w:val="center"/>
          </w:tcPr>
          <w:p w14:paraId="0831F8AA">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0.432</w:t>
            </w:r>
          </w:p>
        </w:tc>
        <w:tc>
          <w:tcPr>
            <w:tcW w:w="415" w:type="pct"/>
            <w:tcBorders>
              <w:tl2br w:val="nil"/>
              <w:tr2bl w:val="nil"/>
            </w:tcBorders>
            <w:noWrap w:val="0"/>
            <w:vAlign w:val="center"/>
          </w:tcPr>
          <w:p w14:paraId="1027228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0.072</w:t>
            </w:r>
          </w:p>
        </w:tc>
        <w:tc>
          <w:tcPr>
            <w:tcW w:w="941" w:type="pct"/>
            <w:vMerge w:val="continue"/>
            <w:tcBorders>
              <w:tl2br w:val="nil"/>
              <w:tr2bl w:val="nil"/>
            </w:tcBorders>
            <w:noWrap w:val="0"/>
            <w:vAlign w:val="center"/>
          </w:tcPr>
          <w:p w14:paraId="7C2557AC">
            <w:pPr>
              <w:pStyle w:val="216"/>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rPr>
                <w:rFonts w:hint="default" w:ascii="Times New Roman" w:hAnsi="Times New Roman" w:eastAsia="宋体" w:cs="Times New Roman"/>
                <w:color w:val="auto"/>
                <w:sz w:val="21"/>
                <w:szCs w:val="21"/>
              </w:rPr>
            </w:pPr>
          </w:p>
        </w:tc>
      </w:tr>
    </w:tbl>
    <w:p w14:paraId="17D45A21">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（3）固体废物排放情况</w:t>
      </w:r>
    </w:p>
    <w:p w14:paraId="631C071A">
      <w:pPr>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化工产业集中区内现状规模以上企业固体废物产生的情况见表4</w:t>
      </w:r>
      <w:r>
        <w:rPr>
          <w:rFonts w:hint="default" w:ascii="Times New Roman" w:hAnsi="Times New Roman" w:cs="Times New Roman"/>
          <w:sz w:val="24"/>
          <w:szCs w:val="24"/>
          <w:highlight w:val="none"/>
          <w:lang w:val="en-US" w:eastAsia="zh-CN"/>
        </w:rPr>
        <w:t>.3-4</w:t>
      </w:r>
      <w:r>
        <w:rPr>
          <w:rFonts w:hint="default" w:ascii="Times New Roman" w:hAnsi="Times New Roman" w:eastAsia="宋体" w:cs="Times New Roman"/>
          <w:sz w:val="24"/>
          <w:szCs w:val="24"/>
          <w:highlight w:val="none"/>
          <w:lang w:val="en-US" w:eastAsia="zh-CN"/>
        </w:rPr>
        <w:t>。</w:t>
      </w:r>
    </w:p>
    <w:p w14:paraId="2E81E2BA">
      <w:pPr>
        <w:pStyle w:val="211"/>
        <w:spacing w:line="240" w:lineRule="auto"/>
        <w:rPr>
          <w:rFonts w:hint="default" w:ascii="Times New Roman" w:hAnsi="Times New Roman" w:eastAsia="宋体" w:cs="Times New Roman"/>
          <w:color w:val="000000"/>
          <w:sz w:val="24"/>
          <w:szCs w:val="24"/>
          <w:lang w:val="en-US" w:eastAsia="zh-CN"/>
        </w:rPr>
      </w:pPr>
      <w:r>
        <w:rPr>
          <w:rFonts w:hint="default" w:ascii="Times New Roman" w:hAnsi="Times New Roman" w:cs="Times New Roman"/>
          <w:color w:val="000000"/>
          <w:sz w:val="24"/>
          <w:szCs w:val="24"/>
        </w:rPr>
        <w:t>表4</w:t>
      </w:r>
      <w:r>
        <w:rPr>
          <w:rFonts w:hint="default" w:ascii="Times New Roman" w:hAnsi="Times New Roman" w:cs="Times New Roman"/>
          <w:color w:val="000000"/>
          <w:sz w:val="24"/>
          <w:szCs w:val="24"/>
          <w:lang w:val="en-US" w:eastAsia="zh-CN"/>
        </w:rPr>
        <w:t>.3-4</w:t>
      </w:r>
      <w:r>
        <w:rPr>
          <w:rFonts w:hint="default" w:ascii="Times New Roman" w:hAnsi="Times New Roman" w:cs="Times New Roman"/>
          <w:color w:val="000000"/>
          <w:sz w:val="24"/>
          <w:szCs w:val="24"/>
        </w:rPr>
        <w:t xml:space="preserve"> </w:t>
      </w:r>
      <w:r>
        <w:rPr>
          <w:rFonts w:hint="default" w:ascii="Times New Roman" w:hAnsi="Times New Roman" w:cs="Times New Roman"/>
          <w:color w:val="000000"/>
          <w:sz w:val="24"/>
          <w:szCs w:val="24"/>
          <w:lang w:val="en-US" w:eastAsia="zh-CN"/>
        </w:rPr>
        <w:t>主要企业现状固废污染源统计</w:t>
      </w:r>
    </w:p>
    <w:tbl>
      <w:tblPr>
        <w:tblStyle w:val="39"/>
        <w:tblW w:w="4999"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3500"/>
        <w:gridCol w:w="1238"/>
        <w:gridCol w:w="704"/>
        <w:gridCol w:w="2443"/>
      </w:tblGrid>
      <w:tr w14:paraId="5A0C344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restart"/>
            <w:tcBorders>
              <w:tl2br w:val="nil"/>
              <w:tr2bl w:val="nil"/>
            </w:tcBorders>
            <w:noWrap w:val="0"/>
            <w:vAlign w:val="center"/>
          </w:tcPr>
          <w:p w14:paraId="25CB1F2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序号</w:t>
            </w:r>
          </w:p>
        </w:tc>
        <w:tc>
          <w:tcPr>
            <w:tcW w:w="2053" w:type="pct"/>
            <w:vMerge w:val="restart"/>
            <w:tcBorders>
              <w:tl2br w:val="nil"/>
              <w:tr2bl w:val="nil"/>
            </w:tcBorders>
            <w:noWrap w:val="0"/>
            <w:vAlign w:val="center"/>
          </w:tcPr>
          <w:p w14:paraId="0E8F680B">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企业名称</w:t>
            </w:r>
          </w:p>
        </w:tc>
        <w:tc>
          <w:tcPr>
            <w:tcW w:w="2572" w:type="pct"/>
            <w:gridSpan w:val="3"/>
            <w:tcBorders>
              <w:tl2br w:val="nil"/>
              <w:tr2bl w:val="nil"/>
            </w:tcBorders>
            <w:noWrap w:val="0"/>
            <w:vAlign w:val="center"/>
          </w:tcPr>
          <w:p w14:paraId="5F8C05D1">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产生量</w:t>
            </w:r>
          </w:p>
        </w:tc>
      </w:tr>
      <w:tr w14:paraId="0D6186D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Merge w:val="continue"/>
            <w:tcBorders>
              <w:tl2br w:val="nil"/>
              <w:tr2bl w:val="nil"/>
            </w:tcBorders>
            <w:noWrap w:val="0"/>
            <w:vAlign w:val="center"/>
          </w:tcPr>
          <w:p w14:paraId="71508FC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p>
        </w:tc>
        <w:tc>
          <w:tcPr>
            <w:tcW w:w="2053" w:type="pct"/>
            <w:vMerge w:val="continue"/>
            <w:tcBorders>
              <w:tl2br w:val="nil"/>
              <w:tr2bl w:val="nil"/>
            </w:tcBorders>
            <w:noWrap w:val="0"/>
            <w:vAlign w:val="center"/>
          </w:tcPr>
          <w:p w14:paraId="29ED7B9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p>
        </w:tc>
        <w:tc>
          <w:tcPr>
            <w:tcW w:w="726" w:type="pct"/>
            <w:tcBorders>
              <w:tl2br w:val="nil"/>
              <w:tr2bl w:val="nil"/>
            </w:tcBorders>
            <w:noWrap w:val="0"/>
            <w:vAlign w:val="center"/>
          </w:tcPr>
          <w:p w14:paraId="41F864F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一般工业固废</w:t>
            </w:r>
          </w:p>
        </w:tc>
        <w:tc>
          <w:tcPr>
            <w:tcW w:w="1845" w:type="pct"/>
            <w:gridSpan w:val="2"/>
            <w:tcBorders>
              <w:tl2br w:val="nil"/>
              <w:tr2bl w:val="nil"/>
            </w:tcBorders>
            <w:noWrap w:val="0"/>
            <w:vAlign w:val="center"/>
          </w:tcPr>
          <w:p w14:paraId="1103B30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危险废物、危废类型</w:t>
            </w:r>
          </w:p>
        </w:tc>
      </w:tr>
      <w:tr w14:paraId="38F5B35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7BFE1F3A">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w:t>
            </w:r>
          </w:p>
        </w:tc>
        <w:tc>
          <w:tcPr>
            <w:tcW w:w="2053" w:type="pct"/>
            <w:tcBorders>
              <w:tl2br w:val="nil"/>
              <w:tr2bl w:val="nil"/>
            </w:tcBorders>
            <w:noWrap w:val="0"/>
            <w:vAlign w:val="center"/>
          </w:tcPr>
          <w:p w14:paraId="3193C15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GB" w:eastAsia="zh-CN"/>
              </w:rPr>
            </w:pPr>
            <w:r>
              <w:rPr>
                <w:rFonts w:hint="default" w:ascii="Times New Roman" w:hAnsi="Times New Roman" w:eastAsia="宋体" w:cs="Times New Roman"/>
                <w:color w:val="auto"/>
                <w:sz w:val="21"/>
                <w:szCs w:val="21"/>
                <w:lang w:val="en-US" w:eastAsia="zh-CN"/>
              </w:rPr>
              <w:t>新疆嘉轮轮胎有限公司</w:t>
            </w:r>
          </w:p>
        </w:tc>
        <w:tc>
          <w:tcPr>
            <w:tcW w:w="726" w:type="pct"/>
            <w:tcBorders>
              <w:tl2br w:val="nil"/>
              <w:tr2bl w:val="nil"/>
            </w:tcBorders>
            <w:noWrap w:val="0"/>
            <w:vAlign w:val="center"/>
          </w:tcPr>
          <w:p w14:paraId="4E2D0BB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GB" w:eastAsia="zh-CN"/>
              </w:rPr>
            </w:pPr>
            <w:r>
              <w:rPr>
                <w:rFonts w:hint="default" w:ascii="Times New Roman" w:hAnsi="Times New Roman" w:eastAsia="宋体" w:cs="Times New Roman"/>
                <w:color w:val="auto"/>
                <w:sz w:val="21"/>
                <w:szCs w:val="21"/>
                <w:lang w:val="en-US" w:eastAsia="zh-CN"/>
              </w:rPr>
              <w:t>631.88</w:t>
            </w:r>
          </w:p>
        </w:tc>
        <w:tc>
          <w:tcPr>
            <w:tcW w:w="413" w:type="pct"/>
            <w:tcBorders>
              <w:tl2br w:val="nil"/>
              <w:tr2bl w:val="nil"/>
            </w:tcBorders>
            <w:noWrap w:val="0"/>
            <w:vAlign w:val="center"/>
          </w:tcPr>
          <w:p w14:paraId="029DC6C5">
            <w:pPr>
              <w:pStyle w:val="215"/>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baseline"/>
              <w:rPr>
                <w:rFonts w:hint="default" w:ascii="Times New Roman" w:hAnsi="Times New Roman" w:eastAsia="宋体" w:cs="Times New Roman"/>
                <w:color w:val="auto"/>
                <w:sz w:val="21"/>
                <w:szCs w:val="21"/>
                <w:lang w:val="en-GB" w:eastAsia="zh-CN"/>
              </w:rPr>
            </w:pPr>
            <w:r>
              <w:rPr>
                <w:rFonts w:hint="default" w:ascii="Times New Roman" w:hAnsi="Times New Roman" w:eastAsia="宋体" w:cs="Times New Roman"/>
                <w:color w:val="auto"/>
                <w:sz w:val="21"/>
                <w:szCs w:val="21"/>
                <w:lang w:val="en-US" w:eastAsia="zh-CN"/>
              </w:rPr>
              <w:t>34.51</w:t>
            </w:r>
          </w:p>
        </w:tc>
        <w:tc>
          <w:tcPr>
            <w:tcW w:w="1432" w:type="pct"/>
            <w:tcBorders>
              <w:tl2br w:val="nil"/>
              <w:tr2bl w:val="nil"/>
            </w:tcBorders>
            <w:noWrap w:val="0"/>
            <w:vAlign w:val="center"/>
          </w:tcPr>
          <w:p w14:paraId="209C2A7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GB" w:eastAsia="zh-CN"/>
              </w:rPr>
            </w:pPr>
            <w:r>
              <w:rPr>
                <w:rFonts w:hint="default" w:ascii="Times New Roman" w:hAnsi="Times New Roman" w:eastAsia="宋体" w:cs="Times New Roman"/>
                <w:color w:val="auto"/>
                <w:sz w:val="21"/>
                <w:szCs w:val="21"/>
                <w:lang w:val="en-US" w:eastAsia="zh-CN"/>
              </w:rPr>
              <w:t>废润滑油、废过滤棉、废活性炭、废化学品包装物</w:t>
            </w:r>
          </w:p>
        </w:tc>
      </w:tr>
      <w:tr w14:paraId="2CA105C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38ECFC1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GB" w:eastAsia="zh-CN"/>
              </w:rPr>
            </w:pPr>
            <w:r>
              <w:rPr>
                <w:rFonts w:hint="default" w:ascii="Times New Roman" w:hAnsi="Times New Roman" w:eastAsia="宋体" w:cs="Times New Roman"/>
                <w:color w:val="auto"/>
                <w:sz w:val="21"/>
                <w:szCs w:val="21"/>
                <w:lang w:val="en-US" w:eastAsia="zh-CN"/>
              </w:rPr>
              <w:t>2</w:t>
            </w:r>
          </w:p>
        </w:tc>
        <w:tc>
          <w:tcPr>
            <w:tcW w:w="2053" w:type="pct"/>
            <w:tcBorders>
              <w:tl2br w:val="nil"/>
              <w:tr2bl w:val="nil"/>
            </w:tcBorders>
            <w:noWrap w:val="0"/>
            <w:vAlign w:val="center"/>
          </w:tcPr>
          <w:p w14:paraId="609EC5A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新疆兴发化工有限公司</w:t>
            </w:r>
          </w:p>
        </w:tc>
        <w:tc>
          <w:tcPr>
            <w:tcW w:w="726" w:type="pct"/>
            <w:tcBorders>
              <w:tl2br w:val="nil"/>
              <w:tr2bl w:val="nil"/>
            </w:tcBorders>
            <w:noWrap w:val="0"/>
            <w:vAlign w:val="center"/>
          </w:tcPr>
          <w:p w14:paraId="5DB56A2D">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59.3</w:t>
            </w:r>
          </w:p>
        </w:tc>
        <w:tc>
          <w:tcPr>
            <w:tcW w:w="413" w:type="pct"/>
            <w:tcBorders>
              <w:tl2br w:val="nil"/>
              <w:tr2bl w:val="nil"/>
            </w:tcBorders>
            <w:noWrap w:val="0"/>
            <w:vAlign w:val="center"/>
          </w:tcPr>
          <w:p w14:paraId="37662AF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w:t>
            </w:r>
          </w:p>
        </w:tc>
        <w:tc>
          <w:tcPr>
            <w:tcW w:w="1432" w:type="pct"/>
            <w:tcBorders>
              <w:tl2br w:val="nil"/>
              <w:tr2bl w:val="nil"/>
            </w:tcBorders>
            <w:noWrap w:val="0"/>
            <w:vAlign w:val="center"/>
          </w:tcPr>
          <w:p w14:paraId="7CF88766">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废催化剂</w:t>
            </w:r>
          </w:p>
        </w:tc>
      </w:tr>
      <w:tr w14:paraId="00E890B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048B143E">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w:t>
            </w:r>
          </w:p>
        </w:tc>
        <w:tc>
          <w:tcPr>
            <w:tcW w:w="2053" w:type="pct"/>
            <w:tcBorders>
              <w:tl2br w:val="nil"/>
              <w:tr2bl w:val="nil"/>
            </w:tcBorders>
            <w:noWrap w:val="0"/>
            <w:vAlign w:val="center"/>
          </w:tcPr>
          <w:p w14:paraId="7B2F4A65">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新疆兴悦化工有限公司</w:t>
            </w:r>
          </w:p>
        </w:tc>
        <w:tc>
          <w:tcPr>
            <w:tcW w:w="726" w:type="pct"/>
            <w:tcBorders>
              <w:tl2br w:val="nil"/>
              <w:tr2bl w:val="nil"/>
            </w:tcBorders>
            <w:noWrap w:val="0"/>
            <w:vAlign w:val="center"/>
          </w:tcPr>
          <w:p w14:paraId="20D7A84F">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0</w:t>
            </w:r>
          </w:p>
        </w:tc>
        <w:tc>
          <w:tcPr>
            <w:tcW w:w="413" w:type="pct"/>
            <w:tcBorders>
              <w:tl2br w:val="nil"/>
              <w:tr2bl w:val="nil"/>
            </w:tcBorders>
            <w:noWrap w:val="0"/>
            <w:vAlign w:val="center"/>
          </w:tcPr>
          <w:p w14:paraId="573BA966">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0.1</w:t>
            </w:r>
          </w:p>
        </w:tc>
        <w:tc>
          <w:tcPr>
            <w:tcW w:w="1432" w:type="pct"/>
            <w:tcBorders>
              <w:tl2br w:val="nil"/>
              <w:tr2bl w:val="nil"/>
            </w:tcBorders>
            <w:noWrap w:val="0"/>
            <w:vAlign w:val="center"/>
          </w:tcPr>
          <w:p w14:paraId="18347082">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sz w:val="21"/>
                <w:szCs w:val="21"/>
                <w:lang w:val="en-US" w:eastAsia="zh-CN"/>
              </w:rPr>
              <w:t>废机油</w:t>
            </w:r>
          </w:p>
        </w:tc>
      </w:tr>
      <w:tr w14:paraId="7FCA9D7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tcBorders>
              <w:tl2br w:val="nil"/>
              <w:tr2bl w:val="nil"/>
            </w:tcBorders>
            <w:noWrap w:val="0"/>
            <w:vAlign w:val="center"/>
          </w:tcPr>
          <w:p w14:paraId="4F435B40">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2053" w:type="pct"/>
            <w:tcBorders>
              <w:tl2br w:val="nil"/>
              <w:tr2bl w:val="nil"/>
            </w:tcBorders>
            <w:noWrap w:val="0"/>
            <w:vAlign w:val="center"/>
          </w:tcPr>
          <w:p w14:paraId="6FA5E941">
            <w:pPr>
              <w:pStyle w:val="215"/>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新疆国宇生物质碳业有限公司（在建）</w:t>
            </w:r>
          </w:p>
        </w:tc>
        <w:tc>
          <w:tcPr>
            <w:tcW w:w="726" w:type="pct"/>
            <w:tcBorders>
              <w:tl2br w:val="nil"/>
              <w:tr2bl w:val="nil"/>
            </w:tcBorders>
            <w:noWrap w:val="0"/>
            <w:vAlign w:val="center"/>
          </w:tcPr>
          <w:p w14:paraId="6C00EE5C">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106.01</w:t>
            </w:r>
          </w:p>
        </w:tc>
        <w:tc>
          <w:tcPr>
            <w:tcW w:w="413" w:type="pct"/>
            <w:tcBorders>
              <w:tl2br w:val="nil"/>
              <w:tr2bl w:val="nil"/>
            </w:tcBorders>
            <w:noWrap w:val="0"/>
            <w:vAlign w:val="center"/>
          </w:tcPr>
          <w:p w14:paraId="0553F579">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w:t>
            </w:r>
          </w:p>
        </w:tc>
        <w:tc>
          <w:tcPr>
            <w:tcW w:w="1432" w:type="pct"/>
            <w:tcBorders>
              <w:tl2br w:val="nil"/>
              <w:tr2bl w:val="nil"/>
            </w:tcBorders>
            <w:noWrap w:val="0"/>
            <w:vAlign w:val="center"/>
          </w:tcPr>
          <w:p w14:paraId="0E93FFDA">
            <w:pPr>
              <w:pStyle w:val="215"/>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baseline"/>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废机油</w:t>
            </w:r>
          </w:p>
        </w:tc>
      </w:tr>
    </w:tbl>
    <w:p w14:paraId="33853551">
      <w:pPr>
        <w:rPr>
          <w:rFonts w:hint="default" w:ascii="Times New Roman" w:hAnsi="Times New Roman" w:eastAsia="宋体" w:cs="Times New Roman"/>
          <w:b/>
          <w:bCs/>
          <w:sz w:val="24"/>
          <w:szCs w:val="16"/>
          <w:highlight w:val="none"/>
        </w:rPr>
      </w:pPr>
      <w:bookmarkStart w:id="174" w:name="_Toc9868257"/>
      <w:r>
        <w:rPr>
          <w:rFonts w:hint="default" w:ascii="Times New Roman" w:hAnsi="Times New Roman" w:eastAsia="宋体" w:cs="Times New Roman"/>
          <w:b/>
          <w:bCs/>
          <w:sz w:val="24"/>
          <w:szCs w:val="16"/>
          <w:highlight w:val="none"/>
        </w:rPr>
        <w:br w:type="page"/>
      </w:r>
    </w:p>
    <w:p w14:paraId="35FE06C8">
      <w:pPr>
        <w:keepNext/>
        <w:keepLines/>
        <w:pageBreakBefore w:val="0"/>
        <w:widowControl/>
        <w:kinsoku/>
        <w:wordWrap/>
        <w:overflowPunct/>
        <w:topLinePunct w:val="0"/>
        <w:autoSpaceDE/>
        <w:autoSpaceDN/>
        <w:bidi w:val="0"/>
        <w:adjustRightInd/>
        <w:snapToGrid w:val="0"/>
        <w:spacing w:line="360" w:lineRule="auto"/>
        <w:jc w:val="left"/>
        <w:textAlignment w:val="auto"/>
        <w:outlineLvl w:val="0"/>
        <w:rPr>
          <w:rFonts w:hint="default" w:ascii="Times New Roman" w:hAnsi="Times New Roman" w:eastAsia="宋体" w:cs="Times New Roman"/>
          <w:b/>
          <w:bCs/>
          <w:sz w:val="24"/>
          <w:szCs w:val="16"/>
          <w:highlight w:val="none"/>
        </w:rPr>
      </w:pPr>
      <w:bookmarkStart w:id="175" w:name="_Toc10899"/>
      <w:bookmarkStart w:id="176" w:name="_Toc17859"/>
      <w:bookmarkStart w:id="177" w:name="_Toc325"/>
      <w:r>
        <w:rPr>
          <w:rFonts w:hint="default" w:ascii="Times New Roman" w:hAnsi="Times New Roman" w:eastAsia="宋体" w:cs="Times New Roman"/>
          <w:b/>
          <w:bCs/>
          <w:sz w:val="24"/>
          <w:szCs w:val="16"/>
          <w:highlight w:val="none"/>
        </w:rPr>
        <w:t>5环境影响预测与评价</w:t>
      </w:r>
      <w:bookmarkEnd w:id="174"/>
      <w:bookmarkEnd w:id="175"/>
      <w:bookmarkEnd w:id="176"/>
      <w:bookmarkEnd w:id="177"/>
    </w:p>
    <w:p w14:paraId="3BDE3744">
      <w:pPr>
        <w:keepNext/>
        <w:keepLines/>
        <w:pageBreakBefore w:val="0"/>
        <w:widowControl/>
        <w:kinsoku/>
        <w:wordWrap/>
        <w:overflowPunct/>
        <w:topLinePunct w:val="0"/>
        <w:autoSpaceDE/>
        <w:autoSpaceDN/>
        <w:bidi w:val="0"/>
        <w:adjustRightInd/>
        <w:snapToGrid w:val="0"/>
        <w:spacing w:line="360" w:lineRule="auto"/>
        <w:jc w:val="left"/>
        <w:textAlignment w:val="auto"/>
        <w:outlineLvl w:val="1"/>
        <w:rPr>
          <w:rFonts w:hint="default" w:ascii="Times New Roman" w:hAnsi="Times New Roman" w:eastAsia="宋体" w:cs="Times New Roman"/>
          <w:b/>
          <w:bCs/>
          <w:sz w:val="24"/>
          <w:szCs w:val="16"/>
          <w:highlight w:val="none"/>
        </w:rPr>
      </w:pPr>
      <w:bookmarkStart w:id="178" w:name="_Toc18076"/>
      <w:bookmarkStart w:id="179" w:name="_Toc18299"/>
      <w:bookmarkStart w:id="180" w:name="_Toc9868259"/>
      <w:bookmarkStart w:id="181" w:name="_Toc26659"/>
      <w:r>
        <w:rPr>
          <w:rFonts w:hint="default" w:ascii="Times New Roman" w:hAnsi="Times New Roman" w:eastAsia="宋体" w:cs="Times New Roman"/>
          <w:b/>
          <w:bCs/>
          <w:sz w:val="24"/>
          <w:szCs w:val="16"/>
          <w:highlight w:val="none"/>
        </w:rPr>
        <w:t>5.1施工期环境影响分析</w:t>
      </w:r>
      <w:bookmarkEnd w:id="178"/>
      <w:bookmarkEnd w:id="179"/>
      <w:bookmarkEnd w:id="180"/>
      <w:bookmarkEnd w:id="181"/>
    </w:p>
    <w:p w14:paraId="08DB6773">
      <w:pPr>
        <w:pStyle w:val="6"/>
        <w:rPr>
          <w:rFonts w:hint="default" w:ascii="Times New Roman" w:hAnsi="Times New Roman" w:cs="Times New Roman"/>
          <w:color w:val="auto"/>
        </w:rPr>
      </w:pPr>
      <w:bookmarkStart w:id="182" w:name="_Hlk151238393"/>
      <w:r>
        <w:rPr>
          <w:rFonts w:hint="default" w:ascii="Times New Roman" w:hAnsi="Times New Roman" w:cs="Times New Roman"/>
          <w:color w:val="auto"/>
        </w:rPr>
        <w:t>本项目在现有厂区预留空地内进行建设，不新增用地。由于项目本次建设内容较少，本次不设置临时堆场、施工营地等临时工程，也不涉及临时施工占地。</w:t>
      </w:r>
      <w:bookmarkEnd w:id="182"/>
    </w:p>
    <w:p w14:paraId="34203612">
      <w:pPr>
        <w:pStyle w:val="6"/>
        <w:rPr>
          <w:rFonts w:hint="default" w:ascii="Times New Roman" w:hAnsi="Times New Roman" w:cs="Times New Roman"/>
          <w:color w:val="auto"/>
        </w:rPr>
      </w:pPr>
      <w:r>
        <w:rPr>
          <w:rFonts w:hint="default" w:ascii="Times New Roman" w:hAnsi="Times New Roman" w:cs="Times New Roman"/>
          <w:color w:val="auto"/>
        </w:rPr>
        <w:t>本项目施工内容主要包括附属设施及管道建设、设备安装等。施工期间对环境的影响主要是扬尘、废水、施工噪声、建筑垃圾等。</w:t>
      </w:r>
    </w:p>
    <w:p w14:paraId="598FF230">
      <w:pPr>
        <w:pStyle w:val="6"/>
        <w:rPr>
          <w:rFonts w:hint="default" w:ascii="Times New Roman" w:hAnsi="Times New Roman" w:cs="Times New Roman"/>
          <w:color w:val="auto"/>
        </w:rPr>
      </w:pPr>
      <w:r>
        <w:rPr>
          <w:rFonts w:hint="default" w:ascii="Times New Roman" w:hAnsi="Times New Roman" w:cs="Times New Roman"/>
          <w:color w:val="auto"/>
        </w:rPr>
        <w:t>项目施工对环境污染影响特征见</w:t>
      </w: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REF _Ref10056349 \h  \* MERGEFORMAT </w:instrText>
      </w:r>
      <w:r>
        <w:rPr>
          <w:rFonts w:hint="default" w:ascii="Times New Roman" w:hAnsi="Times New Roman" w:cs="Times New Roman"/>
          <w:color w:val="auto"/>
        </w:rPr>
        <w:fldChar w:fldCharType="separate"/>
      </w:r>
      <w:r>
        <w:rPr>
          <w:rFonts w:hint="default" w:ascii="Times New Roman" w:hAnsi="Times New Roman" w:cs="Times New Roman"/>
          <w:color w:val="auto"/>
        </w:rPr>
        <w:t>表5.1</w:t>
      </w:r>
      <w:r>
        <w:rPr>
          <w:rFonts w:hint="default" w:ascii="Times New Roman" w:hAnsi="Times New Roman" w:cs="Times New Roman"/>
          <w:color w:val="auto"/>
        </w:rPr>
        <w:noBreakHyphen/>
      </w:r>
      <w:r>
        <w:rPr>
          <w:rFonts w:hint="default" w:ascii="Times New Roman" w:hAnsi="Times New Roman" w:cs="Times New Roman"/>
          <w:color w:val="auto"/>
        </w:rPr>
        <w:t>1</w:t>
      </w:r>
      <w:r>
        <w:rPr>
          <w:rFonts w:hint="default" w:ascii="Times New Roman" w:hAnsi="Times New Roman" w:cs="Times New Roman"/>
          <w:color w:val="auto"/>
        </w:rPr>
        <w:fldChar w:fldCharType="end"/>
      </w:r>
      <w:r>
        <w:rPr>
          <w:rFonts w:hint="default" w:ascii="Times New Roman" w:hAnsi="Times New Roman" w:cs="Times New Roman"/>
          <w:color w:val="auto"/>
        </w:rPr>
        <w:t>。</w:t>
      </w:r>
    </w:p>
    <w:p w14:paraId="5C25DD40">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color w:val="auto"/>
        </w:rPr>
      </w:pPr>
      <w:bookmarkStart w:id="183" w:name="_Ref10056349"/>
      <w:r>
        <w:rPr>
          <w:rFonts w:hint="default" w:ascii="Times New Roman" w:hAnsi="Times New Roman" w:cs="Times New Roman"/>
          <w:b/>
          <w:bCs/>
          <w:color w:val="auto"/>
        </w:rPr>
        <w:t>表</w:t>
      </w:r>
      <w:bookmarkEnd w:id="183"/>
      <w:r>
        <w:rPr>
          <w:rFonts w:hint="default" w:ascii="Times New Roman" w:hAnsi="Times New Roman" w:cs="Times New Roman"/>
          <w:b/>
          <w:bCs/>
          <w:color w:val="auto"/>
          <w:lang w:val="en-US" w:eastAsia="zh-CN"/>
        </w:rPr>
        <w:t>5.1-1</w:t>
      </w:r>
      <w:r>
        <w:rPr>
          <w:rFonts w:hint="default" w:ascii="Times New Roman" w:hAnsi="Times New Roman" w:cs="Times New Roman"/>
          <w:b/>
          <w:bCs/>
          <w:color w:val="auto"/>
        </w:rPr>
        <w:t xml:space="preserve"> 施工期环境影响特征表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716"/>
        <w:gridCol w:w="6590"/>
      </w:tblGrid>
      <w:tr w14:paraId="2312E91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blHeader/>
          <w:jc w:val="center"/>
        </w:trPr>
        <w:tc>
          <w:tcPr>
            <w:tcW w:w="1033" w:type="pct"/>
            <w:tcBorders>
              <w:tl2br w:val="nil"/>
              <w:tr2bl w:val="nil"/>
            </w:tcBorders>
            <w:shd w:val="clear" w:color="auto" w:fill="auto"/>
            <w:vAlign w:val="center"/>
          </w:tcPr>
          <w:p w14:paraId="0C82CDF8">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施工期主要活动</w:t>
            </w:r>
          </w:p>
        </w:tc>
        <w:tc>
          <w:tcPr>
            <w:tcW w:w="3967" w:type="pct"/>
            <w:tcBorders>
              <w:tl2br w:val="nil"/>
              <w:tr2bl w:val="nil"/>
            </w:tcBorders>
            <w:shd w:val="clear" w:color="auto" w:fill="auto"/>
            <w:vAlign w:val="center"/>
          </w:tcPr>
          <w:p w14:paraId="1D09E9D3">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施工期环境影响特征说明</w:t>
            </w:r>
          </w:p>
        </w:tc>
      </w:tr>
      <w:tr w14:paraId="0952465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033" w:type="pct"/>
            <w:vMerge w:val="restart"/>
            <w:tcBorders>
              <w:tl2br w:val="nil"/>
              <w:tr2bl w:val="nil"/>
            </w:tcBorders>
            <w:shd w:val="clear" w:color="auto" w:fill="auto"/>
            <w:vAlign w:val="center"/>
          </w:tcPr>
          <w:p w14:paraId="5BCE4199">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构筑物施工</w:t>
            </w:r>
          </w:p>
        </w:tc>
        <w:tc>
          <w:tcPr>
            <w:tcW w:w="3967" w:type="pct"/>
            <w:tcBorders>
              <w:tl2br w:val="nil"/>
              <w:tr2bl w:val="nil"/>
            </w:tcBorders>
            <w:shd w:val="clear" w:color="auto" w:fill="auto"/>
            <w:vAlign w:val="center"/>
          </w:tcPr>
          <w:p w14:paraId="51E7EC89">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废气：施工机械排放废气及运输产生汽车尾气</w:t>
            </w:r>
          </w:p>
          <w:p w14:paraId="33AFFD83">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粉尘：运输产生地面扬尘</w:t>
            </w:r>
            <w:r>
              <w:rPr>
                <w:rFonts w:hint="default" w:ascii="Times New Roman" w:hAnsi="Times New Roman" w:cs="Times New Roman"/>
                <w:color w:val="auto"/>
                <w:sz w:val="21"/>
                <w:szCs w:val="18"/>
                <w:lang w:eastAsia="zh-CN"/>
              </w:rPr>
              <w:t>，</w:t>
            </w:r>
            <w:r>
              <w:rPr>
                <w:rFonts w:hint="default" w:ascii="Times New Roman" w:hAnsi="Times New Roman" w:cs="Times New Roman"/>
                <w:color w:val="auto"/>
                <w:sz w:val="21"/>
                <w:szCs w:val="18"/>
              </w:rPr>
              <w:t>建材装卸等过程</w:t>
            </w:r>
          </w:p>
        </w:tc>
      </w:tr>
      <w:tr w14:paraId="73F9E54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033" w:type="pct"/>
            <w:vMerge w:val="continue"/>
            <w:tcBorders>
              <w:tl2br w:val="nil"/>
              <w:tr2bl w:val="nil"/>
            </w:tcBorders>
            <w:shd w:val="clear" w:color="auto" w:fill="auto"/>
            <w:vAlign w:val="center"/>
          </w:tcPr>
          <w:p w14:paraId="0F7B8B52">
            <w:pPr>
              <w:pStyle w:val="52"/>
              <w:spacing w:before="0" w:after="0" w:line="240" w:lineRule="auto"/>
              <w:ind w:left="0" w:firstLine="0"/>
              <w:rPr>
                <w:rFonts w:hint="default" w:ascii="Times New Roman" w:hAnsi="Times New Roman" w:cs="Times New Roman"/>
                <w:color w:val="auto"/>
                <w:sz w:val="21"/>
                <w:szCs w:val="18"/>
              </w:rPr>
            </w:pPr>
          </w:p>
        </w:tc>
        <w:tc>
          <w:tcPr>
            <w:tcW w:w="3967" w:type="pct"/>
            <w:tcBorders>
              <w:tl2br w:val="nil"/>
              <w:tr2bl w:val="nil"/>
            </w:tcBorders>
            <w:shd w:val="clear" w:color="auto" w:fill="auto"/>
            <w:vAlign w:val="center"/>
          </w:tcPr>
          <w:p w14:paraId="0052F517">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噪声：机械噪声、交通运输噪声等</w:t>
            </w:r>
          </w:p>
        </w:tc>
      </w:tr>
      <w:tr w14:paraId="233DD5A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033" w:type="pct"/>
            <w:vMerge w:val="continue"/>
            <w:tcBorders>
              <w:tl2br w:val="nil"/>
              <w:tr2bl w:val="nil"/>
            </w:tcBorders>
            <w:shd w:val="clear" w:color="auto" w:fill="auto"/>
            <w:vAlign w:val="center"/>
          </w:tcPr>
          <w:p w14:paraId="5F46D477">
            <w:pPr>
              <w:pStyle w:val="52"/>
              <w:spacing w:before="0" w:after="0" w:line="240" w:lineRule="auto"/>
              <w:ind w:left="0" w:firstLine="0"/>
              <w:rPr>
                <w:rFonts w:hint="default" w:ascii="Times New Roman" w:hAnsi="Times New Roman" w:cs="Times New Roman"/>
                <w:color w:val="auto"/>
                <w:sz w:val="21"/>
                <w:szCs w:val="18"/>
              </w:rPr>
            </w:pPr>
          </w:p>
        </w:tc>
        <w:tc>
          <w:tcPr>
            <w:tcW w:w="3967" w:type="pct"/>
            <w:tcBorders>
              <w:tl2br w:val="nil"/>
              <w:tr2bl w:val="nil"/>
            </w:tcBorders>
            <w:shd w:val="clear" w:color="auto" w:fill="auto"/>
            <w:vAlign w:val="center"/>
          </w:tcPr>
          <w:p w14:paraId="55493674">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弃渣：施工建筑垃圾</w:t>
            </w:r>
          </w:p>
        </w:tc>
      </w:tr>
      <w:tr w14:paraId="6489876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033" w:type="pct"/>
            <w:vMerge w:val="continue"/>
            <w:tcBorders>
              <w:tl2br w:val="nil"/>
              <w:tr2bl w:val="nil"/>
            </w:tcBorders>
            <w:shd w:val="clear" w:color="auto" w:fill="auto"/>
            <w:vAlign w:val="center"/>
          </w:tcPr>
          <w:p w14:paraId="59458ECC">
            <w:pPr>
              <w:pStyle w:val="52"/>
              <w:spacing w:before="0" w:after="0" w:line="240" w:lineRule="auto"/>
              <w:ind w:left="0" w:firstLine="0"/>
              <w:rPr>
                <w:rFonts w:hint="default" w:ascii="Times New Roman" w:hAnsi="Times New Roman" w:cs="Times New Roman"/>
                <w:color w:val="auto"/>
                <w:sz w:val="21"/>
                <w:szCs w:val="18"/>
              </w:rPr>
            </w:pPr>
          </w:p>
        </w:tc>
        <w:tc>
          <w:tcPr>
            <w:tcW w:w="3967" w:type="pct"/>
            <w:tcBorders>
              <w:tl2br w:val="nil"/>
              <w:tr2bl w:val="nil"/>
            </w:tcBorders>
            <w:shd w:val="clear" w:color="auto" w:fill="auto"/>
            <w:vAlign w:val="center"/>
          </w:tcPr>
          <w:p w14:paraId="612D9A44">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废水：主要为施工机械清洗废水、施工人员产生的生活废水等</w:t>
            </w:r>
          </w:p>
        </w:tc>
      </w:tr>
      <w:tr w14:paraId="32A0249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033" w:type="pct"/>
            <w:vMerge w:val="restart"/>
            <w:tcBorders>
              <w:tl2br w:val="nil"/>
              <w:tr2bl w:val="nil"/>
            </w:tcBorders>
            <w:shd w:val="clear" w:color="auto" w:fill="auto"/>
            <w:vAlign w:val="center"/>
          </w:tcPr>
          <w:p w14:paraId="59B08194">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设备安装施工</w:t>
            </w:r>
          </w:p>
        </w:tc>
        <w:tc>
          <w:tcPr>
            <w:tcW w:w="3967" w:type="pct"/>
            <w:tcBorders>
              <w:tl2br w:val="nil"/>
              <w:tr2bl w:val="nil"/>
            </w:tcBorders>
            <w:shd w:val="clear" w:color="auto" w:fill="auto"/>
            <w:vAlign w:val="center"/>
          </w:tcPr>
          <w:p w14:paraId="2799D4C4">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噪声：电焊机、电钻等机械噪声等</w:t>
            </w:r>
          </w:p>
        </w:tc>
      </w:tr>
      <w:tr w14:paraId="059534F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033" w:type="pct"/>
            <w:vMerge w:val="continue"/>
            <w:tcBorders>
              <w:tl2br w:val="nil"/>
              <w:tr2bl w:val="nil"/>
            </w:tcBorders>
            <w:shd w:val="clear" w:color="auto" w:fill="auto"/>
            <w:vAlign w:val="center"/>
          </w:tcPr>
          <w:p w14:paraId="750724A3">
            <w:pPr>
              <w:pStyle w:val="52"/>
              <w:spacing w:before="0" w:after="0" w:line="240" w:lineRule="auto"/>
              <w:ind w:left="0" w:firstLine="0"/>
              <w:rPr>
                <w:rFonts w:hint="default" w:ascii="Times New Roman" w:hAnsi="Times New Roman" w:cs="Times New Roman"/>
                <w:color w:val="auto"/>
                <w:sz w:val="21"/>
                <w:szCs w:val="18"/>
              </w:rPr>
            </w:pPr>
          </w:p>
        </w:tc>
        <w:tc>
          <w:tcPr>
            <w:tcW w:w="3967" w:type="pct"/>
            <w:tcBorders>
              <w:tl2br w:val="nil"/>
              <w:tr2bl w:val="nil"/>
            </w:tcBorders>
            <w:shd w:val="clear" w:color="auto" w:fill="auto"/>
            <w:vAlign w:val="center"/>
          </w:tcPr>
          <w:p w14:paraId="4E9BE546">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弃渣：建筑垃圾、包装物</w:t>
            </w:r>
          </w:p>
        </w:tc>
      </w:tr>
      <w:tr w14:paraId="39C7181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1033" w:type="pct"/>
            <w:vMerge w:val="continue"/>
            <w:tcBorders>
              <w:tl2br w:val="nil"/>
              <w:tr2bl w:val="nil"/>
            </w:tcBorders>
            <w:shd w:val="clear" w:color="auto" w:fill="auto"/>
            <w:vAlign w:val="center"/>
          </w:tcPr>
          <w:p w14:paraId="0EA0B48A">
            <w:pPr>
              <w:pStyle w:val="52"/>
              <w:spacing w:before="0" w:after="0" w:line="240" w:lineRule="auto"/>
              <w:ind w:left="0" w:firstLine="0"/>
              <w:rPr>
                <w:rFonts w:hint="default" w:ascii="Times New Roman" w:hAnsi="Times New Roman" w:cs="Times New Roman"/>
                <w:color w:val="auto"/>
                <w:sz w:val="21"/>
                <w:szCs w:val="18"/>
              </w:rPr>
            </w:pPr>
          </w:p>
        </w:tc>
        <w:tc>
          <w:tcPr>
            <w:tcW w:w="3967" w:type="pct"/>
            <w:tcBorders>
              <w:tl2br w:val="nil"/>
              <w:tr2bl w:val="nil"/>
            </w:tcBorders>
            <w:shd w:val="clear" w:color="auto" w:fill="auto"/>
            <w:vAlign w:val="center"/>
          </w:tcPr>
          <w:p w14:paraId="1DC2522D">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废水：施工人员产生的生活废水</w:t>
            </w:r>
          </w:p>
        </w:tc>
      </w:tr>
    </w:tbl>
    <w:p w14:paraId="2C92B1E2">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5.1.</w:t>
      </w:r>
      <w:r>
        <w:rPr>
          <w:rFonts w:hint="default" w:ascii="Times New Roman" w:hAnsi="Times New Roman" w:eastAsia="宋体" w:cs="Times New Roman"/>
          <w:b/>
          <w:bCs/>
          <w:sz w:val="24"/>
          <w:szCs w:val="16"/>
          <w:highlight w:val="none"/>
          <w:lang w:val="en-US" w:eastAsia="zh-CN"/>
        </w:rPr>
        <w:t>1</w:t>
      </w:r>
      <w:r>
        <w:rPr>
          <w:rFonts w:hint="default" w:ascii="Times New Roman" w:hAnsi="Times New Roman" w:eastAsia="宋体" w:cs="Times New Roman"/>
          <w:b/>
          <w:bCs/>
          <w:sz w:val="24"/>
          <w:szCs w:val="16"/>
          <w:highlight w:val="none"/>
        </w:rPr>
        <w:t>大气环境影响分析</w:t>
      </w:r>
    </w:p>
    <w:p w14:paraId="1C32800C">
      <w:pPr>
        <w:pStyle w:val="6"/>
        <w:rPr>
          <w:rFonts w:hint="default" w:ascii="Times New Roman" w:hAnsi="Times New Roman" w:cs="Times New Roman"/>
          <w:color w:val="auto"/>
        </w:rPr>
      </w:pPr>
      <w:r>
        <w:rPr>
          <w:rFonts w:hint="default" w:ascii="Times New Roman" w:hAnsi="Times New Roman" w:cs="Times New Roman"/>
          <w:color w:val="auto"/>
        </w:rPr>
        <w:t>建设项目施工期产生的大气污染物主要是扬尘和施工机械燃油废气。</w:t>
      </w:r>
    </w:p>
    <w:p w14:paraId="31D06A7B">
      <w:pPr>
        <w:pStyle w:val="6"/>
        <w:rPr>
          <w:rFonts w:hint="default" w:ascii="Times New Roman" w:hAnsi="Times New Roman" w:cs="Times New Roman"/>
          <w:color w:val="auto"/>
        </w:rPr>
      </w:pPr>
      <w:r>
        <w:rPr>
          <w:rFonts w:hint="default" w:ascii="Times New Roman" w:hAnsi="Times New Roman" w:cs="Times New Roman"/>
          <w:color w:val="auto"/>
        </w:rPr>
        <w:t>（1）扬尘</w:t>
      </w:r>
    </w:p>
    <w:p w14:paraId="141ECA38">
      <w:pPr>
        <w:pStyle w:val="6"/>
        <w:rPr>
          <w:rFonts w:hint="default" w:ascii="Times New Roman" w:hAnsi="Times New Roman" w:cs="Times New Roman"/>
          <w:color w:val="auto"/>
        </w:rPr>
      </w:pPr>
      <w:r>
        <w:rPr>
          <w:rFonts w:hint="default" w:ascii="Times New Roman" w:hAnsi="Times New Roman" w:cs="Times New Roman"/>
          <w:color w:val="auto"/>
        </w:rPr>
        <w:t>建设项目施工期的主要起尘环节如下：</w:t>
      </w:r>
    </w:p>
    <w:p w14:paraId="24745B41">
      <w:pPr>
        <w:pStyle w:val="6"/>
        <w:rPr>
          <w:rFonts w:hint="default" w:ascii="Times New Roman" w:hAnsi="Times New Roman" w:cs="Times New Roman"/>
          <w:color w:val="auto"/>
        </w:rPr>
      </w:pPr>
      <w:r>
        <w:rPr>
          <w:rFonts w:hint="default" w:ascii="Times New Roman" w:hAnsi="Times New Roman" w:cs="Times New Roman"/>
          <w:color w:val="auto"/>
        </w:rPr>
        <w:t>①在基础施工和运输等过程将产生一定程度的扬尘污染；</w:t>
      </w:r>
    </w:p>
    <w:p w14:paraId="5850F54F">
      <w:pPr>
        <w:pStyle w:val="6"/>
        <w:rPr>
          <w:rFonts w:hint="default" w:ascii="Times New Roman" w:hAnsi="Times New Roman" w:cs="Times New Roman"/>
          <w:color w:val="auto"/>
        </w:rPr>
      </w:pPr>
      <w:r>
        <w:rPr>
          <w:rFonts w:hint="default" w:ascii="Times New Roman" w:hAnsi="Times New Roman" w:cs="Times New Roman"/>
          <w:color w:val="auto"/>
        </w:rPr>
        <w:t>②挖掘机、装载机等机械作业处产生的扬尘；</w:t>
      </w:r>
    </w:p>
    <w:p w14:paraId="22A5BB8C">
      <w:pPr>
        <w:pStyle w:val="6"/>
        <w:rPr>
          <w:rFonts w:hint="default" w:ascii="Times New Roman" w:hAnsi="Times New Roman" w:cs="Times New Roman"/>
          <w:color w:val="auto"/>
        </w:rPr>
      </w:pPr>
      <w:r>
        <w:rPr>
          <w:rFonts w:hint="default" w:ascii="Times New Roman" w:hAnsi="Times New Roman" w:cs="Times New Roman"/>
          <w:color w:val="auto"/>
        </w:rPr>
        <w:t>③材料堆场在空气动力作用下起尘；</w:t>
      </w:r>
    </w:p>
    <w:p w14:paraId="2A9907A2">
      <w:pPr>
        <w:pStyle w:val="6"/>
        <w:rPr>
          <w:rFonts w:hint="default" w:ascii="Times New Roman" w:hAnsi="Times New Roman" w:cs="Times New Roman"/>
          <w:color w:val="auto"/>
        </w:rPr>
      </w:pPr>
      <w:r>
        <w:rPr>
          <w:rFonts w:hint="default" w:ascii="Times New Roman" w:hAnsi="Times New Roman" w:cs="Times New Roman"/>
          <w:color w:val="auto"/>
        </w:rPr>
        <w:t>根据同类施工工地监测资料，在正常风况下，施工活动产生的粉尘在施工区域近地面环境空气中TSP浓度可达1.5~3.0g/Nm</w:t>
      </w:r>
      <w:r>
        <w:rPr>
          <w:rFonts w:hint="default" w:ascii="Times New Roman" w:hAnsi="Times New Roman" w:cs="Times New Roman"/>
          <w:color w:val="auto"/>
          <w:vertAlign w:val="superscript"/>
        </w:rPr>
        <w:t>3</w:t>
      </w:r>
      <w:r>
        <w:rPr>
          <w:rFonts w:hint="default" w:ascii="Times New Roman" w:hAnsi="Times New Roman" w:cs="Times New Roman"/>
          <w:color w:val="auto"/>
        </w:rPr>
        <w:t>，对施工区域周围50m范围以外的贡献值符合环境空气质量二级标准。因此一般情况下，施工活动产生的粉尘为局部短时影响。</w:t>
      </w:r>
    </w:p>
    <w:p w14:paraId="2671BB2C">
      <w:pPr>
        <w:pStyle w:val="6"/>
        <w:rPr>
          <w:rFonts w:hint="default" w:ascii="Times New Roman" w:hAnsi="Times New Roman" w:cs="Times New Roman"/>
          <w:color w:val="auto"/>
        </w:rPr>
      </w:pPr>
      <w:r>
        <w:rPr>
          <w:rFonts w:hint="default" w:ascii="Times New Roman" w:hAnsi="Times New Roman" w:cs="Times New Roman"/>
          <w:color w:val="auto"/>
        </w:rPr>
        <w:t>（2）施工机械、车辆尾气</w:t>
      </w:r>
    </w:p>
    <w:p w14:paraId="30B4BC86">
      <w:pPr>
        <w:pStyle w:val="6"/>
        <w:rPr>
          <w:rFonts w:hint="default" w:ascii="Times New Roman" w:hAnsi="Times New Roman" w:cs="Times New Roman"/>
          <w:color w:val="auto"/>
        </w:rPr>
      </w:pPr>
      <w:r>
        <w:rPr>
          <w:rFonts w:hint="default" w:ascii="Times New Roman" w:hAnsi="Times New Roman" w:cs="Times New Roman"/>
          <w:color w:val="auto"/>
        </w:rPr>
        <w:t>在项目施工过程中各类燃油动力机械在清理、平整、运输等过程中将排放燃油废气，其主要污染物为SO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eastAsia" w:cs="Times New Roman"/>
          <w:color w:val="auto"/>
          <w:vertAlign w:val="subscript"/>
          <w:lang w:val="en-US" w:eastAsia="zh-CN"/>
        </w:rPr>
        <w:t>x</w:t>
      </w:r>
      <w:r>
        <w:rPr>
          <w:rFonts w:hint="default" w:ascii="Times New Roman" w:hAnsi="Times New Roman" w:cs="Times New Roman"/>
          <w:color w:val="auto"/>
        </w:rPr>
        <w:t>和CO等。施工期较短，排放量有限，排放方式为间断散排。</w:t>
      </w:r>
    </w:p>
    <w:p w14:paraId="65CA796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rPr>
        <w:t>由于施工的燃油机械为间断作业，且使用数量不多，因此所排的燃油废气污染物仅对施工点的空气质量产生间断的较小不利影响。</w:t>
      </w:r>
    </w:p>
    <w:p w14:paraId="08046105">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5.1.</w:t>
      </w:r>
      <w:r>
        <w:rPr>
          <w:rFonts w:hint="default" w:ascii="Times New Roman" w:hAnsi="Times New Roman" w:eastAsia="宋体" w:cs="Times New Roman"/>
          <w:b/>
          <w:bCs/>
          <w:sz w:val="24"/>
          <w:szCs w:val="16"/>
          <w:highlight w:val="none"/>
          <w:lang w:val="en-US" w:eastAsia="zh-CN"/>
        </w:rPr>
        <w:t>2</w:t>
      </w:r>
      <w:r>
        <w:rPr>
          <w:rFonts w:hint="default" w:ascii="Times New Roman" w:hAnsi="Times New Roman" w:eastAsia="宋体" w:cs="Times New Roman"/>
          <w:b/>
          <w:bCs/>
          <w:sz w:val="24"/>
          <w:szCs w:val="16"/>
          <w:highlight w:val="none"/>
        </w:rPr>
        <w:t>水环境影响分析</w:t>
      </w:r>
    </w:p>
    <w:p w14:paraId="0A41A1ED">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施工期废水主要为施工人员生活污水，生活污水主要污染物为COD。施工期废水对环境影响是短期的，</w:t>
      </w:r>
      <w:r>
        <w:rPr>
          <w:rFonts w:hint="default" w:ascii="Times New Roman" w:hAnsi="Times New Roman" w:eastAsia="宋体" w:cs="Times New Roman"/>
          <w:color w:val="auto"/>
          <w:sz w:val="24"/>
          <w:szCs w:val="24"/>
          <w:highlight w:val="none"/>
          <w:lang w:val="en-US" w:eastAsia="zh-CN"/>
        </w:rPr>
        <w:t>项目</w:t>
      </w:r>
      <w:r>
        <w:rPr>
          <w:rFonts w:hint="default" w:ascii="Times New Roman" w:hAnsi="Times New Roman" w:cs="Times New Roman"/>
          <w:color w:val="auto"/>
          <w:sz w:val="24"/>
          <w:szCs w:val="24"/>
          <w:highlight w:val="none"/>
          <w:lang w:val="en-US" w:eastAsia="zh-CN"/>
        </w:rPr>
        <w:t>施工期依托厂区现有设施，生活污水排入园区下水管网，</w:t>
      </w:r>
      <w:r>
        <w:rPr>
          <w:rFonts w:hint="default" w:ascii="Times New Roman" w:hAnsi="Times New Roman" w:eastAsia="宋体" w:cs="Times New Roman"/>
          <w:color w:val="auto"/>
          <w:sz w:val="24"/>
          <w:szCs w:val="24"/>
          <w:highlight w:val="none"/>
          <w:lang w:val="en-US" w:eastAsia="zh-CN"/>
        </w:rPr>
        <w:t>不外排地表水环境</w:t>
      </w:r>
      <w:r>
        <w:rPr>
          <w:rFonts w:hint="default" w:ascii="Times New Roman" w:hAnsi="Times New Roman" w:eastAsia="宋体" w:cs="Times New Roman"/>
          <w:color w:val="auto"/>
          <w:sz w:val="24"/>
          <w:szCs w:val="24"/>
          <w:highlight w:val="none"/>
        </w:rPr>
        <w:t>。</w:t>
      </w:r>
    </w:p>
    <w:p w14:paraId="0031C267">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5.1.</w:t>
      </w:r>
      <w:r>
        <w:rPr>
          <w:rFonts w:hint="default" w:ascii="Times New Roman" w:hAnsi="Times New Roman" w:eastAsia="宋体" w:cs="Times New Roman"/>
          <w:b/>
          <w:bCs/>
          <w:sz w:val="24"/>
          <w:szCs w:val="16"/>
          <w:highlight w:val="none"/>
          <w:lang w:val="en-US" w:eastAsia="zh-CN"/>
        </w:rPr>
        <w:t>3</w:t>
      </w:r>
      <w:r>
        <w:rPr>
          <w:rFonts w:hint="default" w:ascii="Times New Roman" w:hAnsi="Times New Roman" w:eastAsia="宋体" w:cs="Times New Roman"/>
          <w:b/>
          <w:bCs/>
          <w:sz w:val="24"/>
          <w:szCs w:val="16"/>
          <w:highlight w:val="none"/>
        </w:rPr>
        <w:t>声环境影响分析</w:t>
      </w:r>
    </w:p>
    <w:p w14:paraId="591DDE77">
      <w:pPr>
        <w:pageBreakBefore w:val="0"/>
        <w:widowControl/>
        <w:kinsoku/>
        <w:wordWrap/>
        <w:overflowPunct/>
        <w:topLinePunct w:val="0"/>
        <w:autoSpaceDE/>
        <w:autoSpaceDN/>
        <w:bidi w:val="0"/>
        <w:adjustRightInd/>
        <w:snapToGrid w:val="0"/>
        <w:spacing w:line="360" w:lineRule="auto"/>
        <w:ind w:firstLine="561"/>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（1）噪声源强</w:t>
      </w:r>
    </w:p>
    <w:p w14:paraId="7B4A0E50">
      <w:pPr>
        <w:pageBreakBefore w:val="0"/>
        <w:widowControl/>
        <w:kinsoku/>
        <w:wordWrap/>
        <w:overflowPunct/>
        <w:topLinePunct w:val="0"/>
        <w:autoSpaceDE/>
        <w:autoSpaceDN/>
        <w:bidi w:val="0"/>
        <w:adjustRightInd/>
        <w:snapToGrid w:val="0"/>
        <w:spacing w:line="360" w:lineRule="auto"/>
        <w:ind w:firstLine="561"/>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施工期间的各种施工机械产生的噪声是影响施工区附近声环境质量的重要因素。从施工过程来看，可以把工程施工期分为场地清理平整和设备安装阶段。主要噪声源为运输车辆作业时产生的噪声，主要是移动声源，没有明显的指向性。以及设备安装时切割和焊接产生的噪声。施工过程中各噪声设备源强调查结果见表5.1-2。</w:t>
      </w:r>
    </w:p>
    <w:p w14:paraId="7F061B5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right"/>
        <w:textAlignment w:val="auto"/>
        <w:rPr>
          <w:rFonts w:hint="default" w:ascii="Times New Roman" w:hAnsi="Times New Roman" w:eastAsia="宋体" w:cs="Times New Roman"/>
          <w:b/>
          <w:bCs/>
          <w:color w:val="auto"/>
          <w:kern w:val="21"/>
          <w:sz w:val="24"/>
          <w:szCs w:val="24"/>
          <w:lang w:val="en-US" w:eastAsia="zh-CN" w:bidi="ar-SA"/>
        </w:rPr>
      </w:pPr>
      <w:r>
        <w:rPr>
          <w:rFonts w:hint="default" w:ascii="Times New Roman" w:hAnsi="Times New Roman" w:eastAsia="宋体" w:cs="Times New Roman"/>
          <w:b/>
          <w:bCs/>
          <w:color w:val="auto"/>
          <w:kern w:val="21"/>
          <w:sz w:val="24"/>
          <w:szCs w:val="24"/>
          <w:lang w:val="en-US" w:eastAsia="zh-CN" w:bidi="ar-SA"/>
        </w:rPr>
        <w:t>表</w:t>
      </w:r>
      <w:r>
        <w:rPr>
          <w:rFonts w:hint="default" w:ascii="Times New Roman" w:hAnsi="Times New Roman" w:cs="Times New Roman"/>
          <w:b/>
          <w:bCs/>
          <w:color w:val="auto"/>
          <w:kern w:val="21"/>
          <w:sz w:val="24"/>
          <w:szCs w:val="24"/>
          <w:lang w:val="en-US" w:eastAsia="zh-CN" w:bidi="ar-SA"/>
        </w:rPr>
        <w:t>5.1-2</w:t>
      </w:r>
      <w:r>
        <w:rPr>
          <w:rFonts w:hint="default" w:ascii="Times New Roman" w:hAnsi="Times New Roman" w:eastAsia="宋体" w:cs="Times New Roman"/>
          <w:b/>
          <w:bCs/>
          <w:color w:val="auto"/>
          <w:kern w:val="21"/>
          <w:sz w:val="24"/>
          <w:szCs w:val="24"/>
          <w:lang w:val="en-US" w:eastAsia="zh-CN" w:bidi="ar-SA"/>
        </w:rPr>
        <w:t xml:space="preserve"> </w:t>
      </w:r>
      <w:r>
        <w:rPr>
          <w:rFonts w:hint="default" w:ascii="Times New Roman" w:hAnsi="Times New Roman" w:cs="Times New Roman"/>
          <w:b/>
          <w:bCs/>
          <w:color w:val="auto"/>
          <w:kern w:val="21"/>
          <w:sz w:val="24"/>
          <w:szCs w:val="24"/>
          <w:lang w:val="en-US" w:eastAsia="zh-CN" w:bidi="ar-SA"/>
        </w:rPr>
        <w:t>施工</w:t>
      </w:r>
      <w:r>
        <w:rPr>
          <w:rFonts w:hint="default" w:ascii="Times New Roman" w:hAnsi="Times New Roman" w:eastAsia="宋体" w:cs="Times New Roman"/>
          <w:b/>
          <w:bCs/>
          <w:color w:val="auto"/>
          <w:kern w:val="21"/>
          <w:sz w:val="24"/>
          <w:szCs w:val="24"/>
          <w:lang w:val="en-US" w:eastAsia="zh-CN" w:bidi="ar-SA"/>
        </w:rPr>
        <w:t>期噪声源参数一览表（室外声源）    单位：dB（A）</w:t>
      </w:r>
    </w:p>
    <w:tbl>
      <w:tblPr>
        <w:tblStyle w:val="40"/>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04"/>
        <w:gridCol w:w="1422"/>
        <w:gridCol w:w="977"/>
        <w:gridCol w:w="655"/>
        <w:gridCol w:w="650"/>
        <w:gridCol w:w="631"/>
        <w:gridCol w:w="1446"/>
        <w:gridCol w:w="1090"/>
        <w:gridCol w:w="1042"/>
      </w:tblGrid>
      <w:tr w14:paraId="18BAB0B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5" w:type="pct"/>
            <w:vMerge w:val="restart"/>
            <w:tcBorders>
              <w:tl2br w:val="nil"/>
              <w:tr2bl w:val="nil"/>
            </w:tcBorders>
            <w:noWrap w:val="0"/>
            <w:vAlign w:val="center"/>
          </w:tcPr>
          <w:p w14:paraId="0E6CE8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序号</w:t>
            </w:r>
          </w:p>
        </w:tc>
        <w:tc>
          <w:tcPr>
            <w:tcW w:w="834" w:type="pct"/>
            <w:vMerge w:val="restart"/>
            <w:tcBorders>
              <w:tl2br w:val="nil"/>
              <w:tr2bl w:val="nil"/>
            </w:tcBorders>
            <w:noWrap w:val="0"/>
            <w:vAlign w:val="center"/>
          </w:tcPr>
          <w:p w14:paraId="482107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声源名称</w:t>
            </w:r>
          </w:p>
        </w:tc>
        <w:tc>
          <w:tcPr>
            <w:tcW w:w="573" w:type="pct"/>
            <w:vMerge w:val="restart"/>
            <w:tcBorders>
              <w:tl2br w:val="nil"/>
              <w:tr2bl w:val="nil"/>
            </w:tcBorders>
            <w:noWrap w:val="0"/>
            <w:vAlign w:val="center"/>
          </w:tcPr>
          <w:p w14:paraId="24E779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型号</w:t>
            </w:r>
          </w:p>
        </w:tc>
        <w:tc>
          <w:tcPr>
            <w:tcW w:w="1135" w:type="pct"/>
            <w:gridSpan w:val="3"/>
            <w:tcBorders>
              <w:tl2br w:val="nil"/>
              <w:tr2bl w:val="nil"/>
            </w:tcBorders>
            <w:noWrap w:val="0"/>
            <w:vAlign w:val="center"/>
          </w:tcPr>
          <w:p w14:paraId="61EE48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相对空间位置/m</w:t>
            </w:r>
          </w:p>
        </w:tc>
        <w:tc>
          <w:tcPr>
            <w:tcW w:w="848" w:type="pct"/>
            <w:vMerge w:val="restart"/>
            <w:tcBorders>
              <w:tl2br w:val="nil"/>
              <w:tr2bl w:val="nil"/>
            </w:tcBorders>
            <w:noWrap w:val="0"/>
            <w:vAlign w:val="center"/>
          </w:tcPr>
          <w:p w14:paraId="32074F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声压级/距离[dB（A）/m]</w:t>
            </w:r>
          </w:p>
        </w:tc>
        <w:tc>
          <w:tcPr>
            <w:tcW w:w="639" w:type="pct"/>
            <w:vMerge w:val="restart"/>
            <w:tcBorders>
              <w:tl2br w:val="nil"/>
              <w:tr2bl w:val="nil"/>
            </w:tcBorders>
            <w:noWrap w:val="0"/>
            <w:vAlign w:val="center"/>
          </w:tcPr>
          <w:p w14:paraId="3A324F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声源控制措施</w:t>
            </w:r>
          </w:p>
        </w:tc>
        <w:tc>
          <w:tcPr>
            <w:tcW w:w="611" w:type="pct"/>
            <w:vMerge w:val="restart"/>
            <w:tcBorders>
              <w:tl2br w:val="nil"/>
              <w:tr2bl w:val="nil"/>
            </w:tcBorders>
            <w:noWrap w:val="0"/>
            <w:vAlign w:val="center"/>
          </w:tcPr>
          <w:p w14:paraId="301149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运行时段</w:t>
            </w:r>
          </w:p>
        </w:tc>
      </w:tr>
      <w:tr w14:paraId="18B7119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5" w:type="pct"/>
            <w:vMerge w:val="continue"/>
            <w:tcBorders>
              <w:tl2br w:val="nil"/>
              <w:tr2bl w:val="nil"/>
            </w:tcBorders>
            <w:noWrap w:val="0"/>
            <w:vAlign w:val="center"/>
          </w:tcPr>
          <w:p w14:paraId="5FA27B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p>
        </w:tc>
        <w:tc>
          <w:tcPr>
            <w:tcW w:w="834" w:type="pct"/>
            <w:vMerge w:val="continue"/>
            <w:tcBorders>
              <w:tl2br w:val="nil"/>
              <w:tr2bl w:val="nil"/>
            </w:tcBorders>
            <w:noWrap w:val="0"/>
            <w:vAlign w:val="center"/>
          </w:tcPr>
          <w:p w14:paraId="3C3273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p>
        </w:tc>
        <w:tc>
          <w:tcPr>
            <w:tcW w:w="573" w:type="pct"/>
            <w:vMerge w:val="continue"/>
            <w:tcBorders>
              <w:tl2br w:val="nil"/>
              <w:tr2bl w:val="nil"/>
            </w:tcBorders>
            <w:noWrap w:val="0"/>
            <w:vAlign w:val="center"/>
          </w:tcPr>
          <w:p w14:paraId="3E147EA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p>
        </w:tc>
        <w:tc>
          <w:tcPr>
            <w:tcW w:w="384" w:type="pct"/>
            <w:tcBorders>
              <w:tl2br w:val="nil"/>
              <w:tr2bl w:val="nil"/>
            </w:tcBorders>
            <w:noWrap w:val="0"/>
            <w:vAlign w:val="center"/>
          </w:tcPr>
          <w:p w14:paraId="6AD05B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X</w:t>
            </w:r>
          </w:p>
        </w:tc>
        <w:tc>
          <w:tcPr>
            <w:tcW w:w="381" w:type="pct"/>
            <w:tcBorders>
              <w:tl2br w:val="nil"/>
              <w:tr2bl w:val="nil"/>
            </w:tcBorders>
            <w:noWrap w:val="0"/>
            <w:vAlign w:val="center"/>
          </w:tcPr>
          <w:p w14:paraId="0D646A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Y</w:t>
            </w:r>
          </w:p>
        </w:tc>
        <w:tc>
          <w:tcPr>
            <w:tcW w:w="369" w:type="pct"/>
            <w:tcBorders>
              <w:tl2br w:val="nil"/>
              <w:tr2bl w:val="nil"/>
            </w:tcBorders>
            <w:noWrap w:val="0"/>
            <w:vAlign w:val="center"/>
          </w:tcPr>
          <w:p w14:paraId="0C957A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r>
              <w:rPr>
                <w:rFonts w:hint="default" w:ascii="Times New Roman" w:hAnsi="Times New Roman" w:eastAsia="宋体" w:cs="Times New Roman"/>
                <w:b/>
                <w:bCs/>
                <w:color w:val="auto"/>
                <w:spacing w:val="-10"/>
                <w:sz w:val="21"/>
                <w:szCs w:val="21"/>
                <w:lang w:val="en-US" w:eastAsia="zh-CN"/>
              </w:rPr>
              <w:t>Z</w:t>
            </w:r>
          </w:p>
        </w:tc>
        <w:tc>
          <w:tcPr>
            <w:tcW w:w="848" w:type="pct"/>
            <w:vMerge w:val="continue"/>
            <w:tcBorders>
              <w:tl2br w:val="nil"/>
              <w:tr2bl w:val="nil"/>
            </w:tcBorders>
            <w:noWrap w:val="0"/>
            <w:vAlign w:val="center"/>
          </w:tcPr>
          <w:p w14:paraId="2D1564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p>
        </w:tc>
        <w:tc>
          <w:tcPr>
            <w:tcW w:w="639" w:type="pct"/>
            <w:vMerge w:val="continue"/>
            <w:tcBorders>
              <w:tl2br w:val="nil"/>
              <w:tr2bl w:val="nil"/>
            </w:tcBorders>
            <w:noWrap w:val="0"/>
            <w:vAlign w:val="center"/>
          </w:tcPr>
          <w:p w14:paraId="539EE47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p>
        </w:tc>
        <w:tc>
          <w:tcPr>
            <w:tcW w:w="611" w:type="pct"/>
            <w:vMerge w:val="continue"/>
            <w:tcBorders>
              <w:tl2br w:val="nil"/>
              <w:tr2bl w:val="nil"/>
            </w:tcBorders>
            <w:noWrap w:val="0"/>
            <w:vAlign w:val="center"/>
          </w:tcPr>
          <w:p w14:paraId="5AADDC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pacing w:val="-10"/>
                <w:sz w:val="21"/>
                <w:szCs w:val="21"/>
                <w:lang w:val="en-US" w:eastAsia="zh-CN"/>
              </w:rPr>
            </w:pPr>
          </w:p>
        </w:tc>
      </w:tr>
      <w:tr w14:paraId="152CDD1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noWrap w:val="0"/>
            <w:vAlign w:val="center"/>
          </w:tcPr>
          <w:p w14:paraId="42E231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kern w:val="2"/>
                <w:sz w:val="21"/>
                <w:szCs w:val="21"/>
                <w:lang w:val="en-US" w:eastAsia="zh-CN" w:bidi="ar-SA"/>
              </w:rPr>
            </w:pPr>
            <w:r>
              <w:rPr>
                <w:rFonts w:hint="default" w:ascii="Times New Roman" w:hAnsi="Times New Roman" w:eastAsia="宋体" w:cs="Times New Roman"/>
                <w:color w:val="auto"/>
                <w:spacing w:val="-10"/>
                <w:sz w:val="21"/>
                <w:szCs w:val="21"/>
                <w:lang w:val="en-US" w:eastAsia="zh-CN"/>
              </w:rPr>
              <w:t>1</w:t>
            </w:r>
          </w:p>
        </w:tc>
        <w:tc>
          <w:tcPr>
            <w:tcW w:w="834" w:type="pct"/>
            <w:tcBorders>
              <w:tl2br w:val="nil"/>
              <w:tr2bl w:val="nil"/>
            </w:tcBorders>
            <w:shd w:val="clear" w:color="auto" w:fill="auto"/>
            <w:noWrap w:val="0"/>
            <w:vAlign w:val="center"/>
          </w:tcPr>
          <w:p w14:paraId="4B232DEC">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装载机</w:t>
            </w:r>
          </w:p>
        </w:tc>
        <w:tc>
          <w:tcPr>
            <w:tcW w:w="573" w:type="pct"/>
            <w:tcBorders>
              <w:tl2br w:val="nil"/>
              <w:tr2bl w:val="nil"/>
            </w:tcBorders>
            <w:shd w:val="clear" w:color="auto" w:fill="auto"/>
            <w:noWrap w:val="0"/>
            <w:vAlign w:val="center"/>
          </w:tcPr>
          <w:p w14:paraId="0211D7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w:t>
            </w:r>
          </w:p>
        </w:tc>
        <w:tc>
          <w:tcPr>
            <w:tcW w:w="384" w:type="pct"/>
            <w:tcBorders>
              <w:tl2br w:val="nil"/>
              <w:tr2bl w:val="nil"/>
            </w:tcBorders>
            <w:shd w:val="clear" w:color="auto" w:fill="auto"/>
            <w:noWrap w:val="0"/>
            <w:vAlign w:val="center"/>
          </w:tcPr>
          <w:p w14:paraId="7F088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w:t>
            </w:r>
          </w:p>
        </w:tc>
        <w:tc>
          <w:tcPr>
            <w:tcW w:w="381" w:type="pct"/>
            <w:tcBorders>
              <w:tl2br w:val="nil"/>
              <w:tr2bl w:val="nil"/>
            </w:tcBorders>
            <w:shd w:val="clear" w:color="auto" w:fill="auto"/>
            <w:noWrap w:val="0"/>
            <w:vAlign w:val="center"/>
          </w:tcPr>
          <w:p w14:paraId="04F336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w:t>
            </w:r>
          </w:p>
        </w:tc>
        <w:tc>
          <w:tcPr>
            <w:tcW w:w="369" w:type="pct"/>
            <w:tcBorders>
              <w:tl2br w:val="nil"/>
              <w:tr2bl w:val="nil"/>
            </w:tcBorders>
            <w:shd w:val="clear" w:color="auto" w:fill="auto"/>
            <w:noWrap w:val="0"/>
            <w:vAlign w:val="center"/>
          </w:tcPr>
          <w:p w14:paraId="2248C9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w:t>
            </w:r>
          </w:p>
        </w:tc>
        <w:tc>
          <w:tcPr>
            <w:tcW w:w="848" w:type="pct"/>
            <w:tcBorders>
              <w:tl2br w:val="nil"/>
              <w:tr2bl w:val="nil"/>
            </w:tcBorders>
            <w:shd w:val="clear" w:color="auto" w:fill="auto"/>
            <w:noWrap w:val="0"/>
            <w:vAlign w:val="center"/>
          </w:tcPr>
          <w:p w14:paraId="32DCA09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85</w:t>
            </w:r>
            <w:r>
              <w:rPr>
                <w:rFonts w:hint="default" w:ascii="Times New Roman" w:hAnsi="Times New Roman" w:eastAsia="宋体" w:cs="Times New Roman"/>
                <w:color w:val="auto"/>
                <w:spacing w:val="-10"/>
                <w:sz w:val="21"/>
                <w:szCs w:val="21"/>
                <w:lang w:val="en-US" w:eastAsia="zh-CN"/>
              </w:rPr>
              <w:t>/</w:t>
            </w:r>
            <w:r>
              <w:rPr>
                <w:rFonts w:hint="default" w:ascii="Times New Roman" w:hAnsi="Times New Roman" w:cs="Times New Roman"/>
                <w:color w:val="auto"/>
                <w:spacing w:val="-10"/>
                <w:sz w:val="21"/>
                <w:szCs w:val="21"/>
                <w:lang w:val="en-US" w:eastAsia="zh-CN"/>
              </w:rPr>
              <w:t>5</w:t>
            </w:r>
          </w:p>
        </w:tc>
        <w:tc>
          <w:tcPr>
            <w:tcW w:w="639" w:type="pct"/>
            <w:tcBorders>
              <w:tl2br w:val="nil"/>
              <w:tr2bl w:val="nil"/>
            </w:tcBorders>
            <w:shd w:val="clear" w:color="auto" w:fill="auto"/>
            <w:noWrap w:val="0"/>
            <w:vAlign w:val="center"/>
          </w:tcPr>
          <w:p w14:paraId="275EBDF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eastAsia="宋体" w:cs="Times New Roman"/>
                <w:color w:val="auto"/>
                <w:spacing w:val="-10"/>
                <w:sz w:val="21"/>
                <w:szCs w:val="21"/>
                <w:lang w:val="en-US" w:eastAsia="zh-CN"/>
              </w:rPr>
              <w:t>基础减振</w:t>
            </w:r>
          </w:p>
        </w:tc>
        <w:tc>
          <w:tcPr>
            <w:tcW w:w="611" w:type="pct"/>
            <w:vMerge w:val="restart"/>
            <w:tcBorders>
              <w:tl2br w:val="nil"/>
              <w:tr2bl w:val="nil"/>
            </w:tcBorders>
            <w:noWrap w:val="0"/>
            <w:vAlign w:val="center"/>
          </w:tcPr>
          <w:p w14:paraId="3ACDDA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昼间</w:t>
            </w:r>
          </w:p>
        </w:tc>
      </w:tr>
      <w:tr w14:paraId="4DDD6C5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noWrap w:val="0"/>
            <w:vAlign w:val="center"/>
          </w:tcPr>
          <w:p w14:paraId="5CEE18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kern w:val="2"/>
                <w:sz w:val="21"/>
                <w:szCs w:val="21"/>
                <w:lang w:val="en-US" w:eastAsia="zh-CN" w:bidi="ar-SA"/>
              </w:rPr>
            </w:pPr>
            <w:r>
              <w:rPr>
                <w:rFonts w:hint="default" w:ascii="Times New Roman" w:hAnsi="Times New Roman" w:eastAsia="宋体" w:cs="Times New Roman"/>
                <w:color w:val="auto"/>
                <w:spacing w:val="-10"/>
                <w:sz w:val="21"/>
                <w:szCs w:val="21"/>
                <w:lang w:val="en-US" w:eastAsia="zh-CN"/>
              </w:rPr>
              <w:t>2</w:t>
            </w:r>
          </w:p>
        </w:tc>
        <w:tc>
          <w:tcPr>
            <w:tcW w:w="834" w:type="pct"/>
            <w:tcBorders>
              <w:tl2br w:val="nil"/>
              <w:tr2bl w:val="nil"/>
            </w:tcBorders>
            <w:shd w:val="clear" w:color="auto" w:fill="auto"/>
            <w:noWrap w:val="0"/>
            <w:vAlign w:val="center"/>
          </w:tcPr>
          <w:p w14:paraId="415D8572">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运输车辆</w:t>
            </w:r>
          </w:p>
        </w:tc>
        <w:tc>
          <w:tcPr>
            <w:tcW w:w="573" w:type="pct"/>
            <w:tcBorders>
              <w:tl2br w:val="nil"/>
              <w:tr2bl w:val="nil"/>
            </w:tcBorders>
            <w:shd w:val="clear" w:color="auto" w:fill="auto"/>
            <w:noWrap w:val="0"/>
            <w:vAlign w:val="center"/>
          </w:tcPr>
          <w:p w14:paraId="755ADD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w:t>
            </w:r>
          </w:p>
        </w:tc>
        <w:tc>
          <w:tcPr>
            <w:tcW w:w="384" w:type="pct"/>
            <w:tcBorders>
              <w:tl2br w:val="nil"/>
              <w:tr2bl w:val="nil"/>
            </w:tcBorders>
            <w:shd w:val="clear" w:color="auto" w:fill="auto"/>
            <w:noWrap w:val="0"/>
            <w:vAlign w:val="center"/>
          </w:tcPr>
          <w:p w14:paraId="4B7B61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w:t>
            </w:r>
          </w:p>
        </w:tc>
        <w:tc>
          <w:tcPr>
            <w:tcW w:w="381" w:type="pct"/>
            <w:tcBorders>
              <w:tl2br w:val="nil"/>
              <w:tr2bl w:val="nil"/>
            </w:tcBorders>
            <w:shd w:val="clear" w:color="auto" w:fill="auto"/>
            <w:noWrap w:val="0"/>
            <w:vAlign w:val="center"/>
          </w:tcPr>
          <w:p w14:paraId="5FD047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w:t>
            </w:r>
          </w:p>
        </w:tc>
        <w:tc>
          <w:tcPr>
            <w:tcW w:w="369" w:type="pct"/>
            <w:tcBorders>
              <w:tl2br w:val="nil"/>
              <w:tr2bl w:val="nil"/>
            </w:tcBorders>
            <w:shd w:val="clear" w:color="auto" w:fill="auto"/>
            <w:noWrap w:val="0"/>
            <w:vAlign w:val="center"/>
          </w:tcPr>
          <w:p w14:paraId="2C4D40B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w:t>
            </w:r>
          </w:p>
        </w:tc>
        <w:tc>
          <w:tcPr>
            <w:tcW w:w="848" w:type="pct"/>
            <w:tcBorders>
              <w:tl2br w:val="nil"/>
              <w:tr2bl w:val="nil"/>
            </w:tcBorders>
            <w:shd w:val="clear" w:color="auto" w:fill="auto"/>
            <w:noWrap w:val="0"/>
            <w:vAlign w:val="center"/>
          </w:tcPr>
          <w:p w14:paraId="30B0431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cs="Times New Roman"/>
                <w:color w:val="auto"/>
                <w:spacing w:val="-10"/>
                <w:sz w:val="21"/>
                <w:szCs w:val="21"/>
                <w:lang w:val="en-US" w:eastAsia="zh-CN"/>
              </w:rPr>
              <w:t>80</w:t>
            </w:r>
            <w:r>
              <w:rPr>
                <w:rFonts w:hint="default" w:ascii="Times New Roman" w:hAnsi="Times New Roman" w:eastAsia="宋体" w:cs="Times New Roman"/>
                <w:color w:val="auto"/>
                <w:spacing w:val="-10"/>
                <w:sz w:val="21"/>
                <w:szCs w:val="21"/>
                <w:lang w:val="en-US" w:eastAsia="zh-CN"/>
              </w:rPr>
              <w:t>/</w:t>
            </w:r>
            <w:r>
              <w:rPr>
                <w:rFonts w:hint="default" w:ascii="Times New Roman" w:hAnsi="Times New Roman" w:cs="Times New Roman"/>
                <w:color w:val="auto"/>
                <w:spacing w:val="-10"/>
                <w:sz w:val="21"/>
                <w:szCs w:val="21"/>
                <w:lang w:val="en-US" w:eastAsia="zh-CN"/>
              </w:rPr>
              <w:t>5</w:t>
            </w:r>
          </w:p>
        </w:tc>
        <w:tc>
          <w:tcPr>
            <w:tcW w:w="639" w:type="pct"/>
            <w:tcBorders>
              <w:tl2br w:val="nil"/>
              <w:tr2bl w:val="nil"/>
            </w:tcBorders>
            <w:shd w:val="clear" w:color="auto" w:fill="auto"/>
            <w:noWrap w:val="0"/>
            <w:vAlign w:val="center"/>
          </w:tcPr>
          <w:p w14:paraId="4D21D04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bidi="ar-SA"/>
              </w:rPr>
            </w:pPr>
            <w:r>
              <w:rPr>
                <w:rFonts w:hint="default" w:ascii="Times New Roman" w:hAnsi="Times New Roman" w:eastAsia="宋体" w:cs="Times New Roman"/>
                <w:color w:val="auto"/>
                <w:spacing w:val="-10"/>
                <w:sz w:val="21"/>
                <w:szCs w:val="21"/>
                <w:lang w:val="en-US" w:eastAsia="zh-CN"/>
              </w:rPr>
              <w:t>基础减振</w:t>
            </w:r>
          </w:p>
        </w:tc>
        <w:tc>
          <w:tcPr>
            <w:tcW w:w="611" w:type="pct"/>
            <w:vMerge w:val="continue"/>
            <w:tcBorders>
              <w:tl2br w:val="nil"/>
              <w:tr2bl w:val="nil"/>
            </w:tcBorders>
            <w:noWrap w:val="0"/>
            <w:vAlign w:val="center"/>
          </w:tcPr>
          <w:p w14:paraId="701C5D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p>
        </w:tc>
      </w:tr>
      <w:tr w14:paraId="1571E98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noWrap w:val="0"/>
            <w:vAlign w:val="center"/>
          </w:tcPr>
          <w:p w14:paraId="34ABF8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kern w:val="2"/>
                <w:sz w:val="21"/>
                <w:szCs w:val="21"/>
                <w:lang w:val="en-US" w:eastAsia="zh-CN" w:bidi="ar-SA"/>
              </w:rPr>
            </w:pPr>
            <w:r>
              <w:rPr>
                <w:rFonts w:hint="default" w:ascii="Times New Roman" w:hAnsi="Times New Roman" w:eastAsia="宋体" w:cs="Times New Roman"/>
                <w:color w:val="auto"/>
                <w:spacing w:val="-10"/>
                <w:sz w:val="21"/>
                <w:szCs w:val="21"/>
                <w:lang w:val="en-US" w:eastAsia="zh-CN"/>
              </w:rPr>
              <w:t>3</w:t>
            </w:r>
          </w:p>
        </w:tc>
        <w:tc>
          <w:tcPr>
            <w:tcW w:w="834" w:type="pct"/>
            <w:tcBorders>
              <w:tl2br w:val="nil"/>
              <w:tr2bl w:val="nil"/>
            </w:tcBorders>
            <w:shd w:val="clear" w:color="auto" w:fill="auto"/>
            <w:noWrap w:val="0"/>
            <w:vAlign w:val="center"/>
          </w:tcPr>
          <w:p w14:paraId="6077E5E9">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bidi="ar-SA"/>
              </w:rPr>
              <w:t>切割机</w:t>
            </w:r>
          </w:p>
        </w:tc>
        <w:tc>
          <w:tcPr>
            <w:tcW w:w="573" w:type="pct"/>
            <w:tcBorders>
              <w:tl2br w:val="nil"/>
              <w:tr2bl w:val="nil"/>
            </w:tcBorders>
            <w:noWrap w:val="0"/>
            <w:vAlign w:val="center"/>
          </w:tcPr>
          <w:p w14:paraId="307E92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w:t>
            </w:r>
          </w:p>
        </w:tc>
        <w:tc>
          <w:tcPr>
            <w:tcW w:w="384" w:type="pct"/>
            <w:tcBorders>
              <w:tl2br w:val="nil"/>
              <w:tr2bl w:val="nil"/>
            </w:tcBorders>
            <w:noWrap w:val="0"/>
            <w:vAlign w:val="center"/>
          </w:tcPr>
          <w:p w14:paraId="74D1AB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w:t>
            </w:r>
          </w:p>
        </w:tc>
        <w:tc>
          <w:tcPr>
            <w:tcW w:w="381" w:type="pct"/>
            <w:tcBorders>
              <w:tl2br w:val="nil"/>
              <w:tr2bl w:val="nil"/>
            </w:tcBorders>
            <w:noWrap w:val="0"/>
            <w:vAlign w:val="center"/>
          </w:tcPr>
          <w:p w14:paraId="48C32A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w:t>
            </w:r>
          </w:p>
        </w:tc>
        <w:tc>
          <w:tcPr>
            <w:tcW w:w="369" w:type="pct"/>
            <w:tcBorders>
              <w:tl2br w:val="nil"/>
              <w:tr2bl w:val="nil"/>
            </w:tcBorders>
            <w:noWrap w:val="0"/>
            <w:vAlign w:val="center"/>
          </w:tcPr>
          <w:p w14:paraId="53B619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w:t>
            </w:r>
          </w:p>
        </w:tc>
        <w:tc>
          <w:tcPr>
            <w:tcW w:w="848" w:type="pct"/>
            <w:tcBorders>
              <w:tl2br w:val="nil"/>
              <w:tr2bl w:val="nil"/>
            </w:tcBorders>
            <w:noWrap w:val="0"/>
            <w:vAlign w:val="center"/>
          </w:tcPr>
          <w:p w14:paraId="5F82BC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90</w:t>
            </w:r>
            <w:r>
              <w:rPr>
                <w:rFonts w:hint="default" w:ascii="Times New Roman" w:hAnsi="Times New Roman" w:eastAsia="宋体" w:cs="Times New Roman"/>
                <w:color w:val="auto"/>
                <w:spacing w:val="-10"/>
                <w:sz w:val="21"/>
                <w:szCs w:val="21"/>
                <w:lang w:val="en-US" w:eastAsia="zh-CN"/>
              </w:rPr>
              <w:t>/</w:t>
            </w:r>
            <w:r>
              <w:rPr>
                <w:rFonts w:hint="default" w:ascii="Times New Roman" w:hAnsi="Times New Roman" w:cs="Times New Roman"/>
                <w:color w:val="auto"/>
                <w:spacing w:val="-10"/>
                <w:sz w:val="21"/>
                <w:szCs w:val="21"/>
                <w:lang w:val="en-US" w:eastAsia="zh-CN"/>
              </w:rPr>
              <w:t>5</w:t>
            </w:r>
          </w:p>
        </w:tc>
        <w:tc>
          <w:tcPr>
            <w:tcW w:w="639" w:type="pct"/>
            <w:tcBorders>
              <w:tl2br w:val="nil"/>
              <w:tr2bl w:val="nil"/>
            </w:tcBorders>
            <w:noWrap w:val="0"/>
            <w:vAlign w:val="center"/>
          </w:tcPr>
          <w:p w14:paraId="020C914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基础减振</w:t>
            </w:r>
          </w:p>
        </w:tc>
        <w:tc>
          <w:tcPr>
            <w:tcW w:w="611" w:type="pct"/>
            <w:vMerge w:val="continue"/>
            <w:tcBorders>
              <w:tl2br w:val="nil"/>
              <w:tr2bl w:val="nil"/>
            </w:tcBorders>
            <w:noWrap w:val="0"/>
            <w:vAlign w:val="center"/>
          </w:tcPr>
          <w:p w14:paraId="0B4F62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p>
        </w:tc>
      </w:tr>
      <w:tr w14:paraId="7BF3C5C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noWrap w:val="0"/>
            <w:vAlign w:val="center"/>
          </w:tcPr>
          <w:p w14:paraId="42621E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4</w:t>
            </w:r>
          </w:p>
        </w:tc>
        <w:tc>
          <w:tcPr>
            <w:tcW w:w="834" w:type="pct"/>
            <w:tcBorders>
              <w:tl2br w:val="nil"/>
              <w:tr2bl w:val="nil"/>
            </w:tcBorders>
            <w:shd w:val="clear" w:color="auto" w:fill="auto"/>
            <w:noWrap w:val="0"/>
            <w:vAlign w:val="center"/>
          </w:tcPr>
          <w:p w14:paraId="2A2EE565">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bidi="ar-SA"/>
              </w:rPr>
              <w:t>电焊机</w:t>
            </w:r>
          </w:p>
        </w:tc>
        <w:tc>
          <w:tcPr>
            <w:tcW w:w="573" w:type="pct"/>
            <w:tcBorders>
              <w:tl2br w:val="nil"/>
              <w:tr2bl w:val="nil"/>
            </w:tcBorders>
            <w:noWrap w:val="0"/>
            <w:vAlign w:val="center"/>
          </w:tcPr>
          <w:p w14:paraId="261C1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w:t>
            </w:r>
          </w:p>
        </w:tc>
        <w:tc>
          <w:tcPr>
            <w:tcW w:w="384" w:type="pct"/>
            <w:tcBorders>
              <w:tl2br w:val="nil"/>
              <w:tr2bl w:val="nil"/>
            </w:tcBorders>
            <w:noWrap w:val="0"/>
            <w:vAlign w:val="center"/>
          </w:tcPr>
          <w:p w14:paraId="078DA6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w:t>
            </w:r>
          </w:p>
        </w:tc>
        <w:tc>
          <w:tcPr>
            <w:tcW w:w="381" w:type="pct"/>
            <w:tcBorders>
              <w:tl2br w:val="nil"/>
              <w:tr2bl w:val="nil"/>
            </w:tcBorders>
            <w:noWrap w:val="0"/>
            <w:vAlign w:val="center"/>
          </w:tcPr>
          <w:p w14:paraId="2E98758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w:t>
            </w:r>
          </w:p>
        </w:tc>
        <w:tc>
          <w:tcPr>
            <w:tcW w:w="369" w:type="pct"/>
            <w:tcBorders>
              <w:tl2br w:val="nil"/>
              <w:tr2bl w:val="nil"/>
            </w:tcBorders>
            <w:noWrap w:val="0"/>
            <w:vAlign w:val="center"/>
          </w:tcPr>
          <w:p w14:paraId="1E4289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w:t>
            </w:r>
          </w:p>
        </w:tc>
        <w:tc>
          <w:tcPr>
            <w:tcW w:w="848" w:type="pct"/>
            <w:tcBorders>
              <w:tl2br w:val="nil"/>
              <w:tr2bl w:val="nil"/>
            </w:tcBorders>
            <w:noWrap w:val="0"/>
            <w:vAlign w:val="center"/>
          </w:tcPr>
          <w:p w14:paraId="2C31163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cs="Times New Roman"/>
                <w:color w:val="auto"/>
                <w:spacing w:val="-10"/>
                <w:sz w:val="21"/>
                <w:szCs w:val="21"/>
                <w:lang w:val="en-US" w:eastAsia="zh-CN"/>
              </w:rPr>
              <w:t>85</w:t>
            </w:r>
            <w:r>
              <w:rPr>
                <w:rFonts w:hint="default" w:ascii="Times New Roman" w:hAnsi="Times New Roman" w:eastAsia="宋体" w:cs="Times New Roman"/>
                <w:color w:val="auto"/>
                <w:spacing w:val="-10"/>
                <w:sz w:val="21"/>
                <w:szCs w:val="21"/>
                <w:lang w:val="en-US" w:eastAsia="zh-CN"/>
              </w:rPr>
              <w:t>/</w:t>
            </w:r>
            <w:r>
              <w:rPr>
                <w:rFonts w:hint="default" w:ascii="Times New Roman" w:hAnsi="Times New Roman" w:cs="Times New Roman"/>
                <w:color w:val="auto"/>
                <w:spacing w:val="-10"/>
                <w:sz w:val="21"/>
                <w:szCs w:val="21"/>
                <w:lang w:val="en-US" w:eastAsia="zh-CN"/>
              </w:rPr>
              <w:t>5</w:t>
            </w:r>
          </w:p>
        </w:tc>
        <w:tc>
          <w:tcPr>
            <w:tcW w:w="639" w:type="pct"/>
            <w:tcBorders>
              <w:tl2br w:val="nil"/>
              <w:tr2bl w:val="nil"/>
            </w:tcBorders>
            <w:noWrap w:val="0"/>
            <w:vAlign w:val="center"/>
          </w:tcPr>
          <w:p w14:paraId="2A4385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r>
              <w:rPr>
                <w:rFonts w:hint="default" w:ascii="Times New Roman" w:hAnsi="Times New Roman" w:eastAsia="宋体" w:cs="Times New Roman"/>
                <w:color w:val="auto"/>
                <w:spacing w:val="-10"/>
                <w:sz w:val="21"/>
                <w:szCs w:val="21"/>
                <w:lang w:val="en-US" w:eastAsia="zh-CN"/>
              </w:rPr>
              <w:t>基础减振</w:t>
            </w:r>
          </w:p>
        </w:tc>
        <w:tc>
          <w:tcPr>
            <w:tcW w:w="611" w:type="pct"/>
            <w:vMerge w:val="continue"/>
            <w:tcBorders>
              <w:tl2br w:val="nil"/>
              <w:tr2bl w:val="nil"/>
            </w:tcBorders>
            <w:noWrap w:val="0"/>
            <w:vAlign w:val="center"/>
          </w:tcPr>
          <w:p w14:paraId="6B02D80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10"/>
                <w:sz w:val="21"/>
                <w:szCs w:val="21"/>
                <w:lang w:val="en-US" w:eastAsia="zh-CN"/>
              </w:rPr>
            </w:pPr>
          </w:p>
        </w:tc>
      </w:tr>
    </w:tbl>
    <w:p w14:paraId="2033AE0B">
      <w:pPr>
        <w:pageBreakBefore w:val="0"/>
        <w:widowControl/>
        <w:kinsoku/>
        <w:wordWrap/>
        <w:overflowPunct/>
        <w:topLinePunct w:val="0"/>
        <w:autoSpaceDE/>
        <w:autoSpaceDN/>
        <w:bidi w:val="0"/>
        <w:adjustRightInd/>
        <w:snapToGrid w:val="0"/>
        <w:spacing w:line="360" w:lineRule="auto"/>
        <w:ind w:firstLine="561"/>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（2）施工期噪声预测结果及分析</w:t>
      </w:r>
    </w:p>
    <w:p w14:paraId="58281342">
      <w:pPr>
        <w:pageBreakBefore w:val="0"/>
        <w:widowControl/>
        <w:kinsoku/>
        <w:wordWrap/>
        <w:overflowPunct/>
        <w:topLinePunct w:val="0"/>
        <w:autoSpaceDE/>
        <w:autoSpaceDN/>
        <w:bidi w:val="0"/>
        <w:adjustRightInd/>
        <w:snapToGrid w:val="0"/>
        <w:spacing w:line="360" w:lineRule="auto"/>
        <w:ind w:firstLine="561"/>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建设期一般为露天作业，无隔声与消声措施，声源较高，由于施工场地内设备大多属于移动声源，要准确预测施工场地各场界噪声值较困难，因此本次评价只预测各声源单独作用时的超标范围。按照点源扩散衰减采用半球扩散模型计算，以声源为中心，噪声传到不同距离处的强度值采用下式计算：</w:t>
      </w:r>
    </w:p>
    <w:p w14:paraId="1BE8015F">
      <w:pPr>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position w:val="-26"/>
          <w:sz w:val="24"/>
          <w:szCs w:val="24"/>
          <w:highlight w:val="none"/>
          <w:lang w:val="en-US" w:eastAsia="zh-CN"/>
        </w:rPr>
        <w:object>
          <v:shape id="_x0000_i1033" o:spt="75" type="#_x0000_t75" style="height:31.95pt;width:102pt;" o:ole="t" filled="f" o:preferrelative="t" stroked="f" coordsize="21600,21600">
            <v:path/>
            <v:fill on="f" focussize="0,0"/>
            <v:stroke on="f"/>
            <v:imagedata r:id="rId45" o:title=""/>
            <o:lock v:ext="edit" aspectratio="t"/>
            <w10:wrap type="none"/>
            <w10:anchorlock/>
          </v:shape>
          <o:OLEObject Type="Embed" ProgID="Equation.KSEE3" ShapeID="_x0000_i1033" DrawAspect="Content" ObjectID="_1468075733" r:id="rId44">
            <o:LockedField>false</o:LockedField>
          </o:OLEObject>
        </w:object>
      </w:r>
    </w:p>
    <w:p w14:paraId="40BB671A">
      <w:pPr>
        <w:pageBreakBefore w:val="0"/>
        <w:widowControl/>
        <w:kinsoku/>
        <w:wordWrap/>
        <w:overflowPunct/>
        <w:topLinePunct w:val="0"/>
        <w:autoSpaceDE/>
        <w:autoSpaceDN/>
        <w:bidi w:val="0"/>
        <w:adjustRightInd/>
        <w:snapToGrid w:val="0"/>
        <w:spacing w:line="360" w:lineRule="auto"/>
        <w:ind w:firstLine="561"/>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式中：L</w:t>
      </w:r>
      <w:r>
        <w:rPr>
          <w:rFonts w:hint="default" w:ascii="Times New Roman" w:hAnsi="Times New Roman" w:cs="Times New Roman"/>
          <w:color w:val="auto"/>
          <w:sz w:val="24"/>
          <w:szCs w:val="24"/>
          <w:highlight w:val="none"/>
          <w:vertAlign w:val="subscript"/>
          <w:lang w:val="en-US" w:eastAsia="zh-CN"/>
        </w:rPr>
        <w:t>P</w:t>
      </w:r>
      <w:r>
        <w:rPr>
          <w:rFonts w:hint="default" w:ascii="Times New Roman" w:hAnsi="Times New Roman" w:cs="Times New Roman"/>
          <w:color w:val="auto"/>
          <w:sz w:val="24"/>
          <w:szCs w:val="24"/>
          <w:highlight w:val="none"/>
          <w:lang w:val="en-US" w:eastAsia="zh-CN"/>
        </w:rPr>
        <w:t>—距声源r处的声压级；</w:t>
      </w:r>
    </w:p>
    <w:p w14:paraId="187BE9CA">
      <w:pPr>
        <w:pageBreakBefore w:val="0"/>
        <w:widowControl/>
        <w:kinsoku/>
        <w:wordWrap/>
        <w:overflowPunct/>
        <w:topLinePunct w:val="0"/>
        <w:autoSpaceDE/>
        <w:autoSpaceDN/>
        <w:bidi w:val="0"/>
        <w:adjustRightInd/>
        <w:snapToGrid w:val="0"/>
        <w:spacing w:line="360" w:lineRule="auto"/>
        <w:ind w:firstLine="1276" w:firstLineChars="532"/>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L</w:t>
      </w:r>
      <w:r>
        <w:rPr>
          <w:rFonts w:hint="default" w:ascii="Times New Roman" w:hAnsi="Times New Roman" w:cs="Times New Roman"/>
          <w:color w:val="auto"/>
          <w:sz w:val="24"/>
          <w:szCs w:val="24"/>
          <w:highlight w:val="none"/>
          <w:vertAlign w:val="subscript"/>
          <w:lang w:val="en-US" w:eastAsia="zh-CN"/>
        </w:rPr>
        <w:t>0</w:t>
      </w:r>
      <w:r>
        <w:rPr>
          <w:rFonts w:hint="default" w:ascii="Times New Roman" w:hAnsi="Times New Roman" w:cs="Times New Roman"/>
          <w:color w:val="auto"/>
          <w:sz w:val="24"/>
          <w:szCs w:val="24"/>
          <w:highlight w:val="none"/>
          <w:lang w:val="en-US" w:eastAsia="zh-CN"/>
        </w:rPr>
        <w:t>—距声源r</w:t>
      </w:r>
      <w:r>
        <w:rPr>
          <w:rFonts w:hint="default" w:ascii="Times New Roman" w:hAnsi="Times New Roman" w:cs="Times New Roman"/>
          <w:color w:val="auto"/>
          <w:sz w:val="24"/>
          <w:szCs w:val="24"/>
          <w:highlight w:val="none"/>
          <w:vertAlign w:val="subscript"/>
          <w:lang w:val="en-US" w:eastAsia="zh-CN"/>
        </w:rPr>
        <w:t>0</w:t>
      </w:r>
      <w:r>
        <w:rPr>
          <w:rFonts w:hint="default" w:ascii="Times New Roman" w:hAnsi="Times New Roman" w:cs="Times New Roman"/>
          <w:color w:val="auto"/>
          <w:sz w:val="24"/>
          <w:szCs w:val="24"/>
          <w:highlight w:val="none"/>
          <w:lang w:val="en-US" w:eastAsia="zh-CN"/>
        </w:rPr>
        <w:t>处的声压。</w:t>
      </w:r>
    </w:p>
    <w:p w14:paraId="4E66D57D">
      <w:pPr>
        <w:pageBreakBefore w:val="0"/>
        <w:widowControl/>
        <w:kinsoku/>
        <w:wordWrap/>
        <w:overflowPunct/>
        <w:topLinePunct w:val="0"/>
        <w:autoSpaceDE/>
        <w:autoSpaceDN/>
        <w:bidi w:val="0"/>
        <w:adjustRightInd/>
        <w:snapToGrid w:val="0"/>
        <w:spacing w:line="360" w:lineRule="auto"/>
        <w:ind w:firstLine="561"/>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z w:val="24"/>
          <w:szCs w:val="24"/>
          <w:highlight w:val="none"/>
          <w:lang w:val="en-US" w:eastAsia="zh-CN"/>
        </w:rPr>
        <w:t>矿区施工期主要</w:t>
      </w:r>
      <w:r>
        <w:rPr>
          <w:rFonts w:hint="default" w:ascii="Times New Roman" w:hAnsi="Times New Roman" w:eastAsia="宋体" w:cs="Times New Roman"/>
          <w:color w:val="auto"/>
          <w:sz w:val="24"/>
          <w:szCs w:val="24"/>
          <w:highlight w:val="none"/>
        </w:rPr>
        <w:t>施工</w:t>
      </w:r>
      <w:r>
        <w:rPr>
          <w:rFonts w:hint="default" w:ascii="Times New Roman" w:hAnsi="Times New Roman" w:cs="Times New Roman"/>
          <w:color w:val="auto"/>
          <w:sz w:val="24"/>
          <w:szCs w:val="24"/>
          <w:highlight w:val="none"/>
          <w:lang w:val="en-US" w:eastAsia="zh-CN"/>
        </w:rPr>
        <w:t>机械</w:t>
      </w:r>
      <w:r>
        <w:rPr>
          <w:rFonts w:hint="default" w:ascii="Times New Roman" w:hAnsi="Times New Roman" w:eastAsia="宋体" w:cs="Times New Roman"/>
          <w:color w:val="auto"/>
          <w:sz w:val="24"/>
          <w:szCs w:val="24"/>
          <w:highlight w:val="none"/>
        </w:rPr>
        <w:t>设备随距离衰减情况见表5.</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。根据《建筑施工噪声排放标准》(GB12523-2025)的规定，昼间噪声限值为70dB（A），夜间限值为55dB（A）。</w:t>
      </w:r>
    </w:p>
    <w:p w14:paraId="0619B290">
      <w:pPr>
        <w:keepNext w:val="0"/>
        <w:keepLines w:val="0"/>
        <w:pageBreakBefore w:val="0"/>
        <w:widowControl/>
        <w:kinsoku/>
        <w:wordWrap/>
        <w:overflowPunct/>
        <w:topLinePunct w:val="0"/>
        <w:autoSpaceDE/>
        <w:autoSpaceDN/>
        <w:bidi w:val="0"/>
        <w:adjustRightInd/>
        <w:snapToGrid w:val="0"/>
        <w:jc w:val="right"/>
        <w:textAlignment w:val="auto"/>
        <w:rPr>
          <w:rFonts w:hint="default" w:ascii="Times New Roman" w:hAnsi="Times New Roman" w:eastAsia="宋体" w:cs="Times New Roman"/>
          <w:b/>
          <w:bCs/>
          <w:color w:val="auto"/>
          <w:sz w:val="24"/>
          <w:szCs w:val="24"/>
          <w:highlight w:val="none"/>
        </w:rPr>
      </w:pPr>
      <w:r>
        <w:rPr>
          <w:rFonts w:hint="default" w:ascii="Times New Roman" w:hAnsi="Times New Roman" w:eastAsia="宋体" w:cs="Times New Roman"/>
          <w:b/>
          <w:bCs/>
          <w:color w:val="auto"/>
          <w:sz w:val="24"/>
          <w:szCs w:val="24"/>
          <w:highlight w:val="none"/>
        </w:rPr>
        <w:t>表5.</w:t>
      </w:r>
      <w:r>
        <w:rPr>
          <w:rFonts w:hint="default" w:ascii="Times New Roman" w:hAnsi="Times New Roman" w:eastAsia="宋体" w:cs="Times New Roman"/>
          <w:b/>
          <w:bCs/>
          <w:color w:val="auto"/>
          <w:sz w:val="24"/>
          <w:szCs w:val="24"/>
          <w:highlight w:val="none"/>
          <w:lang w:val="en-US" w:eastAsia="zh-CN"/>
        </w:rPr>
        <w:t>1</w:t>
      </w:r>
      <w:r>
        <w:rPr>
          <w:rFonts w:hint="default" w:ascii="Times New Roman" w:hAnsi="Times New Roman" w:eastAsia="宋体" w:cs="Times New Roman"/>
          <w:b/>
          <w:bCs/>
          <w:color w:val="auto"/>
          <w:sz w:val="24"/>
          <w:szCs w:val="24"/>
          <w:highlight w:val="none"/>
        </w:rPr>
        <w:t>-</w:t>
      </w:r>
      <w:r>
        <w:rPr>
          <w:rFonts w:hint="default" w:ascii="Times New Roman" w:hAnsi="Times New Roman" w:cs="Times New Roman"/>
          <w:b/>
          <w:bCs/>
          <w:color w:val="auto"/>
          <w:sz w:val="24"/>
          <w:szCs w:val="24"/>
          <w:highlight w:val="none"/>
          <w:lang w:val="en-US" w:eastAsia="zh-CN"/>
        </w:rPr>
        <w:t>3</w:t>
      </w:r>
      <w:r>
        <w:rPr>
          <w:rFonts w:hint="default" w:ascii="Times New Roman" w:hAnsi="Times New Roman" w:eastAsia="宋体" w:cs="Times New Roman"/>
          <w:b/>
          <w:bCs/>
          <w:color w:val="auto"/>
          <w:sz w:val="24"/>
          <w:szCs w:val="24"/>
          <w:highlight w:val="none"/>
        </w:rPr>
        <w:t xml:space="preserve"> 距各种施工机械不同距离的噪声值  </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eastAsia="宋体" w:cs="Times New Roman"/>
          <w:b/>
          <w:bCs/>
          <w:color w:val="auto"/>
          <w:sz w:val="24"/>
          <w:szCs w:val="24"/>
          <w:highlight w:val="none"/>
        </w:rPr>
        <w:t xml:space="preserve">  单位：dB（A）</w:t>
      </w:r>
    </w:p>
    <w:tbl>
      <w:tblPr>
        <w:tblStyle w:val="39"/>
        <w:tblW w:w="4997" w:type="pct"/>
        <w:tblInd w:w="0" w:type="dxa"/>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375"/>
        <w:gridCol w:w="711"/>
        <w:gridCol w:w="937"/>
        <w:gridCol w:w="874"/>
        <w:gridCol w:w="1040"/>
        <w:gridCol w:w="864"/>
        <w:gridCol w:w="902"/>
        <w:gridCol w:w="888"/>
        <w:gridCol w:w="926"/>
      </w:tblGrid>
      <w:tr w14:paraId="77039BE3">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807" w:type="pct"/>
            <w:tcBorders>
              <w:tl2br w:val="nil"/>
              <w:tr2bl w:val="nil"/>
            </w:tcBorders>
            <w:noWrap w:val="0"/>
            <w:tcMar>
              <w:top w:w="0" w:type="dxa"/>
              <w:left w:w="108" w:type="dxa"/>
              <w:bottom w:w="0" w:type="dxa"/>
              <w:right w:w="108" w:type="dxa"/>
            </w:tcMar>
            <w:vAlign w:val="center"/>
          </w:tcPr>
          <w:p w14:paraId="17FE480B">
            <w:pPr>
              <w:keepNext w:val="0"/>
              <w:keepLines w:val="0"/>
              <w:pageBreakBefore w:val="0"/>
              <w:widowControl/>
              <w:kinsoku/>
              <w:wordWrap/>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施工机械</w:t>
            </w:r>
          </w:p>
        </w:tc>
        <w:tc>
          <w:tcPr>
            <w:tcW w:w="417" w:type="pct"/>
            <w:tcBorders>
              <w:tl2br w:val="nil"/>
              <w:tr2bl w:val="nil"/>
            </w:tcBorders>
            <w:noWrap w:val="0"/>
            <w:tcMar>
              <w:top w:w="0" w:type="dxa"/>
              <w:left w:w="108" w:type="dxa"/>
              <w:bottom w:w="0" w:type="dxa"/>
              <w:right w:w="108" w:type="dxa"/>
            </w:tcMar>
            <w:vAlign w:val="center"/>
          </w:tcPr>
          <w:p w14:paraId="22B7A1C7">
            <w:pPr>
              <w:keepNext w:val="0"/>
              <w:keepLines w:val="0"/>
              <w:pageBreakBefore w:val="0"/>
              <w:widowControl/>
              <w:kinsoku/>
              <w:wordWrap/>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lang w:val="en-US" w:eastAsia="zh-CN"/>
              </w:rPr>
            </w:pPr>
            <w:r>
              <w:rPr>
                <w:rFonts w:hint="default" w:ascii="Times New Roman" w:hAnsi="Times New Roman" w:cs="Times New Roman"/>
                <w:b/>
                <w:bCs/>
                <w:color w:val="auto"/>
                <w:sz w:val="21"/>
                <w:highlight w:val="none"/>
                <w:lang w:val="en-US" w:eastAsia="zh-CN"/>
              </w:rPr>
              <w:t>10m</w:t>
            </w:r>
          </w:p>
        </w:tc>
        <w:tc>
          <w:tcPr>
            <w:tcW w:w="550" w:type="pct"/>
            <w:tcBorders>
              <w:tl2br w:val="nil"/>
              <w:tr2bl w:val="nil"/>
            </w:tcBorders>
            <w:noWrap w:val="0"/>
            <w:tcMar>
              <w:top w:w="0" w:type="dxa"/>
              <w:left w:w="108" w:type="dxa"/>
              <w:bottom w:w="0" w:type="dxa"/>
              <w:right w:w="108" w:type="dxa"/>
            </w:tcMar>
            <w:vAlign w:val="center"/>
          </w:tcPr>
          <w:p w14:paraId="28B92F61">
            <w:pPr>
              <w:keepNext w:val="0"/>
              <w:keepLines w:val="0"/>
              <w:pageBreakBefore w:val="0"/>
              <w:widowControl/>
              <w:kinsoku/>
              <w:wordWrap/>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highlight w:val="none"/>
                <w:lang w:val="en-US" w:eastAsia="zh-CN"/>
              </w:rPr>
            </w:pPr>
            <w:r>
              <w:rPr>
                <w:rFonts w:hint="default" w:ascii="Times New Roman" w:hAnsi="Times New Roman" w:cs="Times New Roman"/>
                <w:b/>
                <w:bCs/>
                <w:color w:val="auto"/>
                <w:sz w:val="21"/>
                <w:highlight w:val="none"/>
                <w:lang w:val="en-US" w:eastAsia="zh-CN"/>
              </w:rPr>
              <w:t>20m</w:t>
            </w:r>
          </w:p>
        </w:tc>
        <w:tc>
          <w:tcPr>
            <w:tcW w:w="513" w:type="pct"/>
            <w:tcBorders>
              <w:tl2br w:val="nil"/>
              <w:tr2bl w:val="nil"/>
            </w:tcBorders>
            <w:noWrap w:val="0"/>
            <w:tcMar>
              <w:top w:w="0" w:type="dxa"/>
              <w:left w:w="108" w:type="dxa"/>
              <w:bottom w:w="0" w:type="dxa"/>
              <w:right w:w="108" w:type="dxa"/>
            </w:tcMar>
            <w:vAlign w:val="center"/>
          </w:tcPr>
          <w:p w14:paraId="43AE4544">
            <w:pPr>
              <w:keepNext w:val="0"/>
              <w:keepLines w:val="0"/>
              <w:pageBreakBefore w:val="0"/>
              <w:widowControl/>
              <w:kinsoku/>
              <w:wordWrap/>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highlight w:val="none"/>
                <w:lang w:val="en-US" w:eastAsia="zh-CN"/>
              </w:rPr>
            </w:pPr>
            <w:r>
              <w:rPr>
                <w:rFonts w:hint="default" w:ascii="Times New Roman" w:hAnsi="Times New Roman" w:cs="Times New Roman"/>
                <w:b/>
                <w:bCs/>
                <w:color w:val="auto"/>
                <w:sz w:val="21"/>
                <w:highlight w:val="none"/>
                <w:lang w:val="en-US" w:eastAsia="zh-CN"/>
              </w:rPr>
              <w:t>100m</w:t>
            </w:r>
          </w:p>
        </w:tc>
        <w:tc>
          <w:tcPr>
            <w:tcW w:w="610" w:type="pct"/>
            <w:tcBorders>
              <w:tl2br w:val="nil"/>
              <w:tr2bl w:val="nil"/>
            </w:tcBorders>
            <w:noWrap w:val="0"/>
            <w:tcMar>
              <w:top w:w="0" w:type="dxa"/>
              <w:left w:w="108" w:type="dxa"/>
              <w:bottom w:w="0" w:type="dxa"/>
              <w:right w:w="108" w:type="dxa"/>
            </w:tcMar>
            <w:vAlign w:val="center"/>
          </w:tcPr>
          <w:p w14:paraId="3CD909C8">
            <w:pPr>
              <w:keepNext w:val="0"/>
              <w:keepLines w:val="0"/>
              <w:pageBreakBefore w:val="0"/>
              <w:widowControl/>
              <w:kinsoku/>
              <w:wordWrap/>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cs="Times New Roman"/>
                <w:b/>
                <w:bCs/>
                <w:color w:val="auto"/>
                <w:sz w:val="21"/>
                <w:highlight w:val="none"/>
                <w:lang w:val="en-US" w:eastAsia="zh-CN"/>
              </w:rPr>
              <w:t>150</w:t>
            </w:r>
            <w:r>
              <w:rPr>
                <w:rFonts w:hint="default" w:ascii="Times New Roman" w:hAnsi="Times New Roman" w:eastAsia="宋体" w:cs="Times New Roman"/>
                <w:b/>
                <w:bCs/>
                <w:color w:val="auto"/>
                <w:sz w:val="21"/>
                <w:highlight w:val="none"/>
              </w:rPr>
              <w:t>m</w:t>
            </w:r>
          </w:p>
        </w:tc>
        <w:tc>
          <w:tcPr>
            <w:tcW w:w="507" w:type="pct"/>
            <w:tcBorders>
              <w:tl2br w:val="nil"/>
              <w:tr2bl w:val="nil"/>
            </w:tcBorders>
            <w:noWrap w:val="0"/>
            <w:tcMar>
              <w:top w:w="0" w:type="dxa"/>
              <w:left w:w="108" w:type="dxa"/>
              <w:bottom w:w="0" w:type="dxa"/>
              <w:right w:w="108" w:type="dxa"/>
            </w:tcMar>
            <w:vAlign w:val="center"/>
          </w:tcPr>
          <w:p w14:paraId="39DEFFFC">
            <w:pPr>
              <w:keepNext w:val="0"/>
              <w:keepLines w:val="0"/>
              <w:pageBreakBefore w:val="0"/>
              <w:widowControl/>
              <w:kinsoku/>
              <w:wordWrap/>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cs="Times New Roman"/>
                <w:b/>
                <w:bCs/>
                <w:color w:val="auto"/>
                <w:sz w:val="21"/>
                <w:highlight w:val="none"/>
                <w:lang w:val="en-US" w:eastAsia="zh-CN"/>
              </w:rPr>
              <w:t>200</w:t>
            </w:r>
            <w:r>
              <w:rPr>
                <w:rFonts w:hint="default" w:ascii="Times New Roman" w:hAnsi="Times New Roman" w:eastAsia="宋体" w:cs="Times New Roman"/>
                <w:b/>
                <w:bCs/>
                <w:color w:val="auto"/>
                <w:sz w:val="21"/>
                <w:highlight w:val="none"/>
              </w:rPr>
              <w:t>m</w:t>
            </w:r>
          </w:p>
        </w:tc>
        <w:tc>
          <w:tcPr>
            <w:tcW w:w="529" w:type="pct"/>
            <w:tcBorders>
              <w:tl2br w:val="nil"/>
              <w:tr2bl w:val="nil"/>
            </w:tcBorders>
            <w:noWrap w:val="0"/>
            <w:tcMar>
              <w:top w:w="0" w:type="dxa"/>
              <w:left w:w="108" w:type="dxa"/>
              <w:bottom w:w="0" w:type="dxa"/>
              <w:right w:w="108" w:type="dxa"/>
            </w:tcMar>
            <w:vAlign w:val="center"/>
          </w:tcPr>
          <w:p w14:paraId="794061F0">
            <w:pPr>
              <w:keepNext w:val="0"/>
              <w:keepLines w:val="0"/>
              <w:pageBreakBefore w:val="0"/>
              <w:widowControl/>
              <w:kinsoku/>
              <w:wordWrap/>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cs="Times New Roman"/>
                <w:b/>
                <w:bCs/>
                <w:color w:val="auto"/>
                <w:sz w:val="21"/>
                <w:highlight w:val="none"/>
                <w:lang w:val="en-US" w:eastAsia="zh-CN"/>
              </w:rPr>
              <w:t>2</w:t>
            </w:r>
            <w:r>
              <w:rPr>
                <w:rFonts w:hint="default" w:ascii="Times New Roman" w:hAnsi="Times New Roman" w:eastAsia="宋体" w:cs="Times New Roman"/>
                <w:b/>
                <w:bCs/>
                <w:color w:val="auto"/>
                <w:sz w:val="21"/>
                <w:highlight w:val="none"/>
              </w:rPr>
              <w:t>50m</w:t>
            </w:r>
          </w:p>
        </w:tc>
        <w:tc>
          <w:tcPr>
            <w:tcW w:w="521" w:type="pct"/>
            <w:tcBorders>
              <w:tl2br w:val="nil"/>
              <w:tr2bl w:val="nil"/>
            </w:tcBorders>
            <w:noWrap w:val="0"/>
            <w:tcMar>
              <w:top w:w="0" w:type="dxa"/>
              <w:left w:w="108" w:type="dxa"/>
              <w:bottom w:w="0" w:type="dxa"/>
              <w:right w:w="108" w:type="dxa"/>
            </w:tcMar>
            <w:vAlign w:val="center"/>
          </w:tcPr>
          <w:p w14:paraId="72583C78">
            <w:pPr>
              <w:keepNext w:val="0"/>
              <w:keepLines w:val="0"/>
              <w:pageBreakBefore w:val="0"/>
              <w:widowControl/>
              <w:kinsoku/>
              <w:wordWrap/>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cs="Times New Roman"/>
                <w:b/>
                <w:bCs/>
                <w:color w:val="auto"/>
                <w:sz w:val="21"/>
                <w:highlight w:val="none"/>
                <w:lang w:val="en-US" w:eastAsia="zh-CN"/>
              </w:rPr>
              <w:t>3</w:t>
            </w:r>
            <w:r>
              <w:rPr>
                <w:rFonts w:hint="default" w:ascii="Times New Roman" w:hAnsi="Times New Roman" w:eastAsia="宋体" w:cs="Times New Roman"/>
                <w:b/>
                <w:bCs/>
                <w:color w:val="auto"/>
                <w:sz w:val="21"/>
                <w:highlight w:val="none"/>
              </w:rPr>
              <w:t>00m</w:t>
            </w:r>
          </w:p>
        </w:tc>
        <w:tc>
          <w:tcPr>
            <w:tcW w:w="543" w:type="pct"/>
            <w:tcBorders>
              <w:tl2br w:val="nil"/>
              <w:tr2bl w:val="nil"/>
            </w:tcBorders>
            <w:noWrap w:val="0"/>
            <w:tcMar>
              <w:top w:w="0" w:type="dxa"/>
              <w:left w:w="108" w:type="dxa"/>
              <w:bottom w:w="0" w:type="dxa"/>
              <w:right w:w="108" w:type="dxa"/>
            </w:tcMar>
            <w:vAlign w:val="center"/>
          </w:tcPr>
          <w:p w14:paraId="39FA7912">
            <w:pPr>
              <w:keepNext w:val="0"/>
              <w:keepLines w:val="0"/>
              <w:pageBreakBefore w:val="0"/>
              <w:widowControl/>
              <w:kinsoku/>
              <w:wordWrap/>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b/>
                <w:bCs/>
                <w:color w:val="auto"/>
                <w:sz w:val="21"/>
                <w:highlight w:val="none"/>
                <w:lang w:val="en-US" w:eastAsia="zh-CN"/>
              </w:rPr>
            </w:pPr>
            <w:r>
              <w:rPr>
                <w:rFonts w:hint="default" w:ascii="Times New Roman" w:hAnsi="Times New Roman" w:cs="Times New Roman"/>
                <w:b/>
                <w:bCs/>
                <w:color w:val="auto"/>
                <w:sz w:val="21"/>
                <w:highlight w:val="none"/>
                <w:lang w:val="en-US" w:eastAsia="zh-CN"/>
              </w:rPr>
              <w:t>400m</w:t>
            </w:r>
          </w:p>
        </w:tc>
      </w:tr>
      <w:tr w14:paraId="255C439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807" w:type="pct"/>
            <w:tcBorders>
              <w:tl2br w:val="nil"/>
              <w:tr2bl w:val="nil"/>
            </w:tcBorders>
            <w:shd w:val="clear" w:color="auto" w:fill="auto"/>
            <w:noWrap w:val="0"/>
            <w:tcMar>
              <w:top w:w="0" w:type="dxa"/>
              <w:left w:w="108" w:type="dxa"/>
              <w:bottom w:w="0" w:type="dxa"/>
              <w:right w:w="108" w:type="dxa"/>
            </w:tcMar>
            <w:vAlign w:val="center"/>
          </w:tcPr>
          <w:p w14:paraId="01B8F7F4">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装载机</w:t>
            </w:r>
          </w:p>
        </w:tc>
        <w:tc>
          <w:tcPr>
            <w:tcW w:w="417" w:type="pct"/>
            <w:tcBorders>
              <w:tl2br w:val="nil"/>
              <w:tr2bl w:val="nil"/>
            </w:tcBorders>
            <w:noWrap w:val="0"/>
            <w:tcMar>
              <w:top w:w="0" w:type="dxa"/>
              <w:left w:w="108" w:type="dxa"/>
              <w:bottom w:w="0" w:type="dxa"/>
              <w:right w:w="108" w:type="dxa"/>
            </w:tcMar>
            <w:vAlign w:val="center"/>
          </w:tcPr>
          <w:p w14:paraId="53AE20D3">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65</w:t>
            </w:r>
          </w:p>
        </w:tc>
        <w:tc>
          <w:tcPr>
            <w:tcW w:w="550" w:type="pct"/>
            <w:tcBorders>
              <w:tl2br w:val="nil"/>
              <w:tr2bl w:val="nil"/>
            </w:tcBorders>
            <w:noWrap w:val="0"/>
            <w:tcMar>
              <w:top w:w="0" w:type="dxa"/>
              <w:left w:w="108" w:type="dxa"/>
              <w:bottom w:w="0" w:type="dxa"/>
              <w:right w:w="108" w:type="dxa"/>
            </w:tcMar>
            <w:vAlign w:val="center"/>
          </w:tcPr>
          <w:p w14:paraId="0B9F0509">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59</w:t>
            </w:r>
          </w:p>
        </w:tc>
        <w:tc>
          <w:tcPr>
            <w:tcW w:w="513" w:type="pct"/>
            <w:tcBorders>
              <w:tl2br w:val="nil"/>
              <w:tr2bl w:val="nil"/>
            </w:tcBorders>
            <w:noWrap w:val="0"/>
            <w:tcMar>
              <w:top w:w="0" w:type="dxa"/>
              <w:left w:w="108" w:type="dxa"/>
              <w:bottom w:w="0" w:type="dxa"/>
              <w:right w:w="108" w:type="dxa"/>
            </w:tcMar>
            <w:vAlign w:val="center"/>
          </w:tcPr>
          <w:p w14:paraId="47D580A2">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45</w:t>
            </w:r>
          </w:p>
        </w:tc>
        <w:tc>
          <w:tcPr>
            <w:tcW w:w="610" w:type="pct"/>
            <w:tcBorders>
              <w:tl2br w:val="nil"/>
              <w:tr2bl w:val="nil"/>
            </w:tcBorders>
            <w:noWrap w:val="0"/>
            <w:tcMar>
              <w:top w:w="0" w:type="dxa"/>
              <w:left w:w="108" w:type="dxa"/>
              <w:bottom w:w="0" w:type="dxa"/>
              <w:right w:w="108" w:type="dxa"/>
            </w:tcMar>
            <w:vAlign w:val="center"/>
          </w:tcPr>
          <w:p w14:paraId="793CCDEB">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41</w:t>
            </w:r>
          </w:p>
        </w:tc>
        <w:tc>
          <w:tcPr>
            <w:tcW w:w="507" w:type="pct"/>
            <w:tcBorders>
              <w:tl2br w:val="nil"/>
              <w:tr2bl w:val="nil"/>
            </w:tcBorders>
            <w:noWrap w:val="0"/>
            <w:tcMar>
              <w:top w:w="0" w:type="dxa"/>
              <w:left w:w="108" w:type="dxa"/>
              <w:bottom w:w="0" w:type="dxa"/>
              <w:right w:w="108" w:type="dxa"/>
            </w:tcMar>
            <w:vAlign w:val="center"/>
          </w:tcPr>
          <w:p w14:paraId="231A4553">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39</w:t>
            </w:r>
          </w:p>
        </w:tc>
        <w:tc>
          <w:tcPr>
            <w:tcW w:w="529" w:type="pct"/>
            <w:tcBorders>
              <w:tl2br w:val="nil"/>
              <w:tr2bl w:val="nil"/>
            </w:tcBorders>
            <w:noWrap w:val="0"/>
            <w:tcMar>
              <w:top w:w="0" w:type="dxa"/>
              <w:left w:w="108" w:type="dxa"/>
              <w:bottom w:w="0" w:type="dxa"/>
              <w:right w:w="108" w:type="dxa"/>
            </w:tcMar>
            <w:vAlign w:val="center"/>
          </w:tcPr>
          <w:p w14:paraId="09370215">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37</w:t>
            </w:r>
          </w:p>
        </w:tc>
        <w:tc>
          <w:tcPr>
            <w:tcW w:w="521" w:type="pct"/>
            <w:tcBorders>
              <w:tl2br w:val="nil"/>
              <w:tr2bl w:val="nil"/>
            </w:tcBorders>
            <w:noWrap w:val="0"/>
            <w:tcMar>
              <w:top w:w="0" w:type="dxa"/>
              <w:left w:w="108" w:type="dxa"/>
              <w:bottom w:w="0" w:type="dxa"/>
              <w:right w:w="108" w:type="dxa"/>
            </w:tcMar>
            <w:vAlign w:val="center"/>
          </w:tcPr>
          <w:p w14:paraId="294995F7">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35</w:t>
            </w:r>
          </w:p>
        </w:tc>
        <w:tc>
          <w:tcPr>
            <w:tcW w:w="543" w:type="pct"/>
            <w:tcBorders>
              <w:tl2br w:val="nil"/>
              <w:tr2bl w:val="nil"/>
            </w:tcBorders>
            <w:noWrap w:val="0"/>
            <w:tcMar>
              <w:top w:w="0" w:type="dxa"/>
              <w:left w:w="108" w:type="dxa"/>
              <w:bottom w:w="0" w:type="dxa"/>
              <w:right w:w="108" w:type="dxa"/>
            </w:tcMar>
            <w:vAlign w:val="center"/>
          </w:tcPr>
          <w:p w14:paraId="7061D78B">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33</w:t>
            </w:r>
          </w:p>
        </w:tc>
      </w:tr>
      <w:tr w14:paraId="24466E40">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807" w:type="pct"/>
            <w:tcBorders>
              <w:tl2br w:val="nil"/>
              <w:tr2bl w:val="nil"/>
            </w:tcBorders>
            <w:shd w:val="clear" w:color="auto" w:fill="auto"/>
            <w:noWrap w:val="0"/>
            <w:tcMar>
              <w:top w:w="0" w:type="dxa"/>
              <w:left w:w="108" w:type="dxa"/>
              <w:bottom w:w="0" w:type="dxa"/>
              <w:right w:w="108" w:type="dxa"/>
            </w:tcMar>
            <w:vAlign w:val="center"/>
          </w:tcPr>
          <w:p w14:paraId="2152F98E">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运输车辆</w:t>
            </w:r>
          </w:p>
        </w:tc>
        <w:tc>
          <w:tcPr>
            <w:tcW w:w="417" w:type="pct"/>
            <w:tcBorders>
              <w:tl2br w:val="nil"/>
              <w:tr2bl w:val="nil"/>
            </w:tcBorders>
            <w:noWrap w:val="0"/>
            <w:tcMar>
              <w:top w:w="0" w:type="dxa"/>
              <w:left w:w="108" w:type="dxa"/>
              <w:bottom w:w="0" w:type="dxa"/>
              <w:right w:w="108" w:type="dxa"/>
            </w:tcMar>
            <w:vAlign w:val="center"/>
          </w:tcPr>
          <w:p w14:paraId="20108E8E">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60</w:t>
            </w:r>
          </w:p>
        </w:tc>
        <w:tc>
          <w:tcPr>
            <w:tcW w:w="550" w:type="pct"/>
            <w:tcBorders>
              <w:tl2br w:val="nil"/>
              <w:tr2bl w:val="nil"/>
            </w:tcBorders>
            <w:noWrap w:val="0"/>
            <w:tcMar>
              <w:top w:w="0" w:type="dxa"/>
              <w:left w:w="108" w:type="dxa"/>
              <w:bottom w:w="0" w:type="dxa"/>
              <w:right w:w="108" w:type="dxa"/>
            </w:tcMar>
            <w:vAlign w:val="center"/>
          </w:tcPr>
          <w:p w14:paraId="69306983">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54</w:t>
            </w:r>
          </w:p>
        </w:tc>
        <w:tc>
          <w:tcPr>
            <w:tcW w:w="513" w:type="pct"/>
            <w:tcBorders>
              <w:tl2br w:val="nil"/>
              <w:tr2bl w:val="nil"/>
            </w:tcBorders>
            <w:noWrap w:val="0"/>
            <w:tcMar>
              <w:top w:w="0" w:type="dxa"/>
              <w:left w:w="108" w:type="dxa"/>
              <w:bottom w:w="0" w:type="dxa"/>
              <w:right w:w="108" w:type="dxa"/>
            </w:tcMar>
            <w:vAlign w:val="center"/>
          </w:tcPr>
          <w:p w14:paraId="57BF48A6">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40</w:t>
            </w:r>
          </w:p>
        </w:tc>
        <w:tc>
          <w:tcPr>
            <w:tcW w:w="610" w:type="pct"/>
            <w:tcBorders>
              <w:tl2br w:val="nil"/>
              <w:tr2bl w:val="nil"/>
            </w:tcBorders>
            <w:noWrap w:val="0"/>
            <w:tcMar>
              <w:top w:w="0" w:type="dxa"/>
              <w:left w:w="108" w:type="dxa"/>
              <w:bottom w:w="0" w:type="dxa"/>
              <w:right w:w="108" w:type="dxa"/>
            </w:tcMar>
            <w:vAlign w:val="center"/>
          </w:tcPr>
          <w:p w14:paraId="191F7C43">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36</w:t>
            </w:r>
          </w:p>
        </w:tc>
        <w:tc>
          <w:tcPr>
            <w:tcW w:w="507" w:type="pct"/>
            <w:tcBorders>
              <w:tl2br w:val="nil"/>
              <w:tr2bl w:val="nil"/>
            </w:tcBorders>
            <w:noWrap w:val="0"/>
            <w:tcMar>
              <w:top w:w="0" w:type="dxa"/>
              <w:left w:w="108" w:type="dxa"/>
              <w:bottom w:w="0" w:type="dxa"/>
              <w:right w:w="108" w:type="dxa"/>
            </w:tcMar>
            <w:vAlign w:val="center"/>
          </w:tcPr>
          <w:p w14:paraId="344F5AB3">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34</w:t>
            </w:r>
          </w:p>
        </w:tc>
        <w:tc>
          <w:tcPr>
            <w:tcW w:w="529" w:type="pct"/>
            <w:tcBorders>
              <w:tl2br w:val="nil"/>
              <w:tr2bl w:val="nil"/>
            </w:tcBorders>
            <w:noWrap w:val="0"/>
            <w:tcMar>
              <w:top w:w="0" w:type="dxa"/>
              <w:left w:w="108" w:type="dxa"/>
              <w:bottom w:w="0" w:type="dxa"/>
              <w:right w:w="108" w:type="dxa"/>
            </w:tcMar>
            <w:vAlign w:val="center"/>
          </w:tcPr>
          <w:p w14:paraId="584547AD">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32</w:t>
            </w:r>
          </w:p>
        </w:tc>
        <w:tc>
          <w:tcPr>
            <w:tcW w:w="521" w:type="pct"/>
            <w:tcBorders>
              <w:tl2br w:val="nil"/>
              <w:tr2bl w:val="nil"/>
            </w:tcBorders>
            <w:noWrap w:val="0"/>
            <w:tcMar>
              <w:top w:w="0" w:type="dxa"/>
              <w:left w:w="108" w:type="dxa"/>
              <w:bottom w:w="0" w:type="dxa"/>
              <w:right w:w="108" w:type="dxa"/>
            </w:tcMar>
            <w:vAlign w:val="center"/>
          </w:tcPr>
          <w:p w14:paraId="3FB655CC">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30</w:t>
            </w:r>
          </w:p>
        </w:tc>
        <w:tc>
          <w:tcPr>
            <w:tcW w:w="543" w:type="pct"/>
            <w:tcBorders>
              <w:tl2br w:val="nil"/>
              <w:tr2bl w:val="nil"/>
            </w:tcBorders>
            <w:noWrap w:val="0"/>
            <w:tcMar>
              <w:top w:w="0" w:type="dxa"/>
              <w:left w:w="108" w:type="dxa"/>
              <w:bottom w:w="0" w:type="dxa"/>
              <w:right w:w="108" w:type="dxa"/>
            </w:tcMar>
            <w:vAlign w:val="center"/>
          </w:tcPr>
          <w:p w14:paraId="177BEB2B">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28</w:t>
            </w:r>
          </w:p>
        </w:tc>
      </w:tr>
      <w:tr w14:paraId="2D28494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807" w:type="pct"/>
            <w:tcBorders>
              <w:tl2br w:val="nil"/>
              <w:tr2bl w:val="nil"/>
            </w:tcBorders>
            <w:shd w:val="clear" w:color="auto" w:fill="auto"/>
            <w:noWrap w:val="0"/>
            <w:tcMar>
              <w:top w:w="0" w:type="dxa"/>
              <w:left w:w="108" w:type="dxa"/>
              <w:bottom w:w="0" w:type="dxa"/>
              <w:right w:w="108" w:type="dxa"/>
            </w:tcMar>
            <w:vAlign w:val="center"/>
          </w:tcPr>
          <w:p w14:paraId="3F91ABCB">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bidi="ar-SA"/>
              </w:rPr>
              <w:t>切割机</w:t>
            </w:r>
          </w:p>
        </w:tc>
        <w:tc>
          <w:tcPr>
            <w:tcW w:w="417" w:type="pct"/>
            <w:tcBorders>
              <w:tl2br w:val="nil"/>
              <w:tr2bl w:val="nil"/>
            </w:tcBorders>
            <w:shd w:val="clear" w:color="auto" w:fill="auto"/>
            <w:noWrap w:val="0"/>
            <w:tcMar>
              <w:top w:w="0" w:type="dxa"/>
              <w:left w:w="108" w:type="dxa"/>
              <w:bottom w:w="0" w:type="dxa"/>
              <w:right w:w="108" w:type="dxa"/>
            </w:tcMar>
            <w:vAlign w:val="center"/>
          </w:tcPr>
          <w:p w14:paraId="484FC56B">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rPr>
              <w:t>70</w:t>
            </w:r>
          </w:p>
        </w:tc>
        <w:tc>
          <w:tcPr>
            <w:tcW w:w="550" w:type="pct"/>
            <w:tcBorders>
              <w:tl2br w:val="nil"/>
              <w:tr2bl w:val="nil"/>
            </w:tcBorders>
            <w:shd w:val="clear" w:color="auto" w:fill="auto"/>
            <w:noWrap w:val="0"/>
            <w:tcMar>
              <w:top w:w="0" w:type="dxa"/>
              <w:left w:w="108" w:type="dxa"/>
              <w:bottom w:w="0" w:type="dxa"/>
              <w:right w:w="108" w:type="dxa"/>
            </w:tcMar>
            <w:vAlign w:val="center"/>
          </w:tcPr>
          <w:p w14:paraId="3CCA7AB0">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rPr>
              <w:t>64</w:t>
            </w:r>
          </w:p>
        </w:tc>
        <w:tc>
          <w:tcPr>
            <w:tcW w:w="513" w:type="pct"/>
            <w:tcBorders>
              <w:tl2br w:val="nil"/>
              <w:tr2bl w:val="nil"/>
            </w:tcBorders>
            <w:shd w:val="clear" w:color="auto" w:fill="auto"/>
            <w:noWrap w:val="0"/>
            <w:tcMar>
              <w:top w:w="0" w:type="dxa"/>
              <w:left w:w="108" w:type="dxa"/>
              <w:bottom w:w="0" w:type="dxa"/>
              <w:right w:w="108" w:type="dxa"/>
            </w:tcMar>
            <w:vAlign w:val="center"/>
          </w:tcPr>
          <w:p w14:paraId="641B1851">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rPr>
              <w:t>50</w:t>
            </w:r>
          </w:p>
        </w:tc>
        <w:tc>
          <w:tcPr>
            <w:tcW w:w="610" w:type="pct"/>
            <w:tcBorders>
              <w:tl2br w:val="nil"/>
              <w:tr2bl w:val="nil"/>
            </w:tcBorders>
            <w:shd w:val="clear" w:color="auto" w:fill="auto"/>
            <w:noWrap w:val="0"/>
            <w:tcMar>
              <w:top w:w="0" w:type="dxa"/>
              <w:left w:w="108" w:type="dxa"/>
              <w:bottom w:w="0" w:type="dxa"/>
              <w:right w:w="108" w:type="dxa"/>
            </w:tcMar>
            <w:vAlign w:val="center"/>
          </w:tcPr>
          <w:p w14:paraId="39C2F50A">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rPr>
              <w:t>46</w:t>
            </w:r>
          </w:p>
        </w:tc>
        <w:tc>
          <w:tcPr>
            <w:tcW w:w="507" w:type="pct"/>
            <w:tcBorders>
              <w:tl2br w:val="nil"/>
              <w:tr2bl w:val="nil"/>
            </w:tcBorders>
            <w:shd w:val="clear" w:color="auto" w:fill="auto"/>
            <w:noWrap w:val="0"/>
            <w:tcMar>
              <w:top w:w="0" w:type="dxa"/>
              <w:left w:w="108" w:type="dxa"/>
              <w:bottom w:w="0" w:type="dxa"/>
              <w:right w:w="108" w:type="dxa"/>
            </w:tcMar>
            <w:vAlign w:val="center"/>
          </w:tcPr>
          <w:p w14:paraId="3A59B624">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rPr>
              <w:t>44</w:t>
            </w:r>
          </w:p>
        </w:tc>
        <w:tc>
          <w:tcPr>
            <w:tcW w:w="529" w:type="pct"/>
            <w:tcBorders>
              <w:tl2br w:val="nil"/>
              <w:tr2bl w:val="nil"/>
            </w:tcBorders>
            <w:shd w:val="clear" w:color="auto" w:fill="auto"/>
            <w:noWrap w:val="0"/>
            <w:tcMar>
              <w:top w:w="0" w:type="dxa"/>
              <w:left w:w="108" w:type="dxa"/>
              <w:bottom w:w="0" w:type="dxa"/>
              <w:right w:w="108" w:type="dxa"/>
            </w:tcMar>
            <w:vAlign w:val="center"/>
          </w:tcPr>
          <w:p w14:paraId="4BA292E2">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rPr>
              <w:t>42</w:t>
            </w:r>
          </w:p>
        </w:tc>
        <w:tc>
          <w:tcPr>
            <w:tcW w:w="521" w:type="pct"/>
            <w:tcBorders>
              <w:tl2br w:val="nil"/>
              <w:tr2bl w:val="nil"/>
            </w:tcBorders>
            <w:shd w:val="clear" w:color="auto" w:fill="auto"/>
            <w:noWrap w:val="0"/>
            <w:tcMar>
              <w:top w:w="0" w:type="dxa"/>
              <w:left w:w="108" w:type="dxa"/>
              <w:bottom w:w="0" w:type="dxa"/>
              <w:right w:w="108" w:type="dxa"/>
            </w:tcMar>
            <w:vAlign w:val="center"/>
          </w:tcPr>
          <w:p w14:paraId="375AA3BA">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rPr>
              <w:t>40</w:t>
            </w:r>
          </w:p>
        </w:tc>
        <w:tc>
          <w:tcPr>
            <w:tcW w:w="543" w:type="pct"/>
            <w:tcBorders>
              <w:tl2br w:val="nil"/>
              <w:tr2bl w:val="nil"/>
            </w:tcBorders>
            <w:shd w:val="clear" w:color="auto" w:fill="auto"/>
            <w:noWrap w:val="0"/>
            <w:tcMar>
              <w:top w:w="0" w:type="dxa"/>
              <w:left w:w="108" w:type="dxa"/>
              <w:bottom w:w="0" w:type="dxa"/>
              <w:right w:w="108" w:type="dxa"/>
            </w:tcMar>
            <w:vAlign w:val="center"/>
          </w:tcPr>
          <w:p w14:paraId="31AA7F8B">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rPr>
              <w:t>38</w:t>
            </w:r>
          </w:p>
        </w:tc>
      </w:tr>
      <w:tr w14:paraId="0A3D000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c>
          <w:tcPr>
            <w:tcW w:w="807" w:type="pct"/>
            <w:tcBorders>
              <w:tl2br w:val="nil"/>
              <w:tr2bl w:val="nil"/>
            </w:tcBorders>
            <w:shd w:val="clear" w:color="auto" w:fill="auto"/>
            <w:noWrap w:val="0"/>
            <w:tcMar>
              <w:top w:w="0" w:type="dxa"/>
              <w:left w:w="108" w:type="dxa"/>
              <w:bottom w:w="0" w:type="dxa"/>
              <w:right w:w="108" w:type="dxa"/>
            </w:tcMar>
            <w:vAlign w:val="center"/>
          </w:tcPr>
          <w:p w14:paraId="437FCCB8">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bidi="ar-SA"/>
              </w:rPr>
            </w:pPr>
            <w:r>
              <w:rPr>
                <w:rFonts w:hint="default" w:ascii="Times New Roman" w:hAnsi="Times New Roman" w:cs="Times New Roman"/>
                <w:color w:val="auto"/>
                <w:sz w:val="21"/>
                <w:highlight w:val="none"/>
                <w:lang w:val="en-US" w:eastAsia="zh-CN" w:bidi="ar-SA"/>
              </w:rPr>
              <w:t>电焊机</w:t>
            </w:r>
          </w:p>
        </w:tc>
        <w:tc>
          <w:tcPr>
            <w:tcW w:w="417" w:type="pct"/>
            <w:tcBorders>
              <w:tl2br w:val="nil"/>
              <w:tr2bl w:val="nil"/>
            </w:tcBorders>
            <w:noWrap w:val="0"/>
            <w:tcMar>
              <w:top w:w="0" w:type="dxa"/>
              <w:left w:w="108" w:type="dxa"/>
              <w:bottom w:w="0" w:type="dxa"/>
              <w:right w:w="108" w:type="dxa"/>
            </w:tcMar>
            <w:vAlign w:val="center"/>
          </w:tcPr>
          <w:p w14:paraId="6F4BE25A">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65</w:t>
            </w:r>
          </w:p>
        </w:tc>
        <w:tc>
          <w:tcPr>
            <w:tcW w:w="550" w:type="pct"/>
            <w:tcBorders>
              <w:tl2br w:val="nil"/>
              <w:tr2bl w:val="nil"/>
            </w:tcBorders>
            <w:noWrap w:val="0"/>
            <w:tcMar>
              <w:top w:w="0" w:type="dxa"/>
              <w:left w:w="108" w:type="dxa"/>
              <w:bottom w:w="0" w:type="dxa"/>
              <w:right w:w="108" w:type="dxa"/>
            </w:tcMar>
            <w:vAlign w:val="center"/>
          </w:tcPr>
          <w:p w14:paraId="31F73522">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59</w:t>
            </w:r>
          </w:p>
        </w:tc>
        <w:tc>
          <w:tcPr>
            <w:tcW w:w="513" w:type="pct"/>
            <w:tcBorders>
              <w:tl2br w:val="nil"/>
              <w:tr2bl w:val="nil"/>
            </w:tcBorders>
            <w:noWrap w:val="0"/>
            <w:tcMar>
              <w:top w:w="0" w:type="dxa"/>
              <w:left w:w="108" w:type="dxa"/>
              <w:bottom w:w="0" w:type="dxa"/>
              <w:right w:w="108" w:type="dxa"/>
            </w:tcMar>
            <w:vAlign w:val="center"/>
          </w:tcPr>
          <w:p w14:paraId="60312B0C">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45</w:t>
            </w:r>
          </w:p>
        </w:tc>
        <w:tc>
          <w:tcPr>
            <w:tcW w:w="610" w:type="pct"/>
            <w:tcBorders>
              <w:tl2br w:val="nil"/>
              <w:tr2bl w:val="nil"/>
            </w:tcBorders>
            <w:noWrap w:val="0"/>
            <w:tcMar>
              <w:top w:w="0" w:type="dxa"/>
              <w:left w:w="108" w:type="dxa"/>
              <w:bottom w:w="0" w:type="dxa"/>
              <w:right w:w="108" w:type="dxa"/>
            </w:tcMar>
            <w:vAlign w:val="center"/>
          </w:tcPr>
          <w:p w14:paraId="117B80FD">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41</w:t>
            </w:r>
          </w:p>
        </w:tc>
        <w:tc>
          <w:tcPr>
            <w:tcW w:w="507" w:type="pct"/>
            <w:tcBorders>
              <w:tl2br w:val="nil"/>
              <w:tr2bl w:val="nil"/>
            </w:tcBorders>
            <w:noWrap w:val="0"/>
            <w:tcMar>
              <w:top w:w="0" w:type="dxa"/>
              <w:left w:w="108" w:type="dxa"/>
              <w:bottom w:w="0" w:type="dxa"/>
              <w:right w:w="108" w:type="dxa"/>
            </w:tcMar>
            <w:vAlign w:val="center"/>
          </w:tcPr>
          <w:p w14:paraId="5C769D15">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39</w:t>
            </w:r>
          </w:p>
        </w:tc>
        <w:tc>
          <w:tcPr>
            <w:tcW w:w="529" w:type="pct"/>
            <w:tcBorders>
              <w:tl2br w:val="nil"/>
              <w:tr2bl w:val="nil"/>
            </w:tcBorders>
            <w:noWrap w:val="0"/>
            <w:tcMar>
              <w:top w:w="0" w:type="dxa"/>
              <w:left w:w="108" w:type="dxa"/>
              <w:bottom w:w="0" w:type="dxa"/>
              <w:right w:w="108" w:type="dxa"/>
            </w:tcMar>
            <w:vAlign w:val="center"/>
          </w:tcPr>
          <w:p w14:paraId="3BFF51B4">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37</w:t>
            </w:r>
          </w:p>
        </w:tc>
        <w:tc>
          <w:tcPr>
            <w:tcW w:w="521" w:type="pct"/>
            <w:tcBorders>
              <w:tl2br w:val="nil"/>
              <w:tr2bl w:val="nil"/>
            </w:tcBorders>
            <w:noWrap w:val="0"/>
            <w:tcMar>
              <w:top w:w="0" w:type="dxa"/>
              <w:left w:w="108" w:type="dxa"/>
              <w:bottom w:w="0" w:type="dxa"/>
              <w:right w:w="108" w:type="dxa"/>
            </w:tcMar>
            <w:vAlign w:val="center"/>
          </w:tcPr>
          <w:p w14:paraId="688363AF">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35</w:t>
            </w:r>
          </w:p>
        </w:tc>
        <w:tc>
          <w:tcPr>
            <w:tcW w:w="543" w:type="pct"/>
            <w:tcBorders>
              <w:tl2br w:val="nil"/>
              <w:tr2bl w:val="nil"/>
            </w:tcBorders>
            <w:noWrap w:val="0"/>
            <w:tcMar>
              <w:top w:w="0" w:type="dxa"/>
              <w:left w:w="108" w:type="dxa"/>
              <w:bottom w:w="0" w:type="dxa"/>
              <w:right w:w="108" w:type="dxa"/>
            </w:tcMar>
            <w:vAlign w:val="center"/>
          </w:tcPr>
          <w:p w14:paraId="2D55E8A1">
            <w:pPr>
              <w:keepNext w:val="0"/>
              <w:keepLines w:val="0"/>
              <w:pageBreakBefore w:val="0"/>
              <w:kinsoku/>
              <w:wordWrap/>
              <w:overflowPunct w:val="0"/>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33</w:t>
            </w:r>
          </w:p>
        </w:tc>
      </w:tr>
    </w:tbl>
    <w:p w14:paraId="1CCB9DCC">
      <w:pPr>
        <w:keepNext w:val="0"/>
        <w:keepLines w:val="0"/>
        <w:pageBreakBefore w:val="0"/>
        <w:widowControl/>
        <w:kinsoku/>
        <w:wordWrap/>
        <w:overflowPunct/>
        <w:topLinePunct w:val="0"/>
        <w:autoSpaceDE/>
        <w:autoSpaceDN/>
        <w:bidi w:val="0"/>
        <w:adjustRightInd/>
        <w:snapToGrid w:val="0"/>
        <w:spacing w:before="157" w:beforeLines="50" w:line="360" w:lineRule="auto"/>
        <w:ind w:firstLine="482"/>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根据表</w:t>
      </w:r>
      <w:r>
        <w:rPr>
          <w:rFonts w:hint="default" w:ascii="Times New Roman" w:hAnsi="Times New Roman" w:cs="Times New Roman"/>
          <w:color w:val="auto"/>
          <w:sz w:val="24"/>
          <w:szCs w:val="24"/>
          <w:highlight w:val="none"/>
          <w:lang w:val="en-US" w:eastAsia="zh-CN"/>
        </w:rPr>
        <w:t>5.1.3</w:t>
      </w:r>
      <w:r>
        <w:rPr>
          <w:rFonts w:hint="default" w:ascii="Times New Roman" w:hAnsi="Times New Roman" w:eastAsia="宋体" w:cs="Times New Roman"/>
          <w:color w:val="auto"/>
          <w:sz w:val="24"/>
          <w:szCs w:val="24"/>
          <w:highlight w:val="none"/>
        </w:rPr>
        <w:t>的噪声预测结果表明：昼间施工机械噪声在距施工场地</w:t>
      </w:r>
      <w:r>
        <w:rPr>
          <w:rFonts w:hint="default"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0m以外可基本达到标准限值</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夜间不施工</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施工期间</w:t>
      </w:r>
      <w:r>
        <w:rPr>
          <w:rFonts w:hint="default" w:ascii="Times New Roman" w:hAnsi="Times New Roman" w:eastAsia="宋体" w:cs="Times New Roman"/>
          <w:color w:val="auto"/>
          <w:sz w:val="24"/>
          <w:szCs w:val="24"/>
          <w:highlight w:val="none"/>
        </w:rPr>
        <w:t>产生噪声均为间歇性噪声，项目区四周无声环境敏感目标，噪声经过距离衰减</w:t>
      </w:r>
      <w:r>
        <w:rPr>
          <w:rFonts w:hint="default" w:ascii="Times New Roman" w:hAnsi="Times New Roman" w:eastAsia="宋体" w:cs="Times New Roman"/>
          <w:color w:val="auto"/>
          <w:sz w:val="24"/>
          <w:szCs w:val="24"/>
          <w:highlight w:val="none"/>
          <w:lang w:val="en-US" w:eastAsia="zh-CN"/>
        </w:rPr>
        <w:t>并</w:t>
      </w:r>
      <w:r>
        <w:rPr>
          <w:rFonts w:hint="default" w:ascii="Times New Roman" w:hAnsi="Times New Roman" w:eastAsia="宋体" w:cs="Times New Roman"/>
          <w:color w:val="auto"/>
          <w:sz w:val="24"/>
          <w:szCs w:val="24"/>
          <w:highlight w:val="none"/>
        </w:rPr>
        <w:t>采取噪声控制措施后，建设期主要噪声源对外环境没有明显不利影响</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且噪声</w:t>
      </w:r>
      <w:r>
        <w:rPr>
          <w:rFonts w:hint="default" w:ascii="Times New Roman" w:hAnsi="Times New Roman" w:eastAsia="宋体" w:cs="Times New Roman"/>
          <w:color w:val="auto"/>
          <w:sz w:val="24"/>
          <w:szCs w:val="24"/>
          <w:highlight w:val="none"/>
        </w:rPr>
        <w:t>随着施工期结束而消失。</w:t>
      </w:r>
    </w:p>
    <w:p w14:paraId="2485CA9C">
      <w:pPr>
        <w:pStyle w:val="6"/>
        <w:rPr>
          <w:rFonts w:hint="default" w:ascii="Times New Roman" w:hAnsi="Times New Roman" w:cs="Times New Roman"/>
          <w:color w:val="auto"/>
        </w:rPr>
      </w:pPr>
      <w:r>
        <w:rPr>
          <w:rFonts w:hint="default" w:ascii="Times New Roman" w:hAnsi="Times New Roman" w:cs="Times New Roman"/>
          <w:color w:val="auto"/>
        </w:rPr>
        <w:t>为减少施工对周边环境的影响，施工单位应严格执行《中华人民共和国噪声污染防治法》和《建筑施工噪声排放标准》(GB12523-2025)相关要求，做好以下几点：</w:t>
      </w:r>
    </w:p>
    <w:p w14:paraId="63E892F7">
      <w:pPr>
        <w:pStyle w:val="6"/>
        <w:ind w:firstLine="472"/>
        <w:rPr>
          <w:rFonts w:hint="default" w:ascii="Times New Roman" w:hAnsi="Times New Roman" w:cs="Times New Roman"/>
          <w:color w:val="auto"/>
          <w:spacing w:val="-2"/>
        </w:rPr>
      </w:pPr>
      <w:r>
        <w:rPr>
          <w:rFonts w:hint="default" w:ascii="Times New Roman" w:hAnsi="Times New Roman" w:cs="Times New Roman"/>
          <w:color w:val="auto"/>
          <w:spacing w:val="-2"/>
          <w:lang w:val="en-US" w:eastAsia="zh-CN"/>
        </w:rPr>
        <w:t>①</w:t>
      </w:r>
      <w:r>
        <w:rPr>
          <w:rFonts w:hint="default" w:ascii="Times New Roman" w:hAnsi="Times New Roman" w:cs="Times New Roman"/>
          <w:color w:val="auto"/>
          <w:spacing w:val="-2"/>
        </w:rPr>
        <w:t>施工单位要加强操作人员的环境意识，对一些零星的手工作业。如拆装模板、装卸建材，尽可能做到轻拿轻放，并辅以一定的减缓措施，如铺设草包等。</w:t>
      </w:r>
    </w:p>
    <w:p w14:paraId="58F7FD34">
      <w:pPr>
        <w:pStyle w:val="6"/>
        <w:rPr>
          <w:rFonts w:hint="default" w:ascii="Times New Roman" w:hAnsi="Times New Roman" w:cs="Times New Roman"/>
          <w:color w:val="auto"/>
        </w:rPr>
      </w:pPr>
      <w:r>
        <w:rPr>
          <w:rFonts w:hint="default" w:ascii="Times New Roman" w:hAnsi="Times New Roman" w:cs="Times New Roman"/>
          <w:color w:val="auto"/>
          <w:lang w:val="en-US" w:eastAsia="zh-CN"/>
        </w:rPr>
        <w:t>②</w:t>
      </w:r>
      <w:r>
        <w:rPr>
          <w:rFonts w:hint="default" w:ascii="Times New Roman" w:hAnsi="Times New Roman" w:cs="Times New Roman"/>
          <w:color w:val="auto"/>
        </w:rPr>
        <w:t>施工期间对于噪声值较高的设备需放置于远离居民</w:t>
      </w:r>
      <w:r>
        <w:rPr>
          <w:rFonts w:hint="default" w:ascii="Times New Roman" w:hAnsi="Times New Roman" w:cs="Times New Roman"/>
          <w:color w:val="auto"/>
          <w:lang w:val="en-US" w:eastAsia="zh-CN"/>
        </w:rPr>
        <w:t>区</w:t>
      </w:r>
      <w:r>
        <w:rPr>
          <w:rFonts w:hint="default" w:ascii="Times New Roman" w:hAnsi="Times New Roman" w:cs="Times New Roman"/>
          <w:color w:val="auto"/>
        </w:rPr>
        <w:t>的地方，对于固定设备需设操作棚或临时声屏障。</w:t>
      </w:r>
    </w:p>
    <w:p w14:paraId="2C74609A">
      <w:pPr>
        <w:pStyle w:val="6"/>
        <w:rPr>
          <w:rFonts w:hint="default" w:ascii="Times New Roman" w:hAnsi="Times New Roman" w:cs="Times New Roman"/>
          <w:color w:val="auto"/>
        </w:rPr>
      </w:pPr>
      <w:r>
        <w:rPr>
          <w:rFonts w:hint="default" w:ascii="Times New Roman" w:hAnsi="Times New Roman" w:cs="Times New Roman"/>
          <w:color w:val="auto"/>
          <w:lang w:val="en-US" w:eastAsia="zh-CN"/>
        </w:rPr>
        <w:t>③</w:t>
      </w:r>
      <w:r>
        <w:rPr>
          <w:rFonts w:hint="default" w:ascii="Times New Roman" w:hAnsi="Times New Roman" w:cs="Times New Roman"/>
          <w:color w:val="auto"/>
        </w:rPr>
        <w:t>禁止在夜间施工，因工艺因素或其它特殊原因确需夜间施工的应提前向当地生态环境部门申请夜间施工许可，并依法接受监督。</w:t>
      </w:r>
    </w:p>
    <w:p w14:paraId="5B331935">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5.1.</w:t>
      </w:r>
      <w:r>
        <w:rPr>
          <w:rFonts w:hint="default" w:ascii="Times New Roman" w:hAnsi="Times New Roman" w:eastAsia="宋体" w:cs="Times New Roman"/>
          <w:b/>
          <w:bCs/>
          <w:sz w:val="24"/>
          <w:szCs w:val="16"/>
          <w:highlight w:val="none"/>
          <w:lang w:val="en-US" w:eastAsia="zh-CN"/>
        </w:rPr>
        <w:t>4</w:t>
      </w:r>
      <w:r>
        <w:rPr>
          <w:rFonts w:hint="default" w:ascii="Times New Roman" w:hAnsi="Times New Roman" w:eastAsia="宋体" w:cs="Times New Roman"/>
          <w:b/>
          <w:bCs/>
          <w:sz w:val="24"/>
          <w:szCs w:val="16"/>
          <w:highlight w:val="none"/>
        </w:rPr>
        <w:t>固体废物影响分析</w:t>
      </w:r>
    </w:p>
    <w:p w14:paraId="2C37015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施工期产生的固体废物主要为生活垃圾和建筑垃圾。</w:t>
      </w:r>
    </w:p>
    <w:p w14:paraId="0C2C383F">
      <w:pPr>
        <w:pStyle w:val="6"/>
        <w:rPr>
          <w:rFonts w:hint="default" w:ascii="Times New Roman" w:hAnsi="Times New Roman" w:cs="Times New Roman"/>
          <w:color w:val="auto"/>
        </w:rPr>
      </w:pPr>
      <w:r>
        <w:rPr>
          <w:rFonts w:hint="default" w:ascii="Times New Roman" w:hAnsi="Times New Roman" w:cs="Times New Roman"/>
          <w:color w:val="auto"/>
        </w:rPr>
        <w:t>（1）建筑垃圾</w:t>
      </w:r>
    </w:p>
    <w:p w14:paraId="27CB9EBD">
      <w:pPr>
        <w:pStyle w:val="6"/>
        <w:rPr>
          <w:rFonts w:hint="default" w:ascii="Times New Roman" w:hAnsi="Times New Roman" w:cs="Times New Roman"/>
          <w:color w:val="auto"/>
        </w:rPr>
      </w:pPr>
      <w:r>
        <w:rPr>
          <w:rFonts w:hint="default" w:ascii="Times New Roman" w:hAnsi="Times New Roman" w:cs="Times New Roman"/>
          <w:color w:val="auto"/>
        </w:rPr>
        <w:t>施工期建筑垃圾主要包括渣土、残砖断瓦、废钢筋头、废金属碎片、废包装等。渣土等建筑垃圾若长期堆存，会产生大量扬尘，影响周围环境，应由施工方清运至管理部门指定的建筑垃圾堆放场。</w:t>
      </w:r>
    </w:p>
    <w:p w14:paraId="3127B934">
      <w:pPr>
        <w:pStyle w:val="6"/>
        <w:rPr>
          <w:rFonts w:hint="default" w:ascii="Times New Roman" w:hAnsi="Times New Roman" w:cs="Times New Roman"/>
          <w:color w:val="auto"/>
        </w:rPr>
      </w:pPr>
      <w:r>
        <w:rPr>
          <w:rFonts w:hint="default" w:ascii="Times New Roman" w:hAnsi="Times New Roman" w:cs="Times New Roman"/>
          <w:color w:val="auto"/>
        </w:rPr>
        <w:t>工程建设单位应会同有关部门，为本项目的建筑垃圾制定处置计划，尽可能做到土石方平衡，尽可能用于厂内筑路、填沟等。需要外运处理的应按规定路线运输，按规定地点处置，严禁乱排建筑垃圾。</w:t>
      </w:r>
    </w:p>
    <w:p w14:paraId="0C52AC90">
      <w:pPr>
        <w:pStyle w:val="6"/>
        <w:rPr>
          <w:rFonts w:hint="default" w:ascii="Times New Roman" w:hAnsi="Times New Roman" w:cs="Times New Roman"/>
          <w:color w:val="auto"/>
        </w:rPr>
      </w:pPr>
      <w:r>
        <w:rPr>
          <w:rFonts w:hint="default" w:ascii="Times New Roman" w:hAnsi="Times New Roman" w:cs="Times New Roman"/>
          <w:color w:val="auto"/>
        </w:rPr>
        <w:t>（2）生活垃圾</w:t>
      </w:r>
    </w:p>
    <w:p w14:paraId="00F9B1AD">
      <w:pPr>
        <w:pStyle w:val="6"/>
        <w:rPr>
          <w:rFonts w:hint="default" w:ascii="Times New Roman" w:hAnsi="Times New Roman" w:eastAsia="宋体" w:cs="Times New Roman"/>
          <w:color w:val="auto"/>
          <w:lang w:val="en-US" w:eastAsia="zh-CN"/>
        </w:rPr>
      </w:pPr>
      <w:r>
        <w:rPr>
          <w:rFonts w:hint="default" w:ascii="Times New Roman" w:hAnsi="Times New Roman" w:cs="Times New Roman"/>
          <w:color w:val="auto"/>
        </w:rPr>
        <w:t>项目施工</w:t>
      </w:r>
      <w:r>
        <w:rPr>
          <w:rFonts w:hint="default" w:ascii="Times New Roman" w:hAnsi="Times New Roman" w:eastAsia="宋体" w:cs="Times New Roman"/>
          <w:color w:val="auto"/>
          <w:lang w:val="en-US" w:eastAsia="zh-CN"/>
        </w:rPr>
        <w:t>期间施工人员约10人，每人每天产生垃圾量按0.5kg计算，施工人员产生的生活垃圾约为5kg/d。生活垃圾收集于垃圾桶内，垃圾桶加盖密闭，避免臭气逸散，定期运至垃圾填埋场处理，对环境不利影响较小。</w:t>
      </w:r>
    </w:p>
    <w:p w14:paraId="5DA4EEC5">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lang w:eastAsia="zh-CN"/>
        </w:rPr>
      </w:pPr>
      <w:r>
        <w:rPr>
          <w:rFonts w:hint="default" w:ascii="Times New Roman" w:hAnsi="Times New Roman" w:eastAsia="宋体" w:cs="Times New Roman"/>
          <w:b/>
          <w:bCs/>
          <w:sz w:val="24"/>
          <w:szCs w:val="16"/>
          <w:highlight w:val="none"/>
        </w:rPr>
        <w:t>5.1.5</w:t>
      </w:r>
      <w:r>
        <w:rPr>
          <w:rFonts w:hint="default" w:ascii="Times New Roman" w:hAnsi="Times New Roman" w:eastAsia="宋体" w:cs="Times New Roman"/>
          <w:b/>
          <w:bCs/>
          <w:sz w:val="24"/>
          <w:szCs w:val="16"/>
          <w:highlight w:val="none"/>
          <w:lang w:val="en-US" w:eastAsia="zh-CN"/>
        </w:rPr>
        <w:t>小结</w:t>
      </w:r>
    </w:p>
    <w:p w14:paraId="3D5D127E">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综上，项目施工期产生的废气、粉尘、废水、固体废物以及噪声会对周边环境产生不利影响，但是本项目施工期时间较短，施工结束后各类影响随即消失，因此施工期环境不利影响较小。</w:t>
      </w:r>
    </w:p>
    <w:p w14:paraId="798B72F8">
      <w:pPr>
        <w:keepNext/>
        <w:keepLines/>
        <w:pageBreakBefore w:val="0"/>
        <w:widowControl/>
        <w:kinsoku/>
        <w:wordWrap/>
        <w:overflowPunct/>
        <w:topLinePunct w:val="0"/>
        <w:autoSpaceDE/>
        <w:autoSpaceDN/>
        <w:bidi w:val="0"/>
        <w:adjustRightInd/>
        <w:snapToGrid w:val="0"/>
        <w:spacing w:line="360" w:lineRule="auto"/>
        <w:jc w:val="left"/>
        <w:textAlignment w:val="auto"/>
        <w:outlineLvl w:val="1"/>
        <w:rPr>
          <w:rFonts w:hint="default" w:ascii="Times New Roman" w:hAnsi="Times New Roman" w:eastAsia="宋体" w:cs="Times New Roman"/>
          <w:b/>
          <w:bCs/>
          <w:sz w:val="24"/>
          <w:szCs w:val="16"/>
          <w:highlight w:val="none"/>
          <w:lang w:val="en-US" w:eastAsia="zh-CN"/>
        </w:rPr>
      </w:pPr>
      <w:bookmarkStart w:id="184" w:name="_Toc9868260"/>
      <w:bookmarkStart w:id="185" w:name="_Toc22419"/>
      <w:bookmarkStart w:id="186" w:name="_Toc9701"/>
      <w:bookmarkStart w:id="187" w:name="_Toc23501"/>
      <w:r>
        <w:rPr>
          <w:rFonts w:hint="default" w:ascii="Times New Roman" w:hAnsi="Times New Roman" w:eastAsia="宋体" w:cs="Times New Roman"/>
          <w:b/>
          <w:bCs/>
          <w:sz w:val="24"/>
          <w:szCs w:val="16"/>
          <w:highlight w:val="none"/>
        </w:rPr>
        <w:t>5.</w:t>
      </w:r>
      <w:r>
        <w:rPr>
          <w:rFonts w:hint="default" w:ascii="Times New Roman" w:hAnsi="Times New Roman" w:cs="Times New Roman"/>
          <w:b/>
          <w:bCs/>
          <w:sz w:val="24"/>
          <w:szCs w:val="16"/>
          <w:highlight w:val="none"/>
          <w:lang w:val="en-US" w:eastAsia="zh-CN"/>
        </w:rPr>
        <w:t>2</w:t>
      </w:r>
      <w:r>
        <w:rPr>
          <w:rFonts w:hint="default" w:ascii="Times New Roman" w:hAnsi="Times New Roman" w:eastAsia="宋体" w:cs="Times New Roman"/>
          <w:b/>
          <w:bCs/>
          <w:sz w:val="24"/>
          <w:szCs w:val="16"/>
          <w:highlight w:val="none"/>
          <w:lang w:val="en-US" w:eastAsia="zh-CN"/>
        </w:rPr>
        <w:t>运营</w:t>
      </w:r>
      <w:r>
        <w:rPr>
          <w:rFonts w:hint="default" w:ascii="Times New Roman" w:hAnsi="Times New Roman" w:eastAsia="宋体" w:cs="Times New Roman"/>
          <w:b/>
          <w:bCs/>
          <w:sz w:val="24"/>
          <w:szCs w:val="16"/>
          <w:highlight w:val="none"/>
        </w:rPr>
        <w:t>期环境影响预测与</w:t>
      </w:r>
      <w:bookmarkEnd w:id="184"/>
      <w:r>
        <w:rPr>
          <w:rFonts w:hint="default" w:ascii="Times New Roman" w:hAnsi="Times New Roman" w:eastAsia="宋体" w:cs="Times New Roman"/>
          <w:b/>
          <w:bCs/>
          <w:sz w:val="24"/>
          <w:szCs w:val="16"/>
          <w:highlight w:val="none"/>
          <w:lang w:val="en-US" w:eastAsia="zh-CN"/>
        </w:rPr>
        <w:t>评价</w:t>
      </w:r>
      <w:bookmarkEnd w:id="185"/>
      <w:bookmarkEnd w:id="186"/>
      <w:bookmarkEnd w:id="187"/>
    </w:p>
    <w:p w14:paraId="1AD6F04D">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5.2.</w:t>
      </w:r>
      <w:r>
        <w:rPr>
          <w:rFonts w:hint="default" w:ascii="Times New Roman" w:hAnsi="Times New Roman" w:cs="Times New Roman"/>
          <w:b/>
          <w:bCs/>
          <w:sz w:val="24"/>
          <w:szCs w:val="16"/>
          <w:highlight w:val="none"/>
          <w:lang w:val="en-US" w:eastAsia="zh-CN"/>
        </w:rPr>
        <w:t>1</w:t>
      </w:r>
      <w:r>
        <w:rPr>
          <w:rFonts w:hint="default" w:ascii="Times New Roman" w:hAnsi="Times New Roman" w:eastAsia="宋体" w:cs="Times New Roman"/>
          <w:b/>
          <w:bCs/>
          <w:sz w:val="24"/>
          <w:szCs w:val="16"/>
          <w:highlight w:val="none"/>
        </w:rPr>
        <w:t>大气环境影响</w:t>
      </w:r>
      <w:r>
        <w:rPr>
          <w:rFonts w:hint="default" w:ascii="Times New Roman" w:hAnsi="Times New Roman" w:eastAsia="宋体" w:cs="Times New Roman"/>
          <w:b/>
          <w:bCs/>
          <w:sz w:val="24"/>
          <w:szCs w:val="16"/>
          <w:highlight w:val="none"/>
          <w:lang w:val="en-US" w:eastAsia="zh-CN"/>
        </w:rPr>
        <w:t>预测与</w:t>
      </w:r>
      <w:r>
        <w:rPr>
          <w:rFonts w:hint="default" w:ascii="Times New Roman" w:hAnsi="Times New Roman" w:eastAsia="宋体" w:cs="Times New Roman"/>
          <w:b/>
          <w:bCs/>
          <w:sz w:val="24"/>
          <w:szCs w:val="16"/>
          <w:highlight w:val="none"/>
        </w:rPr>
        <w:t>评价</w:t>
      </w:r>
    </w:p>
    <w:p w14:paraId="4E27F4A8">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rPr>
      </w:pPr>
      <w:bookmarkStart w:id="188" w:name="_Toc26847"/>
      <w:bookmarkStart w:id="189" w:name="_Toc26049"/>
      <w:bookmarkStart w:id="190" w:name="_Toc14441"/>
      <w:r>
        <w:rPr>
          <w:rFonts w:hint="default" w:ascii="Times New Roman" w:hAnsi="Times New Roman" w:eastAsia="宋体" w:cs="Times New Roman"/>
          <w:b/>
          <w:bCs/>
          <w:sz w:val="24"/>
          <w:szCs w:val="16"/>
          <w:highlight w:val="none"/>
        </w:rPr>
        <w:t>5.2.1</w:t>
      </w:r>
      <w:bookmarkEnd w:id="188"/>
      <w:r>
        <w:rPr>
          <w:rFonts w:hint="default" w:ascii="Times New Roman" w:hAnsi="Times New Roman" w:eastAsia="宋体" w:cs="Times New Roman"/>
          <w:b/>
          <w:bCs/>
          <w:sz w:val="24"/>
          <w:szCs w:val="16"/>
          <w:highlight w:val="none"/>
          <w:lang w:val="en-US" w:eastAsia="zh-CN"/>
        </w:rPr>
        <w:t>.1</w:t>
      </w:r>
      <w:r>
        <w:rPr>
          <w:rFonts w:hint="default" w:ascii="Times New Roman" w:hAnsi="Times New Roman" w:eastAsia="宋体" w:cs="Times New Roman"/>
          <w:b/>
          <w:bCs/>
          <w:sz w:val="24"/>
          <w:szCs w:val="16"/>
          <w:highlight w:val="none"/>
        </w:rPr>
        <w:t>评价因子</w:t>
      </w:r>
      <w:bookmarkEnd w:id="189"/>
      <w:bookmarkEnd w:id="190"/>
    </w:p>
    <w:p w14:paraId="6CB5ED54">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bCs/>
          <w:sz w:val="24"/>
          <w:szCs w:val="24"/>
          <w:highlight w:val="none"/>
          <w:u w:val="single"/>
        </w:rPr>
      </w:pPr>
      <w:r>
        <w:rPr>
          <w:rFonts w:hint="default" w:ascii="Times New Roman" w:hAnsi="Times New Roman" w:cs="Times New Roman"/>
          <w:b w:val="0"/>
          <w:bCs w:val="0"/>
          <w:sz w:val="24"/>
          <w:szCs w:val="24"/>
          <w:highlight w:val="none"/>
          <w:u w:val="none"/>
        </w:rPr>
        <w:t>根据本项</w:t>
      </w:r>
      <w:r>
        <w:rPr>
          <w:rFonts w:hint="default" w:ascii="Times New Roman" w:hAnsi="Times New Roman" w:cs="Times New Roman"/>
          <w:b w:val="0"/>
          <w:bCs w:val="0"/>
          <w:sz w:val="24"/>
          <w:szCs w:val="24"/>
          <w:highlight w:val="none"/>
          <w:u w:val="none"/>
          <w:lang w:val="en-US" w:eastAsia="zh-CN"/>
        </w:rPr>
        <w:t>工程</w:t>
      </w:r>
      <w:r>
        <w:rPr>
          <w:rFonts w:hint="default" w:ascii="Times New Roman" w:hAnsi="Times New Roman" w:cs="Times New Roman"/>
          <w:b w:val="0"/>
          <w:bCs w:val="0"/>
          <w:sz w:val="24"/>
          <w:szCs w:val="24"/>
          <w:highlight w:val="none"/>
          <w:u w:val="none"/>
        </w:rPr>
        <w:t>大气污染物的产排特征，本项目主要涉及的污染物</w:t>
      </w:r>
      <w:r>
        <w:rPr>
          <w:rFonts w:hint="default" w:ascii="Times New Roman" w:hAnsi="Times New Roman" w:cs="Times New Roman"/>
          <w:b w:val="0"/>
          <w:bCs w:val="0"/>
          <w:sz w:val="24"/>
          <w:szCs w:val="24"/>
          <w:highlight w:val="none"/>
          <w:u w:val="none"/>
          <w:lang w:val="en-US" w:eastAsia="zh-CN"/>
        </w:rPr>
        <w:t>为TSP</w:t>
      </w:r>
      <w:r>
        <w:rPr>
          <w:rFonts w:hint="default" w:ascii="Times New Roman" w:hAnsi="Times New Roman" w:cs="Times New Roman"/>
          <w:b w:val="0"/>
          <w:bCs w:val="0"/>
          <w:sz w:val="24"/>
          <w:highlight w:val="none"/>
          <w:u w:val="none"/>
          <w:lang w:val="en-US" w:eastAsia="zh-CN"/>
        </w:rPr>
        <w:t>，</w:t>
      </w:r>
      <w:r>
        <w:rPr>
          <w:rFonts w:hint="default" w:ascii="Times New Roman" w:hAnsi="Times New Roman" w:cs="Times New Roman"/>
          <w:b w:val="0"/>
          <w:bCs w:val="0"/>
          <w:sz w:val="24"/>
          <w:highlight w:val="none"/>
          <w:u w:val="none"/>
        </w:rPr>
        <w:t>根据《环境影响评价技术导则 大气环境》（HJ2.2-2018）（简称“导则”）要求：“当建设项目排放的SO</w:t>
      </w:r>
      <w:r>
        <w:rPr>
          <w:rFonts w:hint="default" w:ascii="Times New Roman" w:hAnsi="Times New Roman" w:cs="Times New Roman"/>
          <w:b w:val="0"/>
          <w:bCs w:val="0"/>
          <w:sz w:val="24"/>
          <w:highlight w:val="none"/>
          <w:u w:val="none"/>
          <w:vertAlign w:val="subscript"/>
        </w:rPr>
        <w:t>2</w:t>
      </w:r>
      <w:r>
        <w:rPr>
          <w:rFonts w:hint="default" w:ascii="Times New Roman" w:hAnsi="Times New Roman" w:cs="Times New Roman"/>
          <w:b w:val="0"/>
          <w:bCs w:val="0"/>
          <w:sz w:val="24"/>
          <w:highlight w:val="none"/>
          <w:u w:val="none"/>
        </w:rPr>
        <w:t>、NO</w:t>
      </w:r>
      <w:r>
        <w:rPr>
          <w:rFonts w:hint="default" w:ascii="Times New Roman" w:hAnsi="Times New Roman" w:cs="Times New Roman"/>
          <w:b w:val="0"/>
          <w:bCs w:val="0"/>
          <w:sz w:val="24"/>
          <w:highlight w:val="none"/>
          <w:u w:val="none"/>
          <w:vertAlign w:val="subscript"/>
          <w:lang w:val="en-US" w:eastAsia="zh-CN"/>
        </w:rPr>
        <w:t>x</w:t>
      </w:r>
      <w:r>
        <w:rPr>
          <w:rFonts w:hint="default" w:ascii="Times New Roman" w:hAnsi="Times New Roman" w:cs="Times New Roman"/>
          <w:b w:val="0"/>
          <w:bCs w:val="0"/>
          <w:sz w:val="24"/>
          <w:highlight w:val="none"/>
          <w:u w:val="none"/>
        </w:rPr>
        <w:t>年排放量大于或等于500t/a时，评价因子应增加二次PM</w:t>
      </w:r>
      <w:r>
        <w:rPr>
          <w:rFonts w:hint="default" w:ascii="Times New Roman" w:hAnsi="Times New Roman" w:cs="Times New Roman"/>
          <w:b w:val="0"/>
          <w:bCs w:val="0"/>
          <w:sz w:val="24"/>
          <w:highlight w:val="none"/>
          <w:u w:val="none"/>
          <w:vertAlign w:val="subscript"/>
        </w:rPr>
        <w:t>2.5</w:t>
      </w:r>
      <w:r>
        <w:rPr>
          <w:rFonts w:hint="default" w:ascii="Times New Roman" w:hAnsi="Times New Roman" w:cs="Times New Roman"/>
          <w:b w:val="0"/>
          <w:bCs w:val="0"/>
          <w:sz w:val="24"/>
          <w:highlight w:val="none"/>
          <w:u w:val="none"/>
        </w:rPr>
        <w:t>”，根据工程分析，本项目SO</w:t>
      </w:r>
      <w:r>
        <w:rPr>
          <w:rFonts w:hint="default" w:ascii="Times New Roman" w:hAnsi="Times New Roman" w:cs="Times New Roman"/>
          <w:b w:val="0"/>
          <w:bCs w:val="0"/>
          <w:sz w:val="24"/>
          <w:highlight w:val="none"/>
          <w:u w:val="none"/>
          <w:vertAlign w:val="subscript"/>
        </w:rPr>
        <w:t>2</w:t>
      </w:r>
      <w:r>
        <w:rPr>
          <w:rFonts w:hint="default" w:ascii="Times New Roman" w:hAnsi="Times New Roman" w:cs="Times New Roman"/>
          <w:b w:val="0"/>
          <w:bCs w:val="0"/>
          <w:sz w:val="24"/>
          <w:highlight w:val="none"/>
          <w:u w:val="none"/>
        </w:rPr>
        <w:t>+NO</w:t>
      </w:r>
      <w:r>
        <w:rPr>
          <w:rFonts w:hint="default" w:ascii="Times New Roman" w:hAnsi="Times New Roman" w:cs="Times New Roman"/>
          <w:b w:val="0"/>
          <w:bCs w:val="0"/>
          <w:sz w:val="24"/>
          <w:highlight w:val="none"/>
          <w:u w:val="none"/>
          <w:vertAlign w:val="subscript"/>
          <w:lang w:val="en-US" w:eastAsia="zh-CN"/>
        </w:rPr>
        <w:t>x</w:t>
      </w:r>
      <w:r>
        <w:rPr>
          <w:rFonts w:hint="default" w:ascii="Times New Roman" w:hAnsi="Times New Roman" w:cs="Times New Roman"/>
          <w:b w:val="0"/>
          <w:bCs w:val="0"/>
          <w:sz w:val="24"/>
          <w:highlight w:val="none"/>
          <w:u w:val="none"/>
        </w:rPr>
        <w:t>排放量小于500t/a，无需增加二次污染物评价因子。因此，本项目大气环境影响评价因子确定为</w:t>
      </w:r>
      <w:r>
        <w:rPr>
          <w:rFonts w:hint="default" w:ascii="Times New Roman" w:hAnsi="Times New Roman" w:cs="Times New Roman"/>
          <w:b w:val="0"/>
          <w:bCs w:val="0"/>
          <w:sz w:val="24"/>
          <w:szCs w:val="24"/>
          <w:highlight w:val="none"/>
          <w:u w:val="none"/>
          <w:vertAlign w:val="baseline"/>
          <w:lang w:val="en-US" w:eastAsia="zh-CN"/>
        </w:rPr>
        <w:t>TSP</w:t>
      </w:r>
      <w:r>
        <w:rPr>
          <w:rFonts w:hint="default" w:ascii="Times New Roman" w:hAnsi="Times New Roman" w:cs="Times New Roman"/>
          <w:b w:val="0"/>
          <w:bCs w:val="0"/>
          <w:sz w:val="24"/>
          <w:highlight w:val="none"/>
          <w:u w:val="none"/>
        </w:rPr>
        <w:t>，共计</w:t>
      </w:r>
      <w:r>
        <w:rPr>
          <w:rFonts w:hint="default" w:ascii="Times New Roman" w:hAnsi="Times New Roman" w:cs="Times New Roman"/>
          <w:b w:val="0"/>
          <w:bCs w:val="0"/>
          <w:sz w:val="24"/>
          <w:highlight w:val="none"/>
          <w:u w:val="none"/>
          <w:lang w:val="en-US" w:eastAsia="zh-CN"/>
        </w:rPr>
        <w:t>1</w:t>
      </w:r>
      <w:r>
        <w:rPr>
          <w:rFonts w:hint="default" w:ascii="Times New Roman" w:hAnsi="Times New Roman" w:cs="Times New Roman"/>
          <w:b w:val="0"/>
          <w:bCs w:val="0"/>
          <w:sz w:val="24"/>
          <w:highlight w:val="none"/>
          <w:u w:val="none"/>
        </w:rPr>
        <w:t>个因子。</w:t>
      </w:r>
    </w:p>
    <w:p w14:paraId="2CB2F9A1">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rPr>
      </w:pPr>
      <w:bookmarkStart w:id="191" w:name="_Toc27296"/>
      <w:bookmarkStart w:id="192" w:name="_Toc4596"/>
      <w:r>
        <w:rPr>
          <w:rFonts w:hint="default" w:ascii="Times New Roman" w:hAnsi="Times New Roman" w:eastAsia="宋体" w:cs="Times New Roman"/>
          <w:b/>
          <w:bCs/>
          <w:sz w:val="24"/>
          <w:szCs w:val="16"/>
          <w:highlight w:val="none"/>
        </w:rPr>
        <w:t>5.2.</w:t>
      </w:r>
      <w:r>
        <w:rPr>
          <w:rFonts w:hint="default" w:ascii="Times New Roman" w:hAnsi="Times New Roman" w:eastAsia="宋体" w:cs="Times New Roman"/>
          <w:b/>
          <w:bCs/>
          <w:sz w:val="24"/>
          <w:szCs w:val="16"/>
          <w:highlight w:val="none"/>
          <w:lang w:val="en-US" w:eastAsia="zh-CN"/>
        </w:rPr>
        <w:t>1.2</w:t>
      </w:r>
      <w:r>
        <w:rPr>
          <w:rFonts w:hint="default" w:ascii="Times New Roman" w:hAnsi="Times New Roman" w:eastAsia="宋体" w:cs="Times New Roman"/>
          <w:b/>
          <w:bCs/>
          <w:sz w:val="24"/>
          <w:szCs w:val="16"/>
          <w:highlight w:val="none"/>
        </w:rPr>
        <w:t>评价标准</w:t>
      </w:r>
      <w:bookmarkEnd w:id="191"/>
      <w:bookmarkEnd w:id="192"/>
    </w:p>
    <w:p w14:paraId="374214F6">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szCs w:val="16"/>
        </w:rPr>
      </w:pPr>
      <w:r>
        <w:rPr>
          <w:rFonts w:hint="default" w:ascii="Times New Roman" w:hAnsi="Times New Roman" w:cs="Times New Roman"/>
          <w:sz w:val="24"/>
          <w:lang w:eastAsia="zh-CN"/>
        </w:rPr>
        <w:t>本</w:t>
      </w:r>
      <w:r>
        <w:rPr>
          <w:rFonts w:hint="default" w:ascii="Times New Roman" w:hAnsi="Times New Roman" w:cs="Times New Roman"/>
          <w:sz w:val="24"/>
        </w:rPr>
        <w:t>项目</w:t>
      </w:r>
      <w:r>
        <w:rPr>
          <w:rFonts w:hint="default" w:ascii="Times New Roman" w:hAnsi="Times New Roman" w:cs="Times New Roman"/>
          <w:sz w:val="24"/>
          <w:lang w:eastAsia="zh-CN"/>
        </w:rPr>
        <w:t>环境空气</w:t>
      </w:r>
      <w:r>
        <w:rPr>
          <w:rFonts w:hint="default" w:ascii="Times New Roman" w:hAnsi="Times New Roman" w:cs="Times New Roman"/>
          <w:sz w:val="24"/>
        </w:rPr>
        <w:t>评价执行《环境空气质量标准》（GB3095-2026）中过渡阶段二级标准、《环境影响评价技术导则 大气环境》（HJ2.2-2018）附录D及参考《大气污染物综合排放标准详解》；对仅有8h平均质量浓度限值、日平均质量浓度限值或年平均质量浓度限值的，分别按2倍、3倍、6倍折算为1h平均质量浓度限值（表中*）。本次评价执行的环境空气质量标准见表</w:t>
      </w:r>
      <w:r>
        <w:rPr>
          <w:rFonts w:hint="default" w:ascii="Times New Roman" w:hAnsi="Times New Roman" w:cs="Times New Roman"/>
          <w:sz w:val="24"/>
          <w:lang w:val="en-US" w:eastAsia="zh-CN"/>
        </w:rPr>
        <w:t>5.2-1</w:t>
      </w:r>
      <w:r>
        <w:rPr>
          <w:rFonts w:hint="default" w:ascii="Times New Roman" w:hAnsi="Times New Roman" w:cs="Times New Roman"/>
          <w:sz w:val="24"/>
        </w:rPr>
        <w:t>。</w:t>
      </w:r>
    </w:p>
    <w:p w14:paraId="23374E84">
      <w:pPr>
        <w:jc w:val="center"/>
        <w:rPr>
          <w:rFonts w:hint="default" w:ascii="Times New Roman" w:hAnsi="Times New Roman" w:cs="Times New Roman"/>
          <w:b/>
          <w:sz w:val="24"/>
          <w:szCs w:val="24"/>
        </w:rPr>
      </w:pPr>
      <w:r>
        <w:rPr>
          <w:rFonts w:hint="default" w:ascii="Times New Roman" w:hAnsi="Times New Roman" w:cs="Times New Roman"/>
          <w:b/>
          <w:sz w:val="24"/>
          <w:szCs w:val="24"/>
        </w:rPr>
        <w:t>表</w:t>
      </w:r>
      <w:r>
        <w:rPr>
          <w:rFonts w:hint="default" w:ascii="Times New Roman" w:hAnsi="Times New Roman" w:cs="Times New Roman"/>
          <w:b/>
          <w:sz w:val="24"/>
          <w:szCs w:val="24"/>
          <w:lang w:val="en-US" w:eastAsia="zh-CN"/>
        </w:rPr>
        <w:t>5.2-1</w:t>
      </w:r>
      <w:r>
        <w:rPr>
          <w:rFonts w:hint="default" w:ascii="Times New Roman" w:hAnsi="Times New Roman" w:cs="Times New Roman"/>
          <w:b/>
          <w:sz w:val="24"/>
          <w:szCs w:val="24"/>
        </w:rPr>
        <w:t xml:space="preserve"> 环境空气质量标准</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1120"/>
        <w:gridCol w:w="1815"/>
        <w:gridCol w:w="791"/>
        <w:gridCol w:w="1026"/>
        <w:gridCol w:w="3054"/>
      </w:tblGrid>
      <w:tr w14:paraId="121B2F7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tcBorders>
              <w:tl2br w:val="nil"/>
              <w:tr2bl w:val="nil"/>
            </w:tcBorders>
            <w:noWrap w:val="0"/>
            <w:vAlign w:val="center"/>
          </w:tcPr>
          <w:p w14:paraId="254D99A3">
            <w:pPr>
              <w:autoSpaceDE/>
              <w:autoSpaceDN/>
              <w:spacing w:before="0" w:after="0" w:line="240" w:lineRule="auto"/>
              <w:ind w:left="0" w:firstLine="0"/>
              <w:jc w:val="center"/>
              <w:rPr>
                <w:rFonts w:hint="default" w:ascii="Times New Roman" w:hAnsi="Times New Roman" w:cs="Times New Roman"/>
                <w:b/>
                <w:bCs/>
                <w:color w:val="000000"/>
                <w:sz w:val="21"/>
                <w:szCs w:val="18"/>
              </w:rPr>
            </w:pPr>
            <w:r>
              <w:rPr>
                <w:rFonts w:hint="default" w:ascii="Times New Roman" w:hAnsi="Times New Roman" w:cs="Times New Roman"/>
                <w:b/>
                <w:bCs/>
                <w:color w:val="000000"/>
                <w:sz w:val="21"/>
                <w:szCs w:val="18"/>
              </w:rPr>
              <w:t>序号</w:t>
            </w:r>
          </w:p>
        </w:tc>
        <w:tc>
          <w:tcPr>
            <w:tcW w:w="657" w:type="pct"/>
            <w:tcBorders>
              <w:tl2br w:val="nil"/>
              <w:tr2bl w:val="nil"/>
            </w:tcBorders>
            <w:noWrap w:val="0"/>
            <w:vAlign w:val="center"/>
          </w:tcPr>
          <w:p w14:paraId="05B85A6D">
            <w:pPr>
              <w:autoSpaceDE/>
              <w:autoSpaceDN/>
              <w:spacing w:before="0" w:after="0" w:line="240" w:lineRule="auto"/>
              <w:ind w:left="0" w:firstLine="0"/>
              <w:jc w:val="center"/>
              <w:rPr>
                <w:rFonts w:hint="default" w:ascii="Times New Roman" w:hAnsi="Times New Roman" w:cs="Times New Roman"/>
                <w:b/>
                <w:bCs/>
                <w:color w:val="000000"/>
                <w:sz w:val="21"/>
                <w:szCs w:val="18"/>
              </w:rPr>
            </w:pPr>
            <w:r>
              <w:rPr>
                <w:rFonts w:hint="default" w:ascii="Times New Roman" w:hAnsi="Times New Roman" w:cs="Times New Roman"/>
                <w:b/>
                <w:bCs/>
                <w:color w:val="000000"/>
                <w:sz w:val="21"/>
                <w:szCs w:val="18"/>
              </w:rPr>
              <w:t>评价因子</w:t>
            </w:r>
          </w:p>
        </w:tc>
        <w:tc>
          <w:tcPr>
            <w:tcW w:w="1065" w:type="pct"/>
            <w:tcBorders>
              <w:tl2br w:val="nil"/>
              <w:tr2bl w:val="nil"/>
            </w:tcBorders>
            <w:noWrap w:val="0"/>
            <w:vAlign w:val="center"/>
          </w:tcPr>
          <w:p w14:paraId="0BCF82B7">
            <w:pPr>
              <w:autoSpaceDE/>
              <w:autoSpaceDN/>
              <w:spacing w:before="0" w:after="0" w:line="240" w:lineRule="auto"/>
              <w:ind w:left="0" w:firstLine="0"/>
              <w:jc w:val="center"/>
              <w:rPr>
                <w:rFonts w:hint="default" w:ascii="Times New Roman" w:hAnsi="Times New Roman" w:cs="Times New Roman"/>
                <w:b/>
                <w:bCs/>
                <w:color w:val="000000"/>
                <w:sz w:val="21"/>
                <w:szCs w:val="18"/>
              </w:rPr>
            </w:pPr>
            <w:r>
              <w:rPr>
                <w:rFonts w:hint="default" w:ascii="Times New Roman" w:hAnsi="Times New Roman" w:cs="Times New Roman"/>
                <w:b/>
                <w:bCs/>
                <w:color w:val="000000"/>
                <w:sz w:val="21"/>
                <w:szCs w:val="18"/>
              </w:rPr>
              <w:t>取值时间</w:t>
            </w:r>
          </w:p>
        </w:tc>
        <w:tc>
          <w:tcPr>
            <w:tcW w:w="464" w:type="pct"/>
            <w:tcBorders>
              <w:tl2br w:val="nil"/>
              <w:tr2bl w:val="nil"/>
            </w:tcBorders>
            <w:noWrap w:val="0"/>
            <w:vAlign w:val="center"/>
          </w:tcPr>
          <w:p w14:paraId="5AA25C88">
            <w:pPr>
              <w:autoSpaceDE/>
              <w:autoSpaceDN/>
              <w:spacing w:before="0" w:after="0" w:line="240" w:lineRule="auto"/>
              <w:ind w:left="0" w:firstLine="0"/>
              <w:jc w:val="center"/>
              <w:rPr>
                <w:rFonts w:hint="default" w:ascii="Times New Roman" w:hAnsi="Times New Roman" w:cs="Times New Roman"/>
                <w:b/>
                <w:bCs/>
                <w:color w:val="000000"/>
                <w:sz w:val="21"/>
                <w:szCs w:val="18"/>
              </w:rPr>
            </w:pPr>
            <w:r>
              <w:rPr>
                <w:rFonts w:hint="default" w:ascii="Times New Roman" w:hAnsi="Times New Roman" w:cs="Times New Roman"/>
                <w:b/>
                <w:bCs/>
                <w:color w:val="000000"/>
                <w:sz w:val="21"/>
                <w:szCs w:val="18"/>
              </w:rPr>
              <w:t>单位</w:t>
            </w:r>
          </w:p>
        </w:tc>
        <w:tc>
          <w:tcPr>
            <w:tcW w:w="602" w:type="pct"/>
            <w:tcBorders>
              <w:tl2br w:val="nil"/>
              <w:tr2bl w:val="nil"/>
            </w:tcBorders>
            <w:noWrap w:val="0"/>
            <w:vAlign w:val="center"/>
          </w:tcPr>
          <w:p w14:paraId="13ECBB39">
            <w:pPr>
              <w:autoSpaceDE/>
              <w:autoSpaceDN/>
              <w:spacing w:before="0" w:after="0" w:line="240" w:lineRule="auto"/>
              <w:ind w:left="0" w:firstLine="0"/>
              <w:jc w:val="center"/>
              <w:rPr>
                <w:rFonts w:hint="default" w:ascii="Times New Roman" w:hAnsi="Times New Roman" w:cs="Times New Roman"/>
                <w:b/>
                <w:bCs/>
                <w:color w:val="000000"/>
                <w:sz w:val="21"/>
                <w:szCs w:val="18"/>
              </w:rPr>
            </w:pPr>
            <w:r>
              <w:rPr>
                <w:rFonts w:hint="default" w:ascii="Times New Roman" w:hAnsi="Times New Roman" w:cs="Times New Roman"/>
                <w:b/>
                <w:bCs/>
                <w:color w:val="000000"/>
                <w:sz w:val="21"/>
                <w:szCs w:val="18"/>
              </w:rPr>
              <w:t>浓度限值</w:t>
            </w:r>
          </w:p>
        </w:tc>
        <w:tc>
          <w:tcPr>
            <w:tcW w:w="1792" w:type="pct"/>
            <w:tcBorders>
              <w:tl2br w:val="nil"/>
              <w:tr2bl w:val="nil"/>
            </w:tcBorders>
            <w:noWrap w:val="0"/>
            <w:vAlign w:val="center"/>
          </w:tcPr>
          <w:p w14:paraId="1059F056">
            <w:pPr>
              <w:autoSpaceDE/>
              <w:autoSpaceDN/>
              <w:spacing w:before="0" w:after="0" w:line="240" w:lineRule="auto"/>
              <w:ind w:left="0" w:firstLine="0"/>
              <w:jc w:val="center"/>
              <w:rPr>
                <w:rFonts w:hint="default" w:ascii="Times New Roman" w:hAnsi="Times New Roman" w:cs="Times New Roman"/>
                <w:b/>
                <w:bCs/>
                <w:color w:val="000000"/>
                <w:sz w:val="21"/>
                <w:szCs w:val="18"/>
              </w:rPr>
            </w:pPr>
            <w:r>
              <w:rPr>
                <w:rFonts w:hint="default" w:ascii="Times New Roman" w:hAnsi="Times New Roman" w:cs="Times New Roman"/>
                <w:b/>
                <w:bCs/>
                <w:color w:val="000000"/>
                <w:sz w:val="21"/>
                <w:szCs w:val="18"/>
              </w:rPr>
              <w:t>标准</w:t>
            </w:r>
          </w:p>
        </w:tc>
      </w:tr>
      <w:tr w14:paraId="175AFD4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restart"/>
            <w:tcBorders>
              <w:tl2br w:val="nil"/>
              <w:tr2bl w:val="nil"/>
            </w:tcBorders>
            <w:noWrap w:val="0"/>
            <w:vAlign w:val="center"/>
          </w:tcPr>
          <w:p w14:paraId="16C7B6FC">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1</w:t>
            </w:r>
          </w:p>
        </w:tc>
        <w:tc>
          <w:tcPr>
            <w:tcW w:w="657" w:type="pct"/>
            <w:vMerge w:val="restart"/>
            <w:tcBorders>
              <w:tl2br w:val="nil"/>
              <w:tr2bl w:val="nil"/>
            </w:tcBorders>
            <w:noWrap w:val="0"/>
            <w:vAlign w:val="center"/>
          </w:tcPr>
          <w:p w14:paraId="148EE397">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SO</w:t>
            </w:r>
            <w:r>
              <w:rPr>
                <w:rFonts w:hint="default" w:ascii="Times New Roman" w:hAnsi="Times New Roman" w:cs="Times New Roman"/>
                <w:color w:val="000000"/>
                <w:sz w:val="21"/>
                <w:szCs w:val="18"/>
                <w:vertAlign w:val="subscript"/>
              </w:rPr>
              <w:t>2</w:t>
            </w:r>
          </w:p>
        </w:tc>
        <w:tc>
          <w:tcPr>
            <w:tcW w:w="1065" w:type="pct"/>
            <w:tcBorders>
              <w:tl2br w:val="nil"/>
              <w:tr2bl w:val="nil"/>
            </w:tcBorders>
            <w:noWrap w:val="0"/>
            <w:vAlign w:val="center"/>
          </w:tcPr>
          <w:p w14:paraId="3C2DFB7E">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年平均</w:t>
            </w:r>
          </w:p>
        </w:tc>
        <w:tc>
          <w:tcPr>
            <w:tcW w:w="464" w:type="pct"/>
            <w:vMerge w:val="restart"/>
            <w:tcBorders>
              <w:tl2br w:val="nil"/>
              <w:tr2bl w:val="nil"/>
            </w:tcBorders>
            <w:noWrap w:val="0"/>
            <w:vAlign w:val="center"/>
          </w:tcPr>
          <w:p w14:paraId="003FBBB1">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µg/m</w:t>
            </w:r>
            <w:r>
              <w:rPr>
                <w:rFonts w:hint="default" w:ascii="Times New Roman" w:hAnsi="Times New Roman" w:cs="Times New Roman"/>
                <w:color w:val="000000"/>
                <w:sz w:val="21"/>
                <w:szCs w:val="18"/>
                <w:vertAlign w:val="superscript"/>
              </w:rPr>
              <w:t>3</w:t>
            </w:r>
          </w:p>
        </w:tc>
        <w:tc>
          <w:tcPr>
            <w:tcW w:w="602" w:type="pct"/>
            <w:tcBorders>
              <w:tl2br w:val="nil"/>
              <w:tr2bl w:val="nil"/>
            </w:tcBorders>
            <w:noWrap w:val="0"/>
            <w:vAlign w:val="center"/>
          </w:tcPr>
          <w:p w14:paraId="393FC9BA">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60</w:t>
            </w:r>
          </w:p>
        </w:tc>
        <w:tc>
          <w:tcPr>
            <w:tcW w:w="1792" w:type="pct"/>
            <w:vMerge w:val="restart"/>
            <w:tcBorders>
              <w:tl2br w:val="nil"/>
              <w:tr2bl w:val="nil"/>
            </w:tcBorders>
            <w:noWrap w:val="0"/>
            <w:vAlign w:val="center"/>
          </w:tcPr>
          <w:p w14:paraId="472EA211">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《环境空气质量标准》（GB3095-2026）中过渡阶段二级标准</w:t>
            </w:r>
          </w:p>
        </w:tc>
      </w:tr>
      <w:tr w14:paraId="6B76095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continue"/>
            <w:tcBorders>
              <w:tl2br w:val="nil"/>
              <w:tr2bl w:val="nil"/>
            </w:tcBorders>
            <w:noWrap w:val="0"/>
            <w:vAlign w:val="center"/>
          </w:tcPr>
          <w:p w14:paraId="29052EDB">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57" w:type="pct"/>
            <w:vMerge w:val="continue"/>
            <w:tcBorders>
              <w:tl2br w:val="nil"/>
              <w:tr2bl w:val="nil"/>
            </w:tcBorders>
            <w:noWrap w:val="0"/>
            <w:vAlign w:val="center"/>
          </w:tcPr>
          <w:p w14:paraId="011211F4">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1065" w:type="pct"/>
            <w:tcBorders>
              <w:tl2br w:val="nil"/>
              <w:tr2bl w:val="nil"/>
            </w:tcBorders>
            <w:noWrap w:val="0"/>
            <w:vAlign w:val="center"/>
          </w:tcPr>
          <w:p w14:paraId="24131AD9">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24小时平均</w:t>
            </w:r>
          </w:p>
        </w:tc>
        <w:tc>
          <w:tcPr>
            <w:tcW w:w="464" w:type="pct"/>
            <w:vMerge w:val="continue"/>
            <w:tcBorders>
              <w:tl2br w:val="nil"/>
              <w:tr2bl w:val="nil"/>
            </w:tcBorders>
            <w:noWrap w:val="0"/>
            <w:vAlign w:val="center"/>
          </w:tcPr>
          <w:p w14:paraId="017B03BC">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02" w:type="pct"/>
            <w:tcBorders>
              <w:tl2br w:val="nil"/>
              <w:tr2bl w:val="nil"/>
            </w:tcBorders>
            <w:noWrap w:val="0"/>
            <w:vAlign w:val="center"/>
          </w:tcPr>
          <w:p w14:paraId="7D533B1B">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150</w:t>
            </w:r>
          </w:p>
        </w:tc>
        <w:tc>
          <w:tcPr>
            <w:tcW w:w="1792" w:type="pct"/>
            <w:vMerge w:val="continue"/>
            <w:tcBorders>
              <w:tl2br w:val="nil"/>
              <w:tr2bl w:val="nil"/>
            </w:tcBorders>
            <w:noWrap w:val="0"/>
            <w:vAlign w:val="center"/>
          </w:tcPr>
          <w:p w14:paraId="5F9F50A9">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76F6AFB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continue"/>
            <w:tcBorders>
              <w:tl2br w:val="nil"/>
              <w:tr2bl w:val="nil"/>
            </w:tcBorders>
            <w:noWrap w:val="0"/>
            <w:vAlign w:val="center"/>
          </w:tcPr>
          <w:p w14:paraId="4B9714BC">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57" w:type="pct"/>
            <w:vMerge w:val="continue"/>
            <w:tcBorders>
              <w:tl2br w:val="nil"/>
              <w:tr2bl w:val="nil"/>
            </w:tcBorders>
            <w:noWrap w:val="0"/>
            <w:vAlign w:val="center"/>
          </w:tcPr>
          <w:p w14:paraId="56BB310E">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1065" w:type="pct"/>
            <w:tcBorders>
              <w:tl2br w:val="nil"/>
              <w:tr2bl w:val="nil"/>
            </w:tcBorders>
            <w:noWrap w:val="0"/>
            <w:vAlign w:val="center"/>
          </w:tcPr>
          <w:p w14:paraId="127D591B">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1小时平均</w:t>
            </w:r>
          </w:p>
        </w:tc>
        <w:tc>
          <w:tcPr>
            <w:tcW w:w="464" w:type="pct"/>
            <w:vMerge w:val="continue"/>
            <w:tcBorders>
              <w:tl2br w:val="nil"/>
              <w:tr2bl w:val="nil"/>
            </w:tcBorders>
            <w:noWrap w:val="0"/>
            <w:vAlign w:val="center"/>
          </w:tcPr>
          <w:p w14:paraId="1D5CB006">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02" w:type="pct"/>
            <w:tcBorders>
              <w:tl2br w:val="nil"/>
              <w:tr2bl w:val="nil"/>
            </w:tcBorders>
            <w:noWrap w:val="0"/>
            <w:vAlign w:val="center"/>
          </w:tcPr>
          <w:p w14:paraId="2D14CACA">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500</w:t>
            </w:r>
          </w:p>
        </w:tc>
        <w:tc>
          <w:tcPr>
            <w:tcW w:w="1792" w:type="pct"/>
            <w:vMerge w:val="continue"/>
            <w:tcBorders>
              <w:tl2br w:val="nil"/>
              <w:tr2bl w:val="nil"/>
            </w:tcBorders>
            <w:noWrap w:val="0"/>
            <w:vAlign w:val="center"/>
          </w:tcPr>
          <w:p w14:paraId="4A85A23F">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0710A22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restart"/>
            <w:tcBorders>
              <w:tl2br w:val="nil"/>
              <w:tr2bl w:val="nil"/>
            </w:tcBorders>
            <w:noWrap w:val="0"/>
            <w:vAlign w:val="center"/>
          </w:tcPr>
          <w:p w14:paraId="056258D0">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2</w:t>
            </w:r>
          </w:p>
        </w:tc>
        <w:tc>
          <w:tcPr>
            <w:tcW w:w="657" w:type="pct"/>
            <w:vMerge w:val="restart"/>
            <w:tcBorders>
              <w:tl2br w:val="nil"/>
              <w:tr2bl w:val="nil"/>
            </w:tcBorders>
            <w:noWrap w:val="0"/>
            <w:vAlign w:val="center"/>
          </w:tcPr>
          <w:p w14:paraId="4BCBCF2F">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NO</w:t>
            </w:r>
            <w:r>
              <w:rPr>
                <w:rFonts w:hint="default" w:ascii="Times New Roman" w:hAnsi="Times New Roman" w:cs="Times New Roman"/>
                <w:color w:val="000000"/>
                <w:sz w:val="21"/>
                <w:szCs w:val="18"/>
                <w:vertAlign w:val="subscript"/>
              </w:rPr>
              <w:t>2</w:t>
            </w:r>
          </w:p>
        </w:tc>
        <w:tc>
          <w:tcPr>
            <w:tcW w:w="1065" w:type="pct"/>
            <w:tcBorders>
              <w:tl2br w:val="nil"/>
              <w:tr2bl w:val="nil"/>
            </w:tcBorders>
            <w:noWrap w:val="0"/>
            <w:vAlign w:val="center"/>
          </w:tcPr>
          <w:p w14:paraId="260DD4D8">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年平均</w:t>
            </w:r>
          </w:p>
        </w:tc>
        <w:tc>
          <w:tcPr>
            <w:tcW w:w="464" w:type="pct"/>
            <w:vMerge w:val="restart"/>
            <w:tcBorders>
              <w:tl2br w:val="nil"/>
              <w:tr2bl w:val="nil"/>
            </w:tcBorders>
            <w:noWrap w:val="0"/>
            <w:vAlign w:val="center"/>
          </w:tcPr>
          <w:p w14:paraId="1DE4E363">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µg/m</w:t>
            </w:r>
            <w:r>
              <w:rPr>
                <w:rFonts w:hint="default" w:ascii="Times New Roman" w:hAnsi="Times New Roman" w:cs="Times New Roman"/>
                <w:color w:val="000000"/>
                <w:sz w:val="21"/>
                <w:szCs w:val="18"/>
                <w:vertAlign w:val="superscript"/>
              </w:rPr>
              <w:t>3</w:t>
            </w:r>
          </w:p>
        </w:tc>
        <w:tc>
          <w:tcPr>
            <w:tcW w:w="602" w:type="pct"/>
            <w:tcBorders>
              <w:tl2br w:val="nil"/>
              <w:tr2bl w:val="nil"/>
            </w:tcBorders>
            <w:noWrap w:val="0"/>
            <w:vAlign w:val="center"/>
          </w:tcPr>
          <w:p w14:paraId="38E6D6FA">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40</w:t>
            </w:r>
          </w:p>
        </w:tc>
        <w:tc>
          <w:tcPr>
            <w:tcW w:w="1792" w:type="pct"/>
            <w:vMerge w:val="continue"/>
            <w:tcBorders>
              <w:tl2br w:val="nil"/>
              <w:tr2bl w:val="nil"/>
            </w:tcBorders>
            <w:noWrap w:val="0"/>
            <w:vAlign w:val="center"/>
          </w:tcPr>
          <w:p w14:paraId="79CC59E2">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3B251FF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continue"/>
            <w:tcBorders>
              <w:tl2br w:val="nil"/>
              <w:tr2bl w:val="nil"/>
            </w:tcBorders>
            <w:noWrap w:val="0"/>
            <w:vAlign w:val="center"/>
          </w:tcPr>
          <w:p w14:paraId="355C2D72">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57" w:type="pct"/>
            <w:vMerge w:val="continue"/>
            <w:tcBorders>
              <w:tl2br w:val="nil"/>
              <w:tr2bl w:val="nil"/>
            </w:tcBorders>
            <w:noWrap w:val="0"/>
            <w:vAlign w:val="center"/>
          </w:tcPr>
          <w:p w14:paraId="59358A23">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1065" w:type="pct"/>
            <w:tcBorders>
              <w:tl2br w:val="nil"/>
              <w:tr2bl w:val="nil"/>
            </w:tcBorders>
            <w:noWrap w:val="0"/>
            <w:vAlign w:val="center"/>
          </w:tcPr>
          <w:p w14:paraId="2D2775EC">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24小时平均</w:t>
            </w:r>
          </w:p>
        </w:tc>
        <w:tc>
          <w:tcPr>
            <w:tcW w:w="464" w:type="pct"/>
            <w:vMerge w:val="continue"/>
            <w:tcBorders>
              <w:tl2br w:val="nil"/>
              <w:tr2bl w:val="nil"/>
            </w:tcBorders>
            <w:noWrap w:val="0"/>
            <w:vAlign w:val="center"/>
          </w:tcPr>
          <w:p w14:paraId="14367A61">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02" w:type="pct"/>
            <w:tcBorders>
              <w:tl2br w:val="nil"/>
              <w:tr2bl w:val="nil"/>
            </w:tcBorders>
            <w:noWrap w:val="0"/>
            <w:vAlign w:val="center"/>
          </w:tcPr>
          <w:p w14:paraId="4239EDDB">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80</w:t>
            </w:r>
          </w:p>
        </w:tc>
        <w:tc>
          <w:tcPr>
            <w:tcW w:w="1792" w:type="pct"/>
            <w:vMerge w:val="continue"/>
            <w:tcBorders>
              <w:tl2br w:val="nil"/>
              <w:tr2bl w:val="nil"/>
            </w:tcBorders>
            <w:noWrap w:val="0"/>
            <w:vAlign w:val="center"/>
          </w:tcPr>
          <w:p w14:paraId="7B1DC4C1">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7E25F4D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continue"/>
            <w:tcBorders>
              <w:tl2br w:val="nil"/>
              <w:tr2bl w:val="nil"/>
            </w:tcBorders>
            <w:noWrap w:val="0"/>
            <w:vAlign w:val="center"/>
          </w:tcPr>
          <w:p w14:paraId="5CDF57AA">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57" w:type="pct"/>
            <w:vMerge w:val="continue"/>
            <w:tcBorders>
              <w:tl2br w:val="nil"/>
              <w:tr2bl w:val="nil"/>
            </w:tcBorders>
            <w:noWrap w:val="0"/>
            <w:vAlign w:val="center"/>
          </w:tcPr>
          <w:p w14:paraId="40B3E350">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1065" w:type="pct"/>
            <w:tcBorders>
              <w:tl2br w:val="nil"/>
              <w:tr2bl w:val="nil"/>
            </w:tcBorders>
            <w:noWrap w:val="0"/>
            <w:vAlign w:val="center"/>
          </w:tcPr>
          <w:p w14:paraId="423C9FA0">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1小时平均</w:t>
            </w:r>
          </w:p>
        </w:tc>
        <w:tc>
          <w:tcPr>
            <w:tcW w:w="464" w:type="pct"/>
            <w:vMerge w:val="continue"/>
            <w:tcBorders>
              <w:tl2br w:val="nil"/>
              <w:tr2bl w:val="nil"/>
            </w:tcBorders>
            <w:noWrap w:val="0"/>
            <w:vAlign w:val="center"/>
          </w:tcPr>
          <w:p w14:paraId="302650AB">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02" w:type="pct"/>
            <w:tcBorders>
              <w:tl2br w:val="nil"/>
              <w:tr2bl w:val="nil"/>
            </w:tcBorders>
            <w:noWrap w:val="0"/>
            <w:vAlign w:val="center"/>
          </w:tcPr>
          <w:p w14:paraId="13175584">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200</w:t>
            </w:r>
          </w:p>
        </w:tc>
        <w:tc>
          <w:tcPr>
            <w:tcW w:w="1792" w:type="pct"/>
            <w:vMerge w:val="continue"/>
            <w:tcBorders>
              <w:tl2br w:val="nil"/>
              <w:tr2bl w:val="nil"/>
            </w:tcBorders>
            <w:noWrap w:val="0"/>
            <w:vAlign w:val="center"/>
          </w:tcPr>
          <w:p w14:paraId="2133BDBA">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3320C12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restart"/>
            <w:tcBorders>
              <w:tl2br w:val="nil"/>
              <w:tr2bl w:val="nil"/>
            </w:tcBorders>
            <w:noWrap w:val="0"/>
            <w:vAlign w:val="center"/>
          </w:tcPr>
          <w:p w14:paraId="77B0B712">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3</w:t>
            </w:r>
          </w:p>
        </w:tc>
        <w:tc>
          <w:tcPr>
            <w:tcW w:w="657" w:type="pct"/>
            <w:vMerge w:val="restart"/>
            <w:tcBorders>
              <w:tl2br w:val="nil"/>
              <w:tr2bl w:val="nil"/>
            </w:tcBorders>
            <w:noWrap w:val="0"/>
            <w:vAlign w:val="center"/>
          </w:tcPr>
          <w:p w14:paraId="7DB7A655">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CO</w:t>
            </w:r>
          </w:p>
        </w:tc>
        <w:tc>
          <w:tcPr>
            <w:tcW w:w="1065" w:type="pct"/>
            <w:tcBorders>
              <w:tl2br w:val="nil"/>
              <w:tr2bl w:val="nil"/>
            </w:tcBorders>
            <w:noWrap w:val="0"/>
            <w:vAlign w:val="center"/>
          </w:tcPr>
          <w:p w14:paraId="3051A545">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24小时平均</w:t>
            </w:r>
          </w:p>
        </w:tc>
        <w:tc>
          <w:tcPr>
            <w:tcW w:w="464" w:type="pct"/>
            <w:vMerge w:val="restart"/>
            <w:tcBorders>
              <w:tl2br w:val="nil"/>
              <w:tr2bl w:val="nil"/>
            </w:tcBorders>
            <w:noWrap w:val="0"/>
            <w:vAlign w:val="center"/>
          </w:tcPr>
          <w:p w14:paraId="79C99051">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mg/m</w:t>
            </w:r>
            <w:r>
              <w:rPr>
                <w:rFonts w:hint="default" w:ascii="Times New Roman" w:hAnsi="Times New Roman" w:cs="Times New Roman"/>
                <w:color w:val="000000"/>
                <w:sz w:val="21"/>
                <w:szCs w:val="18"/>
                <w:vertAlign w:val="superscript"/>
              </w:rPr>
              <w:t>3</w:t>
            </w:r>
          </w:p>
        </w:tc>
        <w:tc>
          <w:tcPr>
            <w:tcW w:w="602" w:type="pct"/>
            <w:tcBorders>
              <w:tl2br w:val="nil"/>
              <w:tr2bl w:val="nil"/>
            </w:tcBorders>
            <w:noWrap w:val="0"/>
            <w:vAlign w:val="center"/>
          </w:tcPr>
          <w:p w14:paraId="2262BEA2">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4</w:t>
            </w:r>
          </w:p>
        </w:tc>
        <w:tc>
          <w:tcPr>
            <w:tcW w:w="1792" w:type="pct"/>
            <w:vMerge w:val="continue"/>
            <w:tcBorders>
              <w:tl2br w:val="nil"/>
              <w:tr2bl w:val="nil"/>
            </w:tcBorders>
            <w:noWrap w:val="0"/>
            <w:vAlign w:val="center"/>
          </w:tcPr>
          <w:p w14:paraId="2D50A5F9">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7B75D75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continue"/>
            <w:tcBorders>
              <w:tl2br w:val="nil"/>
              <w:tr2bl w:val="nil"/>
            </w:tcBorders>
            <w:noWrap w:val="0"/>
            <w:vAlign w:val="center"/>
          </w:tcPr>
          <w:p w14:paraId="1B880179">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57" w:type="pct"/>
            <w:vMerge w:val="continue"/>
            <w:tcBorders>
              <w:tl2br w:val="nil"/>
              <w:tr2bl w:val="nil"/>
            </w:tcBorders>
            <w:noWrap w:val="0"/>
            <w:vAlign w:val="center"/>
          </w:tcPr>
          <w:p w14:paraId="7F73CA3F">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1065" w:type="pct"/>
            <w:tcBorders>
              <w:tl2br w:val="nil"/>
              <w:tr2bl w:val="nil"/>
            </w:tcBorders>
            <w:noWrap w:val="0"/>
            <w:vAlign w:val="center"/>
          </w:tcPr>
          <w:p w14:paraId="1904BDAE">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1小时平均</w:t>
            </w:r>
          </w:p>
        </w:tc>
        <w:tc>
          <w:tcPr>
            <w:tcW w:w="464" w:type="pct"/>
            <w:vMerge w:val="continue"/>
            <w:tcBorders>
              <w:tl2br w:val="nil"/>
              <w:tr2bl w:val="nil"/>
            </w:tcBorders>
            <w:noWrap w:val="0"/>
            <w:vAlign w:val="center"/>
          </w:tcPr>
          <w:p w14:paraId="07C33F70">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02" w:type="pct"/>
            <w:tcBorders>
              <w:tl2br w:val="nil"/>
              <w:tr2bl w:val="nil"/>
            </w:tcBorders>
            <w:noWrap w:val="0"/>
            <w:vAlign w:val="center"/>
          </w:tcPr>
          <w:p w14:paraId="0AF6C9CE">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10</w:t>
            </w:r>
          </w:p>
        </w:tc>
        <w:tc>
          <w:tcPr>
            <w:tcW w:w="1792" w:type="pct"/>
            <w:vMerge w:val="continue"/>
            <w:tcBorders>
              <w:tl2br w:val="nil"/>
              <w:tr2bl w:val="nil"/>
            </w:tcBorders>
            <w:noWrap w:val="0"/>
            <w:vAlign w:val="center"/>
          </w:tcPr>
          <w:p w14:paraId="318D0105">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008A80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restart"/>
            <w:tcBorders>
              <w:tl2br w:val="nil"/>
              <w:tr2bl w:val="nil"/>
            </w:tcBorders>
            <w:noWrap w:val="0"/>
            <w:vAlign w:val="center"/>
          </w:tcPr>
          <w:p w14:paraId="0FCD4671">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4</w:t>
            </w:r>
          </w:p>
        </w:tc>
        <w:tc>
          <w:tcPr>
            <w:tcW w:w="657" w:type="pct"/>
            <w:vMerge w:val="restart"/>
            <w:tcBorders>
              <w:tl2br w:val="nil"/>
              <w:tr2bl w:val="nil"/>
            </w:tcBorders>
            <w:noWrap w:val="0"/>
            <w:vAlign w:val="center"/>
          </w:tcPr>
          <w:p w14:paraId="25BB7272">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O</w:t>
            </w:r>
            <w:r>
              <w:rPr>
                <w:rFonts w:hint="default" w:ascii="Times New Roman" w:hAnsi="Times New Roman" w:cs="Times New Roman"/>
                <w:color w:val="000000"/>
                <w:sz w:val="21"/>
                <w:szCs w:val="18"/>
                <w:vertAlign w:val="subscript"/>
              </w:rPr>
              <w:t>3</w:t>
            </w:r>
          </w:p>
        </w:tc>
        <w:tc>
          <w:tcPr>
            <w:tcW w:w="1065" w:type="pct"/>
            <w:tcBorders>
              <w:tl2br w:val="nil"/>
              <w:tr2bl w:val="nil"/>
            </w:tcBorders>
            <w:noWrap w:val="0"/>
            <w:vAlign w:val="center"/>
          </w:tcPr>
          <w:p w14:paraId="33F9EAF6">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日最大8小时平均</w:t>
            </w:r>
          </w:p>
        </w:tc>
        <w:tc>
          <w:tcPr>
            <w:tcW w:w="464" w:type="pct"/>
            <w:vMerge w:val="restart"/>
            <w:tcBorders>
              <w:tl2br w:val="nil"/>
              <w:tr2bl w:val="nil"/>
            </w:tcBorders>
            <w:noWrap w:val="0"/>
            <w:vAlign w:val="center"/>
          </w:tcPr>
          <w:p w14:paraId="1C420B94">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µg/m</w:t>
            </w:r>
            <w:r>
              <w:rPr>
                <w:rFonts w:hint="default" w:ascii="Times New Roman" w:hAnsi="Times New Roman" w:cs="Times New Roman"/>
                <w:color w:val="000000"/>
                <w:sz w:val="21"/>
                <w:szCs w:val="18"/>
                <w:vertAlign w:val="superscript"/>
              </w:rPr>
              <w:t>3</w:t>
            </w:r>
          </w:p>
        </w:tc>
        <w:tc>
          <w:tcPr>
            <w:tcW w:w="602" w:type="pct"/>
            <w:tcBorders>
              <w:tl2br w:val="nil"/>
              <w:tr2bl w:val="nil"/>
            </w:tcBorders>
            <w:noWrap w:val="0"/>
            <w:vAlign w:val="center"/>
          </w:tcPr>
          <w:p w14:paraId="6AE2A18B">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160</w:t>
            </w:r>
          </w:p>
        </w:tc>
        <w:tc>
          <w:tcPr>
            <w:tcW w:w="1792" w:type="pct"/>
            <w:vMerge w:val="continue"/>
            <w:tcBorders>
              <w:tl2br w:val="nil"/>
              <w:tr2bl w:val="nil"/>
            </w:tcBorders>
            <w:noWrap w:val="0"/>
            <w:vAlign w:val="center"/>
          </w:tcPr>
          <w:p w14:paraId="34C16949">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3C97782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continue"/>
            <w:tcBorders>
              <w:tl2br w:val="nil"/>
              <w:tr2bl w:val="nil"/>
            </w:tcBorders>
            <w:noWrap w:val="0"/>
            <w:vAlign w:val="center"/>
          </w:tcPr>
          <w:p w14:paraId="63360BD5">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57" w:type="pct"/>
            <w:vMerge w:val="continue"/>
            <w:tcBorders>
              <w:tl2br w:val="nil"/>
              <w:tr2bl w:val="nil"/>
            </w:tcBorders>
            <w:noWrap w:val="0"/>
            <w:vAlign w:val="center"/>
          </w:tcPr>
          <w:p w14:paraId="7DC8514F">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1065" w:type="pct"/>
            <w:tcBorders>
              <w:tl2br w:val="nil"/>
              <w:tr2bl w:val="nil"/>
            </w:tcBorders>
            <w:noWrap w:val="0"/>
            <w:vAlign w:val="center"/>
          </w:tcPr>
          <w:p w14:paraId="24D1920C">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1小时平均</w:t>
            </w:r>
          </w:p>
        </w:tc>
        <w:tc>
          <w:tcPr>
            <w:tcW w:w="464" w:type="pct"/>
            <w:vMerge w:val="continue"/>
            <w:tcBorders>
              <w:tl2br w:val="nil"/>
              <w:tr2bl w:val="nil"/>
            </w:tcBorders>
            <w:noWrap w:val="0"/>
            <w:vAlign w:val="center"/>
          </w:tcPr>
          <w:p w14:paraId="57CA31B1">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02" w:type="pct"/>
            <w:tcBorders>
              <w:tl2br w:val="nil"/>
              <w:tr2bl w:val="nil"/>
            </w:tcBorders>
            <w:noWrap w:val="0"/>
            <w:vAlign w:val="center"/>
          </w:tcPr>
          <w:p w14:paraId="4AD81811">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200</w:t>
            </w:r>
          </w:p>
        </w:tc>
        <w:tc>
          <w:tcPr>
            <w:tcW w:w="1792" w:type="pct"/>
            <w:vMerge w:val="continue"/>
            <w:tcBorders>
              <w:tl2br w:val="nil"/>
              <w:tr2bl w:val="nil"/>
            </w:tcBorders>
            <w:noWrap w:val="0"/>
            <w:vAlign w:val="center"/>
          </w:tcPr>
          <w:p w14:paraId="027C9CFF">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3D67381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restart"/>
            <w:tcBorders>
              <w:tl2br w:val="nil"/>
              <w:tr2bl w:val="nil"/>
            </w:tcBorders>
            <w:noWrap w:val="0"/>
            <w:vAlign w:val="center"/>
          </w:tcPr>
          <w:p w14:paraId="14BE791F">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5</w:t>
            </w:r>
          </w:p>
        </w:tc>
        <w:tc>
          <w:tcPr>
            <w:tcW w:w="657" w:type="pct"/>
            <w:vMerge w:val="restart"/>
            <w:tcBorders>
              <w:tl2br w:val="nil"/>
              <w:tr2bl w:val="nil"/>
            </w:tcBorders>
            <w:noWrap w:val="0"/>
            <w:vAlign w:val="center"/>
          </w:tcPr>
          <w:p w14:paraId="3591D150">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PM</w:t>
            </w:r>
            <w:r>
              <w:rPr>
                <w:rFonts w:hint="default" w:ascii="Times New Roman" w:hAnsi="Times New Roman" w:cs="Times New Roman"/>
                <w:color w:val="000000"/>
                <w:sz w:val="21"/>
                <w:szCs w:val="18"/>
                <w:vertAlign w:val="subscript"/>
              </w:rPr>
              <w:t>10</w:t>
            </w:r>
          </w:p>
        </w:tc>
        <w:tc>
          <w:tcPr>
            <w:tcW w:w="1065" w:type="pct"/>
            <w:tcBorders>
              <w:tl2br w:val="nil"/>
              <w:tr2bl w:val="nil"/>
            </w:tcBorders>
            <w:noWrap w:val="0"/>
            <w:vAlign w:val="center"/>
          </w:tcPr>
          <w:p w14:paraId="158EFBB7">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年平均</w:t>
            </w:r>
          </w:p>
        </w:tc>
        <w:tc>
          <w:tcPr>
            <w:tcW w:w="464" w:type="pct"/>
            <w:vMerge w:val="restart"/>
            <w:tcBorders>
              <w:tl2br w:val="nil"/>
              <w:tr2bl w:val="nil"/>
            </w:tcBorders>
            <w:noWrap w:val="0"/>
            <w:vAlign w:val="center"/>
          </w:tcPr>
          <w:p w14:paraId="21E184EC">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µg/m</w:t>
            </w:r>
            <w:r>
              <w:rPr>
                <w:rFonts w:hint="default" w:ascii="Times New Roman" w:hAnsi="Times New Roman" w:cs="Times New Roman"/>
                <w:color w:val="000000"/>
                <w:sz w:val="21"/>
                <w:szCs w:val="18"/>
                <w:vertAlign w:val="superscript"/>
              </w:rPr>
              <w:t>3</w:t>
            </w:r>
          </w:p>
        </w:tc>
        <w:tc>
          <w:tcPr>
            <w:tcW w:w="602" w:type="pct"/>
            <w:tcBorders>
              <w:tl2br w:val="nil"/>
              <w:tr2bl w:val="nil"/>
            </w:tcBorders>
            <w:noWrap w:val="0"/>
            <w:vAlign w:val="center"/>
          </w:tcPr>
          <w:p w14:paraId="12A49E44">
            <w:pPr>
              <w:autoSpaceDE/>
              <w:autoSpaceDN/>
              <w:spacing w:before="0" w:after="0" w:line="240" w:lineRule="auto"/>
              <w:ind w:left="0" w:firstLine="0"/>
              <w:jc w:val="center"/>
              <w:rPr>
                <w:rFonts w:hint="default" w:ascii="Times New Roman" w:hAnsi="Times New Roman" w:eastAsia="宋体" w:cs="Times New Roman"/>
                <w:color w:val="000000"/>
                <w:sz w:val="21"/>
                <w:szCs w:val="18"/>
                <w:lang w:val="en-US" w:eastAsia="zh-CN"/>
              </w:rPr>
            </w:pPr>
            <w:r>
              <w:rPr>
                <w:rFonts w:hint="eastAsia" w:cs="Times New Roman"/>
                <w:color w:val="000000"/>
                <w:sz w:val="21"/>
                <w:szCs w:val="18"/>
                <w:lang w:val="en-US" w:eastAsia="zh-CN"/>
              </w:rPr>
              <w:t>60</w:t>
            </w:r>
          </w:p>
        </w:tc>
        <w:tc>
          <w:tcPr>
            <w:tcW w:w="1792" w:type="pct"/>
            <w:vMerge w:val="continue"/>
            <w:tcBorders>
              <w:tl2br w:val="nil"/>
              <w:tr2bl w:val="nil"/>
            </w:tcBorders>
            <w:noWrap w:val="0"/>
            <w:vAlign w:val="center"/>
          </w:tcPr>
          <w:p w14:paraId="6888F381">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12B3913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continue"/>
            <w:tcBorders>
              <w:tl2br w:val="nil"/>
              <w:tr2bl w:val="nil"/>
            </w:tcBorders>
            <w:noWrap w:val="0"/>
            <w:vAlign w:val="center"/>
          </w:tcPr>
          <w:p w14:paraId="7BC2DF4F">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57" w:type="pct"/>
            <w:vMerge w:val="continue"/>
            <w:tcBorders>
              <w:tl2br w:val="nil"/>
              <w:tr2bl w:val="nil"/>
            </w:tcBorders>
            <w:noWrap w:val="0"/>
            <w:vAlign w:val="center"/>
          </w:tcPr>
          <w:p w14:paraId="3741C6D1">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1065" w:type="pct"/>
            <w:tcBorders>
              <w:tl2br w:val="nil"/>
              <w:tr2bl w:val="nil"/>
            </w:tcBorders>
            <w:noWrap w:val="0"/>
            <w:vAlign w:val="center"/>
          </w:tcPr>
          <w:p w14:paraId="2EC27DC6">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24小时平均</w:t>
            </w:r>
          </w:p>
        </w:tc>
        <w:tc>
          <w:tcPr>
            <w:tcW w:w="464" w:type="pct"/>
            <w:vMerge w:val="continue"/>
            <w:tcBorders>
              <w:tl2br w:val="nil"/>
              <w:tr2bl w:val="nil"/>
            </w:tcBorders>
            <w:noWrap w:val="0"/>
            <w:vAlign w:val="center"/>
          </w:tcPr>
          <w:p w14:paraId="586B2C52">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02" w:type="pct"/>
            <w:tcBorders>
              <w:tl2br w:val="nil"/>
              <w:tr2bl w:val="nil"/>
            </w:tcBorders>
            <w:noWrap w:val="0"/>
            <w:vAlign w:val="center"/>
          </w:tcPr>
          <w:p w14:paraId="4AC75D1C">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1</w:t>
            </w:r>
            <w:r>
              <w:rPr>
                <w:rFonts w:hint="eastAsia" w:cs="Times New Roman"/>
                <w:color w:val="000000"/>
                <w:sz w:val="21"/>
                <w:szCs w:val="18"/>
                <w:lang w:val="en-US" w:eastAsia="zh-CN"/>
              </w:rPr>
              <w:t>2</w:t>
            </w:r>
            <w:r>
              <w:rPr>
                <w:rFonts w:hint="default" w:ascii="Times New Roman" w:hAnsi="Times New Roman" w:cs="Times New Roman"/>
                <w:color w:val="000000"/>
                <w:sz w:val="21"/>
                <w:szCs w:val="18"/>
              </w:rPr>
              <w:t>0</w:t>
            </w:r>
          </w:p>
        </w:tc>
        <w:tc>
          <w:tcPr>
            <w:tcW w:w="1792" w:type="pct"/>
            <w:vMerge w:val="continue"/>
            <w:tcBorders>
              <w:tl2br w:val="nil"/>
              <w:tr2bl w:val="nil"/>
            </w:tcBorders>
            <w:noWrap w:val="0"/>
            <w:vAlign w:val="center"/>
          </w:tcPr>
          <w:p w14:paraId="50223F1D">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23B2435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restart"/>
            <w:tcBorders>
              <w:tl2br w:val="nil"/>
              <w:tr2bl w:val="nil"/>
            </w:tcBorders>
            <w:noWrap w:val="0"/>
            <w:vAlign w:val="center"/>
          </w:tcPr>
          <w:p w14:paraId="79F3B902">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6</w:t>
            </w:r>
          </w:p>
        </w:tc>
        <w:tc>
          <w:tcPr>
            <w:tcW w:w="657" w:type="pct"/>
            <w:vMerge w:val="restart"/>
            <w:tcBorders>
              <w:tl2br w:val="nil"/>
              <w:tr2bl w:val="nil"/>
            </w:tcBorders>
            <w:noWrap w:val="0"/>
            <w:vAlign w:val="center"/>
          </w:tcPr>
          <w:p w14:paraId="162DFF51">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PM</w:t>
            </w:r>
            <w:r>
              <w:rPr>
                <w:rFonts w:hint="default" w:ascii="Times New Roman" w:hAnsi="Times New Roman" w:cs="Times New Roman"/>
                <w:color w:val="000000"/>
                <w:sz w:val="21"/>
                <w:szCs w:val="18"/>
                <w:vertAlign w:val="subscript"/>
              </w:rPr>
              <w:t>2.5</w:t>
            </w:r>
          </w:p>
        </w:tc>
        <w:tc>
          <w:tcPr>
            <w:tcW w:w="1065" w:type="pct"/>
            <w:tcBorders>
              <w:tl2br w:val="nil"/>
              <w:tr2bl w:val="nil"/>
            </w:tcBorders>
            <w:noWrap w:val="0"/>
            <w:vAlign w:val="center"/>
          </w:tcPr>
          <w:p w14:paraId="0B6E9725">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年平均</w:t>
            </w:r>
          </w:p>
        </w:tc>
        <w:tc>
          <w:tcPr>
            <w:tcW w:w="464" w:type="pct"/>
            <w:vMerge w:val="restart"/>
            <w:tcBorders>
              <w:tl2br w:val="nil"/>
              <w:tr2bl w:val="nil"/>
            </w:tcBorders>
            <w:noWrap w:val="0"/>
            <w:vAlign w:val="center"/>
          </w:tcPr>
          <w:p w14:paraId="0A83D446">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µg/m</w:t>
            </w:r>
            <w:r>
              <w:rPr>
                <w:rFonts w:hint="default" w:ascii="Times New Roman" w:hAnsi="Times New Roman" w:cs="Times New Roman"/>
                <w:color w:val="000000"/>
                <w:sz w:val="21"/>
                <w:szCs w:val="18"/>
                <w:vertAlign w:val="superscript"/>
              </w:rPr>
              <w:t>3</w:t>
            </w:r>
          </w:p>
        </w:tc>
        <w:tc>
          <w:tcPr>
            <w:tcW w:w="602" w:type="pct"/>
            <w:tcBorders>
              <w:tl2br w:val="nil"/>
              <w:tr2bl w:val="nil"/>
            </w:tcBorders>
            <w:noWrap w:val="0"/>
            <w:vAlign w:val="center"/>
          </w:tcPr>
          <w:p w14:paraId="56A8DCE3">
            <w:pPr>
              <w:autoSpaceDE/>
              <w:autoSpaceDN/>
              <w:spacing w:before="0" w:after="0" w:line="240" w:lineRule="auto"/>
              <w:ind w:left="0" w:firstLine="0"/>
              <w:jc w:val="center"/>
              <w:rPr>
                <w:rFonts w:hint="eastAsia" w:ascii="Times New Roman" w:hAnsi="Times New Roman" w:eastAsia="宋体" w:cs="Times New Roman"/>
                <w:color w:val="000000"/>
                <w:sz w:val="21"/>
                <w:szCs w:val="18"/>
                <w:lang w:eastAsia="zh-CN"/>
              </w:rPr>
            </w:pPr>
            <w:r>
              <w:rPr>
                <w:rFonts w:hint="default" w:ascii="Times New Roman" w:hAnsi="Times New Roman" w:cs="Times New Roman"/>
                <w:color w:val="000000"/>
                <w:sz w:val="21"/>
                <w:szCs w:val="18"/>
              </w:rPr>
              <w:t>3</w:t>
            </w:r>
            <w:r>
              <w:rPr>
                <w:rFonts w:hint="eastAsia" w:cs="Times New Roman"/>
                <w:color w:val="000000"/>
                <w:sz w:val="21"/>
                <w:szCs w:val="18"/>
                <w:lang w:val="en-US" w:eastAsia="zh-CN"/>
              </w:rPr>
              <w:t>0</w:t>
            </w:r>
          </w:p>
        </w:tc>
        <w:tc>
          <w:tcPr>
            <w:tcW w:w="1792" w:type="pct"/>
            <w:vMerge w:val="continue"/>
            <w:tcBorders>
              <w:tl2br w:val="nil"/>
              <w:tr2bl w:val="nil"/>
            </w:tcBorders>
            <w:noWrap w:val="0"/>
            <w:vAlign w:val="center"/>
          </w:tcPr>
          <w:p w14:paraId="51359623">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691CAE9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vMerge w:val="continue"/>
            <w:tcBorders>
              <w:tl2br w:val="nil"/>
              <w:tr2bl w:val="nil"/>
            </w:tcBorders>
            <w:noWrap w:val="0"/>
            <w:vAlign w:val="center"/>
          </w:tcPr>
          <w:p w14:paraId="3DA6DCFB">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57" w:type="pct"/>
            <w:vMerge w:val="continue"/>
            <w:tcBorders>
              <w:tl2br w:val="nil"/>
              <w:tr2bl w:val="nil"/>
            </w:tcBorders>
            <w:noWrap w:val="0"/>
            <w:vAlign w:val="center"/>
          </w:tcPr>
          <w:p w14:paraId="3F1BE561">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1065" w:type="pct"/>
            <w:tcBorders>
              <w:tl2br w:val="nil"/>
              <w:tr2bl w:val="nil"/>
            </w:tcBorders>
            <w:noWrap w:val="0"/>
            <w:vAlign w:val="center"/>
          </w:tcPr>
          <w:p w14:paraId="3A9778CF">
            <w:pPr>
              <w:autoSpaceDE/>
              <w:autoSpaceDN/>
              <w:spacing w:before="0" w:after="0" w:line="240" w:lineRule="auto"/>
              <w:ind w:left="0" w:firstLine="0"/>
              <w:jc w:val="center"/>
              <w:rPr>
                <w:rFonts w:hint="default" w:ascii="Times New Roman" w:hAnsi="Times New Roman" w:cs="Times New Roman"/>
                <w:color w:val="000000"/>
                <w:sz w:val="21"/>
                <w:szCs w:val="18"/>
              </w:rPr>
            </w:pPr>
            <w:r>
              <w:rPr>
                <w:rFonts w:hint="default" w:ascii="Times New Roman" w:hAnsi="Times New Roman" w:cs="Times New Roman"/>
                <w:color w:val="000000"/>
                <w:sz w:val="21"/>
                <w:szCs w:val="18"/>
              </w:rPr>
              <w:t>24小时平均</w:t>
            </w:r>
          </w:p>
        </w:tc>
        <w:tc>
          <w:tcPr>
            <w:tcW w:w="464" w:type="pct"/>
            <w:vMerge w:val="continue"/>
            <w:tcBorders>
              <w:tl2br w:val="nil"/>
              <w:tr2bl w:val="nil"/>
            </w:tcBorders>
            <w:noWrap w:val="0"/>
            <w:vAlign w:val="center"/>
          </w:tcPr>
          <w:p w14:paraId="5108113E">
            <w:pPr>
              <w:autoSpaceDE/>
              <w:autoSpaceDN/>
              <w:spacing w:before="0" w:after="0" w:line="240" w:lineRule="auto"/>
              <w:ind w:left="0" w:firstLine="0"/>
              <w:jc w:val="center"/>
              <w:rPr>
                <w:rFonts w:hint="default" w:ascii="Times New Roman" w:hAnsi="Times New Roman" w:cs="Times New Roman"/>
                <w:color w:val="000000"/>
                <w:sz w:val="21"/>
                <w:szCs w:val="18"/>
              </w:rPr>
            </w:pPr>
          </w:p>
        </w:tc>
        <w:tc>
          <w:tcPr>
            <w:tcW w:w="602" w:type="pct"/>
            <w:tcBorders>
              <w:tl2br w:val="nil"/>
              <w:tr2bl w:val="nil"/>
            </w:tcBorders>
            <w:noWrap w:val="0"/>
            <w:vAlign w:val="center"/>
          </w:tcPr>
          <w:p w14:paraId="7E37FD6F">
            <w:pPr>
              <w:autoSpaceDE/>
              <w:autoSpaceDN/>
              <w:spacing w:before="0" w:after="0" w:line="240" w:lineRule="auto"/>
              <w:ind w:left="0" w:firstLine="0"/>
              <w:jc w:val="center"/>
              <w:rPr>
                <w:rFonts w:hint="default" w:ascii="Times New Roman" w:hAnsi="Times New Roman" w:eastAsia="宋体" w:cs="Times New Roman"/>
                <w:color w:val="000000"/>
                <w:sz w:val="21"/>
                <w:szCs w:val="18"/>
                <w:lang w:val="en-US" w:eastAsia="zh-CN"/>
              </w:rPr>
            </w:pPr>
            <w:r>
              <w:rPr>
                <w:rFonts w:hint="eastAsia" w:cs="Times New Roman"/>
                <w:color w:val="000000"/>
                <w:sz w:val="21"/>
                <w:szCs w:val="18"/>
                <w:lang w:val="en-US" w:eastAsia="zh-CN"/>
              </w:rPr>
              <w:t>60</w:t>
            </w:r>
          </w:p>
        </w:tc>
        <w:tc>
          <w:tcPr>
            <w:tcW w:w="1792" w:type="pct"/>
            <w:vMerge w:val="continue"/>
            <w:tcBorders>
              <w:tl2br w:val="nil"/>
              <w:tr2bl w:val="nil"/>
            </w:tcBorders>
            <w:noWrap w:val="0"/>
            <w:vAlign w:val="center"/>
          </w:tcPr>
          <w:p w14:paraId="1238640A">
            <w:pPr>
              <w:autoSpaceDE/>
              <w:autoSpaceDN/>
              <w:spacing w:before="0" w:after="0" w:line="240" w:lineRule="auto"/>
              <w:ind w:left="0" w:firstLine="0"/>
              <w:jc w:val="center"/>
              <w:rPr>
                <w:rFonts w:hint="default" w:ascii="Times New Roman" w:hAnsi="Times New Roman" w:cs="Times New Roman"/>
                <w:color w:val="000000"/>
                <w:sz w:val="21"/>
                <w:szCs w:val="18"/>
              </w:rPr>
            </w:pPr>
          </w:p>
        </w:tc>
      </w:tr>
      <w:tr w14:paraId="49A7A96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tcBorders>
              <w:tl2br w:val="nil"/>
              <w:tr2bl w:val="nil"/>
            </w:tcBorders>
            <w:noWrap w:val="0"/>
            <w:vAlign w:val="center"/>
          </w:tcPr>
          <w:p w14:paraId="06CAD5FD">
            <w:pPr>
              <w:autoSpaceDE/>
              <w:autoSpaceDN/>
              <w:spacing w:before="0" w:after="0" w:line="240" w:lineRule="auto"/>
              <w:ind w:left="0" w:firstLine="0"/>
              <w:jc w:val="center"/>
              <w:rPr>
                <w:rFonts w:hint="default" w:ascii="Times New Roman" w:hAnsi="Times New Roman" w:eastAsia="宋体"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7</w:t>
            </w:r>
          </w:p>
        </w:tc>
        <w:tc>
          <w:tcPr>
            <w:tcW w:w="657" w:type="pct"/>
            <w:tcBorders>
              <w:tl2br w:val="nil"/>
              <w:tr2bl w:val="nil"/>
            </w:tcBorders>
            <w:noWrap w:val="0"/>
            <w:vAlign w:val="center"/>
          </w:tcPr>
          <w:p w14:paraId="1FA2A4CA">
            <w:pPr>
              <w:autoSpaceDE/>
              <w:autoSpaceDN/>
              <w:spacing w:before="0" w:after="0" w:line="240" w:lineRule="auto"/>
              <w:ind w:left="0" w:firstLine="0"/>
              <w:jc w:val="center"/>
              <w:rPr>
                <w:rFonts w:hint="default" w:ascii="Times New Roman" w:hAnsi="Times New Roman" w:eastAsia="宋体"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TSP</w:t>
            </w:r>
          </w:p>
        </w:tc>
        <w:tc>
          <w:tcPr>
            <w:tcW w:w="1065" w:type="pct"/>
            <w:tcBorders>
              <w:tl2br w:val="nil"/>
              <w:tr2bl w:val="nil"/>
            </w:tcBorders>
            <w:noWrap w:val="0"/>
            <w:vAlign w:val="center"/>
          </w:tcPr>
          <w:p w14:paraId="03374B54">
            <w:pPr>
              <w:autoSpaceDE/>
              <w:autoSpaceDN/>
              <w:spacing w:before="0" w:after="0" w:line="240" w:lineRule="auto"/>
              <w:ind w:left="0" w:firstLine="0"/>
              <w:jc w:val="center"/>
              <w:rPr>
                <w:rFonts w:hint="default" w:ascii="Times New Roman" w:hAnsi="Times New Roman" w:eastAsia="宋体"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24小时平均</w:t>
            </w:r>
          </w:p>
        </w:tc>
        <w:tc>
          <w:tcPr>
            <w:tcW w:w="464" w:type="pct"/>
            <w:tcBorders>
              <w:tl2br w:val="nil"/>
              <w:tr2bl w:val="nil"/>
            </w:tcBorders>
            <w:noWrap w:val="0"/>
            <w:vAlign w:val="center"/>
          </w:tcPr>
          <w:p w14:paraId="289CFF3B">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rPr>
            </w:pPr>
            <w:r>
              <w:rPr>
                <w:rFonts w:hint="default" w:ascii="Times New Roman" w:hAnsi="Times New Roman" w:cs="Times New Roman"/>
                <w:b w:val="0"/>
                <w:bCs w:val="0"/>
                <w:color w:val="000000"/>
                <w:sz w:val="21"/>
                <w:szCs w:val="18"/>
                <w:u w:val="none"/>
              </w:rPr>
              <w:t>µg/m</w:t>
            </w:r>
            <w:r>
              <w:rPr>
                <w:rFonts w:hint="default" w:ascii="Times New Roman" w:hAnsi="Times New Roman" w:cs="Times New Roman"/>
                <w:b w:val="0"/>
                <w:bCs w:val="0"/>
                <w:color w:val="000000"/>
                <w:sz w:val="21"/>
                <w:szCs w:val="18"/>
                <w:u w:val="none"/>
                <w:vertAlign w:val="superscript"/>
              </w:rPr>
              <w:t>3</w:t>
            </w:r>
          </w:p>
        </w:tc>
        <w:tc>
          <w:tcPr>
            <w:tcW w:w="602" w:type="pct"/>
            <w:tcBorders>
              <w:tl2br w:val="nil"/>
              <w:tr2bl w:val="nil"/>
            </w:tcBorders>
            <w:noWrap w:val="0"/>
            <w:vAlign w:val="center"/>
          </w:tcPr>
          <w:p w14:paraId="450B1916">
            <w:pPr>
              <w:autoSpaceDE/>
              <w:autoSpaceDN/>
              <w:spacing w:before="0" w:after="0" w:line="240" w:lineRule="auto"/>
              <w:ind w:left="0" w:firstLine="0"/>
              <w:jc w:val="center"/>
              <w:rPr>
                <w:rFonts w:hint="default" w:ascii="Times New Roman" w:hAnsi="Times New Roman" w:eastAsia="宋体"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300</w:t>
            </w:r>
          </w:p>
        </w:tc>
        <w:tc>
          <w:tcPr>
            <w:tcW w:w="1792" w:type="pct"/>
            <w:vMerge w:val="continue"/>
            <w:tcBorders>
              <w:tl2br w:val="nil"/>
              <w:tr2bl w:val="nil"/>
            </w:tcBorders>
            <w:noWrap w:val="0"/>
            <w:vAlign w:val="center"/>
          </w:tcPr>
          <w:p w14:paraId="147CEC7B">
            <w:pPr>
              <w:autoSpaceDE/>
              <w:autoSpaceDN/>
              <w:spacing w:before="0" w:after="0" w:line="240" w:lineRule="auto"/>
              <w:ind w:left="0" w:firstLine="0"/>
              <w:jc w:val="both"/>
              <w:rPr>
                <w:rFonts w:hint="default" w:ascii="Times New Roman" w:hAnsi="Times New Roman" w:eastAsia="宋体" w:cs="Times New Roman"/>
                <w:b w:val="0"/>
                <w:bCs w:val="0"/>
                <w:color w:val="000000"/>
                <w:sz w:val="21"/>
                <w:szCs w:val="18"/>
                <w:u w:val="none"/>
                <w:lang w:val="en-US" w:eastAsia="zh-CN"/>
              </w:rPr>
            </w:pPr>
          </w:p>
        </w:tc>
      </w:tr>
      <w:tr w14:paraId="16A0CFB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tcBorders>
              <w:tl2br w:val="nil"/>
              <w:tr2bl w:val="nil"/>
            </w:tcBorders>
            <w:noWrap w:val="0"/>
            <w:vAlign w:val="center"/>
          </w:tcPr>
          <w:p w14:paraId="3D78B595">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8</w:t>
            </w:r>
          </w:p>
        </w:tc>
        <w:tc>
          <w:tcPr>
            <w:tcW w:w="657" w:type="pct"/>
            <w:tcBorders>
              <w:tl2br w:val="nil"/>
              <w:tr2bl w:val="nil"/>
            </w:tcBorders>
            <w:noWrap w:val="0"/>
            <w:vAlign w:val="center"/>
          </w:tcPr>
          <w:p w14:paraId="301A7EFE">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NO</w:t>
            </w:r>
            <w:r>
              <w:rPr>
                <w:rFonts w:hint="default" w:ascii="Times New Roman" w:hAnsi="Times New Roman" w:cs="Times New Roman"/>
                <w:b w:val="0"/>
                <w:bCs w:val="0"/>
                <w:color w:val="000000"/>
                <w:sz w:val="21"/>
                <w:szCs w:val="18"/>
                <w:u w:val="none"/>
                <w:vertAlign w:val="subscript"/>
                <w:lang w:val="en-US" w:eastAsia="zh-CN"/>
              </w:rPr>
              <w:t>X</w:t>
            </w:r>
          </w:p>
        </w:tc>
        <w:tc>
          <w:tcPr>
            <w:tcW w:w="1065" w:type="pct"/>
            <w:tcBorders>
              <w:tl2br w:val="nil"/>
              <w:tr2bl w:val="nil"/>
            </w:tcBorders>
            <w:noWrap w:val="0"/>
            <w:vAlign w:val="center"/>
          </w:tcPr>
          <w:p w14:paraId="59959BC6">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24小时平均</w:t>
            </w:r>
          </w:p>
        </w:tc>
        <w:tc>
          <w:tcPr>
            <w:tcW w:w="464" w:type="pct"/>
            <w:tcBorders>
              <w:tl2br w:val="nil"/>
              <w:tr2bl w:val="nil"/>
            </w:tcBorders>
            <w:noWrap w:val="0"/>
            <w:vAlign w:val="center"/>
          </w:tcPr>
          <w:p w14:paraId="17A13082">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rPr>
            </w:pPr>
            <w:r>
              <w:rPr>
                <w:rFonts w:hint="default" w:ascii="Times New Roman" w:hAnsi="Times New Roman" w:cs="Times New Roman"/>
                <w:b w:val="0"/>
                <w:bCs w:val="0"/>
                <w:color w:val="000000"/>
                <w:sz w:val="21"/>
                <w:szCs w:val="18"/>
                <w:u w:val="none"/>
              </w:rPr>
              <w:t>µg/m</w:t>
            </w:r>
            <w:r>
              <w:rPr>
                <w:rFonts w:hint="default" w:ascii="Times New Roman" w:hAnsi="Times New Roman" w:cs="Times New Roman"/>
                <w:b w:val="0"/>
                <w:bCs w:val="0"/>
                <w:color w:val="000000"/>
                <w:sz w:val="21"/>
                <w:szCs w:val="18"/>
                <w:u w:val="none"/>
                <w:vertAlign w:val="superscript"/>
              </w:rPr>
              <w:t>3</w:t>
            </w:r>
          </w:p>
        </w:tc>
        <w:tc>
          <w:tcPr>
            <w:tcW w:w="602" w:type="pct"/>
            <w:tcBorders>
              <w:tl2br w:val="nil"/>
              <w:tr2bl w:val="nil"/>
            </w:tcBorders>
            <w:noWrap w:val="0"/>
            <w:vAlign w:val="center"/>
          </w:tcPr>
          <w:p w14:paraId="213F0687">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200</w:t>
            </w:r>
          </w:p>
        </w:tc>
        <w:tc>
          <w:tcPr>
            <w:tcW w:w="1792" w:type="pct"/>
            <w:vMerge w:val="continue"/>
            <w:tcBorders>
              <w:tl2br w:val="nil"/>
              <w:tr2bl w:val="nil"/>
            </w:tcBorders>
            <w:noWrap w:val="0"/>
            <w:vAlign w:val="center"/>
          </w:tcPr>
          <w:p w14:paraId="0D491FCF">
            <w:pPr>
              <w:autoSpaceDE/>
              <w:autoSpaceDN/>
              <w:spacing w:before="0" w:after="0" w:line="240" w:lineRule="auto"/>
              <w:ind w:left="0" w:firstLine="0"/>
              <w:jc w:val="both"/>
              <w:rPr>
                <w:rFonts w:hint="default" w:ascii="Times New Roman" w:hAnsi="Times New Roman" w:eastAsia="宋体" w:cs="Times New Roman"/>
                <w:b w:val="0"/>
                <w:bCs w:val="0"/>
                <w:color w:val="000000"/>
                <w:sz w:val="21"/>
                <w:szCs w:val="18"/>
                <w:u w:val="none"/>
                <w:lang w:val="en-US" w:eastAsia="zh-CN"/>
              </w:rPr>
            </w:pPr>
          </w:p>
        </w:tc>
      </w:tr>
      <w:tr w14:paraId="644CCEB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18" w:type="pct"/>
            <w:tcBorders>
              <w:tl2br w:val="nil"/>
              <w:tr2bl w:val="nil"/>
            </w:tcBorders>
            <w:noWrap w:val="0"/>
            <w:vAlign w:val="center"/>
          </w:tcPr>
          <w:p w14:paraId="1607F900">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9</w:t>
            </w:r>
          </w:p>
        </w:tc>
        <w:tc>
          <w:tcPr>
            <w:tcW w:w="657" w:type="pct"/>
            <w:tcBorders>
              <w:tl2br w:val="nil"/>
              <w:tr2bl w:val="nil"/>
            </w:tcBorders>
            <w:noWrap w:val="0"/>
            <w:vAlign w:val="center"/>
          </w:tcPr>
          <w:p w14:paraId="26DD81C6">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NH</w:t>
            </w:r>
            <w:r>
              <w:rPr>
                <w:rFonts w:hint="default" w:ascii="Times New Roman" w:hAnsi="Times New Roman" w:cs="Times New Roman"/>
                <w:b w:val="0"/>
                <w:bCs w:val="0"/>
                <w:color w:val="000000"/>
                <w:sz w:val="21"/>
                <w:szCs w:val="18"/>
                <w:u w:val="none"/>
                <w:vertAlign w:val="subscript"/>
                <w:lang w:val="en-US" w:eastAsia="zh-CN"/>
              </w:rPr>
              <w:t>3</w:t>
            </w:r>
          </w:p>
        </w:tc>
        <w:tc>
          <w:tcPr>
            <w:tcW w:w="1065" w:type="pct"/>
            <w:tcBorders>
              <w:tl2br w:val="nil"/>
              <w:tr2bl w:val="nil"/>
            </w:tcBorders>
            <w:noWrap w:val="0"/>
            <w:vAlign w:val="center"/>
          </w:tcPr>
          <w:p w14:paraId="039B87CB">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1小时平均</w:t>
            </w:r>
          </w:p>
        </w:tc>
        <w:tc>
          <w:tcPr>
            <w:tcW w:w="464" w:type="pct"/>
            <w:tcBorders>
              <w:tl2br w:val="nil"/>
              <w:tr2bl w:val="nil"/>
            </w:tcBorders>
            <w:noWrap w:val="0"/>
            <w:vAlign w:val="center"/>
          </w:tcPr>
          <w:p w14:paraId="0DEB183A">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rPr>
            </w:pPr>
            <w:r>
              <w:rPr>
                <w:rFonts w:hint="default" w:ascii="Times New Roman" w:hAnsi="Times New Roman" w:cs="Times New Roman"/>
                <w:b w:val="0"/>
                <w:bCs w:val="0"/>
                <w:color w:val="000000"/>
                <w:sz w:val="21"/>
                <w:szCs w:val="18"/>
                <w:u w:val="none"/>
              </w:rPr>
              <w:t>µg/m</w:t>
            </w:r>
            <w:r>
              <w:rPr>
                <w:rFonts w:hint="default" w:ascii="Times New Roman" w:hAnsi="Times New Roman" w:cs="Times New Roman"/>
                <w:b w:val="0"/>
                <w:bCs w:val="0"/>
                <w:color w:val="000000"/>
                <w:sz w:val="21"/>
                <w:szCs w:val="18"/>
                <w:u w:val="none"/>
                <w:vertAlign w:val="superscript"/>
              </w:rPr>
              <w:t>3</w:t>
            </w:r>
          </w:p>
        </w:tc>
        <w:tc>
          <w:tcPr>
            <w:tcW w:w="602" w:type="pct"/>
            <w:tcBorders>
              <w:tl2br w:val="nil"/>
              <w:tr2bl w:val="nil"/>
            </w:tcBorders>
            <w:noWrap w:val="0"/>
            <w:vAlign w:val="center"/>
          </w:tcPr>
          <w:p w14:paraId="7D4BD378">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lang w:val="en-US" w:eastAsia="zh-CN"/>
              </w:rPr>
            </w:pPr>
            <w:r>
              <w:rPr>
                <w:rFonts w:hint="default" w:ascii="Times New Roman" w:hAnsi="Times New Roman" w:cs="Times New Roman"/>
                <w:b w:val="0"/>
                <w:bCs w:val="0"/>
                <w:color w:val="000000"/>
                <w:sz w:val="21"/>
                <w:szCs w:val="18"/>
                <w:u w:val="none"/>
                <w:lang w:val="en-US" w:eastAsia="zh-CN"/>
              </w:rPr>
              <w:t>200</w:t>
            </w:r>
          </w:p>
        </w:tc>
        <w:tc>
          <w:tcPr>
            <w:tcW w:w="1792" w:type="pct"/>
            <w:tcBorders>
              <w:tl2br w:val="nil"/>
              <w:tr2bl w:val="nil"/>
            </w:tcBorders>
            <w:noWrap w:val="0"/>
            <w:vAlign w:val="center"/>
          </w:tcPr>
          <w:p w14:paraId="50544EBB">
            <w:pPr>
              <w:autoSpaceDE/>
              <w:autoSpaceDN/>
              <w:spacing w:before="0" w:after="0" w:line="240" w:lineRule="auto"/>
              <w:ind w:left="0" w:firstLine="0"/>
              <w:jc w:val="center"/>
              <w:rPr>
                <w:rFonts w:hint="default" w:ascii="Times New Roman" w:hAnsi="Times New Roman" w:cs="Times New Roman"/>
                <w:b w:val="0"/>
                <w:bCs w:val="0"/>
                <w:color w:val="000000"/>
                <w:sz w:val="21"/>
                <w:szCs w:val="18"/>
                <w:u w:val="none"/>
                <w:lang w:eastAsia="zh-CN"/>
              </w:rPr>
            </w:pPr>
            <w:r>
              <w:rPr>
                <w:rFonts w:hint="default" w:ascii="Times New Roman" w:hAnsi="Times New Roman" w:cs="Times New Roman"/>
                <w:b w:val="0"/>
                <w:bCs w:val="0"/>
                <w:color w:val="000000"/>
                <w:sz w:val="21"/>
                <w:szCs w:val="18"/>
                <w:u w:val="none"/>
                <w:lang w:eastAsia="zh-CN"/>
              </w:rPr>
              <w:t>《</w:t>
            </w:r>
            <w:r>
              <w:rPr>
                <w:rFonts w:hint="default" w:ascii="Times New Roman" w:hAnsi="Times New Roman" w:cs="Times New Roman"/>
                <w:b w:val="0"/>
                <w:bCs w:val="0"/>
                <w:color w:val="000000"/>
                <w:sz w:val="21"/>
                <w:szCs w:val="18"/>
                <w:u w:val="none"/>
                <w:lang w:val="en-US" w:eastAsia="zh-CN"/>
              </w:rPr>
              <w:t>环境影响评价技术导则 大气环境</w:t>
            </w:r>
            <w:r>
              <w:rPr>
                <w:rFonts w:hint="default" w:ascii="Times New Roman" w:hAnsi="Times New Roman" w:cs="Times New Roman"/>
                <w:b w:val="0"/>
                <w:bCs w:val="0"/>
                <w:color w:val="000000"/>
                <w:sz w:val="21"/>
                <w:szCs w:val="18"/>
                <w:u w:val="none"/>
                <w:lang w:eastAsia="zh-CN"/>
              </w:rPr>
              <w:t>》（</w:t>
            </w:r>
            <w:r>
              <w:rPr>
                <w:rFonts w:hint="default" w:ascii="Times New Roman" w:hAnsi="Times New Roman" w:cs="Times New Roman"/>
                <w:b w:val="0"/>
                <w:bCs w:val="0"/>
                <w:color w:val="000000"/>
                <w:sz w:val="21"/>
                <w:szCs w:val="18"/>
                <w:u w:val="none"/>
                <w:lang w:val="en-US" w:eastAsia="zh-CN"/>
              </w:rPr>
              <w:t>HJ2.2-2018</w:t>
            </w:r>
            <w:r>
              <w:rPr>
                <w:rFonts w:hint="default" w:ascii="Times New Roman" w:hAnsi="Times New Roman" w:cs="Times New Roman"/>
                <w:b w:val="0"/>
                <w:bCs w:val="0"/>
                <w:color w:val="000000"/>
                <w:sz w:val="21"/>
                <w:szCs w:val="18"/>
                <w:u w:val="none"/>
                <w:lang w:eastAsia="zh-CN"/>
              </w:rPr>
              <w:t>）</w:t>
            </w:r>
            <w:r>
              <w:rPr>
                <w:rFonts w:hint="default" w:ascii="Times New Roman" w:hAnsi="Times New Roman" w:cs="Times New Roman"/>
                <w:b w:val="0"/>
                <w:bCs w:val="0"/>
                <w:color w:val="000000"/>
                <w:sz w:val="21"/>
                <w:szCs w:val="18"/>
                <w:u w:val="none"/>
                <w:lang w:val="en-US" w:eastAsia="zh-CN"/>
              </w:rPr>
              <w:t>附录D</w:t>
            </w:r>
          </w:p>
        </w:tc>
      </w:tr>
    </w:tbl>
    <w:p w14:paraId="705A41D5">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rPr>
      </w:pPr>
      <w:bookmarkStart w:id="193" w:name="_Toc9571"/>
      <w:bookmarkStart w:id="194" w:name="_Toc26494"/>
      <w:r>
        <w:rPr>
          <w:rFonts w:hint="default" w:ascii="Times New Roman" w:hAnsi="Times New Roman" w:eastAsia="宋体" w:cs="Times New Roman"/>
          <w:b/>
          <w:bCs/>
          <w:sz w:val="24"/>
          <w:szCs w:val="16"/>
          <w:highlight w:val="none"/>
        </w:rPr>
        <w:t>5.2.</w:t>
      </w:r>
      <w:r>
        <w:rPr>
          <w:rFonts w:hint="default" w:ascii="Times New Roman" w:hAnsi="Times New Roman" w:eastAsia="宋体" w:cs="Times New Roman"/>
          <w:b/>
          <w:bCs/>
          <w:sz w:val="24"/>
          <w:szCs w:val="16"/>
          <w:highlight w:val="none"/>
          <w:lang w:val="en-US" w:eastAsia="zh-CN"/>
        </w:rPr>
        <w:t>1.</w:t>
      </w:r>
      <w:r>
        <w:rPr>
          <w:rFonts w:hint="default" w:ascii="Times New Roman" w:hAnsi="Times New Roman" w:eastAsia="宋体" w:cs="Times New Roman"/>
          <w:b/>
          <w:bCs/>
          <w:sz w:val="24"/>
          <w:szCs w:val="16"/>
          <w:highlight w:val="none"/>
        </w:rPr>
        <w:t>3污染源调查</w:t>
      </w:r>
      <w:bookmarkEnd w:id="193"/>
      <w:bookmarkEnd w:id="194"/>
    </w:p>
    <w:p w14:paraId="67FAE7E8">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color w:val="auto"/>
          <w:sz w:val="24"/>
          <w:szCs w:val="24"/>
          <w:highlight w:val="none"/>
          <w:u w:val="none"/>
        </w:rPr>
      </w:pPr>
      <w:r>
        <w:rPr>
          <w:rFonts w:hint="default" w:ascii="Times New Roman" w:hAnsi="Times New Roman" w:cs="Times New Roman"/>
          <w:b w:val="0"/>
          <w:bCs w:val="0"/>
          <w:color w:val="auto"/>
          <w:sz w:val="24"/>
          <w:szCs w:val="24"/>
          <w:highlight w:val="none"/>
          <w:u w:val="none"/>
        </w:rPr>
        <w:t>（1）有组织排放源</w:t>
      </w:r>
    </w:p>
    <w:p w14:paraId="7343F8E5">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根据项目污染物源强核算章节，</w:t>
      </w:r>
      <w:r>
        <w:rPr>
          <w:rFonts w:hint="default" w:ascii="Times New Roman" w:hAnsi="Times New Roman" w:cs="Times New Roman"/>
          <w:b w:val="0"/>
          <w:bCs w:val="0"/>
          <w:color w:val="auto"/>
          <w:sz w:val="24"/>
          <w:szCs w:val="24"/>
          <w:highlight w:val="none"/>
          <w:u w:val="none"/>
        </w:rPr>
        <w:t>项目</w:t>
      </w:r>
      <w:r>
        <w:rPr>
          <w:rFonts w:hint="default" w:ascii="Times New Roman" w:hAnsi="Times New Roman" w:cs="Times New Roman"/>
          <w:b w:val="0"/>
          <w:bCs w:val="0"/>
          <w:color w:val="auto"/>
          <w:sz w:val="24"/>
          <w:szCs w:val="24"/>
          <w:highlight w:val="none"/>
          <w:u w:val="none"/>
          <w:lang w:val="en-US" w:eastAsia="zh-CN"/>
        </w:rPr>
        <w:t>协同处置过程中不会新增颗粒物、NO</w:t>
      </w:r>
      <w:r>
        <w:rPr>
          <w:rFonts w:hint="default" w:ascii="Times New Roman" w:hAnsi="Times New Roman" w:cs="Times New Roman"/>
          <w:b w:val="0"/>
          <w:bCs w:val="0"/>
          <w:color w:val="auto"/>
          <w:sz w:val="24"/>
          <w:szCs w:val="24"/>
          <w:highlight w:val="none"/>
          <w:u w:val="none"/>
          <w:vertAlign w:val="subscript"/>
          <w:lang w:val="en-US" w:eastAsia="zh-CN"/>
        </w:rPr>
        <w:t>x</w:t>
      </w:r>
      <w:r>
        <w:rPr>
          <w:rFonts w:hint="default" w:ascii="Times New Roman" w:hAnsi="Times New Roman" w:cs="Times New Roman"/>
          <w:b w:val="0"/>
          <w:bCs w:val="0"/>
          <w:color w:val="auto"/>
          <w:sz w:val="24"/>
          <w:szCs w:val="24"/>
          <w:highlight w:val="none"/>
          <w:u w:val="none"/>
          <w:lang w:val="en-US" w:eastAsia="zh-CN"/>
        </w:rPr>
        <w:t>、SO</w:t>
      </w:r>
      <w:r>
        <w:rPr>
          <w:rFonts w:hint="default" w:ascii="Times New Roman" w:hAnsi="Times New Roman" w:cs="Times New Roman"/>
          <w:b w:val="0"/>
          <w:bCs w:val="0"/>
          <w:color w:val="auto"/>
          <w:sz w:val="24"/>
          <w:szCs w:val="24"/>
          <w:highlight w:val="none"/>
          <w:u w:val="none"/>
          <w:vertAlign w:val="subscript"/>
          <w:lang w:val="en-US" w:eastAsia="zh-CN"/>
        </w:rPr>
        <w:t>2</w:t>
      </w:r>
      <w:r>
        <w:rPr>
          <w:rFonts w:hint="default" w:ascii="Times New Roman" w:hAnsi="Times New Roman" w:cs="Times New Roman"/>
          <w:b w:val="0"/>
          <w:bCs w:val="0"/>
          <w:color w:val="auto"/>
          <w:sz w:val="24"/>
          <w:szCs w:val="24"/>
          <w:highlight w:val="none"/>
          <w:u w:val="none"/>
          <w:vertAlign w:val="baseline"/>
          <w:lang w:val="en-US" w:eastAsia="zh-CN"/>
        </w:rPr>
        <w:t>污染物排放量</w:t>
      </w:r>
      <w:r>
        <w:rPr>
          <w:rFonts w:hint="default" w:ascii="Times New Roman" w:hAnsi="Times New Roman" w:cs="Times New Roman"/>
          <w:b w:val="0"/>
          <w:bCs w:val="0"/>
          <w:color w:val="auto"/>
          <w:sz w:val="24"/>
          <w:szCs w:val="24"/>
          <w:highlight w:val="none"/>
          <w:u w:val="none"/>
        </w:rPr>
        <w:t>。</w:t>
      </w:r>
      <w:r>
        <w:rPr>
          <w:rFonts w:hint="eastAsia" w:cs="Times New Roman"/>
          <w:b w:val="0"/>
          <w:bCs w:val="0"/>
          <w:color w:val="auto"/>
          <w:sz w:val="24"/>
          <w:szCs w:val="24"/>
          <w:highlight w:val="none"/>
          <w:u w:val="none"/>
          <w:lang w:val="en-US" w:eastAsia="zh-CN"/>
        </w:rPr>
        <w:t>投料车间预处理过程和输送过程会产生粉尘，预处理及输送过程全密闭，废气收集后经布袋除尘器处理后分别由2根15m排气筒达标排放。</w:t>
      </w:r>
    </w:p>
    <w:p w14:paraId="5D4E7DFB">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（2）无组织排放源</w:t>
      </w:r>
    </w:p>
    <w:p w14:paraId="1499D88F">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本项目</w:t>
      </w:r>
      <w:r>
        <w:rPr>
          <w:rFonts w:hint="eastAsia" w:cs="Times New Roman"/>
          <w:b w:val="0"/>
          <w:bCs w:val="0"/>
          <w:color w:val="auto"/>
          <w:sz w:val="24"/>
          <w:szCs w:val="24"/>
          <w:highlight w:val="none"/>
          <w:u w:val="none"/>
          <w:lang w:val="en-US" w:eastAsia="zh-CN"/>
        </w:rPr>
        <w:t>厂区不储存危险废物，故没有无组织排放废气，预处理和输送过程为全密闭设备，此过程不会产生无组织废气。</w:t>
      </w:r>
    </w:p>
    <w:p w14:paraId="795462A8">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（3）非正常排放</w:t>
      </w:r>
    </w:p>
    <w:p w14:paraId="648C88A8">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厂区</w:t>
      </w:r>
      <w:r>
        <w:rPr>
          <w:rFonts w:hint="eastAsia" w:cs="Times New Roman"/>
          <w:b w:val="0"/>
          <w:bCs w:val="0"/>
          <w:color w:val="auto"/>
          <w:sz w:val="24"/>
          <w:szCs w:val="24"/>
          <w:highlight w:val="none"/>
          <w:u w:val="none"/>
          <w:lang w:val="en-US" w:eastAsia="zh-CN"/>
        </w:rPr>
        <w:t>不设置</w:t>
      </w:r>
      <w:r>
        <w:rPr>
          <w:rFonts w:hint="default" w:ascii="Times New Roman" w:hAnsi="Times New Roman" w:cs="Times New Roman"/>
          <w:b w:val="0"/>
          <w:bCs w:val="0"/>
          <w:color w:val="auto"/>
          <w:sz w:val="24"/>
          <w:szCs w:val="24"/>
          <w:highlight w:val="none"/>
          <w:u w:val="none"/>
          <w:lang w:val="en-US" w:eastAsia="zh-CN"/>
        </w:rPr>
        <w:t>危险废物贮存</w:t>
      </w:r>
      <w:r>
        <w:rPr>
          <w:rFonts w:hint="eastAsia" w:cs="Times New Roman"/>
          <w:b w:val="0"/>
          <w:bCs w:val="0"/>
          <w:color w:val="auto"/>
          <w:sz w:val="24"/>
          <w:szCs w:val="24"/>
          <w:highlight w:val="none"/>
          <w:u w:val="none"/>
          <w:lang w:val="en-US" w:eastAsia="zh-CN"/>
        </w:rPr>
        <w:t>库</w:t>
      </w:r>
      <w:r>
        <w:rPr>
          <w:rFonts w:hint="default" w:ascii="Times New Roman" w:hAnsi="Times New Roman" w:cs="Times New Roman"/>
          <w:b w:val="0"/>
          <w:bCs w:val="0"/>
          <w:color w:val="auto"/>
          <w:sz w:val="24"/>
          <w:szCs w:val="24"/>
          <w:highlight w:val="none"/>
          <w:u w:val="none"/>
          <w:lang w:val="en-US" w:eastAsia="zh-CN"/>
        </w:rPr>
        <w:t>，项目危险废物处置过程中，回转窑检修停车等非正常工况时，检修停车前4小时停止投加危险废物，此时不再从新疆兴发化工有限公司拉运危险废物至项目区，</w:t>
      </w:r>
      <w:r>
        <w:rPr>
          <w:rFonts w:hint="eastAsia" w:cs="Times New Roman"/>
          <w:b w:val="0"/>
          <w:bCs w:val="0"/>
          <w:color w:val="auto"/>
          <w:sz w:val="24"/>
          <w:szCs w:val="24"/>
          <w:highlight w:val="none"/>
          <w:u w:val="none"/>
          <w:lang w:val="en-US" w:eastAsia="zh-CN"/>
        </w:rPr>
        <w:t>故无不会产生贮存废气，停窑期间无物料投入，不会产生预处理废气，</w:t>
      </w:r>
      <w:r>
        <w:rPr>
          <w:rFonts w:hint="default" w:ascii="Times New Roman" w:hAnsi="Times New Roman" w:cs="Times New Roman"/>
          <w:b w:val="0"/>
          <w:bCs w:val="0"/>
          <w:color w:val="auto"/>
          <w:sz w:val="24"/>
          <w:szCs w:val="24"/>
          <w:highlight w:val="none"/>
          <w:u w:val="none"/>
          <w:lang w:val="en-US" w:eastAsia="zh-CN"/>
        </w:rPr>
        <w:t>因此停窑期间无废气污染物排放。</w:t>
      </w:r>
    </w:p>
    <w:p w14:paraId="1768A401">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本项目废气排放情况见表5.2-2，面源参数见表5.2-3。</w:t>
      </w:r>
    </w:p>
    <w:p w14:paraId="730B0055">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b/>
          <w:bCs/>
          <w:color w:val="auto"/>
          <w:sz w:val="24"/>
          <w:szCs w:val="24"/>
          <w:highlight w:val="none"/>
          <w:u w:val="none"/>
          <w:lang w:val="en-US" w:eastAsia="zh-CN"/>
        </w:rPr>
      </w:pPr>
      <w:bookmarkStart w:id="195" w:name="_Toc27406"/>
      <w:bookmarkStart w:id="196" w:name="_Toc7078"/>
      <w:r>
        <w:rPr>
          <w:rFonts w:hint="default" w:ascii="Times New Roman" w:hAnsi="Times New Roman" w:cs="Times New Roman"/>
          <w:b/>
          <w:bCs/>
          <w:color w:val="auto"/>
          <w:sz w:val="24"/>
          <w:szCs w:val="24"/>
          <w:highlight w:val="none"/>
          <w:u w:val="none"/>
          <w:lang w:val="en-US" w:eastAsia="zh-CN"/>
        </w:rPr>
        <w:t>表5.2-2 本项目废气排放情况一览表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103"/>
        <w:gridCol w:w="4581"/>
        <w:gridCol w:w="1103"/>
        <w:gridCol w:w="899"/>
        <w:gridCol w:w="836"/>
      </w:tblGrid>
      <w:tr w14:paraId="19134F64">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647" w:type="pct"/>
            <w:vMerge w:val="restart"/>
            <w:tcBorders>
              <w:tl2br w:val="nil"/>
              <w:tr2bl w:val="nil"/>
            </w:tcBorders>
            <w:noWrap/>
            <w:vAlign w:val="center"/>
          </w:tcPr>
          <w:p w14:paraId="2A722309">
            <w:pPr>
              <w:autoSpaceDE/>
              <w:autoSpaceDN/>
              <w:spacing w:before="0" w:after="0" w:line="240" w:lineRule="auto"/>
              <w:ind w:left="0" w:firstLine="0"/>
              <w:jc w:val="center"/>
              <w:rPr>
                <w:rFonts w:hint="default" w:ascii="Times New Roman" w:hAnsi="Times New Roman" w:cs="Times New Roman"/>
                <w:b/>
                <w:bCs/>
                <w:color w:val="auto"/>
                <w:sz w:val="21"/>
                <w:szCs w:val="21"/>
                <w:highlight w:val="none"/>
                <w:u w:val="none"/>
              </w:rPr>
            </w:pPr>
            <w:r>
              <w:rPr>
                <w:rFonts w:hint="default" w:ascii="Times New Roman" w:hAnsi="Times New Roman" w:cs="Times New Roman"/>
                <w:b/>
                <w:bCs/>
                <w:color w:val="auto"/>
                <w:sz w:val="21"/>
                <w:szCs w:val="21"/>
                <w:highlight w:val="none"/>
                <w:u w:val="none"/>
              </w:rPr>
              <w:t>排放形式</w:t>
            </w:r>
          </w:p>
        </w:tc>
        <w:tc>
          <w:tcPr>
            <w:tcW w:w="2687" w:type="pct"/>
            <w:vMerge w:val="restart"/>
            <w:tcBorders>
              <w:tl2br w:val="nil"/>
              <w:tr2bl w:val="nil"/>
            </w:tcBorders>
            <w:noWrap/>
            <w:tcMar>
              <w:top w:w="57" w:type="dxa"/>
              <w:bottom w:w="57" w:type="dxa"/>
            </w:tcMar>
            <w:vAlign w:val="center"/>
          </w:tcPr>
          <w:p w14:paraId="4E38F659">
            <w:pPr>
              <w:autoSpaceDE/>
              <w:autoSpaceDN/>
              <w:spacing w:before="0" w:after="0" w:line="240" w:lineRule="auto"/>
              <w:ind w:left="0" w:firstLine="0"/>
              <w:jc w:val="center"/>
              <w:rPr>
                <w:rFonts w:hint="default" w:ascii="Times New Roman" w:hAnsi="Times New Roman" w:cs="Times New Roman"/>
                <w:b/>
                <w:bCs/>
                <w:color w:val="auto"/>
                <w:sz w:val="21"/>
                <w:szCs w:val="21"/>
                <w:highlight w:val="none"/>
                <w:u w:val="none"/>
              </w:rPr>
            </w:pPr>
            <w:r>
              <w:rPr>
                <w:rFonts w:hint="default" w:ascii="Times New Roman" w:hAnsi="Times New Roman" w:cs="Times New Roman"/>
                <w:b/>
                <w:bCs/>
                <w:color w:val="auto"/>
                <w:sz w:val="21"/>
                <w:szCs w:val="21"/>
                <w:highlight w:val="none"/>
                <w:u w:val="none"/>
              </w:rPr>
              <w:t>污染源名称</w:t>
            </w:r>
          </w:p>
        </w:tc>
        <w:tc>
          <w:tcPr>
            <w:tcW w:w="647" w:type="pct"/>
            <w:vMerge w:val="restart"/>
            <w:tcBorders>
              <w:tl2br w:val="nil"/>
              <w:tr2bl w:val="nil"/>
            </w:tcBorders>
            <w:noWrap/>
            <w:tcMar>
              <w:top w:w="57" w:type="dxa"/>
              <w:bottom w:w="57" w:type="dxa"/>
            </w:tcMar>
            <w:vAlign w:val="center"/>
          </w:tcPr>
          <w:p w14:paraId="70AF9E18">
            <w:pPr>
              <w:autoSpaceDE/>
              <w:autoSpaceDN/>
              <w:spacing w:before="0" w:after="0" w:line="240" w:lineRule="auto"/>
              <w:ind w:left="0" w:firstLine="0"/>
              <w:jc w:val="center"/>
              <w:rPr>
                <w:rFonts w:hint="default" w:ascii="Times New Roman" w:hAnsi="Times New Roman" w:cs="Times New Roman"/>
                <w:b/>
                <w:bCs/>
                <w:color w:val="auto"/>
                <w:sz w:val="21"/>
                <w:szCs w:val="21"/>
                <w:highlight w:val="none"/>
                <w:u w:val="none"/>
              </w:rPr>
            </w:pPr>
            <w:r>
              <w:rPr>
                <w:rFonts w:hint="default" w:ascii="Times New Roman" w:hAnsi="Times New Roman" w:cs="Times New Roman"/>
                <w:b/>
                <w:bCs/>
                <w:color w:val="auto"/>
                <w:sz w:val="21"/>
                <w:szCs w:val="21"/>
                <w:highlight w:val="none"/>
                <w:u w:val="none"/>
              </w:rPr>
              <w:t>污染因子</w:t>
            </w:r>
          </w:p>
        </w:tc>
        <w:tc>
          <w:tcPr>
            <w:tcW w:w="1017" w:type="pct"/>
            <w:gridSpan w:val="2"/>
            <w:tcBorders>
              <w:tl2br w:val="nil"/>
              <w:tr2bl w:val="nil"/>
            </w:tcBorders>
            <w:noWrap/>
            <w:tcMar>
              <w:top w:w="57" w:type="dxa"/>
              <w:bottom w:w="57" w:type="dxa"/>
            </w:tcMar>
            <w:vAlign w:val="center"/>
          </w:tcPr>
          <w:p w14:paraId="6F17890B">
            <w:pPr>
              <w:autoSpaceDE/>
              <w:autoSpaceDN/>
              <w:spacing w:before="0" w:after="0" w:line="240" w:lineRule="auto"/>
              <w:ind w:left="0" w:firstLine="0"/>
              <w:jc w:val="center"/>
              <w:rPr>
                <w:rFonts w:hint="default" w:ascii="Times New Roman" w:hAnsi="Times New Roman" w:cs="Times New Roman"/>
                <w:b/>
                <w:bCs/>
                <w:color w:val="auto"/>
                <w:sz w:val="21"/>
                <w:szCs w:val="21"/>
                <w:highlight w:val="none"/>
                <w:u w:val="none"/>
              </w:rPr>
            </w:pPr>
            <w:r>
              <w:rPr>
                <w:rFonts w:hint="default" w:ascii="Times New Roman" w:hAnsi="Times New Roman" w:cs="Times New Roman"/>
                <w:b/>
                <w:bCs/>
                <w:color w:val="auto"/>
                <w:sz w:val="21"/>
                <w:szCs w:val="21"/>
                <w:highlight w:val="none"/>
                <w:u w:val="none"/>
              </w:rPr>
              <w:t>排放情况</w:t>
            </w:r>
          </w:p>
        </w:tc>
      </w:tr>
      <w:tr w14:paraId="3D67EB25">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647" w:type="pct"/>
            <w:vMerge w:val="continue"/>
            <w:tcBorders>
              <w:tl2br w:val="nil"/>
              <w:tr2bl w:val="nil"/>
            </w:tcBorders>
            <w:noWrap/>
            <w:vAlign w:val="center"/>
          </w:tcPr>
          <w:p w14:paraId="7370EBCC">
            <w:pPr>
              <w:autoSpaceDE/>
              <w:autoSpaceDN/>
              <w:spacing w:before="0" w:after="0" w:line="240" w:lineRule="auto"/>
              <w:ind w:left="0" w:firstLine="0"/>
              <w:jc w:val="center"/>
              <w:rPr>
                <w:rFonts w:hint="default" w:ascii="Times New Roman" w:hAnsi="Times New Roman" w:cs="Times New Roman"/>
                <w:b/>
                <w:bCs/>
                <w:color w:val="auto"/>
                <w:sz w:val="21"/>
                <w:szCs w:val="21"/>
                <w:highlight w:val="none"/>
                <w:u w:val="none"/>
              </w:rPr>
            </w:pPr>
          </w:p>
        </w:tc>
        <w:tc>
          <w:tcPr>
            <w:tcW w:w="2687" w:type="pct"/>
            <w:vMerge w:val="continue"/>
            <w:tcBorders>
              <w:tl2br w:val="nil"/>
              <w:tr2bl w:val="nil"/>
            </w:tcBorders>
            <w:noWrap/>
            <w:tcMar>
              <w:top w:w="57" w:type="dxa"/>
              <w:bottom w:w="57" w:type="dxa"/>
            </w:tcMar>
            <w:vAlign w:val="center"/>
          </w:tcPr>
          <w:p w14:paraId="61434A39">
            <w:pPr>
              <w:autoSpaceDE/>
              <w:autoSpaceDN/>
              <w:spacing w:before="0" w:after="0" w:line="240" w:lineRule="auto"/>
              <w:ind w:left="0" w:firstLine="0"/>
              <w:jc w:val="center"/>
              <w:rPr>
                <w:rFonts w:hint="default" w:ascii="Times New Roman" w:hAnsi="Times New Roman" w:cs="Times New Roman"/>
                <w:b/>
                <w:bCs/>
                <w:color w:val="auto"/>
                <w:sz w:val="21"/>
                <w:szCs w:val="21"/>
                <w:highlight w:val="none"/>
                <w:u w:val="none"/>
              </w:rPr>
            </w:pPr>
          </w:p>
        </w:tc>
        <w:tc>
          <w:tcPr>
            <w:tcW w:w="647" w:type="pct"/>
            <w:vMerge w:val="continue"/>
            <w:tcBorders>
              <w:tl2br w:val="nil"/>
              <w:tr2bl w:val="nil"/>
            </w:tcBorders>
            <w:noWrap/>
            <w:tcMar>
              <w:top w:w="57" w:type="dxa"/>
              <w:bottom w:w="57" w:type="dxa"/>
            </w:tcMar>
            <w:vAlign w:val="center"/>
          </w:tcPr>
          <w:p w14:paraId="62FEA117">
            <w:pPr>
              <w:autoSpaceDE/>
              <w:autoSpaceDN/>
              <w:spacing w:before="0" w:after="0" w:line="240" w:lineRule="auto"/>
              <w:ind w:left="0" w:firstLine="0"/>
              <w:jc w:val="center"/>
              <w:rPr>
                <w:rFonts w:hint="default" w:ascii="Times New Roman" w:hAnsi="Times New Roman" w:cs="Times New Roman"/>
                <w:b/>
                <w:bCs/>
                <w:color w:val="auto"/>
                <w:sz w:val="21"/>
                <w:szCs w:val="21"/>
                <w:highlight w:val="none"/>
                <w:u w:val="none"/>
              </w:rPr>
            </w:pPr>
          </w:p>
        </w:tc>
        <w:tc>
          <w:tcPr>
            <w:tcW w:w="527" w:type="pct"/>
            <w:tcBorders>
              <w:tl2br w:val="nil"/>
              <w:tr2bl w:val="nil"/>
            </w:tcBorders>
            <w:noWrap/>
            <w:tcMar>
              <w:top w:w="57" w:type="dxa"/>
              <w:bottom w:w="57" w:type="dxa"/>
            </w:tcMar>
            <w:vAlign w:val="center"/>
          </w:tcPr>
          <w:p w14:paraId="01EE759E">
            <w:pPr>
              <w:autoSpaceDE/>
              <w:autoSpaceDN/>
              <w:spacing w:before="0" w:after="0" w:line="240" w:lineRule="auto"/>
              <w:ind w:left="0" w:firstLine="0"/>
              <w:jc w:val="center"/>
              <w:rPr>
                <w:rFonts w:hint="default" w:ascii="Times New Roman" w:hAnsi="Times New Roman" w:cs="Times New Roman"/>
                <w:b/>
                <w:bCs/>
                <w:color w:val="auto"/>
                <w:sz w:val="21"/>
                <w:szCs w:val="21"/>
                <w:highlight w:val="none"/>
                <w:u w:val="none"/>
              </w:rPr>
            </w:pPr>
            <w:r>
              <w:rPr>
                <w:rFonts w:hint="default" w:ascii="Times New Roman" w:hAnsi="Times New Roman" w:cs="Times New Roman"/>
                <w:b/>
                <w:bCs/>
                <w:color w:val="auto"/>
                <w:sz w:val="21"/>
                <w:szCs w:val="21"/>
                <w:highlight w:val="none"/>
                <w:u w:val="none"/>
              </w:rPr>
              <w:t>kg/h</w:t>
            </w:r>
          </w:p>
        </w:tc>
        <w:tc>
          <w:tcPr>
            <w:tcW w:w="490" w:type="pct"/>
            <w:tcBorders>
              <w:tl2br w:val="nil"/>
              <w:tr2bl w:val="nil"/>
            </w:tcBorders>
            <w:noWrap/>
            <w:tcMar>
              <w:top w:w="57" w:type="dxa"/>
              <w:bottom w:w="57" w:type="dxa"/>
            </w:tcMar>
            <w:vAlign w:val="center"/>
          </w:tcPr>
          <w:p w14:paraId="35403B26">
            <w:pPr>
              <w:autoSpaceDE/>
              <w:autoSpaceDN/>
              <w:spacing w:before="0" w:after="0" w:line="240" w:lineRule="auto"/>
              <w:ind w:left="0" w:firstLine="0"/>
              <w:jc w:val="center"/>
              <w:rPr>
                <w:rFonts w:hint="default" w:ascii="Times New Roman" w:hAnsi="Times New Roman" w:cs="Times New Roman"/>
                <w:b/>
                <w:bCs/>
                <w:color w:val="auto"/>
                <w:sz w:val="21"/>
                <w:szCs w:val="21"/>
                <w:highlight w:val="none"/>
                <w:u w:val="none"/>
              </w:rPr>
            </w:pPr>
            <w:r>
              <w:rPr>
                <w:rFonts w:hint="default" w:ascii="Times New Roman" w:hAnsi="Times New Roman" w:cs="Times New Roman"/>
                <w:b/>
                <w:bCs/>
                <w:color w:val="auto"/>
                <w:sz w:val="21"/>
                <w:szCs w:val="21"/>
                <w:highlight w:val="none"/>
                <w:u w:val="none"/>
              </w:rPr>
              <w:t>t/a</w:t>
            </w:r>
          </w:p>
        </w:tc>
      </w:tr>
      <w:tr w14:paraId="54E7DC15">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647" w:type="pct"/>
            <w:tcBorders>
              <w:tl2br w:val="nil"/>
              <w:tr2bl w:val="nil"/>
            </w:tcBorders>
            <w:noWrap/>
            <w:vAlign w:val="center"/>
          </w:tcPr>
          <w:p w14:paraId="5489DDAE">
            <w:pPr>
              <w:autoSpaceDE/>
              <w:autoSpaceDN/>
              <w:spacing w:before="0" w:after="0" w:line="240" w:lineRule="auto"/>
              <w:ind w:left="0" w:firstLine="0"/>
              <w:jc w:val="center"/>
              <w:rPr>
                <w:rFonts w:hint="eastAsia" w:ascii="Times New Roman" w:hAnsi="Times New Roman" w:eastAsia="宋体" w:cs="Times New Roman"/>
                <w:b w:val="0"/>
                <w:bCs w:val="0"/>
                <w:color w:val="auto"/>
                <w:sz w:val="21"/>
                <w:szCs w:val="21"/>
                <w:highlight w:val="none"/>
                <w:u w:val="none"/>
                <w:lang w:eastAsia="zh-CN"/>
              </w:rPr>
            </w:pPr>
            <w:r>
              <w:rPr>
                <w:rFonts w:hint="eastAsia" w:cs="Times New Roman"/>
                <w:b w:val="0"/>
                <w:bCs w:val="0"/>
                <w:color w:val="auto"/>
                <w:sz w:val="21"/>
                <w:szCs w:val="21"/>
                <w:highlight w:val="none"/>
                <w:u w:val="none"/>
                <w:lang w:val="en-US" w:eastAsia="zh-CN"/>
              </w:rPr>
              <w:t>有组织</w:t>
            </w:r>
          </w:p>
        </w:tc>
        <w:tc>
          <w:tcPr>
            <w:tcW w:w="2687" w:type="pct"/>
            <w:tcBorders>
              <w:tl2br w:val="nil"/>
              <w:tr2bl w:val="nil"/>
            </w:tcBorders>
            <w:shd w:val="clear" w:color="auto" w:fill="auto"/>
            <w:noWrap/>
            <w:tcMar>
              <w:top w:w="57" w:type="dxa"/>
              <w:bottom w:w="57" w:type="dxa"/>
            </w:tcMar>
            <w:vAlign w:val="center"/>
          </w:tcPr>
          <w:p w14:paraId="667CF613">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eastAsia" w:ascii="Times New Roman" w:hAnsi="Times New Roman" w:eastAsia="宋体" w:cs="Times New Roman"/>
                <w:b w:val="0"/>
                <w:color w:val="auto"/>
                <w:sz w:val="21"/>
                <w:szCs w:val="21"/>
                <w:lang w:val="en-US" w:eastAsia="zh-CN"/>
              </w:rPr>
              <w:t>预处理系统废气</w:t>
            </w:r>
          </w:p>
        </w:tc>
        <w:tc>
          <w:tcPr>
            <w:tcW w:w="647" w:type="pct"/>
            <w:tcBorders>
              <w:tl2br w:val="nil"/>
              <w:tr2bl w:val="nil"/>
            </w:tcBorders>
            <w:shd w:val="clear" w:color="auto" w:fill="auto"/>
            <w:noWrap/>
            <w:tcMar>
              <w:top w:w="57" w:type="dxa"/>
              <w:bottom w:w="57" w:type="dxa"/>
            </w:tcMar>
            <w:vAlign w:val="center"/>
          </w:tcPr>
          <w:p w14:paraId="736051D3">
            <w:pPr>
              <w:autoSpaceDE/>
              <w:autoSpaceDN/>
              <w:spacing w:before="0" w:after="0" w:line="240" w:lineRule="auto"/>
              <w:ind w:left="0" w:leftChars="0" w:firstLine="0" w:firstLineChars="0"/>
              <w:jc w:val="center"/>
              <w:rPr>
                <w:rFonts w:hint="default" w:ascii="Times New Roman" w:hAnsi="Times New Roman" w:eastAsia="宋体" w:cs="Times New Roman"/>
                <w:b w:val="0"/>
                <w:bCs w:val="0"/>
                <w:color w:val="auto"/>
                <w:sz w:val="21"/>
                <w:szCs w:val="21"/>
                <w:highlight w:val="none"/>
                <w:u w:val="none"/>
                <w:lang w:val="en-US" w:eastAsia="zh-CN" w:bidi="ar-SA"/>
              </w:rPr>
            </w:pPr>
            <w:r>
              <w:rPr>
                <w:rFonts w:hint="default" w:ascii="Times New Roman" w:hAnsi="Times New Roman" w:cs="Times New Roman"/>
                <w:b w:val="0"/>
                <w:bCs w:val="0"/>
                <w:color w:val="auto"/>
                <w:sz w:val="21"/>
                <w:szCs w:val="21"/>
                <w:highlight w:val="none"/>
                <w:u w:val="none"/>
                <w:lang w:val="en-US" w:eastAsia="zh-CN"/>
              </w:rPr>
              <w:t>TSP</w:t>
            </w:r>
          </w:p>
        </w:tc>
        <w:tc>
          <w:tcPr>
            <w:tcW w:w="527" w:type="pct"/>
            <w:tcBorders>
              <w:tl2br w:val="nil"/>
              <w:tr2bl w:val="nil"/>
            </w:tcBorders>
            <w:shd w:val="clear" w:color="auto" w:fill="auto"/>
            <w:noWrap/>
            <w:tcMar>
              <w:top w:w="57" w:type="dxa"/>
              <w:bottom w:w="57" w:type="dxa"/>
            </w:tcMar>
            <w:vAlign w:val="center"/>
          </w:tcPr>
          <w:p w14:paraId="0ED75E01">
            <w:pPr>
              <w:keepNext w:val="0"/>
              <w:keepLines w:val="0"/>
              <w:widowControl/>
              <w:suppressLineNumbers w:val="0"/>
              <w:autoSpaceDE/>
              <w:autoSpaceDN/>
              <w:spacing w:before="0" w:after="0" w:line="240" w:lineRule="auto"/>
              <w:ind w:left="0" w:leftChars="0"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0.045</w:t>
            </w:r>
          </w:p>
        </w:tc>
        <w:tc>
          <w:tcPr>
            <w:tcW w:w="490" w:type="pct"/>
            <w:tcBorders>
              <w:tl2br w:val="nil"/>
              <w:tr2bl w:val="nil"/>
            </w:tcBorders>
            <w:shd w:val="clear" w:color="auto" w:fill="auto"/>
            <w:noWrap/>
            <w:tcMar>
              <w:top w:w="57" w:type="dxa"/>
              <w:bottom w:w="57" w:type="dxa"/>
            </w:tcMar>
            <w:vAlign w:val="center"/>
          </w:tcPr>
          <w:p w14:paraId="31227502">
            <w:pPr>
              <w:keepNext w:val="0"/>
              <w:keepLines w:val="0"/>
              <w:widowControl/>
              <w:suppressLineNumbers w:val="0"/>
              <w:autoSpaceDE/>
              <w:autoSpaceDN/>
              <w:spacing w:before="0" w:after="0" w:line="240" w:lineRule="auto"/>
              <w:ind w:left="0" w:leftChars="0"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0.162</w:t>
            </w:r>
          </w:p>
        </w:tc>
      </w:tr>
      <w:tr w14:paraId="0E5BF40A">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rHeight w:val="90" w:hRule="atLeast"/>
          <w:jc w:val="center"/>
        </w:trPr>
        <w:tc>
          <w:tcPr>
            <w:tcW w:w="647" w:type="pct"/>
            <w:tcBorders>
              <w:tl2br w:val="nil"/>
              <w:tr2bl w:val="nil"/>
            </w:tcBorders>
            <w:noWrap/>
            <w:vAlign w:val="center"/>
          </w:tcPr>
          <w:p w14:paraId="1CB11E6C">
            <w:pPr>
              <w:autoSpaceDE/>
              <w:autoSpaceDN/>
              <w:spacing w:before="0" w:after="0" w:line="240" w:lineRule="auto"/>
              <w:ind w:left="0" w:firstLine="0"/>
              <w:jc w:val="center"/>
              <w:rPr>
                <w:rFonts w:hint="eastAsia" w:ascii="Times New Roman" w:hAnsi="Times New Roman" w:eastAsia="宋体" w:cs="Times New Roman"/>
                <w:b w:val="0"/>
                <w:bCs w:val="0"/>
                <w:color w:val="auto"/>
                <w:sz w:val="21"/>
                <w:szCs w:val="21"/>
                <w:highlight w:val="none"/>
                <w:u w:val="none"/>
                <w:lang w:val="en-US" w:eastAsia="zh-CN"/>
              </w:rPr>
            </w:pPr>
            <w:r>
              <w:rPr>
                <w:rFonts w:hint="eastAsia" w:cs="Times New Roman"/>
                <w:b w:val="0"/>
                <w:bCs w:val="0"/>
                <w:color w:val="auto"/>
                <w:sz w:val="21"/>
                <w:szCs w:val="21"/>
                <w:highlight w:val="none"/>
                <w:u w:val="none"/>
                <w:lang w:val="en-US" w:eastAsia="zh-CN"/>
              </w:rPr>
              <w:t>有组织</w:t>
            </w:r>
          </w:p>
        </w:tc>
        <w:tc>
          <w:tcPr>
            <w:tcW w:w="2687" w:type="pct"/>
            <w:tcBorders>
              <w:tl2br w:val="nil"/>
              <w:tr2bl w:val="nil"/>
            </w:tcBorders>
            <w:shd w:val="clear" w:color="auto" w:fill="auto"/>
            <w:noWrap/>
            <w:tcMar>
              <w:top w:w="57" w:type="dxa"/>
              <w:bottom w:w="57" w:type="dxa"/>
            </w:tcMar>
            <w:vAlign w:val="center"/>
          </w:tcPr>
          <w:p w14:paraId="5B7C2226">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eastAsia" w:ascii="Times New Roman" w:hAnsi="Times New Roman" w:eastAsia="宋体" w:cs="Times New Roman"/>
                <w:b w:val="0"/>
                <w:color w:val="auto"/>
                <w:sz w:val="21"/>
                <w:szCs w:val="21"/>
                <w:lang w:val="en-US" w:eastAsia="zh-CN"/>
              </w:rPr>
              <w:t>输送系统废气</w:t>
            </w:r>
          </w:p>
        </w:tc>
        <w:tc>
          <w:tcPr>
            <w:tcW w:w="647" w:type="pct"/>
            <w:tcBorders>
              <w:tl2br w:val="nil"/>
              <w:tr2bl w:val="nil"/>
            </w:tcBorders>
            <w:shd w:val="clear" w:color="auto" w:fill="auto"/>
            <w:noWrap/>
            <w:tcMar>
              <w:top w:w="57" w:type="dxa"/>
              <w:bottom w:w="57" w:type="dxa"/>
            </w:tcMar>
            <w:vAlign w:val="center"/>
          </w:tcPr>
          <w:p w14:paraId="4C310461">
            <w:pPr>
              <w:autoSpaceDE/>
              <w:autoSpaceDN/>
              <w:spacing w:before="0" w:after="0" w:line="240" w:lineRule="auto"/>
              <w:ind w:left="0" w:leftChars="0" w:firstLine="0" w:firstLineChars="0"/>
              <w:jc w:val="center"/>
              <w:rPr>
                <w:rFonts w:hint="default" w:ascii="Times New Roman" w:hAnsi="Times New Roman" w:cs="Times New Roman"/>
                <w:b w:val="0"/>
                <w:bCs w:val="0"/>
                <w:color w:val="auto"/>
                <w:sz w:val="21"/>
                <w:szCs w:val="21"/>
                <w:highlight w:val="none"/>
                <w:u w:val="none"/>
                <w:lang w:val="en-US" w:eastAsia="zh-CN"/>
              </w:rPr>
            </w:pPr>
            <w:r>
              <w:rPr>
                <w:rFonts w:hint="default" w:ascii="Times New Roman" w:hAnsi="Times New Roman" w:cs="Times New Roman"/>
                <w:b w:val="0"/>
                <w:bCs w:val="0"/>
                <w:color w:val="auto"/>
                <w:sz w:val="21"/>
                <w:szCs w:val="21"/>
                <w:highlight w:val="none"/>
                <w:u w:val="none"/>
                <w:lang w:val="en-US" w:eastAsia="zh-CN"/>
              </w:rPr>
              <w:t>TSP</w:t>
            </w:r>
          </w:p>
        </w:tc>
        <w:tc>
          <w:tcPr>
            <w:tcW w:w="527" w:type="pct"/>
            <w:tcBorders>
              <w:tl2br w:val="nil"/>
              <w:tr2bl w:val="nil"/>
            </w:tcBorders>
            <w:shd w:val="clear" w:color="auto" w:fill="auto"/>
            <w:noWrap/>
            <w:tcMar>
              <w:top w:w="57" w:type="dxa"/>
              <w:bottom w:w="57" w:type="dxa"/>
            </w:tcMar>
            <w:vAlign w:val="center"/>
          </w:tcPr>
          <w:p w14:paraId="4DA3A72E">
            <w:pPr>
              <w:keepNext w:val="0"/>
              <w:keepLines w:val="0"/>
              <w:widowControl/>
              <w:suppressLineNumbers w:val="0"/>
              <w:autoSpaceDE/>
              <w:autoSpaceDN/>
              <w:spacing w:before="0" w:after="0" w:line="240" w:lineRule="auto"/>
              <w:ind w:left="0" w:leftChars="0"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0.00008</w:t>
            </w:r>
          </w:p>
        </w:tc>
        <w:tc>
          <w:tcPr>
            <w:tcW w:w="490" w:type="pct"/>
            <w:tcBorders>
              <w:tl2br w:val="nil"/>
              <w:tr2bl w:val="nil"/>
            </w:tcBorders>
            <w:shd w:val="clear" w:color="auto" w:fill="auto"/>
            <w:noWrap/>
            <w:tcMar>
              <w:top w:w="57" w:type="dxa"/>
              <w:bottom w:w="57" w:type="dxa"/>
            </w:tcMar>
            <w:vAlign w:val="center"/>
          </w:tcPr>
          <w:p w14:paraId="545EB645">
            <w:pPr>
              <w:keepNext w:val="0"/>
              <w:keepLines w:val="0"/>
              <w:widowControl/>
              <w:suppressLineNumbers w:val="0"/>
              <w:autoSpaceDE/>
              <w:autoSpaceDN/>
              <w:spacing w:before="0" w:after="0" w:line="240" w:lineRule="auto"/>
              <w:ind w:left="0" w:leftChars="0" w:firstLine="0" w:firstLineChars="0"/>
              <w:jc w:val="center"/>
              <w:textAlignment w:val="center"/>
              <w:rPr>
                <w:rFonts w:hint="default" w:ascii="Times New Roman" w:hAnsi="Times New Roman" w:eastAsia="宋体" w:cs="Times New Roman"/>
                <w:b w:val="0"/>
                <w:bCs w:val="0"/>
                <w:i w:val="0"/>
                <w:iCs w:val="0"/>
                <w:color w:val="auto"/>
                <w:kern w:val="0"/>
                <w:sz w:val="21"/>
                <w:szCs w:val="21"/>
                <w:highlight w:val="none"/>
                <w:u w:val="none"/>
                <w:lang w:val="en-US" w:eastAsia="zh-CN" w:bidi="ar"/>
              </w:rPr>
            </w:pPr>
            <w:r>
              <w:rPr>
                <w:rFonts w:hint="eastAsia" w:cs="Times New Roman"/>
                <w:b w:val="0"/>
                <w:bCs w:val="0"/>
                <w:i w:val="0"/>
                <w:iCs w:val="0"/>
                <w:color w:val="auto"/>
                <w:kern w:val="0"/>
                <w:sz w:val="21"/>
                <w:szCs w:val="21"/>
                <w:highlight w:val="none"/>
                <w:u w:val="none"/>
                <w:lang w:val="en-US" w:eastAsia="zh-CN" w:bidi="ar"/>
              </w:rPr>
              <w:t>0.0003</w:t>
            </w:r>
          </w:p>
        </w:tc>
      </w:tr>
    </w:tbl>
    <w:p w14:paraId="411CE28B">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bCs/>
          <w:color w:val="auto"/>
          <w:sz w:val="24"/>
          <w:szCs w:val="24"/>
          <w:highlight w:val="none"/>
          <w:u w:val="none"/>
        </w:rPr>
      </w:pPr>
      <w:r>
        <w:rPr>
          <w:rFonts w:hint="default" w:ascii="Times New Roman" w:hAnsi="Times New Roman" w:cs="Times New Roman"/>
          <w:b/>
          <w:bCs/>
          <w:color w:val="auto"/>
          <w:sz w:val="24"/>
          <w:szCs w:val="24"/>
          <w:highlight w:val="none"/>
          <w:u w:val="none"/>
        </w:rPr>
        <w:t>表5</w:t>
      </w:r>
      <w:r>
        <w:rPr>
          <w:rFonts w:hint="default" w:ascii="Times New Roman" w:hAnsi="Times New Roman" w:cs="Times New Roman"/>
          <w:b/>
          <w:bCs/>
          <w:color w:val="auto"/>
          <w:sz w:val="24"/>
          <w:szCs w:val="24"/>
          <w:highlight w:val="none"/>
          <w:u w:val="none"/>
          <w:lang w:val="en-US" w:eastAsia="zh-CN"/>
        </w:rPr>
        <w:t>.2</w:t>
      </w:r>
      <w:r>
        <w:rPr>
          <w:rFonts w:hint="default" w:ascii="Times New Roman" w:hAnsi="Times New Roman" w:cs="Times New Roman"/>
          <w:b/>
          <w:bCs/>
          <w:color w:val="auto"/>
          <w:sz w:val="24"/>
          <w:szCs w:val="24"/>
          <w:highlight w:val="none"/>
          <w:u w:val="none"/>
        </w:rPr>
        <w:t>-</w:t>
      </w:r>
      <w:r>
        <w:rPr>
          <w:rFonts w:hint="default" w:ascii="Times New Roman" w:hAnsi="Times New Roman" w:cs="Times New Roman"/>
          <w:b/>
          <w:bCs/>
          <w:color w:val="auto"/>
          <w:sz w:val="24"/>
          <w:szCs w:val="24"/>
          <w:highlight w:val="none"/>
          <w:u w:val="none"/>
          <w:lang w:val="en-US" w:eastAsia="zh-CN"/>
        </w:rPr>
        <w:t>3</w:t>
      </w:r>
      <w:r>
        <w:rPr>
          <w:rFonts w:hint="default" w:ascii="Times New Roman" w:hAnsi="Times New Roman" w:cs="Times New Roman"/>
          <w:b/>
          <w:bCs/>
          <w:color w:val="auto"/>
          <w:sz w:val="24"/>
          <w:szCs w:val="24"/>
          <w:highlight w:val="none"/>
          <w:u w:val="none"/>
        </w:rPr>
        <w:t xml:space="preserve"> 本项目</w:t>
      </w:r>
      <w:r>
        <w:rPr>
          <w:rFonts w:hint="eastAsia" w:ascii="Times New Roman" w:hAnsi="Times New Roman" w:cs="Times New Roman"/>
          <w:b/>
          <w:bCs/>
          <w:color w:val="auto"/>
          <w:sz w:val="24"/>
          <w:szCs w:val="24"/>
          <w:highlight w:val="none"/>
          <w:u w:val="none"/>
          <w:lang w:val="en-US" w:eastAsia="zh-CN"/>
        </w:rPr>
        <w:t>废气污染源排放</w:t>
      </w:r>
      <w:r>
        <w:rPr>
          <w:rFonts w:hint="default" w:ascii="Times New Roman" w:hAnsi="Times New Roman" w:cs="Times New Roman"/>
          <w:b/>
          <w:bCs/>
          <w:color w:val="auto"/>
          <w:sz w:val="24"/>
          <w:szCs w:val="24"/>
          <w:highlight w:val="none"/>
          <w:u w:val="none"/>
        </w:rPr>
        <w:t>参数表</w:t>
      </w:r>
    </w:p>
    <w:tbl>
      <w:tblPr>
        <w:tblStyle w:val="40"/>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00"/>
        <w:gridCol w:w="670"/>
        <w:gridCol w:w="764"/>
        <w:gridCol w:w="723"/>
        <w:gridCol w:w="722"/>
        <w:gridCol w:w="846"/>
        <w:gridCol w:w="914"/>
        <w:gridCol w:w="704"/>
        <w:gridCol w:w="840"/>
        <w:gridCol w:w="584"/>
        <w:gridCol w:w="721"/>
        <w:gridCol w:w="634"/>
      </w:tblGrid>
      <w:tr w14:paraId="41CB96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400" w:type="dxa"/>
            <w:vMerge w:val="restart"/>
            <w:tcBorders>
              <w:tl2br w:val="nil"/>
              <w:tr2bl w:val="nil"/>
            </w:tcBorders>
            <w:noWrap/>
            <w:vAlign w:val="center"/>
          </w:tcPr>
          <w:p w14:paraId="38D469DD">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编号</w:t>
            </w:r>
          </w:p>
        </w:tc>
        <w:tc>
          <w:tcPr>
            <w:tcW w:w="670" w:type="dxa"/>
            <w:vMerge w:val="restart"/>
            <w:tcBorders>
              <w:tl2br w:val="nil"/>
              <w:tr2bl w:val="nil"/>
            </w:tcBorders>
            <w:noWrap/>
            <w:vAlign w:val="center"/>
          </w:tcPr>
          <w:p w14:paraId="3014BEA2">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名称</w:t>
            </w:r>
          </w:p>
        </w:tc>
        <w:tc>
          <w:tcPr>
            <w:tcW w:w="1487" w:type="dxa"/>
            <w:gridSpan w:val="2"/>
            <w:tcBorders>
              <w:tl2br w:val="nil"/>
              <w:tr2bl w:val="nil"/>
            </w:tcBorders>
            <w:noWrap/>
            <w:vAlign w:val="center"/>
          </w:tcPr>
          <w:p w14:paraId="151CA169">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排气筒底</w:t>
            </w:r>
          </w:p>
          <w:p w14:paraId="782F5AD3">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部中心坐标</w:t>
            </w:r>
          </w:p>
        </w:tc>
        <w:tc>
          <w:tcPr>
            <w:tcW w:w="722" w:type="dxa"/>
            <w:vMerge w:val="restart"/>
            <w:tcBorders>
              <w:tl2br w:val="nil"/>
              <w:tr2bl w:val="nil"/>
            </w:tcBorders>
            <w:noWrap/>
            <w:vAlign w:val="center"/>
          </w:tcPr>
          <w:p w14:paraId="5AB25BE9">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排气筒高度/m</w:t>
            </w:r>
          </w:p>
        </w:tc>
        <w:tc>
          <w:tcPr>
            <w:tcW w:w="846" w:type="dxa"/>
            <w:vMerge w:val="restart"/>
            <w:tcBorders>
              <w:tl2br w:val="nil"/>
              <w:tr2bl w:val="nil"/>
            </w:tcBorders>
            <w:noWrap/>
            <w:vAlign w:val="center"/>
          </w:tcPr>
          <w:p w14:paraId="409B0D46">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排气筒出口内径/m</w:t>
            </w:r>
          </w:p>
        </w:tc>
        <w:tc>
          <w:tcPr>
            <w:tcW w:w="914" w:type="dxa"/>
            <w:vMerge w:val="restart"/>
            <w:tcBorders>
              <w:tl2br w:val="nil"/>
              <w:tr2bl w:val="nil"/>
            </w:tcBorders>
            <w:noWrap/>
            <w:vAlign w:val="center"/>
          </w:tcPr>
          <w:p w14:paraId="6497DF75">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烟气</w:t>
            </w:r>
          </w:p>
          <w:p w14:paraId="60743ED8">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流速/（m/s）</w:t>
            </w:r>
          </w:p>
        </w:tc>
        <w:tc>
          <w:tcPr>
            <w:tcW w:w="704" w:type="dxa"/>
            <w:vMerge w:val="restart"/>
            <w:tcBorders>
              <w:tl2br w:val="nil"/>
              <w:tr2bl w:val="nil"/>
            </w:tcBorders>
            <w:noWrap/>
            <w:vAlign w:val="center"/>
          </w:tcPr>
          <w:p w14:paraId="6AEE7B5A">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烟气温度/℃</w:t>
            </w:r>
          </w:p>
        </w:tc>
        <w:tc>
          <w:tcPr>
            <w:tcW w:w="840" w:type="dxa"/>
            <w:vMerge w:val="restart"/>
            <w:tcBorders>
              <w:tl2br w:val="nil"/>
              <w:tr2bl w:val="nil"/>
            </w:tcBorders>
            <w:noWrap/>
            <w:vAlign w:val="center"/>
          </w:tcPr>
          <w:p w14:paraId="4B744095">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年排放小时数/h</w:t>
            </w:r>
          </w:p>
        </w:tc>
        <w:tc>
          <w:tcPr>
            <w:tcW w:w="584" w:type="dxa"/>
            <w:vMerge w:val="restart"/>
            <w:tcBorders>
              <w:tl2br w:val="nil"/>
              <w:tr2bl w:val="nil"/>
            </w:tcBorders>
            <w:noWrap/>
            <w:vAlign w:val="center"/>
          </w:tcPr>
          <w:p w14:paraId="7054ABFE">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排放工况</w:t>
            </w:r>
          </w:p>
        </w:tc>
        <w:tc>
          <w:tcPr>
            <w:tcW w:w="1355" w:type="dxa"/>
            <w:gridSpan w:val="2"/>
            <w:vMerge w:val="restart"/>
            <w:tcBorders>
              <w:tl2br w:val="nil"/>
              <w:tr2bl w:val="nil"/>
            </w:tcBorders>
            <w:noWrap/>
            <w:vAlign w:val="center"/>
          </w:tcPr>
          <w:p w14:paraId="59522CE0">
            <w:pPr>
              <w:autoSpaceDE/>
              <w:autoSpaceDN/>
              <w:spacing w:before="0" w:after="0" w:line="240" w:lineRule="auto"/>
              <w:ind w:left="0" w:firstLine="0"/>
              <w:jc w:val="center"/>
              <w:rPr>
                <w:rFonts w:hint="default" w:ascii="Times New Roman" w:hAnsi="Times New Roman" w:eastAsia="宋体" w:cs="Times New Roman"/>
                <w:b/>
                <w:bCs/>
                <w:color w:val="auto"/>
                <w:sz w:val="21"/>
                <w:szCs w:val="21"/>
                <w:highlight w:val="none"/>
                <w:u w:val="none"/>
              </w:rPr>
            </w:pPr>
            <w:r>
              <w:rPr>
                <w:rFonts w:hint="default" w:ascii="Times New Roman" w:hAnsi="Times New Roman" w:eastAsia="宋体" w:cs="Times New Roman"/>
                <w:b/>
                <w:bCs/>
                <w:color w:val="auto"/>
                <w:sz w:val="21"/>
                <w:szCs w:val="21"/>
                <w:highlight w:val="none"/>
                <w:u w:val="none"/>
              </w:rPr>
              <w:t>污染物排放速率/（kg/h）</w:t>
            </w:r>
          </w:p>
        </w:tc>
      </w:tr>
      <w:tr w14:paraId="7466CF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400" w:type="dxa"/>
            <w:vMerge w:val="continue"/>
            <w:tcBorders>
              <w:tl2br w:val="nil"/>
              <w:tr2bl w:val="nil"/>
            </w:tcBorders>
            <w:noWrap/>
            <w:vAlign w:val="center"/>
          </w:tcPr>
          <w:p w14:paraId="0872DE19">
            <w:pPr>
              <w:pStyle w:val="215"/>
              <w:rPr>
                <w:color w:val="auto"/>
                <w:sz w:val="21"/>
                <w:szCs w:val="21"/>
              </w:rPr>
            </w:pPr>
          </w:p>
        </w:tc>
        <w:tc>
          <w:tcPr>
            <w:tcW w:w="670" w:type="dxa"/>
            <w:vMerge w:val="continue"/>
            <w:tcBorders>
              <w:tl2br w:val="nil"/>
              <w:tr2bl w:val="nil"/>
            </w:tcBorders>
            <w:noWrap/>
            <w:vAlign w:val="center"/>
          </w:tcPr>
          <w:p w14:paraId="3FFF88AB">
            <w:pPr>
              <w:pStyle w:val="215"/>
              <w:rPr>
                <w:color w:val="auto"/>
                <w:sz w:val="21"/>
                <w:szCs w:val="21"/>
              </w:rPr>
            </w:pPr>
          </w:p>
        </w:tc>
        <w:tc>
          <w:tcPr>
            <w:tcW w:w="764" w:type="dxa"/>
            <w:tcBorders>
              <w:tl2br w:val="nil"/>
              <w:tr2bl w:val="nil"/>
            </w:tcBorders>
            <w:noWrap/>
            <w:vAlign w:val="center"/>
          </w:tcPr>
          <w:p w14:paraId="4C1CEB14">
            <w:pPr>
              <w:pStyle w:val="215"/>
              <w:rPr>
                <w:b/>
                <w:bCs/>
                <w:color w:val="auto"/>
                <w:sz w:val="21"/>
                <w:szCs w:val="21"/>
              </w:rPr>
            </w:pPr>
            <w:r>
              <w:rPr>
                <w:rFonts w:ascii="Times New Roman" w:eastAsia="宋体"/>
                <w:b/>
                <w:bCs/>
                <w:color w:val="auto"/>
                <w:sz w:val="21"/>
                <w:szCs w:val="21"/>
                <w:highlight w:val="none"/>
                <w:u w:val="none"/>
              </w:rPr>
              <w:t>经度</w:t>
            </w:r>
          </w:p>
        </w:tc>
        <w:tc>
          <w:tcPr>
            <w:tcW w:w="723" w:type="dxa"/>
            <w:tcBorders>
              <w:tl2br w:val="nil"/>
              <w:tr2bl w:val="nil"/>
            </w:tcBorders>
            <w:noWrap/>
            <w:vAlign w:val="center"/>
          </w:tcPr>
          <w:p w14:paraId="12F6D5E5">
            <w:pPr>
              <w:pStyle w:val="215"/>
              <w:rPr>
                <w:b/>
                <w:bCs/>
                <w:color w:val="auto"/>
                <w:sz w:val="21"/>
                <w:szCs w:val="21"/>
              </w:rPr>
            </w:pPr>
            <w:r>
              <w:rPr>
                <w:rFonts w:ascii="Times New Roman" w:eastAsia="宋体"/>
                <w:b/>
                <w:bCs/>
                <w:color w:val="auto"/>
                <w:sz w:val="21"/>
                <w:szCs w:val="21"/>
                <w:highlight w:val="none"/>
                <w:u w:val="none"/>
              </w:rPr>
              <w:t>纬度</w:t>
            </w:r>
          </w:p>
        </w:tc>
        <w:tc>
          <w:tcPr>
            <w:tcW w:w="722" w:type="dxa"/>
            <w:vMerge w:val="continue"/>
            <w:tcBorders>
              <w:tl2br w:val="nil"/>
              <w:tr2bl w:val="nil"/>
            </w:tcBorders>
            <w:noWrap/>
            <w:vAlign w:val="center"/>
          </w:tcPr>
          <w:p w14:paraId="1E785085">
            <w:pPr>
              <w:pStyle w:val="215"/>
              <w:rPr>
                <w:color w:val="auto"/>
                <w:sz w:val="21"/>
                <w:szCs w:val="21"/>
              </w:rPr>
            </w:pPr>
          </w:p>
        </w:tc>
        <w:tc>
          <w:tcPr>
            <w:tcW w:w="846" w:type="dxa"/>
            <w:vMerge w:val="continue"/>
            <w:tcBorders>
              <w:tl2br w:val="nil"/>
              <w:tr2bl w:val="nil"/>
            </w:tcBorders>
            <w:noWrap/>
            <w:vAlign w:val="center"/>
          </w:tcPr>
          <w:p w14:paraId="21DE9D83">
            <w:pPr>
              <w:pStyle w:val="215"/>
              <w:rPr>
                <w:color w:val="auto"/>
                <w:sz w:val="21"/>
                <w:szCs w:val="21"/>
              </w:rPr>
            </w:pPr>
          </w:p>
        </w:tc>
        <w:tc>
          <w:tcPr>
            <w:tcW w:w="914" w:type="dxa"/>
            <w:vMerge w:val="continue"/>
            <w:tcBorders>
              <w:tl2br w:val="nil"/>
              <w:tr2bl w:val="nil"/>
            </w:tcBorders>
            <w:noWrap/>
            <w:vAlign w:val="center"/>
          </w:tcPr>
          <w:p w14:paraId="073AFCE2">
            <w:pPr>
              <w:pStyle w:val="215"/>
              <w:rPr>
                <w:color w:val="auto"/>
                <w:sz w:val="21"/>
                <w:szCs w:val="21"/>
              </w:rPr>
            </w:pPr>
          </w:p>
        </w:tc>
        <w:tc>
          <w:tcPr>
            <w:tcW w:w="704" w:type="dxa"/>
            <w:vMerge w:val="continue"/>
            <w:tcBorders>
              <w:tl2br w:val="nil"/>
              <w:tr2bl w:val="nil"/>
            </w:tcBorders>
            <w:noWrap/>
            <w:vAlign w:val="center"/>
          </w:tcPr>
          <w:p w14:paraId="08387FFE">
            <w:pPr>
              <w:pStyle w:val="215"/>
              <w:rPr>
                <w:color w:val="auto"/>
                <w:sz w:val="21"/>
                <w:szCs w:val="21"/>
              </w:rPr>
            </w:pPr>
          </w:p>
        </w:tc>
        <w:tc>
          <w:tcPr>
            <w:tcW w:w="840" w:type="dxa"/>
            <w:vMerge w:val="continue"/>
            <w:tcBorders>
              <w:tl2br w:val="nil"/>
              <w:tr2bl w:val="nil"/>
            </w:tcBorders>
            <w:noWrap/>
            <w:vAlign w:val="center"/>
          </w:tcPr>
          <w:p w14:paraId="49599E2F">
            <w:pPr>
              <w:pStyle w:val="215"/>
              <w:rPr>
                <w:color w:val="auto"/>
                <w:sz w:val="21"/>
                <w:szCs w:val="21"/>
              </w:rPr>
            </w:pPr>
          </w:p>
        </w:tc>
        <w:tc>
          <w:tcPr>
            <w:tcW w:w="584" w:type="dxa"/>
            <w:vMerge w:val="continue"/>
            <w:tcBorders>
              <w:tl2br w:val="nil"/>
              <w:tr2bl w:val="nil"/>
            </w:tcBorders>
            <w:noWrap/>
            <w:vAlign w:val="center"/>
          </w:tcPr>
          <w:p w14:paraId="480959C4">
            <w:pPr>
              <w:pStyle w:val="215"/>
              <w:rPr>
                <w:color w:val="auto"/>
                <w:sz w:val="21"/>
                <w:szCs w:val="21"/>
              </w:rPr>
            </w:pPr>
          </w:p>
        </w:tc>
        <w:tc>
          <w:tcPr>
            <w:tcW w:w="1355" w:type="dxa"/>
            <w:gridSpan w:val="2"/>
            <w:vMerge w:val="continue"/>
            <w:tcBorders>
              <w:tl2br w:val="nil"/>
              <w:tr2bl w:val="nil"/>
            </w:tcBorders>
            <w:noWrap/>
            <w:vAlign w:val="center"/>
          </w:tcPr>
          <w:p w14:paraId="53ADE42F">
            <w:pPr>
              <w:pStyle w:val="215"/>
              <w:rPr>
                <w:color w:val="auto"/>
                <w:sz w:val="21"/>
                <w:szCs w:val="21"/>
              </w:rPr>
            </w:pPr>
          </w:p>
        </w:tc>
      </w:tr>
      <w:tr w14:paraId="1A03FA0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2" w:hRule="atLeast"/>
        </w:trPr>
        <w:tc>
          <w:tcPr>
            <w:tcW w:w="400" w:type="dxa"/>
            <w:tcBorders>
              <w:tl2br w:val="nil"/>
              <w:tr2bl w:val="nil"/>
            </w:tcBorders>
            <w:noWrap/>
            <w:vAlign w:val="center"/>
          </w:tcPr>
          <w:p w14:paraId="4B5A9219">
            <w:pPr>
              <w:pStyle w:val="215"/>
              <w:rPr>
                <w:rFonts w:ascii="Times New Roman" w:eastAsia="宋体"/>
                <w:b w:val="0"/>
                <w:bCs w:val="0"/>
                <w:color w:val="auto"/>
                <w:sz w:val="21"/>
                <w:szCs w:val="21"/>
                <w:highlight w:val="none"/>
                <w:u w:val="none"/>
              </w:rPr>
            </w:pPr>
            <w:r>
              <w:rPr>
                <w:rFonts w:ascii="Times New Roman" w:eastAsia="宋体"/>
                <w:b w:val="0"/>
                <w:bCs w:val="0"/>
                <w:color w:val="auto"/>
                <w:sz w:val="21"/>
                <w:szCs w:val="21"/>
                <w:highlight w:val="none"/>
                <w:u w:val="none"/>
              </w:rPr>
              <w:t>1</w:t>
            </w:r>
          </w:p>
        </w:tc>
        <w:tc>
          <w:tcPr>
            <w:tcW w:w="670" w:type="dxa"/>
            <w:tcBorders>
              <w:tl2br w:val="nil"/>
              <w:tr2bl w:val="nil"/>
            </w:tcBorders>
            <w:shd w:val="clear" w:color="auto" w:fill="auto"/>
            <w:noWrap/>
            <w:vAlign w:val="center"/>
          </w:tcPr>
          <w:p w14:paraId="1C556A0B">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eastAsia" w:ascii="Times New Roman" w:hAnsi="Times New Roman" w:eastAsia="宋体" w:cs="Times New Roman"/>
                <w:b w:val="0"/>
                <w:color w:val="auto"/>
                <w:sz w:val="21"/>
                <w:szCs w:val="21"/>
                <w:lang w:val="en-US" w:eastAsia="zh-CN"/>
              </w:rPr>
              <w:t>预处理系统废气</w:t>
            </w:r>
          </w:p>
        </w:tc>
        <w:tc>
          <w:tcPr>
            <w:tcW w:w="764" w:type="dxa"/>
            <w:tcBorders>
              <w:tl2br w:val="nil"/>
              <w:tr2bl w:val="nil"/>
            </w:tcBorders>
            <w:noWrap/>
            <w:vAlign w:val="center"/>
          </w:tcPr>
          <w:p w14:paraId="1CE57C35">
            <w:pPr>
              <w:pStyle w:val="215"/>
              <w:rPr>
                <w:rFonts w:hint="eastAsia" w:ascii="Times New Roman" w:hAnsi="Times New Roman" w:eastAsia="宋体" w:cs="Times New Roman"/>
                <w:b w:val="0"/>
                <w:bCs w:val="0"/>
                <w:color w:val="auto"/>
                <w:sz w:val="21"/>
                <w:szCs w:val="21"/>
                <w:highlight w:val="none"/>
                <w:u w:val="none"/>
              </w:rPr>
            </w:pPr>
            <w:r>
              <w:rPr>
                <w:rFonts w:hint="default" w:ascii="Times New Roman" w:hAnsi="Times New Roman" w:eastAsia="宋体" w:cs="Times New Roman"/>
                <w:b w:val="0"/>
                <w:bCs w:val="0"/>
                <w:color w:val="auto"/>
                <w:sz w:val="21"/>
                <w:szCs w:val="21"/>
                <w:highlight w:val="none"/>
                <w:u w:val="none"/>
              </w:rPr>
              <w:t>80.113183</w:t>
            </w:r>
          </w:p>
        </w:tc>
        <w:tc>
          <w:tcPr>
            <w:tcW w:w="723" w:type="dxa"/>
            <w:tcBorders>
              <w:tl2br w:val="nil"/>
              <w:tr2bl w:val="nil"/>
            </w:tcBorders>
            <w:noWrap/>
            <w:vAlign w:val="center"/>
          </w:tcPr>
          <w:p w14:paraId="039F2149">
            <w:pPr>
              <w:pStyle w:val="215"/>
              <w:rPr>
                <w:rFonts w:hint="eastAsia" w:ascii="Times New Roman" w:hAnsi="Times New Roman" w:eastAsia="宋体" w:cs="Times New Roman"/>
                <w:b w:val="0"/>
                <w:bCs w:val="0"/>
                <w:color w:val="auto"/>
                <w:sz w:val="21"/>
                <w:szCs w:val="21"/>
                <w:highlight w:val="none"/>
                <w:u w:val="none"/>
              </w:rPr>
            </w:pPr>
            <w:r>
              <w:rPr>
                <w:rFonts w:hint="eastAsia" w:ascii="Times New Roman" w:hAnsi="Times New Roman" w:eastAsia="宋体" w:cs="Times New Roman"/>
                <w:b w:val="0"/>
                <w:bCs w:val="0"/>
                <w:color w:val="auto"/>
                <w:sz w:val="21"/>
                <w:szCs w:val="21"/>
                <w:highlight w:val="none"/>
                <w:u w:val="none"/>
              </w:rPr>
              <w:t>41.067536</w:t>
            </w:r>
          </w:p>
        </w:tc>
        <w:tc>
          <w:tcPr>
            <w:tcW w:w="722" w:type="dxa"/>
            <w:tcBorders>
              <w:tl2br w:val="nil"/>
              <w:tr2bl w:val="nil"/>
            </w:tcBorders>
            <w:noWrap/>
            <w:vAlign w:val="center"/>
          </w:tcPr>
          <w:p w14:paraId="59C3DD7C">
            <w:pPr>
              <w:pStyle w:val="215"/>
              <w:rPr>
                <w:rFonts w:hint="default" w:ascii="Times New Roman" w:eastAsia="宋体"/>
                <w:b w:val="0"/>
                <w:bCs w:val="0"/>
                <w:color w:val="auto"/>
                <w:sz w:val="21"/>
                <w:szCs w:val="21"/>
                <w:highlight w:val="none"/>
                <w:u w:val="none"/>
                <w:lang w:val="en-US" w:eastAsia="zh-CN"/>
              </w:rPr>
            </w:pPr>
            <w:r>
              <w:rPr>
                <w:rFonts w:hint="eastAsia" w:ascii="Times New Roman" w:eastAsia="宋体"/>
                <w:b w:val="0"/>
                <w:bCs w:val="0"/>
                <w:color w:val="auto"/>
                <w:sz w:val="21"/>
                <w:szCs w:val="21"/>
                <w:highlight w:val="none"/>
                <w:u w:val="none"/>
                <w:lang w:val="en-US" w:eastAsia="zh-CN"/>
              </w:rPr>
              <w:t>15</w:t>
            </w:r>
          </w:p>
        </w:tc>
        <w:tc>
          <w:tcPr>
            <w:tcW w:w="846" w:type="dxa"/>
            <w:tcBorders>
              <w:tl2br w:val="nil"/>
              <w:tr2bl w:val="nil"/>
            </w:tcBorders>
            <w:noWrap/>
            <w:vAlign w:val="center"/>
          </w:tcPr>
          <w:p w14:paraId="29C12DDE">
            <w:pPr>
              <w:pStyle w:val="215"/>
              <w:rPr>
                <w:rFonts w:hint="eastAsia" w:ascii="Times New Roman" w:eastAsia="宋体"/>
                <w:b w:val="0"/>
                <w:bCs w:val="0"/>
                <w:color w:val="auto"/>
                <w:sz w:val="21"/>
                <w:szCs w:val="21"/>
                <w:highlight w:val="none"/>
                <w:u w:val="none"/>
                <w:lang w:val="en-US" w:eastAsia="zh-CN"/>
              </w:rPr>
            </w:pPr>
            <w:r>
              <w:rPr>
                <w:rFonts w:hint="eastAsia" w:ascii="Times New Roman" w:eastAsia="宋体"/>
                <w:b w:val="0"/>
                <w:bCs w:val="0"/>
                <w:color w:val="auto"/>
                <w:sz w:val="21"/>
                <w:szCs w:val="21"/>
                <w:highlight w:val="none"/>
                <w:u w:val="none"/>
                <w:lang w:val="en-US" w:eastAsia="zh-CN"/>
              </w:rPr>
              <w:t>0.3</w:t>
            </w:r>
          </w:p>
        </w:tc>
        <w:tc>
          <w:tcPr>
            <w:tcW w:w="914" w:type="dxa"/>
            <w:tcBorders>
              <w:tl2br w:val="nil"/>
              <w:tr2bl w:val="nil"/>
            </w:tcBorders>
            <w:noWrap/>
            <w:vAlign w:val="center"/>
          </w:tcPr>
          <w:p w14:paraId="6FF4C027">
            <w:pPr>
              <w:pStyle w:val="215"/>
              <w:rPr>
                <w:rFonts w:hint="default" w:ascii="Times New Roman" w:eastAsia="宋体"/>
                <w:b w:val="0"/>
                <w:bCs w:val="0"/>
                <w:color w:val="auto"/>
                <w:sz w:val="21"/>
                <w:szCs w:val="21"/>
                <w:highlight w:val="none"/>
                <w:u w:val="none"/>
                <w:lang w:val="en-US" w:eastAsia="zh-CN"/>
              </w:rPr>
            </w:pPr>
            <w:r>
              <w:rPr>
                <w:rFonts w:hint="eastAsia" w:ascii="Times New Roman" w:eastAsia="宋体"/>
                <w:b w:val="0"/>
                <w:bCs w:val="0"/>
                <w:color w:val="auto"/>
                <w:sz w:val="21"/>
                <w:szCs w:val="21"/>
                <w:highlight w:val="none"/>
                <w:u w:val="none"/>
                <w:lang w:val="en-US" w:eastAsia="zh-CN"/>
              </w:rPr>
              <w:t>7.08</w:t>
            </w:r>
          </w:p>
        </w:tc>
        <w:tc>
          <w:tcPr>
            <w:tcW w:w="704" w:type="dxa"/>
            <w:tcBorders>
              <w:tl2br w:val="nil"/>
              <w:tr2bl w:val="nil"/>
            </w:tcBorders>
            <w:noWrap/>
            <w:vAlign w:val="center"/>
          </w:tcPr>
          <w:p w14:paraId="51F70D90">
            <w:pPr>
              <w:pStyle w:val="215"/>
              <w:rPr>
                <w:rFonts w:hint="default" w:ascii="Times New Roman" w:eastAsia="宋体"/>
                <w:b w:val="0"/>
                <w:bCs w:val="0"/>
                <w:color w:val="auto"/>
                <w:sz w:val="21"/>
                <w:szCs w:val="21"/>
                <w:highlight w:val="none"/>
                <w:u w:val="none"/>
                <w:lang w:val="en-US" w:eastAsia="zh-CN"/>
              </w:rPr>
            </w:pPr>
            <w:r>
              <w:rPr>
                <w:rFonts w:hint="eastAsia" w:ascii="Times New Roman" w:eastAsia="宋体"/>
                <w:b w:val="0"/>
                <w:bCs w:val="0"/>
                <w:color w:val="auto"/>
                <w:sz w:val="21"/>
                <w:szCs w:val="21"/>
                <w:highlight w:val="none"/>
                <w:u w:val="none"/>
                <w:lang w:val="en-US" w:eastAsia="zh-CN"/>
              </w:rPr>
              <w:t>40</w:t>
            </w:r>
          </w:p>
        </w:tc>
        <w:tc>
          <w:tcPr>
            <w:tcW w:w="840" w:type="dxa"/>
            <w:tcBorders>
              <w:tl2br w:val="nil"/>
              <w:tr2bl w:val="nil"/>
            </w:tcBorders>
            <w:noWrap/>
            <w:vAlign w:val="center"/>
          </w:tcPr>
          <w:p w14:paraId="5A8D63F2">
            <w:pPr>
              <w:pStyle w:val="215"/>
              <w:rPr>
                <w:rFonts w:hint="default" w:ascii="Times New Roman" w:eastAsia="宋体"/>
                <w:b w:val="0"/>
                <w:bCs w:val="0"/>
                <w:color w:val="auto"/>
                <w:sz w:val="21"/>
                <w:szCs w:val="21"/>
                <w:highlight w:val="none"/>
                <w:u w:val="none"/>
                <w:lang w:val="en-US" w:eastAsia="zh-CN"/>
              </w:rPr>
            </w:pPr>
            <w:r>
              <w:rPr>
                <w:rFonts w:hint="eastAsia" w:ascii="Times New Roman" w:eastAsia="宋体"/>
                <w:b w:val="0"/>
                <w:bCs w:val="0"/>
                <w:color w:val="auto"/>
                <w:sz w:val="21"/>
                <w:szCs w:val="21"/>
                <w:highlight w:val="none"/>
                <w:u w:val="none"/>
                <w:lang w:val="en-US" w:eastAsia="zh-CN"/>
              </w:rPr>
              <w:t>3600</w:t>
            </w:r>
          </w:p>
        </w:tc>
        <w:tc>
          <w:tcPr>
            <w:tcW w:w="584" w:type="dxa"/>
            <w:tcBorders>
              <w:tl2br w:val="nil"/>
              <w:tr2bl w:val="nil"/>
            </w:tcBorders>
            <w:noWrap/>
            <w:vAlign w:val="center"/>
          </w:tcPr>
          <w:p w14:paraId="0D96006E">
            <w:pPr>
              <w:jc w:val="center"/>
              <w:rPr>
                <w:rFonts w:hint="eastAsia" w:ascii="Times New Roman" w:hAnsi="Times New Roman" w:eastAsia="宋体"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正常工况</w:t>
            </w:r>
          </w:p>
        </w:tc>
        <w:tc>
          <w:tcPr>
            <w:tcW w:w="721" w:type="dxa"/>
            <w:tcBorders>
              <w:tl2br w:val="nil"/>
              <w:tr2bl w:val="nil"/>
            </w:tcBorders>
            <w:noWrap/>
            <w:vAlign w:val="center"/>
          </w:tcPr>
          <w:p w14:paraId="62512505">
            <w:pPr>
              <w:jc w:val="center"/>
              <w:rPr>
                <w:rFonts w:hint="default" w:ascii="Times New Roman" w:hAnsi="Times New Roman" w:eastAsia="宋体"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颗粒物</w:t>
            </w:r>
          </w:p>
        </w:tc>
        <w:tc>
          <w:tcPr>
            <w:tcW w:w="634" w:type="dxa"/>
            <w:tcBorders>
              <w:tl2br w:val="nil"/>
              <w:tr2bl w:val="nil"/>
            </w:tcBorders>
            <w:noWrap/>
            <w:vAlign w:val="center"/>
          </w:tcPr>
          <w:p w14:paraId="7511FAD5">
            <w:pPr>
              <w:jc w:val="center"/>
              <w:rPr>
                <w:rFonts w:hint="default" w:ascii="Times New Roman" w:hAnsi="Times New Roman" w:eastAsia="宋体" w:cs="Times New Roman"/>
                <w:b w:val="0"/>
                <w:bCs w:val="0"/>
                <w:color w:val="auto"/>
                <w:kern w:val="0"/>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0.045</w:t>
            </w:r>
          </w:p>
        </w:tc>
      </w:tr>
      <w:tr w14:paraId="4EA515C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400" w:type="dxa"/>
            <w:tcBorders>
              <w:tl2br w:val="nil"/>
              <w:tr2bl w:val="nil"/>
            </w:tcBorders>
            <w:noWrap/>
            <w:vAlign w:val="center"/>
          </w:tcPr>
          <w:p w14:paraId="4A5650CD">
            <w:pPr>
              <w:autoSpaceDE/>
              <w:autoSpaceDN/>
              <w:spacing w:before="0" w:after="0" w:line="240" w:lineRule="auto"/>
              <w:ind w:left="0" w:firstLine="0"/>
              <w:jc w:val="center"/>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2</w:t>
            </w:r>
          </w:p>
        </w:tc>
        <w:tc>
          <w:tcPr>
            <w:tcW w:w="670" w:type="dxa"/>
            <w:tcBorders>
              <w:tl2br w:val="nil"/>
              <w:tr2bl w:val="nil"/>
            </w:tcBorders>
            <w:shd w:val="clear" w:color="auto" w:fill="auto"/>
            <w:noWrap/>
            <w:vAlign w:val="center"/>
          </w:tcPr>
          <w:p w14:paraId="29EB2D29">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eastAsia" w:ascii="Times New Roman" w:hAnsi="Times New Roman" w:eastAsia="宋体" w:cs="Times New Roman"/>
                <w:b w:val="0"/>
                <w:color w:val="auto"/>
                <w:sz w:val="21"/>
                <w:szCs w:val="21"/>
                <w:lang w:val="en-US" w:eastAsia="zh-CN"/>
              </w:rPr>
              <w:t>输送系统废气</w:t>
            </w:r>
          </w:p>
        </w:tc>
        <w:tc>
          <w:tcPr>
            <w:tcW w:w="764" w:type="dxa"/>
            <w:tcBorders>
              <w:tl2br w:val="nil"/>
              <w:tr2bl w:val="nil"/>
            </w:tcBorders>
            <w:noWrap/>
            <w:vAlign w:val="center"/>
          </w:tcPr>
          <w:p w14:paraId="22DC88C3">
            <w:pPr>
              <w:autoSpaceDE/>
              <w:autoSpaceDN/>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rPr>
            </w:pPr>
            <w:r>
              <w:rPr>
                <w:rFonts w:hint="default" w:ascii="Times New Roman" w:hAnsi="Times New Roman" w:eastAsia="宋体" w:cs="Times New Roman"/>
                <w:b w:val="0"/>
                <w:bCs w:val="0"/>
                <w:color w:val="auto"/>
                <w:sz w:val="21"/>
                <w:szCs w:val="21"/>
                <w:highlight w:val="none"/>
                <w:u w:val="none"/>
              </w:rPr>
              <w:t>80.113580</w:t>
            </w:r>
          </w:p>
        </w:tc>
        <w:tc>
          <w:tcPr>
            <w:tcW w:w="723" w:type="dxa"/>
            <w:tcBorders>
              <w:tl2br w:val="nil"/>
              <w:tr2bl w:val="nil"/>
            </w:tcBorders>
            <w:noWrap/>
            <w:vAlign w:val="center"/>
          </w:tcPr>
          <w:p w14:paraId="63613C67">
            <w:pPr>
              <w:autoSpaceDE/>
              <w:autoSpaceDN/>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rPr>
            </w:pPr>
            <w:r>
              <w:rPr>
                <w:rFonts w:hint="default" w:ascii="Times New Roman" w:hAnsi="Times New Roman" w:eastAsia="宋体" w:cs="Times New Roman"/>
                <w:b w:val="0"/>
                <w:bCs w:val="0"/>
                <w:color w:val="auto"/>
                <w:sz w:val="21"/>
                <w:szCs w:val="21"/>
                <w:highlight w:val="none"/>
                <w:u w:val="none"/>
              </w:rPr>
              <w:t>41.067706</w:t>
            </w:r>
          </w:p>
        </w:tc>
        <w:tc>
          <w:tcPr>
            <w:tcW w:w="722" w:type="dxa"/>
            <w:tcBorders>
              <w:tl2br w:val="nil"/>
              <w:tr2bl w:val="nil"/>
            </w:tcBorders>
            <w:noWrap/>
            <w:vAlign w:val="center"/>
          </w:tcPr>
          <w:p w14:paraId="586C24BE">
            <w:pPr>
              <w:autoSpaceDE/>
              <w:autoSpaceDN/>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15</w:t>
            </w:r>
          </w:p>
        </w:tc>
        <w:tc>
          <w:tcPr>
            <w:tcW w:w="846" w:type="dxa"/>
            <w:tcBorders>
              <w:tl2br w:val="nil"/>
              <w:tr2bl w:val="nil"/>
            </w:tcBorders>
            <w:noWrap/>
            <w:vAlign w:val="center"/>
          </w:tcPr>
          <w:p w14:paraId="22E24C6E">
            <w:pPr>
              <w:autoSpaceDE/>
              <w:autoSpaceDN/>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0.3</w:t>
            </w:r>
          </w:p>
        </w:tc>
        <w:tc>
          <w:tcPr>
            <w:tcW w:w="914" w:type="dxa"/>
            <w:tcBorders>
              <w:tl2br w:val="nil"/>
              <w:tr2bl w:val="nil"/>
            </w:tcBorders>
            <w:noWrap/>
            <w:vAlign w:val="center"/>
          </w:tcPr>
          <w:p w14:paraId="051A7A34">
            <w:pPr>
              <w:autoSpaceDE/>
              <w:autoSpaceDN/>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7.05</w:t>
            </w:r>
          </w:p>
        </w:tc>
        <w:tc>
          <w:tcPr>
            <w:tcW w:w="704" w:type="dxa"/>
            <w:tcBorders>
              <w:tl2br w:val="nil"/>
              <w:tr2bl w:val="nil"/>
            </w:tcBorders>
            <w:noWrap/>
            <w:vAlign w:val="center"/>
          </w:tcPr>
          <w:p w14:paraId="55A99B8F">
            <w:pPr>
              <w:autoSpaceDE/>
              <w:autoSpaceDN/>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40</w:t>
            </w:r>
          </w:p>
        </w:tc>
        <w:tc>
          <w:tcPr>
            <w:tcW w:w="840" w:type="dxa"/>
            <w:tcBorders>
              <w:tl2br w:val="nil"/>
              <w:tr2bl w:val="nil"/>
            </w:tcBorders>
            <w:noWrap/>
            <w:vAlign w:val="center"/>
          </w:tcPr>
          <w:p w14:paraId="24CC23DA">
            <w:pPr>
              <w:autoSpaceDE/>
              <w:autoSpaceDN/>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3600</w:t>
            </w:r>
          </w:p>
        </w:tc>
        <w:tc>
          <w:tcPr>
            <w:tcW w:w="584" w:type="dxa"/>
            <w:tcBorders>
              <w:tl2br w:val="nil"/>
              <w:tr2bl w:val="nil"/>
            </w:tcBorders>
            <w:noWrap/>
            <w:vAlign w:val="center"/>
          </w:tcPr>
          <w:p w14:paraId="7F196725">
            <w:pPr>
              <w:autoSpaceDE/>
              <w:autoSpaceDN/>
              <w:spacing w:before="0" w:after="0" w:line="240" w:lineRule="auto"/>
              <w:ind w:left="0" w:firstLine="0"/>
              <w:jc w:val="center"/>
              <w:rPr>
                <w:rFonts w:hint="eastAsia"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kern w:val="0"/>
                <w:sz w:val="21"/>
                <w:szCs w:val="21"/>
                <w:highlight w:val="none"/>
                <w:u w:val="none"/>
                <w:lang w:val="en-US" w:eastAsia="zh-CN"/>
              </w:rPr>
              <w:t>正常工况</w:t>
            </w:r>
          </w:p>
        </w:tc>
        <w:tc>
          <w:tcPr>
            <w:tcW w:w="721" w:type="dxa"/>
            <w:tcBorders>
              <w:tl2br w:val="nil"/>
              <w:tr2bl w:val="nil"/>
            </w:tcBorders>
            <w:noWrap/>
            <w:vAlign w:val="center"/>
          </w:tcPr>
          <w:p w14:paraId="2D79BC78">
            <w:pPr>
              <w:autoSpaceDE/>
              <w:autoSpaceDN/>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颗粒物</w:t>
            </w:r>
          </w:p>
        </w:tc>
        <w:tc>
          <w:tcPr>
            <w:tcW w:w="634" w:type="dxa"/>
            <w:tcBorders>
              <w:tl2br w:val="nil"/>
              <w:tr2bl w:val="nil"/>
            </w:tcBorders>
            <w:noWrap/>
            <w:vAlign w:val="center"/>
          </w:tcPr>
          <w:p w14:paraId="2DA5635E">
            <w:pPr>
              <w:autoSpaceDE/>
              <w:autoSpaceDN/>
              <w:spacing w:before="0" w:after="0" w:line="240" w:lineRule="auto"/>
              <w:ind w:left="0" w:firstLine="0"/>
              <w:jc w:val="center"/>
              <w:rPr>
                <w:rFonts w:hint="default" w:ascii="Times New Roman" w:hAnsi="Times New Roman" w:eastAsia="宋体" w:cs="Times New Roman"/>
                <w:b w:val="0"/>
                <w:bCs w:val="0"/>
                <w:color w:val="auto"/>
                <w:sz w:val="21"/>
                <w:szCs w:val="21"/>
                <w:highlight w:val="none"/>
                <w:u w:val="none"/>
                <w:lang w:val="en-US" w:eastAsia="zh-CN"/>
              </w:rPr>
            </w:pPr>
            <w:r>
              <w:rPr>
                <w:rFonts w:hint="eastAsia" w:ascii="Times New Roman" w:hAnsi="Times New Roman" w:eastAsia="宋体" w:cs="Times New Roman"/>
                <w:b w:val="0"/>
                <w:bCs w:val="0"/>
                <w:color w:val="auto"/>
                <w:sz w:val="21"/>
                <w:szCs w:val="21"/>
                <w:highlight w:val="none"/>
                <w:u w:val="none"/>
                <w:lang w:val="en-US" w:eastAsia="zh-CN"/>
              </w:rPr>
              <w:t>0.00008</w:t>
            </w:r>
          </w:p>
        </w:tc>
      </w:tr>
    </w:tbl>
    <w:p w14:paraId="09EE8985">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5.2.</w:t>
      </w:r>
      <w:r>
        <w:rPr>
          <w:rFonts w:hint="default" w:ascii="Times New Roman" w:hAnsi="Times New Roman" w:eastAsia="宋体" w:cs="Times New Roman"/>
          <w:b/>
          <w:bCs/>
          <w:sz w:val="24"/>
          <w:szCs w:val="16"/>
          <w:highlight w:val="none"/>
          <w:lang w:val="en-US" w:eastAsia="zh-CN"/>
        </w:rPr>
        <w:t>1.</w:t>
      </w:r>
      <w:r>
        <w:rPr>
          <w:rFonts w:hint="default" w:ascii="Times New Roman" w:hAnsi="Times New Roman" w:eastAsia="宋体" w:cs="Times New Roman"/>
          <w:b/>
          <w:bCs/>
          <w:sz w:val="24"/>
          <w:szCs w:val="16"/>
          <w:highlight w:val="none"/>
        </w:rPr>
        <w:t>4评价等级</w:t>
      </w:r>
      <w:bookmarkEnd w:id="195"/>
      <w:bookmarkEnd w:id="196"/>
    </w:p>
    <w:p w14:paraId="4889E770">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sz w:val="24"/>
          <w:szCs w:val="24"/>
          <w:highlight w:val="none"/>
          <w:u w:val="none"/>
          <w:lang w:val="en-US" w:eastAsia="zh-CN"/>
        </w:rPr>
      </w:pPr>
      <w:r>
        <w:rPr>
          <w:rFonts w:hint="default" w:ascii="Times New Roman" w:hAnsi="Times New Roman" w:cs="Times New Roman"/>
          <w:b w:val="0"/>
          <w:bCs w:val="0"/>
          <w:sz w:val="24"/>
          <w:szCs w:val="24"/>
          <w:highlight w:val="none"/>
          <w:u w:val="none"/>
          <w:lang w:val="en-US" w:eastAsia="zh-CN"/>
        </w:rPr>
        <w:t>（1）确定估算模式</w:t>
      </w:r>
    </w:p>
    <w:p w14:paraId="6C56B9DF">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sz w:val="24"/>
          <w:szCs w:val="24"/>
          <w:highlight w:val="none"/>
          <w:u w:val="none"/>
          <w:lang w:val="en-US" w:eastAsia="zh-CN"/>
        </w:rPr>
      </w:pPr>
      <w:r>
        <w:rPr>
          <w:rFonts w:hint="default" w:ascii="Times New Roman" w:hAnsi="Times New Roman" w:cs="Times New Roman"/>
          <w:b w:val="0"/>
          <w:bCs w:val="0"/>
          <w:sz w:val="24"/>
          <w:szCs w:val="24"/>
          <w:highlight w:val="none"/>
          <w:u w:val="none"/>
          <w:lang w:val="en-US" w:eastAsia="zh-CN"/>
        </w:rPr>
        <w:t>根据《环境影响评价技术导则 大气环境》（HJ2.2-2018）要求，采用附录A推荐模型中估算模型AERSCREEN对本项目的大气环境影响评价工作进行分级。估算模型参数见表5.2-4。</w:t>
      </w:r>
    </w:p>
    <w:p w14:paraId="4268F39B">
      <w:pPr>
        <w:jc w:val="center"/>
        <w:rPr>
          <w:rFonts w:hint="default" w:ascii="Times New Roman" w:hAnsi="Times New Roman" w:cs="Times New Roman"/>
          <w:b/>
          <w:bCs w:val="0"/>
          <w:sz w:val="24"/>
          <w:szCs w:val="24"/>
          <w:u w:val="none"/>
        </w:rPr>
      </w:pPr>
      <w:r>
        <w:rPr>
          <w:rFonts w:hint="default" w:ascii="Times New Roman" w:hAnsi="Times New Roman" w:cs="Times New Roman"/>
          <w:b/>
          <w:bCs w:val="0"/>
          <w:sz w:val="24"/>
          <w:szCs w:val="24"/>
          <w:u w:val="none"/>
        </w:rPr>
        <w:t>表5</w:t>
      </w:r>
      <w:r>
        <w:rPr>
          <w:rFonts w:hint="default" w:ascii="Times New Roman" w:hAnsi="Times New Roman" w:cs="Times New Roman"/>
          <w:b/>
          <w:bCs w:val="0"/>
          <w:sz w:val="24"/>
          <w:szCs w:val="24"/>
          <w:u w:val="none"/>
          <w:lang w:val="en-US" w:eastAsia="zh-CN"/>
        </w:rPr>
        <w:t>.2-4</w:t>
      </w:r>
      <w:r>
        <w:rPr>
          <w:rFonts w:hint="default" w:ascii="Times New Roman" w:hAnsi="Times New Roman" w:cs="Times New Roman"/>
          <w:b/>
          <w:bCs w:val="0"/>
          <w:sz w:val="24"/>
          <w:szCs w:val="24"/>
          <w:u w:val="none"/>
        </w:rPr>
        <w:t xml:space="preserve"> 估算模型参数表</w:t>
      </w:r>
    </w:p>
    <w:tbl>
      <w:tblPr>
        <w:tblStyle w:val="39"/>
        <w:tblW w:w="4999"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151"/>
        <w:gridCol w:w="2712"/>
        <w:gridCol w:w="2657"/>
      </w:tblGrid>
      <w:tr w14:paraId="413362B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40" w:type="pct"/>
            <w:gridSpan w:val="2"/>
            <w:tcBorders>
              <w:tl2br w:val="nil"/>
              <w:tr2bl w:val="nil"/>
            </w:tcBorders>
            <w:noWrap/>
            <w:vAlign w:val="center"/>
          </w:tcPr>
          <w:p w14:paraId="65E4D066">
            <w:pPr>
              <w:autoSpaceDE/>
              <w:autoSpaceDN/>
              <w:spacing w:before="0" w:after="0" w:line="240" w:lineRule="auto"/>
              <w:ind w:left="0" w:firstLine="0"/>
              <w:jc w:val="center"/>
              <w:rPr>
                <w:rFonts w:hint="default" w:ascii="Times New Roman" w:hAnsi="Times New Roman" w:cs="Times New Roman"/>
                <w:b/>
                <w:bCs w:val="0"/>
                <w:sz w:val="21"/>
                <w:szCs w:val="21"/>
                <w:u w:val="none"/>
              </w:rPr>
            </w:pPr>
            <w:r>
              <w:rPr>
                <w:rFonts w:hint="default" w:ascii="Times New Roman" w:hAnsi="Times New Roman" w:cs="Times New Roman"/>
                <w:b/>
                <w:bCs w:val="0"/>
                <w:sz w:val="21"/>
                <w:szCs w:val="21"/>
                <w:u w:val="none"/>
              </w:rPr>
              <w:t>参数</w:t>
            </w:r>
          </w:p>
        </w:tc>
        <w:tc>
          <w:tcPr>
            <w:tcW w:w="1559" w:type="pct"/>
            <w:tcBorders>
              <w:tl2br w:val="nil"/>
              <w:tr2bl w:val="nil"/>
            </w:tcBorders>
            <w:noWrap/>
            <w:vAlign w:val="center"/>
          </w:tcPr>
          <w:p w14:paraId="70178659">
            <w:pPr>
              <w:autoSpaceDE/>
              <w:autoSpaceDN/>
              <w:spacing w:before="0" w:after="0" w:line="240" w:lineRule="auto"/>
              <w:ind w:left="0" w:firstLine="0"/>
              <w:jc w:val="center"/>
              <w:rPr>
                <w:rFonts w:hint="default" w:ascii="Times New Roman" w:hAnsi="Times New Roman" w:cs="Times New Roman"/>
                <w:b/>
                <w:bCs w:val="0"/>
                <w:sz w:val="21"/>
                <w:szCs w:val="21"/>
                <w:u w:val="none"/>
              </w:rPr>
            </w:pPr>
            <w:r>
              <w:rPr>
                <w:rFonts w:hint="default" w:ascii="Times New Roman" w:hAnsi="Times New Roman" w:cs="Times New Roman"/>
                <w:b/>
                <w:bCs w:val="0"/>
                <w:sz w:val="21"/>
                <w:szCs w:val="21"/>
                <w:u w:val="none"/>
              </w:rPr>
              <w:t>取值</w:t>
            </w:r>
          </w:p>
        </w:tc>
      </w:tr>
      <w:tr w14:paraId="076CDED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9" w:type="pct"/>
            <w:vMerge w:val="restart"/>
            <w:tcBorders>
              <w:tl2br w:val="nil"/>
              <w:tr2bl w:val="nil"/>
            </w:tcBorders>
            <w:noWrap/>
            <w:vAlign w:val="center"/>
          </w:tcPr>
          <w:p w14:paraId="738FBB8F">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城市/农村选项</w:t>
            </w:r>
          </w:p>
        </w:tc>
        <w:tc>
          <w:tcPr>
            <w:tcW w:w="1591" w:type="pct"/>
            <w:tcBorders>
              <w:tl2br w:val="nil"/>
              <w:tr2bl w:val="nil"/>
            </w:tcBorders>
            <w:noWrap/>
            <w:vAlign w:val="center"/>
          </w:tcPr>
          <w:p w14:paraId="021C4BAC">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城市/农村</w:t>
            </w:r>
          </w:p>
        </w:tc>
        <w:tc>
          <w:tcPr>
            <w:tcW w:w="1559" w:type="pct"/>
            <w:tcBorders>
              <w:tl2br w:val="nil"/>
              <w:tr2bl w:val="nil"/>
            </w:tcBorders>
            <w:noWrap/>
            <w:vAlign w:val="center"/>
          </w:tcPr>
          <w:p w14:paraId="63BDC072">
            <w:pPr>
              <w:autoSpaceDE/>
              <w:autoSpaceDN/>
              <w:spacing w:before="0" w:after="0" w:line="240" w:lineRule="auto"/>
              <w:ind w:left="0" w:firstLine="0"/>
              <w:jc w:val="center"/>
              <w:rPr>
                <w:rFonts w:hint="default" w:ascii="Times New Roman" w:hAnsi="Times New Roman" w:eastAsia="宋体" w:cs="Times New Roman"/>
                <w:b w:val="0"/>
                <w:bCs/>
                <w:sz w:val="21"/>
                <w:szCs w:val="21"/>
                <w:u w:val="none"/>
                <w:lang w:eastAsia="zh-CN"/>
              </w:rPr>
            </w:pPr>
            <w:r>
              <w:rPr>
                <w:rFonts w:hint="default" w:ascii="Times New Roman" w:hAnsi="Times New Roman" w:cs="Times New Roman"/>
                <w:b w:val="0"/>
                <w:bCs/>
                <w:sz w:val="21"/>
                <w:szCs w:val="21"/>
                <w:u w:val="none"/>
                <w:lang w:val="en-US" w:eastAsia="zh-CN"/>
              </w:rPr>
              <w:t>农村</w:t>
            </w:r>
          </w:p>
        </w:tc>
      </w:tr>
      <w:tr w14:paraId="7F66591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9" w:type="pct"/>
            <w:vMerge w:val="continue"/>
            <w:tcBorders>
              <w:tl2br w:val="nil"/>
              <w:tr2bl w:val="nil"/>
            </w:tcBorders>
            <w:noWrap/>
            <w:vAlign w:val="center"/>
          </w:tcPr>
          <w:p w14:paraId="75426D87">
            <w:pPr>
              <w:autoSpaceDE/>
              <w:autoSpaceDN/>
              <w:spacing w:before="0" w:after="0" w:line="240" w:lineRule="auto"/>
              <w:ind w:left="0" w:firstLine="0"/>
              <w:jc w:val="center"/>
              <w:rPr>
                <w:rFonts w:hint="default" w:ascii="Times New Roman" w:hAnsi="Times New Roman" w:cs="Times New Roman"/>
                <w:b w:val="0"/>
                <w:bCs/>
                <w:sz w:val="21"/>
                <w:szCs w:val="21"/>
                <w:u w:val="none"/>
              </w:rPr>
            </w:pPr>
          </w:p>
        </w:tc>
        <w:tc>
          <w:tcPr>
            <w:tcW w:w="1591" w:type="pct"/>
            <w:tcBorders>
              <w:tl2br w:val="nil"/>
              <w:tr2bl w:val="nil"/>
            </w:tcBorders>
            <w:noWrap/>
            <w:vAlign w:val="center"/>
          </w:tcPr>
          <w:p w14:paraId="5392F097">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人口数（城市选项时）</w:t>
            </w:r>
          </w:p>
        </w:tc>
        <w:tc>
          <w:tcPr>
            <w:tcW w:w="1559" w:type="pct"/>
            <w:tcBorders>
              <w:tl2br w:val="nil"/>
              <w:tr2bl w:val="nil"/>
            </w:tcBorders>
            <w:noWrap/>
            <w:vAlign w:val="center"/>
          </w:tcPr>
          <w:p w14:paraId="07F469C5">
            <w:pPr>
              <w:autoSpaceDE/>
              <w:autoSpaceDN/>
              <w:spacing w:before="0" w:after="0" w:line="240" w:lineRule="auto"/>
              <w:ind w:left="0" w:firstLine="0"/>
              <w:jc w:val="center"/>
              <w:rPr>
                <w:rFonts w:hint="default" w:ascii="Times New Roman" w:hAnsi="Times New Roman" w:eastAsia="宋体" w:cs="Times New Roman"/>
                <w:b w:val="0"/>
                <w:bCs/>
                <w:sz w:val="21"/>
                <w:szCs w:val="21"/>
                <w:u w:val="none"/>
                <w:lang w:eastAsia="zh-CN"/>
              </w:rPr>
            </w:pPr>
            <w:r>
              <w:rPr>
                <w:rFonts w:hint="default" w:ascii="Times New Roman" w:hAnsi="Times New Roman" w:cs="Times New Roman"/>
                <w:b w:val="0"/>
                <w:bCs/>
                <w:sz w:val="21"/>
                <w:szCs w:val="21"/>
                <w:u w:val="none"/>
                <w:lang w:val="en-US" w:eastAsia="zh-CN"/>
              </w:rPr>
              <w:t>/</w:t>
            </w:r>
          </w:p>
        </w:tc>
      </w:tr>
      <w:tr w14:paraId="1C737C3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40" w:type="pct"/>
            <w:gridSpan w:val="2"/>
            <w:tcBorders>
              <w:tl2br w:val="nil"/>
              <w:tr2bl w:val="nil"/>
            </w:tcBorders>
            <w:noWrap/>
            <w:vAlign w:val="center"/>
          </w:tcPr>
          <w:p w14:paraId="51058335">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最高环境温度/℃</w:t>
            </w:r>
          </w:p>
        </w:tc>
        <w:tc>
          <w:tcPr>
            <w:tcW w:w="1559" w:type="pct"/>
            <w:tcBorders>
              <w:tl2br w:val="nil"/>
              <w:tr2bl w:val="nil"/>
            </w:tcBorders>
            <w:noWrap/>
            <w:vAlign w:val="center"/>
          </w:tcPr>
          <w:p w14:paraId="2BE1B976">
            <w:pPr>
              <w:widowControl/>
              <w:autoSpaceDE/>
              <w:autoSpaceDN/>
              <w:adjustRightInd w:val="0"/>
              <w:snapToGrid w:val="0"/>
              <w:spacing w:before="0" w:after="0" w:line="240" w:lineRule="auto"/>
              <w:ind w:left="0" w:firstLine="0"/>
              <w:jc w:val="center"/>
              <w:textAlignment w:val="center"/>
              <w:rPr>
                <w:rFonts w:hint="default" w:ascii="Times New Roman" w:hAnsi="Times New Roman" w:eastAsia="宋体" w:cs="Times New Roman"/>
                <w:b w:val="0"/>
                <w:bCs/>
                <w:sz w:val="21"/>
                <w:szCs w:val="21"/>
                <w:u w:val="none"/>
                <w:lang w:val="en-US" w:eastAsia="zh-CN"/>
              </w:rPr>
            </w:pPr>
            <w:r>
              <w:rPr>
                <w:rFonts w:hint="default" w:ascii="Times New Roman" w:hAnsi="Times New Roman" w:eastAsia="仿宋_GB2312" w:cs="Times New Roman"/>
                <w:b w:val="0"/>
                <w:bCs/>
                <w:kern w:val="0"/>
                <w:sz w:val="21"/>
                <w:szCs w:val="21"/>
                <w:u w:val="none"/>
                <w:lang w:val="en-US" w:eastAsia="zh-CN"/>
              </w:rPr>
              <w:t>40.7</w:t>
            </w:r>
          </w:p>
        </w:tc>
      </w:tr>
      <w:tr w14:paraId="30EC9D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40" w:type="pct"/>
            <w:gridSpan w:val="2"/>
            <w:tcBorders>
              <w:tl2br w:val="nil"/>
              <w:tr2bl w:val="nil"/>
            </w:tcBorders>
            <w:noWrap/>
            <w:vAlign w:val="center"/>
          </w:tcPr>
          <w:p w14:paraId="2B4BFCC9">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最低环境温度/℃</w:t>
            </w:r>
          </w:p>
        </w:tc>
        <w:tc>
          <w:tcPr>
            <w:tcW w:w="1559" w:type="pct"/>
            <w:tcBorders>
              <w:tl2br w:val="nil"/>
              <w:tr2bl w:val="nil"/>
            </w:tcBorders>
            <w:noWrap/>
            <w:vAlign w:val="center"/>
          </w:tcPr>
          <w:p w14:paraId="6FEDD873">
            <w:pPr>
              <w:widowControl/>
              <w:autoSpaceDE/>
              <w:autoSpaceDN/>
              <w:adjustRightInd w:val="0"/>
              <w:snapToGrid w:val="0"/>
              <w:spacing w:before="0" w:after="0" w:line="240" w:lineRule="auto"/>
              <w:ind w:left="0" w:firstLine="0"/>
              <w:jc w:val="center"/>
              <w:textAlignment w:val="center"/>
              <w:rPr>
                <w:rFonts w:hint="default" w:ascii="Times New Roman" w:hAnsi="Times New Roman" w:eastAsia="仿宋_GB2312" w:cs="Times New Roman"/>
                <w:b w:val="0"/>
                <w:bCs/>
                <w:sz w:val="21"/>
                <w:szCs w:val="21"/>
                <w:u w:val="none"/>
                <w:lang w:val="en-US" w:eastAsia="zh-CN"/>
              </w:rPr>
            </w:pPr>
            <w:r>
              <w:rPr>
                <w:rFonts w:hint="default" w:ascii="Times New Roman" w:hAnsi="Times New Roman" w:eastAsia="仿宋_GB2312" w:cs="Times New Roman"/>
                <w:b w:val="0"/>
                <w:bCs/>
                <w:kern w:val="0"/>
                <w:sz w:val="21"/>
                <w:szCs w:val="21"/>
                <w:u w:val="none"/>
              </w:rPr>
              <w:t>-</w:t>
            </w:r>
            <w:r>
              <w:rPr>
                <w:rFonts w:hint="default" w:ascii="Times New Roman" w:hAnsi="Times New Roman" w:eastAsia="仿宋_GB2312" w:cs="Times New Roman"/>
                <w:b w:val="0"/>
                <w:bCs/>
                <w:kern w:val="0"/>
                <w:sz w:val="21"/>
                <w:szCs w:val="21"/>
                <w:u w:val="none"/>
                <w:lang w:val="en-US" w:eastAsia="zh-CN"/>
              </w:rPr>
              <w:t>27.6</w:t>
            </w:r>
          </w:p>
        </w:tc>
      </w:tr>
      <w:tr w14:paraId="5632F32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40" w:type="pct"/>
            <w:gridSpan w:val="2"/>
            <w:tcBorders>
              <w:tl2br w:val="nil"/>
              <w:tr2bl w:val="nil"/>
            </w:tcBorders>
            <w:noWrap/>
            <w:vAlign w:val="center"/>
          </w:tcPr>
          <w:p w14:paraId="16DBD6FF">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土地利用类型</w:t>
            </w:r>
          </w:p>
        </w:tc>
        <w:tc>
          <w:tcPr>
            <w:tcW w:w="1559" w:type="pct"/>
            <w:tcBorders>
              <w:tl2br w:val="nil"/>
              <w:tr2bl w:val="nil"/>
            </w:tcBorders>
            <w:noWrap/>
            <w:vAlign w:val="center"/>
          </w:tcPr>
          <w:p w14:paraId="5E51B6E1">
            <w:pPr>
              <w:autoSpaceDE/>
              <w:autoSpaceDN/>
              <w:spacing w:before="0" w:after="0" w:line="240" w:lineRule="auto"/>
              <w:ind w:left="0" w:firstLine="0"/>
              <w:jc w:val="center"/>
              <w:rPr>
                <w:rFonts w:hint="default" w:ascii="Times New Roman" w:hAnsi="Times New Roman" w:eastAsia="宋体" w:cs="Times New Roman"/>
                <w:b w:val="0"/>
                <w:bCs/>
                <w:sz w:val="21"/>
                <w:szCs w:val="21"/>
                <w:u w:val="none"/>
                <w:lang w:val="en-US" w:eastAsia="zh-CN"/>
              </w:rPr>
            </w:pPr>
            <w:r>
              <w:rPr>
                <w:rFonts w:hint="default" w:ascii="Times New Roman" w:hAnsi="Times New Roman" w:cs="Times New Roman"/>
                <w:b w:val="0"/>
                <w:bCs/>
                <w:sz w:val="21"/>
                <w:szCs w:val="21"/>
                <w:u w:val="none"/>
                <w:lang w:val="en-US" w:eastAsia="zh-CN"/>
              </w:rPr>
              <w:t>荒漠</w:t>
            </w:r>
          </w:p>
        </w:tc>
      </w:tr>
      <w:tr w14:paraId="48CD236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40" w:type="pct"/>
            <w:gridSpan w:val="2"/>
            <w:tcBorders>
              <w:tl2br w:val="nil"/>
              <w:tr2bl w:val="nil"/>
            </w:tcBorders>
            <w:noWrap/>
            <w:vAlign w:val="center"/>
          </w:tcPr>
          <w:p w14:paraId="329AB915">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区域湿度条件</w:t>
            </w:r>
          </w:p>
        </w:tc>
        <w:tc>
          <w:tcPr>
            <w:tcW w:w="1559" w:type="pct"/>
            <w:tcBorders>
              <w:tl2br w:val="nil"/>
              <w:tr2bl w:val="nil"/>
            </w:tcBorders>
            <w:noWrap/>
            <w:vAlign w:val="center"/>
          </w:tcPr>
          <w:p w14:paraId="249262C5">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干燥气候</w:t>
            </w:r>
          </w:p>
        </w:tc>
      </w:tr>
      <w:tr w14:paraId="6C75D05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9" w:type="pct"/>
            <w:vMerge w:val="restart"/>
            <w:tcBorders>
              <w:tl2br w:val="nil"/>
              <w:tr2bl w:val="nil"/>
            </w:tcBorders>
            <w:noWrap/>
            <w:vAlign w:val="center"/>
          </w:tcPr>
          <w:p w14:paraId="6BDDFDFF">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是否考虑地形</w:t>
            </w:r>
          </w:p>
        </w:tc>
        <w:tc>
          <w:tcPr>
            <w:tcW w:w="1591" w:type="pct"/>
            <w:tcBorders>
              <w:tl2br w:val="nil"/>
              <w:tr2bl w:val="nil"/>
            </w:tcBorders>
            <w:noWrap/>
            <w:vAlign w:val="center"/>
          </w:tcPr>
          <w:p w14:paraId="7BDD841A">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考虑地形</w:t>
            </w:r>
          </w:p>
        </w:tc>
        <w:tc>
          <w:tcPr>
            <w:tcW w:w="1559" w:type="pct"/>
            <w:tcBorders>
              <w:tl2br w:val="nil"/>
              <w:tr2bl w:val="nil"/>
            </w:tcBorders>
            <w:noWrap/>
            <w:vAlign w:val="center"/>
          </w:tcPr>
          <w:p w14:paraId="3E9C479C">
            <w:pPr>
              <w:autoSpaceDE/>
              <w:autoSpaceDN/>
              <w:spacing w:before="0" w:after="0" w:line="240" w:lineRule="auto"/>
              <w:ind w:left="0" w:firstLine="0"/>
              <w:jc w:val="center"/>
              <w:rPr>
                <w:rFonts w:hint="default" w:ascii="Times New Roman" w:hAnsi="Times New Roman" w:eastAsia="宋体" w:cs="Times New Roman"/>
                <w:b w:val="0"/>
                <w:bCs/>
                <w:sz w:val="21"/>
                <w:szCs w:val="21"/>
                <w:u w:val="none"/>
                <w:lang w:eastAsia="zh-CN"/>
              </w:rPr>
            </w:pPr>
            <w:r>
              <w:rPr>
                <w:rFonts w:hint="default" w:ascii="Times New Roman" w:hAnsi="Times New Roman" w:cs="Times New Roman"/>
                <w:b w:val="0"/>
                <w:bCs/>
                <w:sz w:val="21"/>
                <w:szCs w:val="21"/>
                <w:u w:val="none"/>
                <w:lang w:val="en-US" w:eastAsia="zh-CN"/>
              </w:rPr>
              <w:t>是</w:t>
            </w:r>
          </w:p>
        </w:tc>
      </w:tr>
      <w:tr w14:paraId="4559C17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9" w:type="pct"/>
            <w:vMerge w:val="continue"/>
            <w:tcBorders>
              <w:tl2br w:val="nil"/>
              <w:tr2bl w:val="nil"/>
            </w:tcBorders>
            <w:noWrap/>
            <w:vAlign w:val="center"/>
          </w:tcPr>
          <w:p w14:paraId="19BF3B18">
            <w:pPr>
              <w:autoSpaceDE/>
              <w:autoSpaceDN/>
              <w:spacing w:before="0" w:after="0" w:line="240" w:lineRule="auto"/>
              <w:ind w:left="0" w:firstLine="0"/>
              <w:jc w:val="center"/>
              <w:rPr>
                <w:rFonts w:hint="default" w:ascii="Times New Roman" w:hAnsi="Times New Roman" w:cs="Times New Roman"/>
                <w:b w:val="0"/>
                <w:bCs/>
                <w:sz w:val="21"/>
                <w:szCs w:val="21"/>
                <w:u w:val="none"/>
              </w:rPr>
            </w:pPr>
          </w:p>
        </w:tc>
        <w:tc>
          <w:tcPr>
            <w:tcW w:w="1591" w:type="pct"/>
            <w:tcBorders>
              <w:tl2br w:val="nil"/>
              <w:tr2bl w:val="nil"/>
            </w:tcBorders>
            <w:noWrap/>
            <w:vAlign w:val="center"/>
          </w:tcPr>
          <w:p w14:paraId="38E5BA94">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地形数据分辨率/m</w:t>
            </w:r>
          </w:p>
        </w:tc>
        <w:tc>
          <w:tcPr>
            <w:tcW w:w="1559" w:type="pct"/>
            <w:tcBorders>
              <w:tl2br w:val="nil"/>
              <w:tr2bl w:val="nil"/>
            </w:tcBorders>
            <w:noWrap/>
            <w:vAlign w:val="center"/>
          </w:tcPr>
          <w:p w14:paraId="0AA14D5C">
            <w:pPr>
              <w:autoSpaceDE/>
              <w:autoSpaceDN/>
              <w:spacing w:before="0" w:after="0" w:line="240" w:lineRule="auto"/>
              <w:ind w:left="0" w:firstLine="0"/>
              <w:jc w:val="center"/>
              <w:rPr>
                <w:rFonts w:hint="default" w:ascii="Times New Roman" w:hAnsi="Times New Roman" w:eastAsia="宋体" w:cs="Times New Roman"/>
                <w:b w:val="0"/>
                <w:bCs/>
                <w:sz w:val="21"/>
                <w:szCs w:val="21"/>
                <w:u w:val="none"/>
                <w:lang w:val="en-US" w:eastAsia="zh-CN"/>
              </w:rPr>
            </w:pPr>
            <w:r>
              <w:rPr>
                <w:rFonts w:hint="default" w:ascii="Times New Roman" w:hAnsi="Times New Roman" w:cs="Times New Roman"/>
                <w:b w:val="0"/>
                <w:bCs/>
                <w:sz w:val="21"/>
                <w:szCs w:val="21"/>
                <w:u w:val="none"/>
                <w:lang w:val="en-US" w:eastAsia="zh-CN"/>
              </w:rPr>
              <w:t>90m</w:t>
            </w:r>
          </w:p>
        </w:tc>
      </w:tr>
      <w:tr w14:paraId="5FC890F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9" w:type="pct"/>
            <w:vMerge w:val="restart"/>
            <w:tcBorders>
              <w:tl2br w:val="nil"/>
              <w:tr2bl w:val="nil"/>
            </w:tcBorders>
            <w:noWrap/>
            <w:vAlign w:val="center"/>
          </w:tcPr>
          <w:p w14:paraId="25E82399">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是否考虑岸线熏烟</w:t>
            </w:r>
          </w:p>
        </w:tc>
        <w:tc>
          <w:tcPr>
            <w:tcW w:w="1591" w:type="pct"/>
            <w:tcBorders>
              <w:tl2br w:val="nil"/>
              <w:tr2bl w:val="nil"/>
            </w:tcBorders>
            <w:noWrap/>
            <w:vAlign w:val="center"/>
          </w:tcPr>
          <w:p w14:paraId="3A713EDE">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考虑岸线熏烟</w:t>
            </w:r>
          </w:p>
        </w:tc>
        <w:tc>
          <w:tcPr>
            <w:tcW w:w="1559" w:type="pct"/>
            <w:tcBorders>
              <w:tl2br w:val="nil"/>
              <w:tr2bl w:val="nil"/>
            </w:tcBorders>
            <w:noWrap/>
            <w:vAlign w:val="center"/>
          </w:tcPr>
          <w:p w14:paraId="55ADEF55">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否</w:t>
            </w:r>
          </w:p>
        </w:tc>
      </w:tr>
      <w:tr w14:paraId="52B92E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9" w:type="pct"/>
            <w:vMerge w:val="continue"/>
            <w:tcBorders>
              <w:tl2br w:val="nil"/>
              <w:tr2bl w:val="nil"/>
            </w:tcBorders>
            <w:noWrap/>
            <w:vAlign w:val="center"/>
          </w:tcPr>
          <w:p w14:paraId="54C85F45">
            <w:pPr>
              <w:autoSpaceDE/>
              <w:autoSpaceDN/>
              <w:spacing w:before="0" w:after="0" w:line="240" w:lineRule="auto"/>
              <w:ind w:left="0" w:firstLine="0"/>
              <w:jc w:val="center"/>
              <w:rPr>
                <w:rFonts w:hint="default" w:ascii="Times New Roman" w:hAnsi="Times New Roman" w:cs="Times New Roman"/>
                <w:b w:val="0"/>
                <w:bCs/>
                <w:sz w:val="21"/>
                <w:szCs w:val="21"/>
                <w:u w:val="none"/>
              </w:rPr>
            </w:pPr>
          </w:p>
        </w:tc>
        <w:tc>
          <w:tcPr>
            <w:tcW w:w="1591" w:type="pct"/>
            <w:tcBorders>
              <w:tl2br w:val="nil"/>
              <w:tr2bl w:val="nil"/>
            </w:tcBorders>
            <w:noWrap/>
            <w:vAlign w:val="center"/>
          </w:tcPr>
          <w:p w14:paraId="64DD7175">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岸线距离/km</w:t>
            </w:r>
          </w:p>
        </w:tc>
        <w:tc>
          <w:tcPr>
            <w:tcW w:w="1559" w:type="pct"/>
            <w:tcBorders>
              <w:tl2br w:val="nil"/>
              <w:tr2bl w:val="nil"/>
            </w:tcBorders>
            <w:noWrap/>
            <w:vAlign w:val="center"/>
          </w:tcPr>
          <w:p w14:paraId="0B796973">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w:t>
            </w:r>
          </w:p>
        </w:tc>
      </w:tr>
      <w:tr w14:paraId="4D4AF86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849" w:type="pct"/>
            <w:vMerge w:val="continue"/>
            <w:tcBorders>
              <w:tl2br w:val="nil"/>
              <w:tr2bl w:val="nil"/>
            </w:tcBorders>
            <w:noWrap/>
            <w:vAlign w:val="center"/>
          </w:tcPr>
          <w:p w14:paraId="232B5028">
            <w:pPr>
              <w:autoSpaceDE/>
              <w:autoSpaceDN/>
              <w:spacing w:before="0" w:after="0" w:line="240" w:lineRule="auto"/>
              <w:ind w:left="0" w:firstLine="0"/>
              <w:jc w:val="center"/>
              <w:rPr>
                <w:rFonts w:hint="default" w:ascii="Times New Roman" w:hAnsi="Times New Roman" w:cs="Times New Roman"/>
                <w:b w:val="0"/>
                <w:bCs/>
                <w:sz w:val="21"/>
                <w:szCs w:val="21"/>
                <w:u w:val="none"/>
              </w:rPr>
            </w:pPr>
          </w:p>
        </w:tc>
        <w:tc>
          <w:tcPr>
            <w:tcW w:w="1591" w:type="pct"/>
            <w:tcBorders>
              <w:tl2br w:val="nil"/>
              <w:tr2bl w:val="nil"/>
            </w:tcBorders>
            <w:noWrap/>
            <w:vAlign w:val="center"/>
          </w:tcPr>
          <w:p w14:paraId="635A0BA1">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岸线方向/°</w:t>
            </w:r>
          </w:p>
        </w:tc>
        <w:tc>
          <w:tcPr>
            <w:tcW w:w="1559" w:type="pct"/>
            <w:tcBorders>
              <w:tl2br w:val="nil"/>
              <w:tr2bl w:val="nil"/>
            </w:tcBorders>
            <w:noWrap/>
            <w:vAlign w:val="center"/>
          </w:tcPr>
          <w:p w14:paraId="3B2B2AF0">
            <w:pPr>
              <w:autoSpaceDE/>
              <w:autoSpaceDN/>
              <w:spacing w:before="0" w:after="0" w:line="240" w:lineRule="auto"/>
              <w:ind w:left="0" w:firstLine="0"/>
              <w:jc w:val="center"/>
              <w:rPr>
                <w:rFonts w:hint="default" w:ascii="Times New Roman" w:hAnsi="Times New Roman" w:cs="Times New Roman"/>
                <w:b w:val="0"/>
                <w:bCs/>
                <w:sz w:val="21"/>
                <w:szCs w:val="21"/>
                <w:u w:val="none"/>
              </w:rPr>
            </w:pPr>
            <w:r>
              <w:rPr>
                <w:rFonts w:hint="default" w:ascii="Times New Roman" w:hAnsi="Times New Roman" w:cs="Times New Roman"/>
                <w:b w:val="0"/>
                <w:bCs/>
                <w:sz w:val="21"/>
                <w:szCs w:val="21"/>
                <w:u w:val="none"/>
              </w:rPr>
              <w:t>/</w:t>
            </w:r>
          </w:p>
        </w:tc>
      </w:tr>
    </w:tbl>
    <w:p w14:paraId="58FF404F">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sz w:val="24"/>
          <w:szCs w:val="24"/>
          <w:highlight w:val="none"/>
          <w:u w:val="none"/>
          <w:lang w:val="en-US" w:eastAsia="zh-CN"/>
        </w:rPr>
      </w:pPr>
      <w:r>
        <w:rPr>
          <w:rFonts w:hint="default" w:ascii="Times New Roman" w:hAnsi="Times New Roman" w:cs="Times New Roman"/>
          <w:b w:val="0"/>
          <w:bCs w:val="0"/>
          <w:sz w:val="24"/>
          <w:szCs w:val="24"/>
          <w:highlight w:val="none"/>
          <w:u w:val="none"/>
          <w:lang w:val="en-US" w:eastAsia="zh-CN"/>
        </w:rPr>
        <w:t>（2）确定评价等级</w:t>
      </w:r>
    </w:p>
    <w:p w14:paraId="07182825">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b w:val="0"/>
          <w:bCs w:val="0"/>
          <w:sz w:val="24"/>
          <w:szCs w:val="24"/>
          <w:highlight w:val="none"/>
          <w:u w:val="none"/>
          <w:lang w:val="en-US" w:eastAsia="zh-CN"/>
        </w:rPr>
      </w:pPr>
      <w:r>
        <w:rPr>
          <w:rFonts w:hint="default" w:ascii="Times New Roman" w:hAnsi="Times New Roman" w:cs="Times New Roman"/>
          <w:b w:val="0"/>
          <w:bCs w:val="0"/>
          <w:sz w:val="24"/>
          <w:szCs w:val="24"/>
          <w:highlight w:val="none"/>
          <w:u w:val="none"/>
          <w:lang w:val="en-US" w:eastAsia="zh-CN"/>
        </w:rPr>
        <w:t>评价根据AERSCREEN估算模式分别计算每一种污染物的最大地面质量浓度占标率Pi（第i个污染物），及第i个污染物的地面质量浓度达标准限值10%时所对应的最远距离D10%。其中Pi定义为：</w:t>
      </w:r>
    </w:p>
    <w:p w14:paraId="1AA396C3">
      <w:pPr>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cs="Times New Roman"/>
          <w:sz w:val="24"/>
        </w:rPr>
      </w:pPr>
      <w:r>
        <w:rPr>
          <w:rFonts w:hint="default" w:ascii="Times New Roman" w:hAnsi="Times New Roman" w:cs="Times New Roman"/>
          <w:position w:val="-30"/>
          <w:szCs w:val="28"/>
        </w:rPr>
        <w:object>
          <v:shape id="_x0000_i1034" o:spt="75" type="#_x0000_t75" style="height:34.2pt;width:79.8pt;" o:ole="t" filled="f" o:preferrelative="t" stroked="f" coordsize="21600,21600">
            <v:path/>
            <v:fill on="f" focussize="0,0"/>
            <v:stroke on="f"/>
            <v:imagedata r:id="rId47" o:title=""/>
            <o:lock v:ext="edit" aspectratio="t"/>
            <w10:wrap type="none"/>
            <w10:anchorlock/>
          </v:shape>
          <o:OLEObject Type="Embed" ProgID="Equation.3" ShapeID="_x0000_i1034" DrawAspect="Content" ObjectID="_1468075734" r:id="rId46">
            <o:LockedField>false</o:LockedField>
          </o:OLEObject>
        </w:object>
      </w:r>
    </w:p>
    <w:p w14:paraId="6B5E7899">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cs="Times New Roman"/>
          <w:sz w:val="24"/>
        </w:rPr>
      </w:pPr>
      <w:r>
        <w:rPr>
          <w:rFonts w:hint="default" w:ascii="Times New Roman" w:hAnsi="Times New Roman" w:cs="Times New Roman"/>
          <w:sz w:val="24"/>
        </w:rPr>
        <w:t>式中：P</w:t>
      </w:r>
      <w:r>
        <w:rPr>
          <w:rFonts w:hint="default" w:ascii="Times New Roman" w:hAnsi="Times New Roman" w:cs="Times New Roman"/>
          <w:sz w:val="24"/>
          <w:vertAlign w:val="subscript"/>
        </w:rPr>
        <w:t>i</w:t>
      </w:r>
      <w:r>
        <w:rPr>
          <w:rFonts w:hint="default" w:ascii="Times New Roman" w:hAnsi="Times New Roman" w:cs="Times New Roman"/>
          <w:sz w:val="24"/>
        </w:rPr>
        <w:t>—第i个污染物的最大地面质量浓度占标率，%；</w:t>
      </w:r>
    </w:p>
    <w:p w14:paraId="2788C36D">
      <w:pPr>
        <w:pageBreakBefore w:val="0"/>
        <w:widowControl/>
        <w:kinsoku/>
        <w:wordWrap/>
        <w:overflowPunct/>
        <w:topLinePunct w:val="0"/>
        <w:autoSpaceDE/>
        <w:autoSpaceDN/>
        <w:bidi w:val="0"/>
        <w:adjustRightInd/>
        <w:snapToGrid w:val="0"/>
        <w:spacing w:line="360" w:lineRule="auto"/>
        <w:ind w:firstLine="1200" w:firstLineChars="500"/>
        <w:jc w:val="left"/>
        <w:textAlignment w:val="auto"/>
        <w:rPr>
          <w:rFonts w:hint="default" w:ascii="Times New Roman" w:hAnsi="Times New Roman" w:cs="Times New Roman"/>
          <w:sz w:val="24"/>
        </w:rPr>
      </w:pPr>
      <w:r>
        <w:rPr>
          <w:rFonts w:hint="default" w:ascii="Times New Roman" w:hAnsi="Times New Roman" w:cs="Times New Roman"/>
          <w:sz w:val="24"/>
        </w:rPr>
        <w:t>C</w:t>
      </w:r>
      <w:r>
        <w:rPr>
          <w:rFonts w:hint="default" w:ascii="Times New Roman" w:hAnsi="Times New Roman" w:cs="Times New Roman"/>
          <w:sz w:val="24"/>
          <w:vertAlign w:val="subscript"/>
        </w:rPr>
        <w:t>i</w:t>
      </w:r>
      <w:r>
        <w:rPr>
          <w:rFonts w:hint="default" w:ascii="Times New Roman" w:hAnsi="Times New Roman" w:cs="Times New Roman"/>
          <w:sz w:val="24"/>
        </w:rPr>
        <w:t>—采用估算模式计算出的第i个污染物最大地面质量浓度，μg/m</w:t>
      </w:r>
      <w:r>
        <w:rPr>
          <w:rFonts w:hint="default" w:ascii="Times New Roman" w:hAnsi="Times New Roman" w:cs="Times New Roman"/>
          <w:sz w:val="24"/>
          <w:vertAlign w:val="superscript"/>
        </w:rPr>
        <w:t>3</w:t>
      </w:r>
      <w:r>
        <w:rPr>
          <w:rFonts w:hint="default" w:ascii="Times New Roman" w:hAnsi="Times New Roman" w:cs="Times New Roman"/>
          <w:sz w:val="24"/>
        </w:rPr>
        <w:t>；</w:t>
      </w:r>
    </w:p>
    <w:p w14:paraId="21DAD13A">
      <w:pPr>
        <w:pageBreakBefore w:val="0"/>
        <w:widowControl/>
        <w:kinsoku/>
        <w:wordWrap/>
        <w:overflowPunct/>
        <w:topLinePunct w:val="0"/>
        <w:autoSpaceDE/>
        <w:autoSpaceDN/>
        <w:bidi w:val="0"/>
        <w:adjustRightInd/>
        <w:snapToGrid w:val="0"/>
        <w:spacing w:line="360" w:lineRule="auto"/>
        <w:ind w:firstLine="1200" w:firstLineChars="500"/>
        <w:jc w:val="left"/>
        <w:textAlignment w:val="auto"/>
        <w:rPr>
          <w:rFonts w:hint="default" w:ascii="Times New Roman" w:hAnsi="Times New Roman" w:cs="Times New Roman"/>
          <w:sz w:val="24"/>
        </w:rPr>
      </w:pPr>
      <w:r>
        <w:rPr>
          <w:rFonts w:hint="default" w:ascii="Times New Roman" w:hAnsi="Times New Roman" w:cs="Times New Roman"/>
          <w:sz w:val="24"/>
        </w:rPr>
        <w:t>C</w:t>
      </w:r>
      <w:r>
        <w:rPr>
          <w:rFonts w:hint="default" w:ascii="Times New Roman" w:hAnsi="Times New Roman" w:cs="Times New Roman"/>
          <w:sz w:val="24"/>
          <w:vertAlign w:val="subscript"/>
        </w:rPr>
        <w:t>0i</w:t>
      </w:r>
      <w:r>
        <w:rPr>
          <w:rFonts w:hint="default" w:ascii="Times New Roman" w:hAnsi="Times New Roman" w:cs="Times New Roman"/>
          <w:sz w:val="24"/>
        </w:rPr>
        <w:t>—第i个污染物的环境空气质量浓度标准，μg/m</w:t>
      </w:r>
      <w:r>
        <w:rPr>
          <w:rFonts w:hint="default" w:ascii="Times New Roman" w:hAnsi="Times New Roman" w:cs="Times New Roman"/>
          <w:sz w:val="24"/>
          <w:vertAlign w:val="superscript"/>
        </w:rPr>
        <w:t>3</w:t>
      </w:r>
      <w:r>
        <w:rPr>
          <w:rFonts w:hint="default" w:ascii="Times New Roman" w:hAnsi="Times New Roman" w:cs="Times New Roman"/>
          <w:sz w:val="24"/>
        </w:rPr>
        <w:t>。</w:t>
      </w:r>
    </w:p>
    <w:p w14:paraId="3C5C6124">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rPr>
      </w:pPr>
      <w:r>
        <w:rPr>
          <w:rFonts w:hint="default" w:ascii="Times New Roman" w:hAnsi="Times New Roman" w:cs="Times New Roman"/>
          <w:sz w:val="24"/>
        </w:rPr>
        <w:t>C</w:t>
      </w:r>
      <w:r>
        <w:rPr>
          <w:rFonts w:hint="default" w:ascii="Times New Roman" w:hAnsi="Times New Roman" w:cs="Times New Roman"/>
          <w:sz w:val="24"/>
          <w:vertAlign w:val="subscript"/>
        </w:rPr>
        <w:t>0i</w:t>
      </w:r>
      <w:r>
        <w:rPr>
          <w:rFonts w:hint="default" w:ascii="Times New Roman" w:hAnsi="Times New Roman" w:cs="Times New Roman"/>
          <w:sz w:val="24"/>
        </w:rPr>
        <w:t>一般选用《环境空气质量标准》（GB3095-2026）中1h平均质量浓度的</w:t>
      </w:r>
      <w:r>
        <w:rPr>
          <w:rFonts w:hint="eastAsia" w:cs="Times New Roman"/>
          <w:sz w:val="24"/>
          <w:lang w:val="en-US" w:eastAsia="zh-CN"/>
        </w:rPr>
        <w:t>过渡阶段</w:t>
      </w:r>
      <w:r>
        <w:rPr>
          <w:rFonts w:hint="default" w:ascii="Times New Roman" w:hAnsi="Times New Roman" w:cs="Times New Roman"/>
          <w:sz w:val="24"/>
        </w:rPr>
        <w:t>二级浓度限值，如项目位于一类环境空气功能区，应选择相应的一级浓度限值；对该标准中未包含的污染物，使用表5</w:t>
      </w:r>
      <w:r>
        <w:rPr>
          <w:rFonts w:hint="default" w:ascii="Times New Roman" w:hAnsi="Times New Roman" w:cs="Times New Roman"/>
          <w:sz w:val="24"/>
        </w:rPr>
        <w:noBreakHyphen/>
      </w:r>
      <w:r>
        <w:rPr>
          <w:rFonts w:hint="default" w:ascii="Times New Roman" w:hAnsi="Times New Roman" w:cs="Times New Roman"/>
          <w:sz w:val="24"/>
        </w:rPr>
        <w:t>5中所确定的1h平均质量浓度限值。对仅有8h平均质量浓度限值、日平均质量浓度限值或年平均质量浓度限值的，可分别按2倍、3倍、6倍折算为1h平均质量浓度限值。</w:t>
      </w:r>
    </w:p>
    <w:p w14:paraId="4A00919A">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rPr>
      </w:pPr>
      <w:r>
        <w:rPr>
          <w:rFonts w:hint="default" w:ascii="Times New Roman" w:hAnsi="Times New Roman" w:cs="Times New Roman"/>
          <w:sz w:val="24"/>
        </w:rPr>
        <w:t>根据《环境影响评价技术导则 大气环境》（HJ2.2-2018），本项目大气环境评价工作等级判据见表5</w:t>
      </w:r>
      <w:r>
        <w:rPr>
          <w:rFonts w:hint="default" w:ascii="Times New Roman" w:hAnsi="Times New Roman" w:cs="Times New Roman"/>
          <w:sz w:val="24"/>
          <w:lang w:val="en-US" w:eastAsia="zh-CN"/>
        </w:rPr>
        <w:t>.2-5</w:t>
      </w:r>
      <w:r>
        <w:rPr>
          <w:rFonts w:hint="default" w:ascii="Times New Roman" w:hAnsi="Times New Roman" w:cs="Times New Roman"/>
          <w:sz w:val="24"/>
        </w:rPr>
        <w:t>。</w:t>
      </w:r>
    </w:p>
    <w:p w14:paraId="7E06C65D">
      <w:pPr>
        <w:jc w:val="center"/>
        <w:rPr>
          <w:rFonts w:hint="default" w:ascii="Times New Roman" w:hAnsi="Times New Roman" w:cs="Times New Roman"/>
          <w:b/>
          <w:sz w:val="24"/>
          <w:szCs w:val="24"/>
        </w:rPr>
      </w:pPr>
      <w:r>
        <w:rPr>
          <w:rFonts w:hint="default" w:ascii="Times New Roman" w:hAnsi="Times New Roman" w:cs="Times New Roman"/>
          <w:b/>
          <w:sz w:val="24"/>
          <w:szCs w:val="24"/>
        </w:rPr>
        <w:t>表5</w:t>
      </w:r>
      <w:r>
        <w:rPr>
          <w:rFonts w:hint="default" w:ascii="Times New Roman" w:hAnsi="Times New Roman" w:cs="Times New Roman"/>
          <w:b/>
          <w:sz w:val="24"/>
          <w:szCs w:val="24"/>
          <w:lang w:val="en-US" w:eastAsia="zh-CN"/>
        </w:rPr>
        <w:t>.2-5</w:t>
      </w:r>
      <w:r>
        <w:rPr>
          <w:rFonts w:hint="default" w:ascii="Times New Roman" w:hAnsi="Times New Roman" w:cs="Times New Roman"/>
          <w:b/>
          <w:sz w:val="24"/>
          <w:szCs w:val="24"/>
        </w:rPr>
        <w:t xml:space="preserve"> 评价等级判别表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4261"/>
        <w:gridCol w:w="4261"/>
      </w:tblGrid>
      <w:tr w14:paraId="00F87DEF">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00" w:type="pct"/>
            <w:tcBorders>
              <w:tl2br w:val="nil"/>
              <w:tr2bl w:val="nil"/>
            </w:tcBorders>
            <w:noWrap/>
            <w:vAlign w:val="center"/>
          </w:tcPr>
          <w:p w14:paraId="371090BE">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评价工作等级</w:t>
            </w:r>
          </w:p>
        </w:tc>
        <w:tc>
          <w:tcPr>
            <w:tcW w:w="2500" w:type="pct"/>
            <w:tcBorders>
              <w:tl2br w:val="nil"/>
              <w:tr2bl w:val="nil"/>
            </w:tcBorders>
            <w:noWrap/>
            <w:vAlign w:val="center"/>
          </w:tcPr>
          <w:p w14:paraId="613CFF2E">
            <w:pPr>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评价工作分级判据</w:t>
            </w:r>
          </w:p>
        </w:tc>
      </w:tr>
      <w:tr w14:paraId="2610F8FE">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00" w:type="pct"/>
            <w:tcBorders>
              <w:tl2br w:val="nil"/>
              <w:tr2bl w:val="nil"/>
            </w:tcBorders>
            <w:noWrap/>
            <w:vAlign w:val="center"/>
          </w:tcPr>
          <w:p w14:paraId="361AC873">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一级评价</w:t>
            </w:r>
          </w:p>
        </w:tc>
        <w:tc>
          <w:tcPr>
            <w:tcW w:w="2500" w:type="pct"/>
            <w:tcBorders>
              <w:tl2br w:val="nil"/>
              <w:tr2bl w:val="nil"/>
            </w:tcBorders>
            <w:noWrap/>
            <w:vAlign w:val="center"/>
          </w:tcPr>
          <w:p w14:paraId="2B073A4D">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i/>
                <w:sz w:val="21"/>
                <w:szCs w:val="21"/>
              </w:rPr>
              <w:t>P</w:t>
            </w:r>
            <w:r>
              <w:rPr>
                <w:rFonts w:hint="default" w:ascii="Times New Roman" w:hAnsi="Times New Roman" w:cs="Times New Roman"/>
                <w:sz w:val="21"/>
                <w:szCs w:val="21"/>
                <w:vertAlign w:val="subscript"/>
              </w:rPr>
              <w:t>max</w:t>
            </w:r>
            <w:r>
              <w:rPr>
                <w:rFonts w:hint="default" w:ascii="Times New Roman" w:hAnsi="Times New Roman" w:cs="Times New Roman"/>
                <w:sz w:val="21"/>
                <w:szCs w:val="21"/>
              </w:rPr>
              <w:t>≥10%</w:t>
            </w:r>
          </w:p>
        </w:tc>
      </w:tr>
      <w:tr w14:paraId="4CE592AA">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00" w:type="pct"/>
            <w:tcBorders>
              <w:tl2br w:val="nil"/>
              <w:tr2bl w:val="nil"/>
            </w:tcBorders>
            <w:noWrap/>
            <w:vAlign w:val="center"/>
          </w:tcPr>
          <w:p w14:paraId="713F2AC9">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二级评价</w:t>
            </w:r>
          </w:p>
        </w:tc>
        <w:tc>
          <w:tcPr>
            <w:tcW w:w="2500" w:type="pct"/>
            <w:tcBorders>
              <w:tl2br w:val="nil"/>
              <w:tr2bl w:val="nil"/>
            </w:tcBorders>
            <w:noWrap/>
            <w:vAlign w:val="center"/>
          </w:tcPr>
          <w:p w14:paraId="1A7C342F">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1%≤</w:t>
            </w:r>
            <w:r>
              <w:rPr>
                <w:rFonts w:hint="default" w:ascii="Times New Roman" w:hAnsi="Times New Roman" w:cs="Times New Roman"/>
                <w:i/>
                <w:sz w:val="21"/>
                <w:szCs w:val="21"/>
              </w:rPr>
              <w:t>P</w:t>
            </w:r>
            <w:r>
              <w:rPr>
                <w:rFonts w:hint="default" w:ascii="Times New Roman" w:hAnsi="Times New Roman" w:cs="Times New Roman"/>
                <w:sz w:val="21"/>
                <w:szCs w:val="21"/>
                <w:vertAlign w:val="subscript"/>
              </w:rPr>
              <w:t>max</w:t>
            </w:r>
            <w:r>
              <w:rPr>
                <w:rFonts w:hint="default" w:ascii="Times New Roman" w:hAnsi="Times New Roman" w:cs="Times New Roman"/>
                <w:sz w:val="21"/>
                <w:szCs w:val="21"/>
              </w:rPr>
              <w:t>&lt;10%</w:t>
            </w:r>
          </w:p>
        </w:tc>
      </w:tr>
      <w:tr w14:paraId="71D2A7B6">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500" w:type="pct"/>
            <w:tcBorders>
              <w:tl2br w:val="nil"/>
              <w:tr2bl w:val="nil"/>
            </w:tcBorders>
            <w:noWrap/>
            <w:vAlign w:val="center"/>
          </w:tcPr>
          <w:p w14:paraId="407B6ADA">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三级评价</w:t>
            </w:r>
          </w:p>
        </w:tc>
        <w:tc>
          <w:tcPr>
            <w:tcW w:w="2500" w:type="pct"/>
            <w:tcBorders>
              <w:tl2br w:val="nil"/>
              <w:tr2bl w:val="nil"/>
            </w:tcBorders>
            <w:noWrap/>
            <w:vAlign w:val="center"/>
          </w:tcPr>
          <w:p w14:paraId="2EFB5F06">
            <w:pPr>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i/>
                <w:sz w:val="21"/>
                <w:szCs w:val="21"/>
              </w:rPr>
              <w:t>P</w:t>
            </w:r>
            <w:r>
              <w:rPr>
                <w:rFonts w:hint="default" w:ascii="Times New Roman" w:hAnsi="Times New Roman" w:cs="Times New Roman"/>
                <w:sz w:val="21"/>
                <w:szCs w:val="21"/>
                <w:vertAlign w:val="subscript"/>
              </w:rPr>
              <w:t>max</w:t>
            </w:r>
            <w:r>
              <w:rPr>
                <w:rFonts w:hint="default" w:ascii="Times New Roman" w:hAnsi="Times New Roman" w:cs="Times New Roman"/>
                <w:sz w:val="21"/>
                <w:szCs w:val="21"/>
              </w:rPr>
              <w:t>&lt;1%</w:t>
            </w:r>
          </w:p>
        </w:tc>
      </w:tr>
    </w:tbl>
    <w:p w14:paraId="7C32122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color w:val="auto"/>
          <w:sz w:val="24"/>
        </w:rPr>
      </w:pPr>
      <w:r>
        <w:rPr>
          <w:rFonts w:hint="default" w:ascii="Times New Roman" w:hAnsi="Times New Roman" w:cs="Times New Roman"/>
          <w:color w:val="auto"/>
          <w:sz w:val="24"/>
        </w:rPr>
        <w:t>根据以上原则，采用估算模式计算</w:t>
      </w:r>
      <w:r>
        <w:rPr>
          <w:rFonts w:hint="default" w:ascii="Times New Roman" w:hAnsi="Times New Roman" w:cs="Times New Roman"/>
          <w:color w:val="auto"/>
          <w:sz w:val="24"/>
          <w:lang w:eastAsia="zh-CN"/>
        </w:rPr>
        <w:t>本项目</w:t>
      </w:r>
      <w:r>
        <w:rPr>
          <w:rFonts w:hint="default" w:ascii="Times New Roman" w:hAnsi="Times New Roman" w:cs="Times New Roman"/>
          <w:color w:val="auto"/>
          <w:sz w:val="24"/>
        </w:rPr>
        <w:t>各废气污染源在简单平坦地形、全气象组合情况下的最大影响程度和最远影响范围，从而确定评价等级，</w:t>
      </w:r>
      <w:r>
        <w:rPr>
          <w:rFonts w:hint="eastAsia" w:cs="Times New Roman"/>
          <w:color w:val="auto"/>
          <w:sz w:val="24"/>
          <w:lang w:val="en-US" w:eastAsia="zh-CN"/>
        </w:rPr>
        <w:t>预测和</w:t>
      </w:r>
      <w:r>
        <w:rPr>
          <w:rFonts w:hint="default" w:ascii="Times New Roman" w:hAnsi="Times New Roman" w:cs="Times New Roman"/>
          <w:color w:val="auto"/>
          <w:sz w:val="24"/>
        </w:rPr>
        <w:t>计算结果见表5</w:t>
      </w:r>
      <w:r>
        <w:rPr>
          <w:rFonts w:hint="default" w:ascii="Times New Roman" w:hAnsi="Times New Roman" w:cs="Times New Roman"/>
          <w:color w:val="auto"/>
          <w:sz w:val="24"/>
          <w:lang w:val="en-US" w:eastAsia="zh-CN"/>
        </w:rPr>
        <w:t>.2-6</w:t>
      </w:r>
      <w:r>
        <w:rPr>
          <w:rFonts w:hint="default" w:ascii="Times New Roman" w:hAnsi="Times New Roman" w:cs="Times New Roman"/>
          <w:color w:val="auto"/>
          <w:sz w:val="24"/>
        </w:rPr>
        <w:t>。</w:t>
      </w:r>
    </w:p>
    <w:p w14:paraId="5F71F527">
      <w:pPr>
        <w:jc w:val="center"/>
        <w:rPr>
          <w:rFonts w:hint="default" w:ascii="Times New Roman" w:hAnsi="Times New Roman" w:eastAsia="宋体" w:cs="Times New Roman"/>
          <w:b/>
          <w:color w:val="auto"/>
          <w:sz w:val="24"/>
          <w:szCs w:val="24"/>
          <w:lang w:val="en-US" w:eastAsia="zh-CN"/>
        </w:rPr>
      </w:pPr>
      <w:r>
        <w:rPr>
          <w:rFonts w:hint="default" w:ascii="Times New Roman" w:hAnsi="Times New Roman" w:eastAsia="宋体" w:cs="Times New Roman"/>
          <w:b/>
          <w:color w:val="auto"/>
          <w:sz w:val="24"/>
          <w:szCs w:val="24"/>
        </w:rPr>
        <w:t>表5</w:t>
      </w:r>
      <w:r>
        <w:rPr>
          <w:rFonts w:hint="default" w:ascii="Times New Roman" w:hAnsi="Times New Roman" w:cs="Times New Roman"/>
          <w:b/>
          <w:color w:val="auto"/>
          <w:sz w:val="24"/>
          <w:szCs w:val="24"/>
          <w:lang w:val="en-US" w:eastAsia="zh-CN"/>
        </w:rPr>
        <w:t>.2-6</w:t>
      </w:r>
      <w:r>
        <w:rPr>
          <w:rFonts w:hint="default" w:ascii="Times New Roman" w:hAnsi="Times New Roman" w:eastAsia="宋体" w:cs="Times New Roman"/>
          <w:b/>
          <w:color w:val="auto"/>
          <w:sz w:val="24"/>
          <w:szCs w:val="24"/>
          <w:lang w:val="en-US" w:eastAsia="zh-CN"/>
        </w:rPr>
        <w:t xml:space="preserve"> Pmax和D10%预测和计算结果一览表</w:t>
      </w:r>
    </w:p>
    <w:tbl>
      <w:tblPr>
        <w:tblStyle w:val="39"/>
        <w:tblW w:w="8527" w:type="dxa"/>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75"/>
        <w:gridCol w:w="1118"/>
        <w:gridCol w:w="1950"/>
        <w:gridCol w:w="1634"/>
        <w:gridCol w:w="1176"/>
        <w:gridCol w:w="1374"/>
      </w:tblGrid>
      <w:tr w14:paraId="357BB9F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1275" w:type="dxa"/>
            <w:tcBorders>
              <w:tl2br w:val="nil"/>
              <w:tr2bl w:val="nil"/>
            </w:tcBorders>
            <w:vAlign w:val="center"/>
          </w:tcPr>
          <w:p w14:paraId="33CA5BF1">
            <w:pPr>
              <w:autoSpaceDE/>
              <w:autoSpaceDN/>
              <w:spacing w:before="0" w:after="0" w:line="240" w:lineRule="auto"/>
              <w:ind w:left="0" w:firstLine="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污染源名称</w:t>
            </w:r>
          </w:p>
        </w:tc>
        <w:tc>
          <w:tcPr>
            <w:tcW w:w="1118" w:type="dxa"/>
            <w:tcBorders>
              <w:tl2br w:val="nil"/>
              <w:tr2bl w:val="nil"/>
            </w:tcBorders>
            <w:vAlign w:val="center"/>
          </w:tcPr>
          <w:p w14:paraId="3FC9ED44">
            <w:pPr>
              <w:autoSpaceDE/>
              <w:autoSpaceDN/>
              <w:spacing w:before="0" w:after="0" w:line="240" w:lineRule="auto"/>
              <w:ind w:left="0" w:firstLine="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评价因子</w:t>
            </w:r>
          </w:p>
        </w:tc>
        <w:tc>
          <w:tcPr>
            <w:tcW w:w="1950" w:type="dxa"/>
            <w:tcBorders>
              <w:tl2br w:val="nil"/>
              <w:tr2bl w:val="nil"/>
            </w:tcBorders>
            <w:vAlign w:val="center"/>
          </w:tcPr>
          <w:p w14:paraId="6E71530B">
            <w:pPr>
              <w:autoSpaceDE/>
              <w:autoSpaceDN/>
              <w:spacing w:before="0" w:after="0" w:line="240" w:lineRule="auto"/>
              <w:ind w:left="0" w:firstLine="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评价标准(μg/m</w:t>
            </w:r>
            <w:r>
              <w:rPr>
                <w:rFonts w:hint="eastAsia" w:cs="Times New Roman"/>
                <w:b/>
                <w:bCs/>
                <w:color w:val="auto"/>
                <w:sz w:val="21"/>
                <w:szCs w:val="21"/>
                <w:vertAlign w:val="superscript"/>
                <w:lang w:val="en-US" w:eastAsia="zh-CN"/>
              </w:rPr>
              <w:t>3</w:t>
            </w:r>
            <w:r>
              <w:rPr>
                <w:rFonts w:hint="default" w:ascii="Times New Roman" w:hAnsi="Times New Roman" w:cs="Times New Roman"/>
                <w:b/>
                <w:bCs/>
                <w:color w:val="auto"/>
                <w:sz w:val="21"/>
                <w:szCs w:val="21"/>
              </w:rPr>
              <w:t>)</w:t>
            </w:r>
          </w:p>
        </w:tc>
        <w:tc>
          <w:tcPr>
            <w:tcW w:w="1634" w:type="dxa"/>
            <w:tcBorders>
              <w:tl2br w:val="nil"/>
              <w:tr2bl w:val="nil"/>
            </w:tcBorders>
            <w:vAlign w:val="center"/>
          </w:tcPr>
          <w:p w14:paraId="113F411B">
            <w:pPr>
              <w:autoSpaceDE/>
              <w:autoSpaceDN/>
              <w:spacing w:before="0" w:after="0" w:line="240" w:lineRule="auto"/>
              <w:ind w:left="0" w:firstLine="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C</w:t>
            </w:r>
            <w:r>
              <w:rPr>
                <w:rFonts w:hint="default" w:ascii="Times New Roman" w:hAnsi="Times New Roman" w:cs="Times New Roman"/>
                <w:b/>
                <w:bCs/>
                <w:color w:val="auto"/>
                <w:sz w:val="21"/>
                <w:szCs w:val="21"/>
                <w:vertAlign w:val="subscript"/>
              </w:rPr>
              <w:t>max</w:t>
            </w:r>
            <w:r>
              <w:rPr>
                <w:rFonts w:hint="default" w:ascii="Times New Roman" w:hAnsi="Times New Roman" w:cs="Times New Roman"/>
                <w:b/>
                <w:bCs/>
                <w:color w:val="auto"/>
                <w:sz w:val="21"/>
                <w:szCs w:val="21"/>
              </w:rPr>
              <w:t>(μg/m</w:t>
            </w:r>
            <w:r>
              <w:rPr>
                <w:rFonts w:hint="eastAsia" w:cs="Times New Roman"/>
                <w:b/>
                <w:bCs/>
                <w:color w:val="auto"/>
                <w:sz w:val="21"/>
                <w:szCs w:val="21"/>
                <w:vertAlign w:val="superscript"/>
                <w:lang w:val="en-US" w:eastAsia="zh-CN"/>
              </w:rPr>
              <w:t>3</w:t>
            </w:r>
            <w:r>
              <w:rPr>
                <w:rFonts w:hint="default" w:ascii="Times New Roman" w:hAnsi="Times New Roman" w:cs="Times New Roman"/>
                <w:b/>
                <w:bCs/>
                <w:color w:val="auto"/>
                <w:sz w:val="21"/>
                <w:szCs w:val="21"/>
              </w:rPr>
              <w:t>)</w:t>
            </w:r>
          </w:p>
        </w:tc>
        <w:tc>
          <w:tcPr>
            <w:tcW w:w="1176" w:type="dxa"/>
            <w:tcBorders>
              <w:tl2br w:val="nil"/>
              <w:tr2bl w:val="nil"/>
            </w:tcBorders>
            <w:vAlign w:val="center"/>
          </w:tcPr>
          <w:p w14:paraId="6D39DBBF">
            <w:pPr>
              <w:autoSpaceDE/>
              <w:autoSpaceDN/>
              <w:spacing w:before="0" w:after="0" w:line="240" w:lineRule="auto"/>
              <w:ind w:left="0" w:firstLine="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P</w:t>
            </w:r>
            <w:r>
              <w:rPr>
                <w:rFonts w:hint="default" w:ascii="Times New Roman" w:hAnsi="Times New Roman" w:cs="Times New Roman"/>
                <w:b/>
                <w:bCs/>
                <w:color w:val="auto"/>
                <w:sz w:val="21"/>
                <w:szCs w:val="21"/>
                <w:vertAlign w:val="subscript"/>
              </w:rPr>
              <w:t>max</w:t>
            </w:r>
            <w:r>
              <w:rPr>
                <w:rFonts w:hint="default" w:ascii="Times New Roman" w:hAnsi="Times New Roman" w:cs="Times New Roman"/>
                <w:b/>
                <w:bCs/>
                <w:color w:val="auto"/>
                <w:sz w:val="21"/>
                <w:szCs w:val="21"/>
              </w:rPr>
              <w:t>(%)</w:t>
            </w:r>
          </w:p>
        </w:tc>
        <w:tc>
          <w:tcPr>
            <w:tcW w:w="1374" w:type="dxa"/>
            <w:tcBorders>
              <w:tl2br w:val="nil"/>
              <w:tr2bl w:val="nil"/>
            </w:tcBorders>
            <w:vAlign w:val="center"/>
          </w:tcPr>
          <w:p w14:paraId="30213DA6">
            <w:pPr>
              <w:autoSpaceDE/>
              <w:autoSpaceDN/>
              <w:spacing w:before="0" w:after="0" w:line="240" w:lineRule="auto"/>
              <w:ind w:left="0" w:firstLine="0"/>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D</w:t>
            </w:r>
            <w:r>
              <w:rPr>
                <w:rFonts w:hint="default" w:ascii="Times New Roman" w:hAnsi="Times New Roman" w:cs="Times New Roman"/>
                <w:b/>
                <w:bCs/>
                <w:color w:val="auto"/>
                <w:sz w:val="21"/>
                <w:szCs w:val="21"/>
                <w:vertAlign w:val="subscript"/>
              </w:rPr>
              <w:t>10%</w:t>
            </w:r>
            <w:r>
              <w:rPr>
                <w:rFonts w:hint="default" w:ascii="Times New Roman" w:hAnsi="Times New Roman" w:cs="Times New Roman"/>
                <w:b/>
                <w:bCs/>
                <w:color w:val="auto"/>
                <w:sz w:val="21"/>
                <w:szCs w:val="21"/>
              </w:rPr>
              <w:t>(m)</w:t>
            </w:r>
          </w:p>
        </w:tc>
      </w:tr>
      <w:tr w14:paraId="64178CB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275" w:type="dxa"/>
            <w:tcBorders>
              <w:tl2br w:val="nil"/>
              <w:tr2bl w:val="nil"/>
            </w:tcBorders>
            <w:shd w:val="clear" w:color="auto" w:fill="auto"/>
            <w:vAlign w:val="center"/>
          </w:tcPr>
          <w:p w14:paraId="210FF073">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eastAsia" w:ascii="Times New Roman" w:hAnsi="Times New Roman" w:eastAsia="宋体" w:cs="Times New Roman"/>
                <w:b w:val="0"/>
                <w:color w:val="auto"/>
                <w:sz w:val="21"/>
                <w:szCs w:val="21"/>
                <w:lang w:val="en-US" w:eastAsia="zh-CN"/>
              </w:rPr>
              <w:t>预处理系统废气</w:t>
            </w:r>
          </w:p>
        </w:tc>
        <w:tc>
          <w:tcPr>
            <w:tcW w:w="1118" w:type="dxa"/>
            <w:tcBorders>
              <w:tl2br w:val="nil"/>
              <w:tr2bl w:val="nil"/>
            </w:tcBorders>
            <w:vAlign w:val="center"/>
          </w:tcPr>
          <w:p w14:paraId="48D07C23">
            <w:pPr>
              <w:autoSpaceDE/>
              <w:autoSpaceDN/>
              <w:spacing w:before="0" w:after="0" w:line="240" w:lineRule="auto"/>
              <w:ind w:left="0" w:firstLine="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TSP</w:t>
            </w:r>
          </w:p>
        </w:tc>
        <w:tc>
          <w:tcPr>
            <w:tcW w:w="1950" w:type="dxa"/>
            <w:tcBorders>
              <w:tl2br w:val="nil"/>
              <w:tr2bl w:val="nil"/>
            </w:tcBorders>
            <w:vAlign w:val="center"/>
          </w:tcPr>
          <w:p w14:paraId="19786402">
            <w:pPr>
              <w:autoSpaceDE/>
              <w:autoSpaceDN/>
              <w:spacing w:before="0" w:after="0" w:line="240" w:lineRule="auto"/>
              <w:ind w:left="0" w:firstLine="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900.0</w:t>
            </w:r>
          </w:p>
        </w:tc>
        <w:tc>
          <w:tcPr>
            <w:tcW w:w="1634" w:type="dxa"/>
            <w:tcBorders>
              <w:tl2br w:val="nil"/>
              <w:tr2bl w:val="nil"/>
            </w:tcBorders>
            <w:vAlign w:val="center"/>
          </w:tcPr>
          <w:p w14:paraId="5042CCDE">
            <w:pPr>
              <w:autoSpaceDE/>
              <w:autoSpaceDN/>
              <w:spacing w:before="0" w:after="0" w:line="240" w:lineRule="auto"/>
              <w:ind w:left="0" w:firstLine="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4.9892</w:t>
            </w:r>
          </w:p>
        </w:tc>
        <w:tc>
          <w:tcPr>
            <w:tcW w:w="1176" w:type="dxa"/>
            <w:tcBorders>
              <w:tl2br w:val="nil"/>
              <w:tr2bl w:val="nil"/>
            </w:tcBorders>
            <w:vAlign w:val="center"/>
          </w:tcPr>
          <w:p w14:paraId="19AFDFEA">
            <w:pPr>
              <w:autoSpaceDE/>
              <w:autoSpaceDN/>
              <w:spacing w:before="0" w:after="0" w:line="240" w:lineRule="auto"/>
              <w:ind w:left="0" w:firstLine="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0.5544</w:t>
            </w:r>
          </w:p>
        </w:tc>
        <w:tc>
          <w:tcPr>
            <w:tcW w:w="1374" w:type="dxa"/>
            <w:tcBorders>
              <w:tl2br w:val="nil"/>
              <w:tr2bl w:val="nil"/>
            </w:tcBorders>
            <w:vAlign w:val="center"/>
          </w:tcPr>
          <w:p w14:paraId="1158A628">
            <w:pPr>
              <w:autoSpaceDE/>
              <w:autoSpaceDN/>
              <w:spacing w:before="0" w:after="0" w:line="240" w:lineRule="auto"/>
              <w:ind w:left="0" w:firstLine="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w:t>
            </w:r>
          </w:p>
        </w:tc>
      </w:tr>
      <w:tr w14:paraId="0D125F2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275" w:type="dxa"/>
            <w:tcBorders>
              <w:tl2br w:val="nil"/>
              <w:tr2bl w:val="nil"/>
            </w:tcBorders>
            <w:shd w:val="clear" w:color="auto" w:fill="auto"/>
            <w:vAlign w:val="center"/>
          </w:tcPr>
          <w:p w14:paraId="09D28873">
            <w:pPr>
              <w:autoSpaceDE/>
              <w:autoSpaceDN/>
              <w:spacing w:before="0" w:after="0" w:line="240" w:lineRule="auto"/>
              <w:ind w:left="0" w:leftChars="0" w:firstLine="0" w:firstLineChars="0"/>
              <w:jc w:val="center"/>
              <w:rPr>
                <w:rFonts w:hint="default" w:ascii="Times New Roman" w:hAnsi="Times New Roman" w:eastAsia="宋体" w:cs="Times New Roman"/>
                <w:b w:val="0"/>
                <w:color w:val="auto"/>
                <w:sz w:val="21"/>
                <w:szCs w:val="21"/>
                <w:lang w:val="en-US" w:eastAsia="zh-CN" w:bidi="ar-SA"/>
              </w:rPr>
            </w:pPr>
            <w:r>
              <w:rPr>
                <w:rFonts w:hint="eastAsia" w:ascii="Times New Roman" w:hAnsi="Times New Roman" w:eastAsia="宋体" w:cs="Times New Roman"/>
                <w:b w:val="0"/>
                <w:color w:val="auto"/>
                <w:sz w:val="21"/>
                <w:szCs w:val="21"/>
                <w:lang w:val="en-US" w:eastAsia="zh-CN"/>
              </w:rPr>
              <w:t>输送系统废气</w:t>
            </w:r>
          </w:p>
        </w:tc>
        <w:tc>
          <w:tcPr>
            <w:tcW w:w="1118" w:type="dxa"/>
            <w:tcBorders>
              <w:tl2br w:val="nil"/>
              <w:tr2bl w:val="nil"/>
            </w:tcBorders>
            <w:shd w:val="clear" w:color="auto" w:fill="auto"/>
            <w:vAlign w:val="center"/>
          </w:tcPr>
          <w:p w14:paraId="5A2194C5">
            <w:pPr>
              <w:autoSpaceDE/>
              <w:autoSpaceDN/>
              <w:spacing w:before="0" w:after="0" w:line="240" w:lineRule="auto"/>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TSP</w:t>
            </w:r>
          </w:p>
        </w:tc>
        <w:tc>
          <w:tcPr>
            <w:tcW w:w="1950" w:type="dxa"/>
            <w:tcBorders>
              <w:tl2br w:val="nil"/>
              <w:tr2bl w:val="nil"/>
            </w:tcBorders>
            <w:shd w:val="clear" w:color="auto" w:fill="auto"/>
            <w:vAlign w:val="center"/>
          </w:tcPr>
          <w:p w14:paraId="6300EAE5">
            <w:pPr>
              <w:autoSpaceDE/>
              <w:autoSpaceDN/>
              <w:spacing w:before="0" w:after="0" w:line="240" w:lineRule="auto"/>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900.0</w:t>
            </w:r>
          </w:p>
        </w:tc>
        <w:tc>
          <w:tcPr>
            <w:tcW w:w="1634" w:type="dxa"/>
            <w:tcBorders>
              <w:tl2br w:val="nil"/>
              <w:tr2bl w:val="nil"/>
            </w:tcBorders>
            <w:shd w:val="clear" w:color="auto" w:fill="auto"/>
            <w:vAlign w:val="center"/>
          </w:tcPr>
          <w:p w14:paraId="5F25BF06">
            <w:pPr>
              <w:autoSpaceDE/>
              <w:autoSpaceDN/>
              <w:spacing w:before="0" w:after="0" w:line="240" w:lineRule="auto"/>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0.0089</w:t>
            </w:r>
          </w:p>
        </w:tc>
        <w:tc>
          <w:tcPr>
            <w:tcW w:w="1176" w:type="dxa"/>
            <w:tcBorders>
              <w:tl2br w:val="nil"/>
              <w:tr2bl w:val="nil"/>
            </w:tcBorders>
            <w:shd w:val="clear" w:color="auto" w:fill="auto"/>
            <w:vAlign w:val="center"/>
          </w:tcPr>
          <w:p w14:paraId="37575BEE">
            <w:pPr>
              <w:autoSpaceDE/>
              <w:autoSpaceDN/>
              <w:spacing w:before="0" w:after="0" w:line="240" w:lineRule="auto"/>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0.0010</w:t>
            </w:r>
          </w:p>
        </w:tc>
        <w:tc>
          <w:tcPr>
            <w:tcW w:w="1374" w:type="dxa"/>
            <w:tcBorders>
              <w:tl2br w:val="nil"/>
              <w:tr2bl w:val="nil"/>
            </w:tcBorders>
            <w:shd w:val="clear" w:color="auto" w:fill="auto"/>
            <w:vAlign w:val="center"/>
          </w:tcPr>
          <w:p w14:paraId="2E79A59A">
            <w:pPr>
              <w:autoSpaceDE/>
              <w:autoSpaceDN/>
              <w:spacing w:before="0" w:after="0" w:line="240" w:lineRule="auto"/>
              <w:ind w:left="0" w:leftChars="0" w:firstLine="0" w:firstLineChars="0"/>
              <w:jc w:val="center"/>
              <w:rPr>
                <w:rFonts w:hint="default" w:ascii="Times New Roman" w:hAnsi="Times New Roman" w:eastAsia="宋体" w:cs="Times New Roman"/>
                <w:color w:val="auto"/>
                <w:sz w:val="21"/>
                <w:szCs w:val="21"/>
                <w:lang w:val="en-US" w:eastAsia="zh-CN" w:bidi="ar-SA"/>
              </w:rPr>
            </w:pPr>
            <w:r>
              <w:rPr>
                <w:rFonts w:hint="default" w:ascii="Times New Roman" w:hAnsi="Times New Roman" w:cs="Times New Roman"/>
                <w:color w:val="auto"/>
                <w:sz w:val="21"/>
                <w:szCs w:val="21"/>
              </w:rPr>
              <w:t>/</w:t>
            </w:r>
          </w:p>
        </w:tc>
      </w:tr>
    </w:tbl>
    <w:p w14:paraId="5EDA7635">
      <w:pPr>
        <w:jc w:val="center"/>
        <w:rPr>
          <w:rFonts w:hint="default"/>
          <w:color w:val="auto"/>
          <w:lang w:val="en-US" w:eastAsia="zh-CN"/>
        </w:rPr>
      </w:pPr>
      <w:r>
        <w:rPr>
          <w:rFonts w:hint="default" w:ascii="Times New Roman" w:hAnsi="Times New Roman" w:eastAsia="宋体" w:cs="Times New Roman"/>
          <w:b/>
          <w:color w:val="auto"/>
          <w:sz w:val="24"/>
          <w:szCs w:val="24"/>
        </w:rPr>
        <w:t>表5</w:t>
      </w:r>
      <w:r>
        <w:rPr>
          <w:rFonts w:hint="default" w:ascii="Times New Roman" w:hAnsi="Times New Roman" w:cs="Times New Roman"/>
          <w:b/>
          <w:color w:val="auto"/>
          <w:sz w:val="24"/>
          <w:szCs w:val="24"/>
          <w:lang w:val="en-US" w:eastAsia="zh-CN"/>
        </w:rPr>
        <w:t>.2-</w:t>
      </w:r>
      <w:r>
        <w:rPr>
          <w:rFonts w:hint="eastAsia" w:cs="Times New Roman"/>
          <w:b/>
          <w:color w:val="auto"/>
          <w:sz w:val="24"/>
          <w:szCs w:val="24"/>
          <w:lang w:val="en-US" w:eastAsia="zh-CN"/>
        </w:rPr>
        <w:t>7</w:t>
      </w:r>
      <w:r>
        <w:rPr>
          <w:rFonts w:hint="default" w:ascii="Times New Roman" w:hAnsi="Times New Roman" w:eastAsia="宋体" w:cs="Times New Roman"/>
          <w:b/>
          <w:color w:val="auto"/>
          <w:sz w:val="24"/>
          <w:szCs w:val="24"/>
          <w:lang w:val="en-US" w:eastAsia="zh-CN"/>
        </w:rPr>
        <w:t xml:space="preserve"> </w:t>
      </w:r>
      <w:r>
        <w:rPr>
          <w:rFonts w:hint="eastAsia" w:cs="Times New Roman"/>
          <w:b/>
          <w:color w:val="auto"/>
          <w:sz w:val="24"/>
          <w:szCs w:val="24"/>
          <w:lang w:val="en-US" w:eastAsia="zh-CN"/>
        </w:rPr>
        <w:t>污染源结果</w:t>
      </w:r>
      <w:r>
        <w:rPr>
          <w:rFonts w:hint="default" w:ascii="Times New Roman" w:hAnsi="Times New Roman" w:eastAsia="宋体" w:cs="Times New Roman"/>
          <w:b/>
          <w:color w:val="auto"/>
          <w:sz w:val="24"/>
          <w:szCs w:val="24"/>
          <w:lang w:val="en-US" w:eastAsia="zh-CN"/>
        </w:rPr>
        <w:t>一览表</w:t>
      </w:r>
    </w:p>
    <w:tbl>
      <w:tblPr>
        <w:tblStyle w:val="39"/>
        <w:tblW w:w="8527" w:type="dxa"/>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42"/>
        <w:gridCol w:w="3162"/>
        <w:gridCol w:w="2523"/>
      </w:tblGrid>
      <w:tr w14:paraId="55510AD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vMerge w:val="restart"/>
            <w:tcBorders>
              <w:tl2br w:val="nil"/>
              <w:tr2bl w:val="nil"/>
            </w:tcBorders>
            <w:vAlign w:val="center"/>
          </w:tcPr>
          <w:p w14:paraId="2A0A532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b/>
                <w:bCs/>
                <w:color w:val="auto"/>
                <w:sz w:val="21"/>
                <w:szCs w:val="21"/>
              </w:rPr>
            </w:pPr>
            <w:r>
              <w:rPr>
                <w:rFonts w:hint="default" w:ascii="Times New Roman" w:hAnsi="Times New Roman" w:eastAsia="宋体" w:cs="Times New Roman"/>
                <w:b/>
                <w:bCs/>
                <w:color w:val="auto"/>
                <w:sz w:val="21"/>
                <w:szCs w:val="21"/>
              </w:rPr>
              <w:t>下风向距离</w:t>
            </w:r>
          </w:p>
        </w:tc>
        <w:tc>
          <w:tcPr>
            <w:tcW w:w="5685" w:type="dxa"/>
            <w:gridSpan w:val="2"/>
            <w:tcBorders>
              <w:tl2br w:val="nil"/>
              <w:tr2bl w:val="nil"/>
            </w:tcBorders>
            <w:vAlign w:val="center"/>
          </w:tcPr>
          <w:p w14:paraId="5052555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b/>
                <w:bCs/>
                <w:color w:val="auto"/>
                <w:sz w:val="21"/>
                <w:szCs w:val="21"/>
              </w:rPr>
            </w:pPr>
            <w:r>
              <w:rPr>
                <w:rFonts w:hint="default" w:ascii="Times New Roman" w:hAnsi="Times New Roman" w:eastAsia="宋体" w:cs="Times New Roman"/>
                <w:b/>
                <w:bCs/>
                <w:color w:val="auto"/>
                <w:sz w:val="21"/>
                <w:szCs w:val="21"/>
              </w:rPr>
              <w:t>预处理</w:t>
            </w:r>
            <w:r>
              <w:rPr>
                <w:rFonts w:hint="eastAsia" w:ascii="Times New Roman" w:hAnsi="Times New Roman" w:eastAsia="宋体" w:cs="Times New Roman"/>
                <w:b/>
                <w:bCs/>
                <w:color w:val="auto"/>
                <w:sz w:val="21"/>
                <w:szCs w:val="21"/>
                <w:lang w:val="en-US" w:eastAsia="zh-CN"/>
              </w:rPr>
              <w:t>系统</w:t>
            </w:r>
            <w:r>
              <w:rPr>
                <w:rFonts w:hint="default" w:ascii="Times New Roman" w:hAnsi="Times New Roman" w:eastAsia="宋体" w:cs="Times New Roman"/>
                <w:b/>
                <w:bCs/>
                <w:color w:val="auto"/>
                <w:sz w:val="21"/>
                <w:szCs w:val="21"/>
              </w:rPr>
              <w:t>废气</w:t>
            </w:r>
          </w:p>
        </w:tc>
      </w:tr>
      <w:tr w14:paraId="23B5F6A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vMerge w:val="continue"/>
            <w:tcBorders>
              <w:tl2br w:val="nil"/>
              <w:tr2bl w:val="nil"/>
            </w:tcBorders>
            <w:vAlign w:val="center"/>
          </w:tcPr>
          <w:p w14:paraId="7C7C3F0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b/>
                <w:bCs/>
                <w:color w:val="auto"/>
                <w:sz w:val="21"/>
                <w:szCs w:val="21"/>
              </w:rPr>
            </w:pPr>
          </w:p>
        </w:tc>
        <w:tc>
          <w:tcPr>
            <w:tcW w:w="3162" w:type="dxa"/>
            <w:tcBorders>
              <w:tl2br w:val="nil"/>
              <w:tr2bl w:val="nil"/>
            </w:tcBorders>
            <w:vAlign w:val="center"/>
          </w:tcPr>
          <w:p w14:paraId="3749CD2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b/>
                <w:bCs/>
                <w:color w:val="auto"/>
                <w:sz w:val="21"/>
                <w:szCs w:val="21"/>
              </w:rPr>
            </w:pPr>
            <w:r>
              <w:rPr>
                <w:rFonts w:hint="default" w:ascii="Times New Roman" w:hAnsi="Times New Roman" w:eastAsia="宋体" w:cs="Times New Roman"/>
                <w:b/>
                <w:bCs/>
                <w:color w:val="auto"/>
                <w:sz w:val="21"/>
                <w:szCs w:val="21"/>
              </w:rPr>
              <w:t>TSP浓度(μg/m³)</w:t>
            </w:r>
          </w:p>
        </w:tc>
        <w:tc>
          <w:tcPr>
            <w:tcW w:w="2523" w:type="dxa"/>
            <w:tcBorders>
              <w:tl2br w:val="nil"/>
              <w:tr2bl w:val="nil"/>
            </w:tcBorders>
            <w:vAlign w:val="center"/>
          </w:tcPr>
          <w:p w14:paraId="5E555BCD">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b/>
                <w:bCs/>
                <w:color w:val="auto"/>
                <w:sz w:val="21"/>
                <w:szCs w:val="21"/>
              </w:rPr>
            </w:pPr>
            <w:r>
              <w:rPr>
                <w:rFonts w:hint="default" w:ascii="Times New Roman" w:hAnsi="Times New Roman" w:eastAsia="宋体" w:cs="Times New Roman"/>
                <w:b/>
                <w:bCs/>
                <w:color w:val="auto"/>
                <w:sz w:val="21"/>
                <w:szCs w:val="21"/>
              </w:rPr>
              <w:t>TSP占标率(%)</w:t>
            </w:r>
          </w:p>
        </w:tc>
      </w:tr>
      <w:tr w14:paraId="4CC1D24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2B30963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50.0</w:t>
            </w:r>
          </w:p>
        </w:tc>
        <w:tc>
          <w:tcPr>
            <w:tcW w:w="3162" w:type="dxa"/>
            <w:tcBorders>
              <w:tl2br w:val="nil"/>
              <w:tr2bl w:val="nil"/>
            </w:tcBorders>
            <w:vAlign w:val="center"/>
          </w:tcPr>
          <w:p w14:paraId="4C4C9AC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3.3569</w:t>
            </w:r>
          </w:p>
        </w:tc>
        <w:tc>
          <w:tcPr>
            <w:tcW w:w="2523" w:type="dxa"/>
            <w:tcBorders>
              <w:tl2br w:val="nil"/>
              <w:tr2bl w:val="nil"/>
            </w:tcBorders>
            <w:vAlign w:val="center"/>
          </w:tcPr>
          <w:p w14:paraId="1722B9E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0.3730</w:t>
            </w:r>
          </w:p>
        </w:tc>
      </w:tr>
      <w:tr w14:paraId="2DE0F3C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257AF98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100.0</w:t>
            </w:r>
          </w:p>
        </w:tc>
        <w:tc>
          <w:tcPr>
            <w:tcW w:w="3162" w:type="dxa"/>
            <w:tcBorders>
              <w:tl2br w:val="nil"/>
              <w:tr2bl w:val="nil"/>
            </w:tcBorders>
            <w:vAlign w:val="center"/>
          </w:tcPr>
          <w:p w14:paraId="360C560D">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3.6627</w:t>
            </w:r>
          </w:p>
        </w:tc>
        <w:tc>
          <w:tcPr>
            <w:tcW w:w="2523" w:type="dxa"/>
            <w:tcBorders>
              <w:tl2br w:val="nil"/>
              <w:tr2bl w:val="nil"/>
            </w:tcBorders>
            <w:vAlign w:val="center"/>
          </w:tcPr>
          <w:p w14:paraId="3F5E139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0.4070</w:t>
            </w:r>
          </w:p>
        </w:tc>
      </w:tr>
      <w:tr w14:paraId="0F8F02C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04CD29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200.0</w:t>
            </w:r>
          </w:p>
        </w:tc>
        <w:tc>
          <w:tcPr>
            <w:tcW w:w="3162" w:type="dxa"/>
            <w:tcBorders>
              <w:tl2br w:val="nil"/>
              <w:tr2bl w:val="nil"/>
            </w:tcBorders>
            <w:vAlign w:val="center"/>
          </w:tcPr>
          <w:p w14:paraId="5D7BF55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4.6370</w:t>
            </w:r>
          </w:p>
        </w:tc>
        <w:tc>
          <w:tcPr>
            <w:tcW w:w="2523" w:type="dxa"/>
            <w:tcBorders>
              <w:tl2br w:val="nil"/>
              <w:tr2bl w:val="nil"/>
            </w:tcBorders>
            <w:vAlign w:val="center"/>
          </w:tcPr>
          <w:p w14:paraId="7D1087C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0.5152</w:t>
            </w:r>
          </w:p>
        </w:tc>
      </w:tr>
      <w:tr w14:paraId="76403CD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5ECF7E9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300.0</w:t>
            </w:r>
          </w:p>
        </w:tc>
        <w:tc>
          <w:tcPr>
            <w:tcW w:w="3162" w:type="dxa"/>
            <w:tcBorders>
              <w:tl2br w:val="nil"/>
              <w:tr2bl w:val="nil"/>
            </w:tcBorders>
            <w:vAlign w:val="center"/>
          </w:tcPr>
          <w:p w14:paraId="0894645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3.4959</w:t>
            </w:r>
          </w:p>
        </w:tc>
        <w:tc>
          <w:tcPr>
            <w:tcW w:w="2523" w:type="dxa"/>
            <w:tcBorders>
              <w:tl2br w:val="nil"/>
              <w:tr2bl w:val="nil"/>
            </w:tcBorders>
            <w:vAlign w:val="center"/>
          </w:tcPr>
          <w:p w14:paraId="5E7D5CF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0.3884</w:t>
            </w:r>
          </w:p>
        </w:tc>
      </w:tr>
      <w:tr w14:paraId="01EB1BA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972D8B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400.0</w:t>
            </w:r>
          </w:p>
        </w:tc>
        <w:tc>
          <w:tcPr>
            <w:tcW w:w="3162" w:type="dxa"/>
            <w:tcBorders>
              <w:tl2br w:val="nil"/>
              <w:tr2bl w:val="nil"/>
            </w:tcBorders>
            <w:vAlign w:val="center"/>
          </w:tcPr>
          <w:p w14:paraId="2FD49E8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2.9713</w:t>
            </w:r>
          </w:p>
        </w:tc>
        <w:tc>
          <w:tcPr>
            <w:tcW w:w="2523" w:type="dxa"/>
            <w:tcBorders>
              <w:tl2br w:val="nil"/>
              <w:tr2bl w:val="nil"/>
            </w:tcBorders>
            <w:vAlign w:val="center"/>
          </w:tcPr>
          <w:p w14:paraId="210A19F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0.3301</w:t>
            </w:r>
          </w:p>
        </w:tc>
      </w:tr>
      <w:tr w14:paraId="7669D94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DD493E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500.0</w:t>
            </w:r>
          </w:p>
        </w:tc>
        <w:tc>
          <w:tcPr>
            <w:tcW w:w="3162" w:type="dxa"/>
            <w:tcBorders>
              <w:tl2br w:val="nil"/>
              <w:tr2bl w:val="nil"/>
            </w:tcBorders>
            <w:vAlign w:val="center"/>
          </w:tcPr>
          <w:p w14:paraId="36D3669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2.4932</w:t>
            </w:r>
          </w:p>
        </w:tc>
        <w:tc>
          <w:tcPr>
            <w:tcW w:w="2523" w:type="dxa"/>
            <w:tcBorders>
              <w:tl2br w:val="nil"/>
              <w:tr2bl w:val="nil"/>
            </w:tcBorders>
            <w:vAlign w:val="center"/>
          </w:tcPr>
          <w:p w14:paraId="26D99B8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0.2770</w:t>
            </w:r>
          </w:p>
        </w:tc>
      </w:tr>
      <w:tr w14:paraId="362E219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6EF7A2B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600.0</w:t>
            </w:r>
          </w:p>
        </w:tc>
        <w:tc>
          <w:tcPr>
            <w:tcW w:w="3162" w:type="dxa"/>
            <w:tcBorders>
              <w:tl2br w:val="nil"/>
              <w:tr2bl w:val="nil"/>
            </w:tcBorders>
            <w:vAlign w:val="center"/>
          </w:tcPr>
          <w:p w14:paraId="28349DA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2.1282</w:t>
            </w:r>
          </w:p>
        </w:tc>
        <w:tc>
          <w:tcPr>
            <w:tcW w:w="2523" w:type="dxa"/>
            <w:tcBorders>
              <w:tl2br w:val="nil"/>
              <w:tr2bl w:val="nil"/>
            </w:tcBorders>
            <w:vAlign w:val="center"/>
          </w:tcPr>
          <w:p w14:paraId="582AF5D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0.2365</w:t>
            </w:r>
          </w:p>
        </w:tc>
      </w:tr>
      <w:tr w14:paraId="3EF5666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5D6F278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700.0</w:t>
            </w:r>
          </w:p>
        </w:tc>
        <w:tc>
          <w:tcPr>
            <w:tcW w:w="3162" w:type="dxa"/>
            <w:tcBorders>
              <w:tl2br w:val="nil"/>
              <w:tr2bl w:val="nil"/>
            </w:tcBorders>
            <w:vAlign w:val="center"/>
          </w:tcPr>
          <w:p w14:paraId="380D7E2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1.8396</w:t>
            </w:r>
          </w:p>
        </w:tc>
        <w:tc>
          <w:tcPr>
            <w:tcW w:w="2523" w:type="dxa"/>
            <w:tcBorders>
              <w:tl2br w:val="nil"/>
              <w:tr2bl w:val="nil"/>
            </w:tcBorders>
            <w:vAlign w:val="center"/>
          </w:tcPr>
          <w:p w14:paraId="7417C2C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0.2044</w:t>
            </w:r>
          </w:p>
        </w:tc>
      </w:tr>
      <w:tr w14:paraId="7E0B4BC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08645D2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800.0</w:t>
            </w:r>
          </w:p>
        </w:tc>
        <w:tc>
          <w:tcPr>
            <w:tcW w:w="3162" w:type="dxa"/>
            <w:tcBorders>
              <w:tl2br w:val="nil"/>
              <w:tr2bl w:val="nil"/>
            </w:tcBorders>
            <w:vAlign w:val="center"/>
          </w:tcPr>
          <w:p w14:paraId="2FE8884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1.6091</w:t>
            </w:r>
          </w:p>
        </w:tc>
        <w:tc>
          <w:tcPr>
            <w:tcW w:w="2523" w:type="dxa"/>
            <w:tcBorders>
              <w:tl2br w:val="nil"/>
              <w:tr2bl w:val="nil"/>
            </w:tcBorders>
            <w:vAlign w:val="center"/>
          </w:tcPr>
          <w:p w14:paraId="383DA7BD">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0.1788</w:t>
            </w:r>
          </w:p>
        </w:tc>
      </w:tr>
      <w:tr w14:paraId="7FCC0BB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1E36D6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900.0</w:t>
            </w:r>
          </w:p>
        </w:tc>
        <w:tc>
          <w:tcPr>
            <w:tcW w:w="3162" w:type="dxa"/>
            <w:tcBorders>
              <w:tl2br w:val="nil"/>
              <w:tr2bl w:val="nil"/>
            </w:tcBorders>
            <w:vAlign w:val="center"/>
          </w:tcPr>
          <w:p w14:paraId="54FFC5C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2.2433</w:t>
            </w:r>
          </w:p>
        </w:tc>
        <w:tc>
          <w:tcPr>
            <w:tcW w:w="2523" w:type="dxa"/>
            <w:tcBorders>
              <w:tl2br w:val="nil"/>
              <w:tr2bl w:val="nil"/>
            </w:tcBorders>
            <w:vAlign w:val="center"/>
          </w:tcPr>
          <w:p w14:paraId="0E965F9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0.2493</w:t>
            </w:r>
          </w:p>
        </w:tc>
      </w:tr>
      <w:tr w14:paraId="1DD041F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75885D7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1000.0</w:t>
            </w:r>
          </w:p>
        </w:tc>
        <w:tc>
          <w:tcPr>
            <w:tcW w:w="3162" w:type="dxa"/>
            <w:tcBorders>
              <w:tl2br w:val="nil"/>
              <w:tr2bl w:val="nil"/>
            </w:tcBorders>
            <w:vAlign w:val="center"/>
          </w:tcPr>
          <w:p w14:paraId="73A2F00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1.9413</w:t>
            </w:r>
          </w:p>
        </w:tc>
        <w:tc>
          <w:tcPr>
            <w:tcW w:w="2523" w:type="dxa"/>
            <w:tcBorders>
              <w:tl2br w:val="nil"/>
              <w:tr2bl w:val="nil"/>
            </w:tcBorders>
            <w:vAlign w:val="center"/>
          </w:tcPr>
          <w:p w14:paraId="116B91C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0.2157</w:t>
            </w:r>
          </w:p>
        </w:tc>
      </w:tr>
      <w:tr w14:paraId="21B533B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3A01D27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1200.0</w:t>
            </w:r>
          </w:p>
        </w:tc>
        <w:tc>
          <w:tcPr>
            <w:tcW w:w="3162" w:type="dxa"/>
            <w:tcBorders>
              <w:tl2br w:val="nil"/>
              <w:tr2bl w:val="nil"/>
            </w:tcBorders>
            <w:vAlign w:val="center"/>
          </w:tcPr>
          <w:p w14:paraId="762AB61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1.9957</w:t>
            </w:r>
          </w:p>
        </w:tc>
        <w:tc>
          <w:tcPr>
            <w:tcW w:w="2523" w:type="dxa"/>
            <w:tcBorders>
              <w:tl2br w:val="nil"/>
              <w:tr2bl w:val="nil"/>
            </w:tcBorders>
            <w:vAlign w:val="center"/>
          </w:tcPr>
          <w:p w14:paraId="10BD6CF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0.2217</w:t>
            </w:r>
          </w:p>
        </w:tc>
      </w:tr>
      <w:tr w14:paraId="66D5125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5646783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1400.0</w:t>
            </w:r>
          </w:p>
        </w:tc>
        <w:tc>
          <w:tcPr>
            <w:tcW w:w="3162" w:type="dxa"/>
            <w:tcBorders>
              <w:tl2br w:val="nil"/>
              <w:tr2bl w:val="nil"/>
            </w:tcBorders>
            <w:vAlign w:val="center"/>
          </w:tcPr>
          <w:p w14:paraId="402FE67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1.6718</w:t>
            </w:r>
          </w:p>
        </w:tc>
        <w:tc>
          <w:tcPr>
            <w:tcW w:w="2523" w:type="dxa"/>
            <w:tcBorders>
              <w:tl2br w:val="nil"/>
              <w:tr2bl w:val="nil"/>
            </w:tcBorders>
            <w:vAlign w:val="center"/>
          </w:tcPr>
          <w:p w14:paraId="22615E0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0.1858</w:t>
            </w:r>
          </w:p>
        </w:tc>
      </w:tr>
      <w:tr w14:paraId="074B9FC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658ABA2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1600.0</w:t>
            </w:r>
          </w:p>
        </w:tc>
        <w:tc>
          <w:tcPr>
            <w:tcW w:w="3162" w:type="dxa"/>
            <w:tcBorders>
              <w:tl2br w:val="nil"/>
              <w:tr2bl w:val="nil"/>
            </w:tcBorders>
            <w:vAlign w:val="center"/>
          </w:tcPr>
          <w:p w14:paraId="3834831B">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1.6516</w:t>
            </w:r>
          </w:p>
        </w:tc>
        <w:tc>
          <w:tcPr>
            <w:tcW w:w="2523" w:type="dxa"/>
            <w:tcBorders>
              <w:tl2br w:val="nil"/>
              <w:tr2bl w:val="nil"/>
            </w:tcBorders>
            <w:vAlign w:val="center"/>
          </w:tcPr>
          <w:p w14:paraId="3E7ED5E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0.1835</w:t>
            </w:r>
          </w:p>
        </w:tc>
      </w:tr>
      <w:tr w14:paraId="62BAC81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2DF2F24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1800.0</w:t>
            </w:r>
          </w:p>
        </w:tc>
        <w:tc>
          <w:tcPr>
            <w:tcW w:w="3162" w:type="dxa"/>
            <w:tcBorders>
              <w:tl2br w:val="nil"/>
              <w:tr2bl w:val="nil"/>
            </w:tcBorders>
            <w:vAlign w:val="center"/>
          </w:tcPr>
          <w:p w14:paraId="66571D7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1.4387</w:t>
            </w:r>
          </w:p>
        </w:tc>
        <w:tc>
          <w:tcPr>
            <w:tcW w:w="2523" w:type="dxa"/>
            <w:tcBorders>
              <w:tl2br w:val="nil"/>
              <w:tr2bl w:val="nil"/>
            </w:tcBorders>
            <w:vAlign w:val="center"/>
          </w:tcPr>
          <w:p w14:paraId="3D243E3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0.1599</w:t>
            </w:r>
          </w:p>
        </w:tc>
      </w:tr>
      <w:tr w14:paraId="24D5856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A19764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2000.0</w:t>
            </w:r>
          </w:p>
        </w:tc>
        <w:tc>
          <w:tcPr>
            <w:tcW w:w="3162" w:type="dxa"/>
            <w:tcBorders>
              <w:tl2br w:val="nil"/>
              <w:tr2bl w:val="nil"/>
            </w:tcBorders>
            <w:vAlign w:val="center"/>
          </w:tcPr>
          <w:p w14:paraId="11DB5C9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1.2162</w:t>
            </w:r>
          </w:p>
        </w:tc>
        <w:tc>
          <w:tcPr>
            <w:tcW w:w="2523" w:type="dxa"/>
            <w:tcBorders>
              <w:tl2br w:val="nil"/>
              <w:tr2bl w:val="nil"/>
            </w:tcBorders>
            <w:vAlign w:val="center"/>
          </w:tcPr>
          <w:p w14:paraId="3F9A586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0.1351</w:t>
            </w:r>
          </w:p>
        </w:tc>
      </w:tr>
      <w:tr w14:paraId="60D301F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70179C9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2500.0</w:t>
            </w:r>
          </w:p>
        </w:tc>
        <w:tc>
          <w:tcPr>
            <w:tcW w:w="3162" w:type="dxa"/>
            <w:tcBorders>
              <w:tl2br w:val="nil"/>
              <w:tr2bl w:val="nil"/>
            </w:tcBorders>
            <w:vAlign w:val="center"/>
          </w:tcPr>
          <w:p w14:paraId="0B93C5BB">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0.9825</w:t>
            </w:r>
          </w:p>
        </w:tc>
        <w:tc>
          <w:tcPr>
            <w:tcW w:w="2523" w:type="dxa"/>
            <w:tcBorders>
              <w:tl2br w:val="nil"/>
              <w:tr2bl w:val="nil"/>
            </w:tcBorders>
            <w:vAlign w:val="center"/>
          </w:tcPr>
          <w:p w14:paraId="75E8ADC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0.1092</w:t>
            </w:r>
          </w:p>
        </w:tc>
      </w:tr>
      <w:tr w14:paraId="3E149B6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358A89E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3000.0</w:t>
            </w:r>
          </w:p>
        </w:tc>
        <w:tc>
          <w:tcPr>
            <w:tcW w:w="3162" w:type="dxa"/>
            <w:tcBorders>
              <w:tl2br w:val="nil"/>
              <w:tr2bl w:val="nil"/>
            </w:tcBorders>
            <w:vAlign w:val="center"/>
          </w:tcPr>
          <w:p w14:paraId="35E474A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0.8345</w:t>
            </w:r>
          </w:p>
        </w:tc>
        <w:tc>
          <w:tcPr>
            <w:tcW w:w="2523" w:type="dxa"/>
            <w:tcBorders>
              <w:tl2br w:val="nil"/>
              <w:tr2bl w:val="nil"/>
            </w:tcBorders>
            <w:vAlign w:val="center"/>
          </w:tcPr>
          <w:p w14:paraId="6E8A76CD">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0.0927</w:t>
            </w:r>
          </w:p>
        </w:tc>
      </w:tr>
      <w:tr w14:paraId="2C886F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13C44EB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3500.0</w:t>
            </w:r>
          </w:p>
        </w:tc>
        <w:tc>
          <w:tcPr>
            <w:tcW w:w="3162" w:type="dxa"/>
            <w:tcBorders>
              <w:tl2br w:val="nil"/>
              <w:tr2bl w:val="nil"/>
            </w:tcBorders>
            <w:vAlign w:val="center"/>
          </w:tcPr>
          <w:p w14:paraId="71A0764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0.7461</w:t>
            </w:r>
          </w:p>
        </w:tc>
        <w:tc>
          <w:tcPr>
            <w:tcW w:w="2523" w:type="dxa"/>
            <w:tcBorders>
              <w:tl2br w:val="nil"/>
              <w:tr2bl w:val="nil"/>
            </w:tcBorders>
            <w:vAlign w:val="center"/>
          </w:tcPr>
          <w:p w14:paraId="12A9DE0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0.0829</w:t>
            </w:r>
          </w:p>
        </w:tc>
      </w:tr>
      <w:tr w14:paraId="2F84247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19F59E4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4000.0</w:t>
            </w:r>
          </w:p>
        </w:tc>
        <w:tc>
          <w:tcPr>
            <w:tcW w:w="3162" w:type="dxa"/>
            <w:tcBorders>
              <w:tl2br w:val="nil"/>
              <w:tr2bl w:val="nil"/>
            </w:tcBorders>
            <w:vAlign w:val="center"/>
          </w:tcPr>
          <w:p w14:paraId="4829B2A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0.6723</w:t>
            </w:r>
          </w:p>
        </w:tc>
        <w:tc>
          <w:tcPr>
            <w:tcW w:w="2523" w:type="dxa"/>
            <w:tcBorders>
              <w:tl2br w:val="nil"/>
              <w:tr2bl w:val="nil"/>
            </w:tcBorders>
            <w:vAlign w:val="center"/>
          </w:tcPr>
          <w:p w14:paraId="04C0BAF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0.0747</w:t>
            </w:r>
          </w:p>
        </w:tc>
      </w:tr>
      <w:tr w14:paraId="2054CB8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2BB6C84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4500.0</w:t>
            </w:r>
          </w:p>
        </w:tc>
        <w:tc>
          <w:tcPr>
            <w:tcW w:w="3162" w:type="dxa"/>
            <w:tcBorders>
              <w:tl2br w:val="nil"/>
              <w:tr2bl w:val="nil"/>
            </w:tcBorders>
            <w:vAlign w:val="center"/>
          </w:tcPr>
          <w:p w14:paraId="301E8F6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0.6125</w:t>
            </w:r>
          </w:p>
        </w:tc>
        <w:tc>
          <w:tcPr>
            <w:tcW w:w="2523" w:type="dxa"/>
            <w:tcBorders>
              <w:tl2br w:val="nil"/>
              <w:tr2bl w:val="nil"/>
            </w:tcBorders>
            <w:vAlign w:val="center"/>
          </w:tcPr>
          <w:p w14:paraId="7EF23E7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0.0681</w:t>
            </w:r>
          </w:p>
        </w:tc>
      </w:tr>
      <w:tr w14:paraId="481FE59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7B9649C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5000.0</w:t>
            </w:r>
          </w:p>
        </w:tc>
        <w:tc>
          <w:tcPr>
            <w:tcW w:w="3162" w:type="dxa"/>
            <w:tcBorders>
              <w:tl2br w:val="nil"/>
              <w:tr2bl w:val="nil"/>
            </w:tcBorders>
            <w:vAlign w:val="center"/>
          </w:tcPr>
          <w:p w14:paraId="418AAEF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0.5601</w:t>
            </w:r>
          </w:p>
        </w:tc>
        <w:tc>
          <w:tcPr>
            <w:tcW w:w="2523" w:type="dxa"/>
            <w:tcBorders>
              <w:tl2br w:val="nil"/>
              <w:tr2bl w:val="nil"/>
            </w:tcBorders>
            <w:vAlign w:val="center"/>
          </w:tcPr>
          <w:p w14:paraId="1BFC6F3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0.0622</w:t>
            </w:r>
          </w:p>
        </w:tc>
      </w:tr>
      <w:tr w14:paraId="7488015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5DBF8BA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10000.0</w:t>
            </w:r>
          </w:p>
        </w:tc>
        <w:tc>
          <w:tcPr>
            <w:tcW w:w="3162" w:type="dxa"/>
            <w:tcBorders>
              <w:tl2br w:val="nil"/>
              <w:tr2bl w:val="nil"/>
            </w:tcBorders>
            <w:vAlign w:val="center"/>
          </w:tcPr>
          <w:p w14:paraId="3F841A7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0.2924</w:t>
            </w:r>
          </w:p>
        </w:tc>
        <w:tc>
          <w:tcPr>
            <w:tcW w:w="2523" w:type="dxa"/>
            <w:tcBorders>
              <w:tl2br w:val="nil"/>
              <w:tr2bl w:val="nil"/>
            </w:tcBorders>
            <w:vAlign w:val="center"/>
          </w:tcPr>
          <w:p w14:paraId="35192A7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0.0325</w:t>
            </w:r>
          </w:p>
        </w:tc>
      </w:tr>
      <w:tr w14:paraId="42F8C29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08D1D61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11000.0</w:t>
            </w:r>
          </w:p>
        </w:tc>
        <w:tc>
          <w:tcPr>
            <w:tcW w:w="3162" w:type="dxa"/>
            <w:tcBorders>
              <w:tl2br w:val="nil"/>
              <w:tr2bl w:val="nil"/>
            </w:tcBorders>
            <w:vAlign w:val="center"/>
          </w:tcPr>
          <w:p w14:paraId="1B1B2DF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0.2641</w:t>
            </w:r>
          </w:p>
        </w:tc>
        <w:tc>
          <w:tcPr>
            <w:tcW w:w="2523" w:type="dxa"/>
            <w:tcBorders>
              <w:tl2br w:val="nil"/>
              <w:tr2bl w:val="nil"/>
            </w:tcBorders>
            <w:vAlign w:val="center"/>
          </w:tcPr>
          <w:p w14:paraId="3DE4C5D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0.0293</w:t>
            </w:r>
          </w:p>
        </w:tc>
      </w:tr>
      <w:tr w14:paraId="6F76633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5739F57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12000.0</w:t>
            </w:r>
          </w:p>
        </w:tc>
        <w:tc>
          <w:tcPr>
            <w:tcW w:w="3162" w:type="dxa"/>
            <w:tcBorders>
              <w:tl2br w:val="nil"/>
              <w:tr2bl w:val="nil"/>
            </w:tcBorders>
            <w:vAlign w:val="center"/>
          </w:tcPr>
          <w:p w14:paraId="6CB59FF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0.2409</w:t>
            </w:r>
          </w:p>
        </w:tc>
        <w:tc>
          <w:tcPr>
            <w:tcW w:w="2523" w:type="dxa"/>
            <w:tcBorders>
              <w:tl2br w:val="nil"/>
              <w:tr2bl w:val="nil"/>
            </w:tcBorders>
            <w:vAlign w:val="center"/>
          </w:tcPr>
          <w:p w14:paraId="1F036E4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0.0268</w:t>
            </w:r>
          </w:p>
        </w:tc>
      </w:tr>
      <w:tr w14:paraId="3955292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B85968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13000.0</w:t>
            </w:r>
          </w:p>
        </w:tc>
        <w:tc>
          <w:tcPr>
            <w:tcW w:w="3162" w:type="dxa"/>
            <w:tcBorders>
              <w:tl2br w:val="nil"/>
              <w:tr2bl w:val="nil"/>
            </w:tcBorders>
            <w:vAlign w:val="center"/>
          </w:tcPr>
          <w:p w14:paraId="547EE1B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0.2218</w:t>
            </w:r>
          </w:p>
        </w:tc>
        <w:tc>
          <w:tcPr>
            <w:tcW w:w="2523" w:type="dxa"/>
            <w:tcBorders>
              <w:tl2br w:val="nil"/>
              <w:tr2bl w:val="nil"/>
            </w:tcBorders>
            <w:vAlign w:val="center"/>
          </w:tcPr>
          <w:p w14:paraId="3B281AA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0.0246</w:t>
            </w:r>
          </w:p>
        </w:tc>
      </w:tr>
      <w:tr w14:paraId="0ADC165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75374F0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14000.0</w:t>
            </w:r>
          </w:p>
        </w:tc>
        <w:tc>
          <w:tcPr>
            <w:tcW w:w="3162" w:type="dxa"/>
            <w:tcBorders>
              <w:tl2br w:val="nil"/>
              <w:tr2bl w:val="nil"/>
            </w:tcBorders>
            <w:vAlign w:val="center"/>
          </w:tcPr>
          <w:p w14:paraId="1D0DDAA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0.2049</w:t>
            </w:r>
          </w:p>
        </w:tc>
        <w:tc>
          <w:tcPr>
            <w:tcW w:w="2523" w:type="dxa"/>
            <w:tcBorders>
              <w:tl2br w:val="nil"/>
              <w:tr2bl w:val="nil"/>
            </w:tcBorders>
            <w:vAlign w:val="center"/>
          </w:tcPr>
          <w:p w14:paraId="31B1076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0.0228</w:t>
            </w:r>
          </w:p>
        </w:tc>
      </w:tr>
      <w:tr w14:paraId="23CF4AA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CD902B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15000.0</w:t>
            </w:r>
          </w:p>
        </w:tc>
        <w:tc>
          <w:tcPr>
            <w:tcW w:w="3162" w:type="dxa"/>
            <w:tcBorders>
              <w:tl2br w:val="nil"/>
              <w:tr2bl w:val="nil"/>
            </w:tcBorders>
            <w:vAlign w:val="center"/>
          </w:tcPr>
          <w:p w14:paraId="2DDBAB6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0.1892</w:t>
            </w:r>
          </w:p>
        </w:tc>
        <w:tc>
          <w:tcPr>
            <w:tcW w:w="2523" w:type="dxa"/>
            <w:tcBorders>
              <w:tl2br w:val="nil"/>
              <w:tr2bl w:val="nil"/>
            </w:tcBorders>
            <w:vAlign w:val="center"/>
          </w:tcPr>
          <w:p w14:paraId="7D30499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0.0210</w:t>
            </w:r>
          </w:p>
        </w:tc>
      </w:tr>
      <w:tr w14:paraId="53117A6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FBB0CD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20000.0</w:t>
            </w:r>
          </w:p>
        </w:tc>
        <w:tc>
          <w:tcPr>
            <w:tcW w:w="3162" w:type="dxa"/>
            <w:tcBorders>
              <w:tl2br w:val="nil"/>
              <w:tr2bl w:val="nil"/>
            </w:tcBorders>
            <w:vAlign w:val="center"/>
          </w:tcPr>
          <w:p w14:paraId="366C2DB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0.1341</w:t>
            </w:r>
          </w:p>
        </w:tc>
        <w:tc>
          <w:tcPr>
            <w:tcW w:w="2523" w:type="dxa"/>
            <w:tcBorders>
              <w:tl2br w:val="nil"/>
              <w:tr2bl w:val="nil"/>
            </w:tcBorders>
            <w:vAlign w:val="center"/>
          </w:tcPr>
          <w:p w14:paraId="1E68568D">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0.0149</w:t>
            </w:r>
          </w:p>
        </w:tc>
      </w:tr>
      <w:tr w14:paraId="021C2B9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0103503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25000.0</w:t>
            </w:r>
          </w:p>
        </w:tc>
        <w:tc>
          <w:tcPr>
            <w:tcW w:w="3162" w:type="dxa"/>
            <w:tcBorders>
              <w:tl2br w:val="nil"/>
              <w:tr2bl w:val="nil"/>
            </w:tcBorders>
            <w:vAlign w:val="center"/>
          </w:tcPr>
          <w:p w14:paraId="1846919D">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0.1016</w:t>
            </w:r>
          </w:p>
        </w:tc>
        <w:tc>
          <w:tcPr>
            <w:tcW w:w="2523" w:type="dxa"/>
            <w:tcBorders>
              <w:tl2br w:val="nil"/>
              <w:tr2bl w:val="nil"/>
            </w:tcBorders>
            <w:vAlign w:val="center"/>
          </w:tcPr>
          <w:p w14:paraId="0C4B5B6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0.0113</w:t>
            </w:r>
          </w:p>
        </w:tc>
      </w:tr>
      <w:tr w14:paraId="1B92F82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6DED03C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下风向最大浓度</w:t>
            </w:r>
          </w:p>
        </w:tc>
        <w:tc>
          <w:tcPr>
            <w:tcW w:w="3162" w:type="dxa"/>
            <w:tcBorders>
              <w:tl2br w:val="nil"/>
              <w:tr2bl w:val="nil"/>
            </w:tcBorders>
            <w:vAlign w:val="center"/>
          </w:tcPr>
          <w:p w14:paraId="6ABF7F0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4.9892</w:t>
            </w:r>
          </w:p>
        </w:tc>
        <w:tc>
          <w:tcPr>
            <w:tcW w:w="2523" w:type="dxa"/>
            <w:tcBorders>
              <w:tl2br w:val="nil"/>
              <w:tr2bl w:val="nil"/>
            </w:tcBorders>
            <w:vAlign w:val="center"/>
          </w:tcPr>
          <w:p w14:paraId="49B7C25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0.5544</w:t>
            </w:r>
          </w:p>
        </w:tc>
      </w:tr>
      <w:tr w14:paraId="3BD5064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78BD45F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下风向最大浓度出现距离</w:t>
            </w:r>
          </w:p>
        </w:tc>
        <w:tc>
          <w:tcPr>
            <w:tcW w:w="3162" w:type="dxa"/>
            <w:tcBorders>
              <w:tl2br w:val="nil"/>
              <w:tr2bl w:val="nil"/>
            </w:tcBorders>
            <w:vAlign w:val="center"/>
          </w:tcPr>
          <w:p w14:paraId="5AAF464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154.0</w:t>
            </w:r>
          </w:p>
        </w:tc>
        <w:tc>
          <w:tcPr>
            <w:tcW w:w="2523" w:type="dxa"/>
            <w:tcBorders>
              <w:tl2br w:val="nil"/>
              <w:tr2bl w:val="nil"/>
            </w:tcBorders>
            <w:vAlign w:val="center"/>
          </w:tcPr>
          <w:p w14:paraId="2A47E64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154.0</w:t>
            </w:r>
          </w:p>
        </w:tc>
      </w:tr>
      <w:tr w14:paraId="7A4A606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A3F9D2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D10%最远距离</w:t>
            </w:r>
          </w:p>
        </w:tc>
        <w:tc>
          <w:tcPr>
            <w:tcW w:w="3162" w:type="dxa"/>
            <w:tcBorders>
              <w:tl2br w:val="nil"/>
              <w:tr2bl w:val="nil"/>
            </w:tcBorders>
            <w:vAlign w:val="center"/>
          </w:tcPr>
          <w:p w14:paraId="0B59021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w:t>
            </w:r>
          </w:p>
        </w:tc>
        <w:tc>
          <w:tcPr>
            <w:tcW w:w="2523" w:type="dxa"/>
            <w:tcBorders>
              <w:tl2br w:val="nil"/>
              <w:tr2bl w:val="nil"/>
            </w:tcBorders>
            <w:vAlign w:val="center"/>
          </w:tcPr>
          <w:p w14:paraId="6884B62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w:t>
            </w:r>
          </w:p>
        </w:tc>
      </w:tr>
      <w:tr w14:paraId="6217D19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vMerge w:val="restart"/>
            <w:tcBorders>
              <w:tl2br w:val="nil"/>
              <w:tr2bl w:val="nil"/>
            </w:tcBorders>
            <w:vAlign w:val="center"/>
          </w:tcPr>
          <w:p w14:paraId="39DE73C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下风向距离</w:t>
            </w:r>
          </w:p>
        </w:tc>
        <w:tc>
          <w:tcPr>
            <w:tcW w:w="5685" w:type="dxa"/>
            <w:gridSpan w:val="2"/>
            <w:tcBorders>
              <w:tl2br w:val="nil"/>
              <w:tr2bl w:val="nil"/>
            </w:tcBorders>
            <w:vAlign w:val="center"/>
          </w:tcPr>
          <w:p w14:paraId="4423F79B">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输送系统废气</w:t>
            </w:r>
          </w:p>
        </w:tc>
      </w:tr>
      <w:tr w14:paraId="6AC79B9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vMerge w:val="continue"/>
            <w:tcBorders>
              <w:tl2br w:val="nil"/>
              <w:tr2bl w:val="nil"/>
            </w:tcBorders>
            <w:vAlign w:val="center"/>
          </w:tcPr>
          <w:p w14:paraId="2B5F098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p>
        </w:tc>
        <w:tc>
          <w:tcPr>
            <w:tcW w:w="3162" w:type="dxa"/>
            <w:tcBorders>
              <w:tl2br w:val="nil"/>
              <w:tr2bl w:val="nil"/>
            </w:tcBorders>
            <w:vAlign w:val="center"/>
          </w:tcPr>
          <w:p w14:paraId="669A2D4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TSP浓度(μg/m³)</w:t>
            </w:r>
          </w:p>
        </w:tc>
        <w:tc>
          <w:tcPr>
            <w:tcW w:w="2523" w:type="dxa"/>
            <w:tcBorders>
              <w:tl2br w:val="nil"/>
              <w:tr2bl w:val="nil"/>
            </w:tcBorders>
            <w:vAlign w:val="center"/>
          </w:tcPr>
          <w:p w14:paraId="5C3AC00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TSP占标率(%)</w:t>
            </w:r>
          </w:p>
        </w:tc>
      </w:tr>
      <w:tr w14:paraId="20EE0F1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7541C0F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50.0</w:t>
            </w:r>
          </w:p>
        </w:tc>
        <w:tc>
          <w:tcPr>
            <w:tcW w:w="3162" w:type="dxa"/>
            <w:tcBorders>
              <w:tl2br w:val="nil"/>
              <w:tr2bl w:val="nil"/>
            </w:tcBorders>
            <w:vAlign w:val="center"/>
          </w:tcPr>
          <w:p w14:paraId="1112C7C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0.0060</w:t>
            </w:r>
          </w:p>
        </w:tc>
        <w:tc>
          <w:tcPr>
            <w:tcW w:w="2523" w:type="dxa"/>
            <w:tcBorders>
              <w:tl2br w:val="nil"/>
              <w:tr2bl w:val="nil"/>
            </w:tcBorders>
            <w:vAlign w:val="center"/>
          </w:tcPr>
          <w:p w14:paraId="69E42FF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0.0007</w:t>
            </w:r>
          </w:p>
        </w:tc>
      </w:tr>
      <w:tr w14:paraId="550B759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17604CA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100.0</w:t>
            </w:r>
          </w:p>
        </w:tc>
        <w:tc>
          <w:tcPr>
            <w:tcW w:w="3162" w:type="dxa"/>
            <w:tcBorders>
              <w:tl2br w:val="nil"/>
              <w:tr2bl w:val="nil"/>
            </w:tcBorders>
            <w:vAlign w:val="center"/>
          </w:tcPr>
          <w:p w14:paraId="6006322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0.0065</w:t>
            </w:r>
          </w:p>
        </w:tc>
        <w:tc>
          <w:tcPr>
            <w:tcW w:w="2523" w:type="dxa"/>
            <w:tcBorders>
              <w:tl2br w:val="nil"/>
              <w:tr2bl w:val="nil"/>
            </w:tcBorders>
            <w:vAlign w:val="center"/>
          </w:tcPr>
          <w:p w14:paraId="2F8A524B">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0.0007</w:t>
            </w:r>
          </w:p>
        </w:tc>
      </w:tr>
      <w:tr w14:paraId="0C3CEDE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6381F7A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200.0</w:t>
            </w:r>
          </w:p>
        </w:tc>
        <w:tc>
          <w:tcPr>
            <w:tcW w:w="3162" w:type="dxa"/>
            <w:tcBorders>
              <w:tl2br w:val="nil"/>
              <w:tr2bl w:val="nil"/>
            </w:tcBorders>
            <w:vAlign w:val="center"/>
          </w:tcPr>
          <w:p w14:paraId="37FAC25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0.0082</w:t>
            </w:r>
          </w:p>
        </w:tc>
        <w:tc>
          <w:tcPr>
            <w:tcW w:w="2523" w:type="dxa"/>
            <w:tcBorders>
              <w:tl2br w:val="nil"/>
              <w:tr2bl w:val="nil"/>
            </w:tcBorders>
            <w:vAlign w:val="center"/>
          </w:tcPr>
          <w:p w14:paraId="5562D24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0.0009</w:t>
            </w:r>
          </w:p>
        </w:tc>
      </w:tr>
      <w:tr w14:paraId="4ABD575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CBD804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300.0</w:t>
            </w:r>
          </w:p>
        </w:tc>
        <w:tc>
          <w:tcPr>
            <w:tcW w:w="3162" w:type="dxa"/>
            <w:tcBorders>
              <w:tl2br w:val="nil"/>
              <w:tr2bl w:val="nil"/>
            </w:tcBorders>
            <w:vAlign w:val="center"/>
          </w:tcPr>
          <w:p w14:paraId="50E279B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0.0062</w:t>
            </w:r>
          </w:p>
        </w:tc>
        <w:tc>
          <w:tcPr>
            <w:tcW w:w="2523" w:type="dxa"/>
            <w:tcBorders>
              <w:tl2br w:val="nil"/>
              <w:tr2bl w:val="nil"/>
            </w:tcBorders>
            <w:vAlign w:val="center"/>
          </w:tcPr>
          <w:p w14:paraId="37707FD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0.0007</w:t>
            </w:r>
          </w:p>
        </w:tc>
      </w:tr>
      <w:tr w14:paraId="08062C5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59E60D8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400.0</w:t>
            </w:r>
          </w:p>
        </w:tc>
        <w:tc>
          <w:tcPr>
            <w:tcW w:w="3162" w:type="dxa"/>
            <w:tcBorders>
              <w:tl2br w:val="nil"/>
              <w:tr2bl w:val="nil"/>
            </w:tcBorders>
            <w:vAlign w:val="center"/>
          </w:tcPr>
          <w:p w14:paraId="3BEF969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0.0053</w:t>
            </w:r>
          </w:p>
        </w:tc>
        <w:tc>
          <w:tcPr>
            <w:tcW w:w="2523" w:type="dxa"/>
            <w:tcBorders>
              <w:tl2br w:val="nil"/>
              <w:tr2bl w:val="nil"/>
            </w:tcBorders>
            <w:vAlign w:val="center"/>
          </w:tcPr>
          <w:p w14:paraId="37D971E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0.0006</w:t>
            </w:r>
          </w:p>
        </w:tc>
      </w:tr>
      <w:tr w14:paraId="145BAAA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707E004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500.0</w:t>
            </w:r>
          </w:p>
        </w:tc>
        <w:tc>
          <w:tcPr>
            <w:tcW w:w="3162" w:type="dxa"/>
            <w:tcBorders>
              <w:tl2br w:val="nil"/>
              <w:tr2bl w:val="nil"/>
            </w:tcBorders>
            <w:vAlign w:val="center"/>
          </w:tcPr>
          <w:p w14:paraId="06DB4FDB">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0.0044</w:t>
            </w:r>
          </w:p>
        </w:tc>
        <w:tc>
          <w:tcPr>
            <w:tcW w:w="2523" w:type="dxa"/>
            <w:tcBorders>
              <w:tl2br w:val="nil"/>
              <w:tr2bl w:val="nil"/>
            </w:tcBorders>
            <w:vAlign w:val="center"/>
          </w:tcPr>
          <w:p w14:paraId="601F53C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0.0005</w:t>
            </w:r>
          </w:p>
        </w:tc>
      </w:tr>
      <w:tr w14:paraId="2998E7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33CE531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600.0</w:t>
            </w:r>
          </w:p>
        </w:tc>
        <w:tc>
          <w:tcPr>
            <w:tcW w:w="3162" w:type="dxa"/>
            <w:tcBorders>
              <w:tl2br w:val="nil"/>
              <w:tr2bl w:val="nil"/>
            </w:tcBorders>
            <w:vAlign w:val="center"/>
          </w:tcPr>
          <w:p w14:paraId="0904B54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0.0038</w:t>
            </w:r>
          </w:p>
        </w:tc>
        <w:tc>
          <w:tcPr>
            <w:tcW w:w="2523" w:type="dxa"/>
            <w:tcBorders>
              <w:tl2br w:val="nil"/>
              <w:tr2bl w:val="nil"/>
            </w:tcBorders>
            <w:vAlign w:val="center"/>
          </w:tcPr>
          <w:p w14:paraId="4779AFE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0.0004</w:t>
            </w:r>
          </w:p>
        </w:tc>
      </w:tr>
      <w:tr w14:paraId="583FB94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1BA4998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700.0</w:t>
            </w:r>
          </w:p>
        </w:tc>
        <w:tc>
          <w:tcPr>
            <w:tcW w:w="3162" w:type="dxa"/>
            <w:tcBorders>
              <w:tl2br w:val="nil"/>
              <w:tr2bl w:val="nil"/>
            </w:tcBorders>
            <w:vAlign w:val="center"/>
          </w:tcPr>
          <w:p w14:paraId="314DAEB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0.0033</w:t>
            </w:r>
          </w:p>
        </w:tc>
        <w:tc>
          <w:tcPr>
            <w:tcW w:w="2523" w:type="dxa"/>
            <w:tcBorders>
              <w:tl2br w:val="nil"/>
              <w:tr2bl w:val="nil"/>
            </w:tcBorders>
            <w:vAlign w:val="center"/>
          </w:tcPr>
          <w:p w14:paraId="1A030B2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0.0004</w:t>
            </w:r>
          </w:p>
        </w:tc>
      </w:tr>
      <w:tr w14:paraId="00B5A49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E78BEC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800.0</w:t>
            </w:r>
          </w:p>
        </w:tc>
        <w:tc>
          <w:tcPr>
            <w:tcW w:w="3162" w:type="dxa"/>
            <w:tcBorders>
              <w:tl2br w:val="nil"/>
              <w:tr2bl w:val="nil"/>
            </w:tcBorders>
            <w:vAlign w:val="center"/>
          </w:tcPr>
          <w:p w14:paraId="2517EADD">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0.0029</w:t>
            </w:r>
          </w:p>
        </w:tc>
        <w:tc>
          <w:tcPr>
            <w:tcW w:w="2523" w:type="dxa"/>
            <w:tcBorders>
              <w:tl2br w:val="nil"/>
              <w:tr2bl w:val="nil"/>
            </w:tcBorders>
            <w:vAlign w:val="center"/>
          </w:tcPr>
          <w:p w14:paraId="1E77CE9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0.0003</w:t>
            </w:r>
          </w:p>
        </w:tc>
      </w:tr>
      <w:tr w14:paraId="616C296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3A879A2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900.0</w:t>
            </w:r>
          </w:p>
        </w:tc>
        <w:tc>
          <w:tcPr>
            <w:tcW w:w="3162" w:type="dxa"/>
            <w:tcBorders>
              <w:tl2br w:val="nil"/>
              <w:tr2bl w:val="nil"/>
            </w:tcBorders>
            <w:vAlign w:val="center"/>
          </w:tcPr>
          <w:p w14:paraId="7B7D740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0.0040</w:t>
            </w:r>
          </w:p>
        </w:tc>
        <w:tc>
          <w:tcPr>
            <w:tcW w:w="2523" w:type="dxa"/>
            <w:tcBorders>
              <w:tl2br w:val="nil"/>
              <w:tr2bl w:val="nil"/>
            </w:tcBorders>
            <w:vAlign w:val="center"/>
          </w:tcPr>
          <w:p w14:paraId="2E48011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0.0004</w:t>
            </w:r>
          </w:p>
        </w:tc>
      </w:tr>
      <w:tr w14:paraId="26903B9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09265D6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1000.0</w:t>
            </w:r>
          </w:p>
        </w:tc>
        <w:tc>
          <w:tcPr>
            <w:tcW w:w="3162" w:type="dxa"/>
            <w:tcBorders>
              <w:tl2br w:val="nil"/>
              <w:tr2bl w:val="nil"/>
            </w:tcBorders>
            <w:vAlign w:val="center"/>
          </w:tcPr>
          <w:p w14:paraId="49D909D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0.0035</w:t>
            </w:r>
          </w:p>
        </w:tc>
        <w:tc>
          <w:tcPr>
            <w:tcW w:w="2523" w:type="dxa"/>
            <w:tcBorders>
              <w:tl2br w:val="nil"/>
              <w:tr2bl w:val="nil"/>
            </w:tcBorders>
            <w:vAlign w:val="center"/>
          </w:tcPr>
          <w:p w14:paraId="23AA6A2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0.0004</w:t>
            </w:r>
          </w:p>
        </w:tc>
      </w:tr>
      <w:tr w14:paraId="0EEE02C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6550C1A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1200.0</w:t>
            </w:r>
          </w:p>
        </w:tc>
        <w:tc>
          <w:tcPr>
            <w:tcW w:w="3162" w:type="dxa"/>
            <w:tcBorders>
              <w:tl2br w:val="nil"/>
              <w:tr2bl w:val="nil"/>
            </w:tcBorders>
            <w:vAlign w:val="center"/>
          </w:tcPr>
          <w:p w14:paraId="4BB879B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0.0035</w:t>
            </w:r>
          </w:p>
        </w:tc>
        <w:tc>
          <w:tcPr>
            <w:tcW w:w="2523" w:type="dxa"/>
            <w:tcBorders>
              <w:tl2br w:val="nil"/>
              <w:tr2bl w:val="nil"/>
            </w:tcBorders>
            <w:vAlign w:val="center"/>
          </w:tcPr>
          <w:p w14:paraId="6FC8AC6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0.0004</w:t>
            </w:r>
          </w:p>
        </w:tc>
      </w:tr>
      <w:tr w14:paraId="41F04D8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7FE9B53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1400.0</w:t>
            </w:r>
          </w:p>
        </w:tc>
        <w:tc>
          <w:tcPr>
            <w:tcW w:w="3162" w:type="dxa"/>
            <w:tcBorders>
              <w:tl2br w:val="nil"/>
              <w:tr2bl w:val="nil"/>
            </w:tcBorders>
            <w:vAlign w:val="center"/>
          </w:tcPr>
          <w:p w14:paraId="2A92FF5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0.0030</w:t>
            </w:r>
          </w:p>
        </w:tc>
        <w:tc>
          <w:tcPr>
            <w:tcW w:w="2523" w:type="dxa"/>
            <w:tcBorders>
              <w:tl2br w:val="nil"/>
              <w:tr2bl w:val="nil"/>
            </w:tcBorders>
            <w:vAlign w:val="center"/>
          </w:tcPr>
          <w:p w14:paraId="12BCA94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0.0003</w:t>
            </w:r>
          </w:p>
        </w:tc>
      </w:tr>
      <w:tr w14:paraId="77CDBFA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1E6A6A3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1600.0</w:t>
            </w:r>
          </w:p>
        </w:tc>
        <w:tc>
          <w:tcPr>
            <w:tcW w:w="3162" w:type="dxa"/>
            <w:tcBorders>
              <w:tl2br w:val="nil"/>
              <w:tr2bl w:val="nil"/>
            </w:tcBorders>
            <w:vAlign w:val="center"/>
          </w:tcPr>
          <w:p w14:paraId="7890AB6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0.0029</w:t>
            </w:r>
          </w:p>
        </w:tc>
        <w:tc>
          <w:tcPr>
            <w:tcW w:w="2523" w:type="dxa"/>
            <w:tcBorders>
              <w:tl2br w:val="nil"/>
              <w:tr2bl w:val="nil"/>
            </w:tcBorders>
            <w:vAlign w:val="center"/>
          </w:tcPr>
          <w:p w14:paraId="4FE5262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0.0003</w:t>
            </w:r>
          </w:p>
        </w:tc>
      </w:tr>
      <w:tr w14:paraId="38FD6DF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19A684D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1800.0</w:t>
            </w:r>
          </w:p>
        </w:tc>
        <w:tc>
          <w:tcPr>
            <w:tcW w:w="3162" w:type="dxa"/>
            <w:tcBorders>
              <w:tl2br w:val="nil"/>
              <w:tr2bl w:val="nil"/>
            </w:tcBorders>
            <w:vAlign w:val="center"/>
          </w:tcPr>
          <w:p w14:paraId="6C8068C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0.0026</w:t>
            </w:r>
          </w:p>
        </w:tc>
        <w:tc>
          <w:tcPr>
            <w:tcW w:w="2523" w:type="dxa"/>
            <w:tcBorders>
              <w:tl2br w:val="nil"/>
              <w:tr2bl w:val="nil"/>
            </w:tcBorders>
            <w:vAlign w:val="center"/>
          </w:tcPr>
          <w:p w14:paraId="4E28314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0.0003</w:t>
            </w:r>
          </w:p>
        </w:tc>
      </w:tr>
      <w:tr w14:paraId="39E9FF8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1F95562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2000.0</w:t>
            </w:r>
          </w:p>
        </w:tc>
        <w:tc>
          <w:tcPr>
            <w:tcW w:w="3162" w:type="dxa"/>
            <w:tcBorders>
              <w:tl2br w:val="nil"/>
              <w:tr2bl w:val="nil"/>
            </w:tcBorders>
            <w:vAlign w:val="center"/>
          </w:tcPr>
          <w:p w14:paraId="2E176FCB">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0.0022</w:t>
            </w:r>
          </w:p>
        </w:tc>
        <w:tc>
          <w:tcPr>
            <w:tcW w:w="2523" w:type="dxa"/>
            <w:tcBorders>
              <w:tl2br w:val="nil"/>
              <w:tr2bl w:val="nil"/>
            </w:tcBorders>
            <w:vAlign w:val="center"/>
          </w:tcPr>
          <w:p w14:paraId="1E86F4B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0.0002</w:t>
            </w:r>
          </w:p>
        </w:tc>
      </w:tr>
      <w:tr w14:paraId="0025ABB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5E7D491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2500.0</w:t>
            </w:r>
          </w:p>
        </w:tc>
        <w:tc>
          <w:tcPr>
            <w:tcW w:w="3162" w:type="dxa"/>
            <w:tcBorders>
              <w:tl2br w:val="nil"/>
              <w:tr2bl w:val="nil"/>
            </w:tcBorders>
            <w:vAlign w:val="center"/>
          </w:tcPr>
          <w:p w14:paraId="37726CA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0.0017</w:t>
            </w:r>
          </w:p>
        </w:tc>
        <w:tc>
          <w:tcPr>
            <w:tcW w:w="2523" w:type="dxa"/>
            <w:tcBorders>
              <w:tl2br w:val="nil"/>
              <w:tr2bl w:val="nil"/>
            </w:tcBorders>
            <w:vAlign w:val="center"/>
          </w:tcPr>
          <w:p w14:paraId="7CDEC66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0.0002</w:t>
            </w:r>
          </w:p>
        </w:tc>
      </w:tr>
      <w:tr w14:paraId="5021A57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2A3A0FD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3000.0</w:t>
            </w:r>
          </w:p>
        </w:tc>
        <w:tc>
          <w:tcPr>
            <w:tcW w:w="3162" w:type="dxa"/>
            <w:tcBorders>
              <w:tl2br w:val="nil"/>
              <w:tr2bl w:val="nil"/>
            </w:tcBorders>
            <w:vAlign w:val="center"/>
          </w:tcPr>
          <w:p w14:paraId="2F5AAFD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0.0015</w:t>
            </w:r>
          </w:p>
        </w:tc>
        <w:tc>
          <w:tcPr>
            <w:tcW w:w="2523" w:type="dxa"/>
            <w:tcBorders>
              <w:tl2br w:val="nil"/>
              <w:tr2bl w:val="nil"/>
            </w:tcBorders>
            <w:vAlign w:val="center"/>
          </w:tcPr>
          <w:p w14:paraId="70C703A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0.0002</w:t>
            </w:r>
          </w:p>
        </w:tc>
      </w:tr>
      <w:tr w14:paraId="486E6F5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0287B4D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3500.0</w:t>
            </w:r>
          </w:p>
        </w:tc>
        <w:tc>
          <w:tcPr>
            <w:tcW w:w="3162" w:type="dxa"/>
            <w:tcBorders>
              <w:tl2br w:val="nil"/>
              <w:tr2bl w:val="nil"/>
            </w:tcBorders>
            <w:vAlign w:val="center"/>
          </w:tcPr>
          <w:p w14:paraId="67A3B28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0.0013</w:t>
            </w:r>
          </w:p>
        </w:tc>
        <w:tc>
          <w:tcPr>
            <w:tcW w:w="2523" w:type="dxa"/>
            <w:tcBorders>
              <w:tl2br w:val="nil"/>
              <w:tr2bl w:val="nil"/>
            </w:tcBorders>
            <w:vAlign w:val="center"/>
          </w:tcPr>
          <w:p w14:paraId="2899BD7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0.0001</w:t>
            </w:r>
          </w:p>
        </w:tc>
      </w:tr>
      <w:tr w14:paraId="26AF618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21C890E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4000.0</w:t>
            </w:r>
          </w:p>
        </w:tc>
        <w:tc>
          <w:tcPr>
            <w:tcW w:w="3162" w:type="dxa"/>
            <w:tcBorders>
              <w:tl2br w:val="nil"/>
              <w:tr2bl w:val="nil"/>
            </w:tcBorders>
            <w:vAlign w:val="center"/>
          </w:tcPr>
          <w:p w14:paraId="7E27D7C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0.0012</w:t>
            </w:r>
          </w:p>
        </w:tc>
        <w:tc>
          <w:tcPr>
            <w:tcW w:w="2523" w:type="dxa"/>
            <w:tcBorders>
              <w:tl2br w:val="nil"/>
              <w:tr2bl w:val="nil"/>
            </w:tcBorders>
            <w:vAlign w:val="center"/>
          </w:tcPr>
          <w:p w14:paraId="74F0027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0.0001</w:t>
            </w:r>
          </w:p>
        </w:tc>
      </w:tr>
      <w:tr w14:paraId="079D4ED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6C9A2793">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4500.0</w:t>
            </w:r>
          </w:p>
        </w:tc>
        <w:tc>
          <w:tcPr>
            <w:tcW w:w="3162" w:type="dxa"/>
            <w:tcBorders>
              <w:tl2br w:val="nil"/>
              <w:tr2bl w:val="nil"/>
            </w:tcBorders>
            <w:vAlign w:val="center"/>
          </w:tcPr>
          <w:p w14:paraId="42DC633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0.0011</w:t>
            </w:r>
          </w:p>
        </w:tc>
        <w:tc>
          <w:tcPr>
            <w:tcW w:w="2523" w:type="dxa"/>
            <w:tcBorders>
              <w:tl2br w:val="nil"/>
              <w:tr2bl w:val="nil"/>
            </w:tcBorders>
            <w:vAlign w:val="center"/>
          </w:tcPr>
          <w:p w14:paraId="68E37DFD">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0.0001</w:t>
            </w:r>
          </w:p>
        </w:tc>
      </w:tr>
      <w:tr w14:paraId="0A8FC70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3B70F95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5000.0</w:t>
            </w:r>
          </w:p>
        </w:tc>
        <w:tc>
          <w:tcPr>
            <w:tcW w:w="3162" w:type="dxa"/>
            <w:tcBorders>
              <w:tl2br w:val="nil"/>
              <w:tr2bl w:val="nil"/>
            </w:tcBorders>
            <w:vAlign w:val="center"/>
          </w:tcPr>
          <w:p w14:paraId="603AF4B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0.0010</w:t>
            </w:r>
          </w:p>
        </w:tc>
        <w:tc>
          <w:tcPr>
            <w:tcW w:w="2523" w:type="dxa"/>
            <w:tcBorders>
              <w:tl2br w:val="nil"/>
              <w:tr2bl w:val="nil"/>
            </w:tcBorders>
            <w:vAlign w:val="center"/>
          </w:tcPr>
          <w:p w14:paraId="489D652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0.0001</w:t>
            </w:r>
          </w:p>
        </w:tc>
      </w:tr>
      <w:tr w14:paraId="62AF87C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3A9403C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10000.0</w:t>
            </w:r>
          </w:p>
        </w:tc>
        <w:tc>
          <w:tcPr>
            <w:tcW w:w="3162" w:type="dxa"/>
            <w:tcBorders>
              <w:tl2br w:val="nil"/>
              <w:tr2bl w:val="nil"/>
            </w:tcBorders>
            <w:vAlign w:val="center"/>
          </w:tcPr>
          <w:p w14:paraId="7B9CC9A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0.0005</w:t>
            </w:r>
          </w:p>
        </w:tc>
        <w:tc>
          <w:tcPr>
            <w:tcW w:w="2523" w:type="dxa"/>
            <w:tcBorders>
              <w:tl2br w:val="nil"/>
              <w:tr2bl w:val="nil"/>
            </w:tcBorders>
            <w:vAlign w:val="center"/>
          </w:tcPr>
          <w:p w14:paraId="237B5B4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0.0001</w:t>
            </w:r>
          </w:p>
        </w:tc>
      </w:tr>
      <w:tr w14:paraId="5473A64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1EDDFA9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11000.0</w:t>
            </w:r>
          </w:p>
        </w:tc>
        <w:tc>
          <w:tcPr>
            <w:tcW w:w="3162" w:type="dxa"/>
            <w:tcBorders>
              <w:tl2br w:val="nil"/>
              <w:tr2bl w:val="nil"/>
            </w:tcBorders>
            <w:vAlign w:val="center"/>
          </w:tcPr>
          <w:p w14:paraId="64971EB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0.0005</w:t>
            </w:r>
          </w:p>
        </w:tc>
        <w:tc>
          <w:tcPr>
            <w:tcW w:w="2523" w:type="dxa"/>
            <w:tcBorders>
              <w:tl2br w:val="nil"/>
              <w:tr2bl w:val="nil"/>
            </w:tcBorders>
            <w:vAlign w:val="center"/>
          </w:tcPr>
          <w:p w14:paraId="0114F9A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0.0001</w:t>
            </w:r>
          </w:p>
        </w:tc>
      </w:tr>
      <w:tr w14:paraId="18FD8D6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97507F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12000.0</w:t>
            </w:r>
          </w:p>
        </w:tc>
        <w:tc>
          <w:tcPr>
            <w:tcW w:w="3162" w:type="dxa"/>
            <w:tcBorders>
              <w:tl2br w:val="nil"/>
              <w:tr2bl w:val="nil"/>
            </w:tcBorders>
            <w:vAlign w:val="center"/>
          </w:tcPr>
          <w:p w14:paraId="39B46C5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0.0004</w:t>
            </w:r>
          </w:p>
        </w:tc>
        <w:tc>
          <w:tcPr>
            <w:tcW w:w="2523" w:type="dxa"/>
            <w:tcBorders>
              <w:tl2br w:val="nil"/>
              <w:tr2bl w:val="nil"/>
            </w:tcBorders>
            <w:vAlign w:val="center"/>
          </w:tcPr>
          <w:p w14:paraId="113579B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0.0000</w:t>
            </w:r>
          </w:p>
        </w:tc>
      </w:tr>
      <w:tr w14:paraId="7401CF6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2089D0E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13000.0</w:t>
            </w:r>
          </w:p>
        </w:tc>
        <w:tc>
          <w:tcPr>
            <w:tcW w:w="3162" w:type="dxa"/>
            <w:tcBorders>
              <w:tl2br w:val="nil"/>
              <w:tr2bl w:val="nil"/>
            </w:tcBorders>
            <w:vAlign w:val="center"/>
          </w:tcPr>
          <w:p w14:paraId="5B254EF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0.0004</w:t>
            </w:r>
          </w:p>
        </w:tc>
        <w:tc>
          <w:tcPr>
            <w:tcW w:w="2523" w:type="dxa"/>
            <w:tcBorders>
              <w:tl2br w:val="nil"/>
              <w:tr2bl w:val="nil"/>
            </w:tcBorders>
            <w:vAlign w:val="center"/>
          </w:tcPr>
          <w:p w14:paraId="6C874254">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0.0000</w:t>
            </w:r>
          </w:p>
        </w:tc>
      </w:tr>
      <w:tr w14:paraId="1F44B0D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2DD7E190">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14000.0</w:t>
            </w:r>
          </w:p>
        </w:tc>
        <w:tc>
          <w:tcPr>
            <w:tcW w:w="3162" w:type="dxa"/>
            <w:tcBorders>
              <w:tl2br w:val="nil"/>
              <w:tr2bl w:val="nil"/>
            </w:tcBorders>
            <w:vAlign w:val="center"/>
          </w:tcPr>
          <w:p w14:paraId="398739D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0.0004</w:t>
            </w:r>
          </w:p>
        </w:tc>
        <w:tc>
          <w:tcPr>
            <w:tcW w:w="2523" w:type="dxa"/>
            <w:tcBorders>
              <w:tl2br w:val="nil"/>
              <w:tr2bl w:val="nil"/>
            </w:tcBorders>
            <w:vAlign w:val="center"/>
          </w:tcPr>
          <w:p w14:paraId="3326CD6A">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0.0000</w:t>
            </w:r>
          </w:p>
        </w:tc>
      </w:tr>
      <w:tr w14:paraId="6EE5B1A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6F67DA9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15000.0</w:t>
            </w:r>
          </w:p>
        </w:tc>
        <w:tc>
          <w:tcPr>
            <w:tcW w:w="3162" w:type="dxa"/>
            <w:tcBorders>
              <w:tl2br w:val="nil"/>
              <w:tr2bl w:val="nil"/>
            </w:tcBorders>
            <w:vAlign w:val="center"/>
          </w:tcPr>
          <w:p w14:paraId="462F3EF2">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0.0003</w:t>
            </w:r>
          </w:p>
        </w:tc>
        <w:tc>
          <w:tcPr>
            <w:tcW w:w="2523" w:type="dxa"/>
            <w:tcBorders>
              <w:tl2br w:val="nil"/>
              <w:tr2bl w:val="nil"/>
            </w:tcBorders>
            <w:vAlign w:val="center"/>
          </w:tcPr>
          <w:p w14:paraId="36053BEB">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0.0000</w:t>
            </w:r>
          </w:p>
        </w:tc>
      </w:tr>
      <w:tr w14:paraId="0F4B737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4C88C37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20000.0</w:t>
            </w:r>
          </w:p>
        </w:tc>
        <w:tc>
          <w:tcPr>
            <w:tcW w:w="3162" w:type="dxa"/>
            <w:tcBorders>
              <w:tl2br w:val="nil"/>
              <w:tr2bl w:val="nil"/>
            </w:tcBorders>
            <w:vAlign w:val="center"/>
          </w:tcPr>
          <w:p w14:paraId="65DDB16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0.0002</w:t>
            </w:r>
          </w:p>
        </w:tc>
        <w:tc>
          <w:tcPr>
            <w:tcW w:w="2523" w:type="dxa"/>
            <w:tcBorders>
              <w:tl2br w:val="nil"/>
              <w:tr2bl w:val="nil"/>
            </w:tcBorders>
            <w:vAlign w:val="center"/>
          </w:tcPr>
          <w:p w14:paraId="7425CC98">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0.0000</w:t>
            </w:r>
          </w:p>
        </w:tc>
      </w:tr>
      <w:tr w14:paraId="0ECED4C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0351C80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25000.0</w:t>
            </w:r>
          </w:p>
        </w:tc>
        <w:tc>
          <w:tcPr>
            <w:tcW w:w="3162" w:type="dxa"/>
            <w:tcBorders>
              <w:tl2br w:val="nil"/>
              <w:tr2bl w:val="nil"/>
            </w:tcBorders>
            <w:vAlign w:val="center"/>
          </w:tcPr>
          <w:p w14:paraId="5CDA0AAC">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0.0002</w:t>
            </w:r>
          </w:p>
        </w:tc>
        <w:tc>
          <w:tcPr>
            <w:tcW w:w="2523" w:type="dxa"/>
            <w:tcBorders>
              <w:tl2br w:val="nil"/>
              <w:tr2bl w:val="nil"/>
            </w:tcBorders>
            <w:vAlign w:val="center"/>
          </w:tcPr>
          <w:p w14:paraId="6F64086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0.0000</w:t>
            </w:r>
          </w:p>
        </w:tc>
      </w:tr>
      <w:tr w14:paraId="04A448E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7793484F">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下风向最大浓度</w:t>
            </w:r>
          </w:p>
        </w:tc>
        <w:tc>
          <w:tcPr>
            <w:tcW w:w="3162" w:type="dxa"/>
            <w:tcBorders>
              <w:tl2br w:val="nil"/>
              <w:tr2bl w:val="nil"/>
            </w:tcBorders>
            <w:vAlign w:val="center"/>
          </w:tcPr>
          <w:p w14:paraId="231A36E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0.0089</w:t>
            </w:r>
          </w:p>
        </w:tc>
        <w:tc>
          <w:tcPr>
            <w:tcW w:w="2523" w:type="dxa"/>
            <w:tcBorders>
              <w:tl2br w:val="nil"/>
              <w:tr2bl w:val="nil"/>
            </w:tcBorders>
            <w:vAlign w:val="center"/>
          </w:tcPr>
          <w:p w14:paraId="533E58A1">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0.0010</w:t>
            </w:r>
          </w:p>
        </w:tc>
      </w:tr>
      <w:tr w14:paraId="6FF3925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6DCF041B">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下风向最大浓度出现距离</w:t>
            </w:r>
          </w:p>
        </w:tc>
        <w:tc>
          <w:tcPr>
            <w:tcW w:w="3162" w:type="dxa"/>
            <w:tcBorders>
              <w:tl2br w:val="nil"/>
              <w:tr2bl w:val="nil"/>
            </w:tcBorders>
            <w:vAlign w:val="center"/>
          </w:tcPr>
          <w:p w14:paraId="49936969">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154.0</w:t>
            </w:r>
          </w:p>
        </w:tc>
        <w:tc>
          <w:tcPr>
            <w:tcW w:w="2523" w:type="dxa"/>
            <w:tcBorders>
              <w:tl2br w:val="nil"/>
              <w:tr2bl w:val="nil"/>
            </w:tcBorders>
            <w:vAlign w:val="center"/>
          </w:tcPr>
          <w:p w14:paraId="5915CF7E">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154.0</w:t>
            </w:r>
          </w:p>
        </w:tc>
      </w:tr>
      <w:tr w14:paraId="50565A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842" w:type="dxa"/>
            <w:tcBorders>
              <w:tl2br w:val="nil"/>
              <w:tr2bl w:val="nil"/>
            </w:tcBorders>
            <w:vAlign w:val="center"/>
          </w:tcPr>
          <w:p w14:paraId="39182EE5">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D10%最远距离</w:t>
            </w:r>
          </w:p>
        </w:tc>
        <w:tc>
          <w:tcPr>
            <w:tcW w:w="3162" w:type="dxa"/>
            <w:tcBorders>
              <w:tl2br w:val="nil"/>
              <w:tr2bl w:val="nil"/>
            </w:tcBorders>
            <w:vAlign w:val="center"/>
          </w:tcPr>
          <w:p w14:paraId="029DD5E7">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w:t>
            </w:r>
          </w:p>
        </w:tc>
        <w:tc>
          <w:tcPr>
            <w:tcW w:w="2523" w:type="dxa"/>
            <w:tcBorders>
              <w:tl2br w:val="nil"/>
              <w:tr2bl w:val="nil"/>
            </w:tcBorders>
            <w:vAlign w:val="center"/>
          </w:tcPr>
          <w:p w14:paraId="64B9BAA6">
            <w:pPr>
              <w:keepNext w:val="0"/>
              <w:keepLines w:val="0"/>
              <w:pageBreakBefore w:val="0"/>
              <w:widowControl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b w:val="0"/>
                <w:color w:val="auto"/>
                <w:sz w:val="21"/>
                <w:szCs w:val="21"/>
              </w:rPr>
              <w:t>/</w:t>
            </w:r>
          </w:p>
        </w:tc>
      </w:tr>
    </w:tbl>
    <w:p w14:paraId="160F94B1">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b/>
          <w:bCs/>
          <w:color w:val="auto"/>
          <w:sz w:val="24"/>
          <w:u w:val="single"/>
        </w:rPr>
      </w:pPr>
      <w:r>
        <w:rPr>
          <w:rFonts w:hint="default" w:ascii="Times New Roman" w:hAnsi="Times New Roman" w:cs="Times New Roman"/>
          <w:b w:val="0"/>
          <w:bCs/>
          <w:color w:val="auto"/>
          <w:sz w:val="24"/>
          <w:u w:val="none"/>
          <w:lang w:val="en-US" w:eastAsia="zh-CN"/>
        </w:rPr>
        <w:t>由估算结果可知，本项目P</w:t>
      </w:r>
      <w:r>
        <w:rPr>
          <w:rFonts w:hint="default" w:ascii="Times New Roman" w:hAnsi="Times New Roman" w:cs="Times New Roman"/>
          <w:b w:val="0"/>
          <w:bCs/>
          <w:color w:val="auto"/>
          <w:sz w:val="24"/>
          <w:u w:val="none"/>
          <w:vertAlign w:val="subscript"/>
          <w:lang w:val="en-US" w:eastAsia="zh-CN"/>
        </w:rPr>
        <w:t>max</w:t>
      </w:r>
      <w:r>
        <w:rPr>
          <w:rFonts w:hint="default" w:ascii="Times New Roman" w:hAnsi="Times New Roman" w:cs="Times New Roman"/>
          <w:b w:val="0"/>
          <w:bCs/>
          <w:color w:val="auto"/>
          <w:sz w:val="24"/>
          <w:u w:val="none"/>
          <w:lang w:val="en-US" w:eastAsia="zh-CN"/>
        </w:rPr>
        <w:t>最大值出现为点源排放的TSP</w:t>
      </w:r>
      <w:r>
        <w:rPr>
          <w:rFonts w:hint="eastAsia" w:cs="Times New Roman"/>
          <w:b w:val="0"/>
          <w:bCs/>
          <w:color w:val="auto"/>
          <w:sz w:val="24"/>
          <w:u w:val="none"/>
          <w:lang w:val="en-US" w:eastAsia="zh-CN"/>
        </w:rPr>
        <w:t xml:space="preserve"> </w:t>
      </w:r>
      <w:r>
        <w:rPr>
          <w:rFonts w:hint="default" w:ascii="Times New Roman" w:hAnsi="Times New Roman" w:cs="Times New Roman"/>
          <w:b w:val="0"/>
          <w:bCs/>
          <w:color w:val="auto"/>
          <w:sz w:val="24"/>
          <w:u w:val="none"/>
          <w:lang w:val="en-US" w:eastAsia="zh-CN"/>
        </w:rPr>
        <w:t>P</w:t>
      </w:r>
      <w:r>
        <w:rPr>
          <w:rFonts w:hint="default" w:ascii="Times New Roman" w:hAnsi="Times New Roman" w:cs="Times New Roman"/>
          <w:b w:val="0"/>
          <w:bCs/>
          <w:color w:val="auto"/>
          <w:sz w:val="24"/>
          <w:u w:val="none"/>
          <w:vertAlign w:val="subscript"/>
          <w:lang w:val="en-US" w:eastAsia="zh-CN"/>
        </w:rPr>
        <w:t>max</w:t>
      </w:r>
      <w:r>
        <w:rPr>
          <w:rFonts w:hint="default" w:ascii="Times New Roman" w:hAnsi="Times New Roman" w:cs="Times New Roman"/>
          <w:b w:val="0"/>
          <w:bCs/>
          <w:color w:val="auto"/>
          <w:sz w:val="24"/>
          <w:u w:val="none"/>
          <w:lang w:val="en-US" w:eastAsia="zh-CN"/>
        </w:rPr>
        <w:t>值为0.5544%，C</w:t>
      </w:r>
      <w:r>
        <w:rPr>
          <w:rFonts w:hint="default" w:ascii="Times New Roman" w:hAnsi="Times New Roman" w:cs="Times New Roman"/>
          <w:b w:val="0"/>
          <w:bCs/>
          <w:color w:val="auto"/>
          <w:sz w:val="24"/>
          <w:u w:val="none"/>
          <w:vertAlign w:val="subscript"/>
          <w:lang w:val="en-US" w:eastAsia="zh-CN"/>
        </w:rPr>
        <w:t>max</w:t>
      </w:r>
      <w:r>
        <w:rPr>
          <w:rFonts w:hint="default" w:ascii="Times New Roman" w:hAnsi="Times New Roman" w:cs="Times New Roman"/>
          <w:b w:val="0"/>
          <w:bCs/>
          <w:color w:val="auto"/>
          <w:sz w:val="24"/>
          <w:u w:val="none"/>
          <w:lang w:val="en-US" w:eastAsia="zh-CN"/>
        </w:rPr>
        <w:t>为4.9892μg/m</w:t>
      </w:r>
      <w:r>
        <w:rPr>
          <w:rFonts w:hint="eastAsia" w:cs="Times New Roman"/>
          <w:b w:val="0"/>
          <w:bCs/>
          <w:color w:val="auto"/>
          <w:sz w:val="24"/>
          <w:u w:val="none"/>
          <w:vertAlign w:val="superscript"/>
          <w:lang w:val="en-US" w:eastAsia="zh-CN"/>
        </w:rPr>
        <w:t>3</w:t>
      </w:r>
      <w:r>
        <w:rPr>
          <w:rFonts w:hint="default" w:ascii="Times New Roman" w:hAnsi="Times New Roman" w:cs="Times New Roman"/>
          <w:b w:val="0"/>
          <w:bCs/>
          <w:color w:val="auto"/>
          <w:sz w:val="24"/>
          <w:u w:val="none"/>
          <w:lang w:val="en-US" w:eastAsia="zh-CN"/>
        </w:rPr>
        <w:t>，</w:t>
      </w:r>
      <w:r>
        <w:rPr>
          <w:rFonts w:ascii="宋体" w:hAnsi="宋体" w:eastAsia="宋体" w:cs="宋体"/>
          <w:b w:val="0"/>
          <w:color w:val="auto"/>
          <w:sz w:val="24"/>
        </w:rPr>
        <w:t>确定本项目大气环境影响评价工作等级为三级</w:t>
      </w:r>
      <w:r>
        <w:rPr>
          <w:rFonts w:hint="default" w:ascii="Times New Roman" w:hAnsi="Times New Roman" w:cs="Times New Roman"/>
          <w:b w:val="0"/>
          <w:bCs/>
          <w:color w:val="auto"/>
          <w:sz w:val="24"/>
          <w:u w:val="none"/>
          <w:lang w:val="en-US" w:eastAsia="zh-CN"/>
        </w:rPr>
        <w:t>根据《环境影响评价技术导则 大气环境》（HJ2.2-2018）中关于：“对电力、钢铁、水泥、石化、化工、平板玻璃、有色等高耗能行业的多源项目或以使用高污染燃料为主的多源项目，并且编制环境影响报告书的项目评价等级提高一级”的要求，因此</w:t>
      </w:r>
      <w:r>
        <w:rPr>
          <w:rFonts w:hint="default" w:ascii="Times New Roman" w:hAnsi="Times New Roman" w:cs="Times New Roman"/>
          <w:b w:val="0"/>
          <w:bCs/>
          <w:color w:val="auto"/>
          <w:sz w:val="24"/>
          <w:u w:val="none"/>
        </w:rPr>
        <w:t>确定本项目大气环境影响评价等级</w:t>
      </w:r>
      <w:r>
        <w:rPr>
          <w:rFonts w:hint="default" w:ascii="Times New Roman" w:hAnsi="Times New Roman" w:cs="Times New Roman"/>
          <w:b w:val="0"/>
          <w:bCs/>
          <w:color w:val="auto"/>
          <w:sz w:val="24"/>
          <w:highlight w:val="none"/>
          <w:u w:val="none"/>
        </w:rPr>
        <w:t>为</w:t>
      </w:r>
      <w:r>
        <w:rPr>
          <w:rFonts w:hint="default" w:ascii="Times New Roman" w:hAnsi="Times New Roman" w:cs="Times New Roman"/>
          <w:b w:val="0"/>
          <w:bCs/>
          <w:color w:val="auto"/>
          <w:sz w:val="24"/>
          <w:highlight w:val="none"/>
          <w:u w:val="none"/>
          <w:lang w:val="en-US" w:eastAsia="zh-CN"/>
        </w:rPr>
        <w:t>二级</w:t>
      </w:r>
      <w:r>
        <w:rPr>
          <w:rFonts w:hint="default" w:ascii="Times New Roman" w:hAnsi="Times New Roman" w:cs="Times New Roman"/>
          <w:b w:val="0"/>
          <w:bCs/>
          <w:color w:val="auto"/>
          <w:sz w:val="24"/>
          <w:highlight w:val="none"/>
          <w:u w:val="none"/>
        </w:rPr>
        <w:t>。</w:t>
      </w:r>
    </w:p>
    <w:p w14:paraId="7515DD22">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rPr>
      </w:pPr>
      <w:bookmarkStart w:id="197" w:name="_Toc5057"/>
      <w:bookmarkStart w:id="198" w:name="_Toc32038"/>
      <w:r>
        <w:rPr>
          <w:rFonts w:hint="default" w:ascii="Times New Roman" w:hAnsi="Times New Roman" w:eastAsia="宋体" w:cs="Times New Roman"/>
          <w:b/>
          <w:bCs/>
          <w:sz w:val="24"/>
          <w:szCs w:val="16"/>
          <w:highlight w:val="none"/>
        </w:rPr>
        <w:t>5.2.</w:t>
      </w:r>
      <w:r>
        <w:rPr>
          <w:rFonts w:hint="default" w:ascii="Times New Roman" w:hAnsi="Times New Roman" w:eastAsia="宋体" w:cs="Times New Roman"/>
          <w:b/>
          <w:bCs/>
          <w:sz w:val="24"/>
          <w:szCs w:val="16"/>
          <w:highlight w:val="none"/>
          <w:lang w:val="en-US" w:eastAsia="zh-CN"/>
        </w:rPr>
        <w:t>1.</w:t>
      </w:r>
      <w:r>
        <w:rPr>
          <w:rFonts w:hint="default" w:ascii="Times New Roman" w:hAnsi="Times New Roman" w:eastAsia="宋体" w:cs="Times New Roman"/>
          <w:b/>
          <w:bCs/>
          <w:sz w:val="24"/>
          <w:szCs w:val="16"/>
          <w:highlight w:val="none"/>
        </w:rPr>
        <w:t>5评价范围</w:t>
      </w:r>
      <w:bookmarkEnd w:id="197"/>
      <w:bookmarkEnd w:id="198"/>
    </w:p>
    <w:p w14:paraId="140F1CC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rPr>
      </w:pPr>
      <w:r>
        <w:rPr>
          <w:rFonts w:hint="default" w:ascii="Times New Roman" w:hAnsi="Times New Roman" w:cs="Times New Roman"/>
          <w:b w:val="0"/>
          <w:bCs/>
          <w:color w:val="auto"/>
          <w:sz w:val="24"/>
          <w:u w:val="none"/>
          <w:lang w:val="en-US" w:eastAsia="zh-CN"/>
        </w:rPr>
        <w:t>根据</w:t>
      </w:r>
      <w:r>
        <w:rPr>
          <w:rFonts w:hint="default" w:ascii="Times New Roman" w:hAnsi="Times New Roman" w:cs="Times New Roman"/>
          <w:sz w:val="24"/>
        </w:rPr>
        <w:t>《环境影响评价技术导则 大气环境》（HJ2.2-2018）中对评价范围的规定：“</w:t>
      </w:r>
      <w:r>
        <w:rPr>
          <w:rFonts w:hint="default" w:ascii="Times New Roman" w:hAnsi="Times New Roman" w:cs="Times New Roman"/>
          <w:sz w:val="24"/>
          <w:lang w:eastAsia="zh-CN"/>
        </w:rPr>
        <w:t>二</w:t>
      </w:r>
      <w:r>
        <w:rPr>
          <w:rFonts w:hint="default" w:ascii="Times New Roman" w:hAnsi="Times New Roman" w:cs="Times New Roman"/>
          <w:sz w:val="24"/>
        </w:rPr>
        <w:t>级评价项目</w:t>
      </w:r>
      <w:r>
        <w:rPr>
          <w:rFonts w:hint="default" w:ascii="Times New Roman" w:hAnsi="Times New Roman" w:cs="Times New Roman"/>
          <w:sz w:val="24"/>
          <w:lang w:eastAsia="zh-CN"/>
        </w:rPr>
        <w:t>大气环境影响</w:t>
      </w:r>
      <w:r>
        <w:rPr>
          <w:rFonts w:hint="default" w:ascii="Times New Roman" w:hAnsi="Times New Roman" w:cs="Times New Roman"/>
          <w:sz w:val="24"/>
        </w:rPr>
        <w:t>评价范围边长取5km。”，因此本项目大气环境影响评价范围边长</w:t>
      </w:r>
      <w:r>
        <w:rPr>
          <w:rFonts w:hint="default" w:ascii="Times New Roman" w:hAnsi="Times New Roman" w:cs="Times New Roman"/>
          <w:sz w:val="24"/>
          <w:lang w:eastAsia="zh-CN"/>
        </w:rPr>
        <w:t>取</w:t>
      </w:r>
      <w:r>
        <w:rPr>
          <w:rFonts w:hint="default" w:ascii="Times New Roman" w:hAnsi="Times New Roman" w:cs="Times New Roman"/>
          <w:sz w:val="24"/>
        </w:rPr>
        <w:t>5km。</w:t>
      </w:r>
    </w:p>
    <w:p w14:paraId="6BA5AAC6">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rPr>
      </w:pPr>
      <w:bookmarkStart w:id="199" w:name="_Toc9215"/>
      <w:bookmarkStart w:id="200" w:name="_Toc32691"/>
      <w:r>
        <w:rPr>
          <w:rFonts w:hint="default" w:ascii="Times New Roman" w:hAnsi="Times New Roman" w:eastAsia="宋体" w:cs="Times New Roman"/>
          <w:b/>
          <w:bCs/>
          <w:sz w:val="24"/>
          <w:szCs w:val="16"/>
          <w:highlight w:val="none"/>
        </w:rPr>
        <w:t>5.2.</w:t>
      </w:r>
      <w:r>
        <w:rPr>
          <w:rFonts w:hint="default" w:ascii="Times New Roman" w:hAnsi="Times New Roman" w:eastAsia="宋体" w:cs="Times New Roman"/>
          <w:b/>
          <w:bCs/>
          <w:sz w:val="24"/>
          <w:szCs w:val="16"/>
          <w:highlight w:val="none"/>
          <w:lang w:val="en-US" w:eastAsia="zh-CN"/>
        </w:rPr>
        <w:t>1.</w:t>
      </w:r>
      <w:r>
        <w:rPr>
          <w:rFonts w:hint="default" w:ascii="Times New Roman" w:hAnsi="Times New Roman" w:eastAsia="宋体" w:cs="Times New Roman"/>
          <w:b/>
          <w:bCs/>
          <w:sz w:val="24"/>
          <w:szCs w:val="16"/>
          <w:highlight w:val="none"/>
        </w:rPr>
        <w:t>6评价基准年筛选</w:t>
      </w:r>
      <w:bookmarkEnd w:id="199"/>
      <w:bookmarkEnd w:id="200"/>
    </w:p>
    <w:p w14:paraId="2FD22512">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b w:val="0"/>
          <w:bCs w:val="0"/>
          <w:sz w:val="24"/>
          <w:szCs w:val="24"/>
          <w:u w:val="none"/>
        </w:rPr>
      </w:pPr>
      <w:r>
        <w:rPr>
          <w:rFonts w:hint="default" w:ascii="Times New Roman" w:hAnsi="Times New Roman" w:cs="Times New Roman"/>
          <w:b w:val="0"/>
          <w:bCs w:val="0"/>
          <w:sz w:val="24"/>
          <w:szCs w:val="24"/>
          <w:u w:val="none"/>
        </w:rPr>
        <w:t>根据</w:t>
      </w:r>
      <w:r>
        <w:rPr>
          <w:rFonts w:hint="default" w:ascii="Times New Roman" w:hAnsi="Times New Roman" w:cs="Times New Roman"/>
          <w:b w:val="0"/>
          <w:bCs w:val="0"/>
          <w:sz w:val="24"/>
          <w:szCs w:val="24"/>
          <w:u w:val="none"/>
          <w:lang w:eastAsia="zh-CN"/>
        </w:rPr>
        <w:t>本项目</w:t>
      </w:r>
      <w:r>
        <w:rPr>
          <w:rFonts w:hint="default" w:ascii="Times New Roman" w:hAnsi="Times New Roman" w:cs="Times New Roman"/>
          <w:b w:val="0"/>
          <w:bCs w:val="0"/>
          <w:sz w:val="24"/>
          <w:szCs w:val="24"/>
          <w:u w:val="none"/>
        </w:rPr>
        <w:t>所需环境空气质量现状、气象资料等数据的可获得性、数据质量、代表性等因素，本次评价选择202</w:t>
      </w:r>
      <w:r>
        <w:rPr>
          <w:rFonts w:hint="default" w:ascii="Times New Roman" w:hAnsi="Times New Roman" w:cs="Times New Roman"/>
          <w:b w:val="0"/>
          <w:bCs w:val="0"/>
          <w:sz w:val="24"/>
          <w:szCs w:val="24"/>
          <w:u w:val="none"/>
          <w:lang w:val="en-US" w:eastAsia="zh-CN"/>
        </w:rPr>
        <w:t>3</w:t>
      </w:r>
      <w:r>
        <w:rPr>
          <w:rFonts w:hint="default" w:ascii="Times New Roman" w:hAnsi="Times New Roman" w:cs="Times New Roman"/>
          <w:b w:val="0"/>
          <w:bCs w:val="0"/>
          <w:sz w:val="24"/>
          <w:szCs w:val="24"/>
          <w:u w:val="none"/>
        </w:rPr>
        <w:t>年作为评价基准年。</w:t>
      </w:r>
    </w:p>
    <w:p w14:paraId="3619B64C">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rPr>
      </w:pPr>
      <w:bookmarkStart w:id="201" w:name="_Toc17630"/>
      <w:bookmarkStart w:id="202" w:name="_Toc18737"/>
      <w:r>
        <w:rPr>
          <w:rFonts w:hint="default" w:ascii="Times New Roman" w:hAnsi="Times New Roman" w:eastAsia="宋体" w:cs="Times New Roman"/>
          <w:b/>
          <w:bCs/>
          <w:sz w:val="24"/>
          <w:szCs w:val="16"/>
          <w:highlight w:val="none"/>
        </w:rPr>
        <w:t>5.2.</w:t>
      </w:r>
      <w:r>
        <w:rPr>
          <w:rFonts w:hint="default" w:ascii="Times New Roman" w:hAnsi="Times New Roman" w:eastAsia="宋体" w:cs="Times New Roman"/>
          <w:b/>
          <w:bCs/>
          <w:sz w:val="24"/>
          <w:szCs w:val="16"/>
          <w:highlight w:val="none"/>
          <w:lang w:val="en-US" w:eastAsia="zh-CN"/>
        </w:rPr>
        <w:t>1.</w:t>
      </w:r>
      <w:r>
        <w:rPr>
          <w:rFonts w:hint="default" w:ascii="Times New Roman" w:hAnsi="Times New Roman" w:eastAsia="宋体" w:cs="Times New Roman"/>
          <w:b/>
          <w:bCs/>
          <w:sz w:val="24"/>
          <w:szCs w:val="16"/>
          <w:highlight w:val="none"/>
        </w:rPr>
        <w:t>7环境保护目标</w:t>
      </w:r>
      <w:bookmarkEnd w:id="201"/>
      <w:bookmarkEnd w:id="202"/>
    </w:p>
    <w:p w14:paraId="13FF700F">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szCs w:val="24"/>
        </w:rPr>
      </w:pPr>
      <w:r>
        <w:rPr>
          <w:rFonts w:hint="default" w:ascii="Times New Roman" w:hAnsi="Times New Roman" w:cs="Times New Roman"/>
          <w:sz w:val="24"/>
          <w:szCs w:val="24"/>
          <w:lang w:eastAsia="zh-CN"/>
        </w:rPr>
        <w:t>本项目</w:t>
      </w:r>
      <w:r>
        <w:rPr>
          <w:rFonts w:hint="default" w:ascii="Times New Roman" w:hAnsi="Times New Roman" w:cs="Times New Roman"/>
          <w:sz w:val="24"/>
          <w:szCs w:val="24"/>
        </w:rPr>
        <w:t>评价范围内</w:t>
      </w:r>
      <w:r>
        <w:rPr>
          <w:rFonts w:hint="default" w:ascii="Times New Roman" w:hAnsi="Times New Roman" w:cs="Times New Roman"/>
          <w:sz w:val="24"/>
          <w:szCs w:val="24"/>
          <w:lang w:val="en-US" w:eastAsia="zh-CN"/>
        </w:rPr>
        <w:t>无环境保护目标</w:t>
      </w:r>
      <w:r>
        <w:rPr>
          <w:rFonts w:hint="default" w:ascii="Times New Roman" w:hAnsi="Times New Roman" w:cs="Times New Roman"/>
          <w:sz w:val="24"/>
          <w:szCs w:val="24"/>
        </w:rPr>
        <w:t>。</w:t>
      </w:r>
    </w:p>
    <w:p w14:paraId="3574F930">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rPr>
      </w:pPr>
      <w:bookmarkStart w:id="203" w:name="_Toc18024"/>
      <w:bookmarkStart w:id="204" w:name="_Toc31664"/>
      <w:r>
        <w:rPr>
          <w:rFonts w:hint="default" w:ascii="Times New Roman" w:hAnsi="Times New Roman" w:eastAsia="宋体" w:cs="Times New Roman"/>
          <w:b/>
          <w:bCs/>
          <w:sz w:val="24"/>
          <w:szCs w:val="16"/>
          <w:highlight w:val="none"/>
        </w:rPr>
        <w:t>5.2.</w:t>
      </w:r>
      <w:r>
        <w:rPr>
          <w:rFonts w:hint="default" w:ascii="Times New Roman" w:hAnsi="Times New Roman" w:eastAsia="宋体" w:cs="Times New Roman"/>
          <w:b/>
          <w:bCs/>
          <w:sz w:val="24"/>
          <w:szCs w:val="16"/>
          <w:highlight w:val="none"/>
          <w:lang w:val="en-US" w:eastAsia="zh-CN"/>
        </w:rPr>
        <w:t>1.</w:t>
      </w:r>
      <w:r>
        <w:rPr>
          <w:rFonts w:hint="default" w:ascii="Times New Roman" w:hAnsi="Times New Roman" w:eastAsia="宋体" w:cs="Times New Roman"/>
          <w:b/>
          <w:bCs/>
          <w:sz w:val="24"/>
          <w:szCs w:val="16"/>
          <w:highlight w:val="none"/>
        </w:rPr>
        <w:t>8气象资料</w:t>
      </w:r>
      <w:bookmarkEnd w:id="203"/>
      <w:bookmarkEnd w:id="204"/>
    </w:p>
    <w:p w14:paraId="37B4E27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sz w:val="24"/>
          <w:lang w:eastAsia="zh-CN"/>
        </w:rPr>
      </w:pPr>
      <w:r>
        <w:rPr>
          <w:rFonts w:hint="default" w:ascii="Times New Roman" w:hAnsi="Times New Roman" w:cs="Times New Roman"/>
          <w:sz w:val="24"/>
          <w:lang w:eastAsia="zh-CN"/>
        </w:rPr>
        <w:t>（</w:t>
      </w:r>
      <w:r>
        <w:rPr>
          <w:rFonts w:hint="default" w:ascii="Times New Roman" w:hAnsi="Times New Roman" w:cs="Times New Roman"/>
          <w:sz w:val="24"/>
          <w:lang w:val="en-US" w:eastAsia="zh-CN"/>
        </w:rPr>
        <w:t>1</w:t>
      </w:r>
      <w:r>
        <w:rPr>
          <w:rFonts w:hint="default" w:ascii="Times New Roman" w:hAnsi="Times New Roman" w:cs="Times New Roman"/>
          <w:sz w:val="24"/>
          <w:lang w:eastAsia="zh-CN"/>
        </w:rPr>
        <w:t>）近20年的气象统计资料</w:t>
      </w:r>
    </w:p>
    <w:p w14:paraId="367A9202">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阿克苏地处南疆中部，全地区北高南低，北部多山峰，南部是塔克拉玛干沙漠，中部为山麓砾质扇形地冲积平原区、戈壁、绿洲相间。阿克苏地区属暖温带大陆性气候，气候干燥，降雨量少，日照长，年日照时数为2831小时，太阳总辐射量为5340～6220MJ/m</w:t>
      </w:r>
      <w:r>
        <w:rPr>
          <w:rFonts w:hint="default" w:ascii="Times New Roman" w:hAnsi="Times New Roman" w:eastAsia="宋体" w:cs="Times New Roman"/>
          <w:b w:val="0"/>
          <w:bCs w:val="0"/>
          <w:sz w:val="24"/>
          <w:szCs w:val="24"/>
          <w:u w:val="none"/>
          <w:vertAlign w:val="superscript"/>
          <w:lang w:val="en-US" w:eastAsia="zh-CN"/>
        </w:rPr>
        <w:t>2</w:t>
      </w:r>
      <w:r>
        <w:rPr>
          <w:rFonts w:hint="default" w:ascii="Times New Roman" w:hAnsi="Times New Roman" w:eastAsia="宋体" w:cs="Times New Roman"/>
          <w:b w:val="0"/>
          <w:bCs w:val="0"/>
          <w:sz w:val="24"/>
          <w:szCs w:val="24"/>
          <w:u w:val="none"/>
          <w:lang w:val="en-US" w:eastAsia="zh-CN"/>
        </w:rPr>
        <w:t>，是全国太阳辐射量较多的地区之一，光热资源十分丰富，昼夜温差大，无霜期长，具有冬季干冷和夏季干热的气候特点。</w:t>
      </w:r>
    </w:p>
    <w:p w14:paraId="141D8C74">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春季：通常在2月中下旬开始持续到5月中下旬。升温迅速而不稳，天气多变，平均每月有一到两次强冷空气入侵，使气温变化幅度较大，春季多风。</w:t>
      </w:r>
    </w:p>
    <w:p w14:paraId="1B28249A">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夏季：5月下旬到9月上中旬。炎热干燥，空气湿度很小，无闷热感。降水较集中，多阵性风雨天气。</w:t>
      </w:r>
    </w:p>
    <w:p w14:paraId="58F5832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秋季：9月上中旬到11月中下旬。秋高气爽，晴天日数最多。平均每月有一到两次强冷空气入侵，使得气温下降迅速。</w:t>
      </w:r>
    </w:p>
    <w:p w14:paraId="456E11A2">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冬季：11月下旬到翌年2月中下旬。寒冷漫长，有些年份有稳定积雪，空气湿度明显加大。冬季上空多有逆温形成，平均风速为四季最小。</w:t>
      </w:r>
    </w:p>
    <w:p w14:paraId="7B4C1E18">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以下为阿克苏气象站近30年主要气象参数：</w:t>
      </w:r>
    </w:p>
    <w:p w14:paraId="3F6EBBD0">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年平均风速：1.6m/s</w:t>
      </w:r>
    </w:p>
    <w:p w14:paraId="722C0EA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最大风速：18.5m/s，出现于2009年4月16日</w:t>
      </w:r>
    </w:p>
    <w:p w14:paraId="06279F8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年主导风向：北风（N）</w:t>
      </w:r>
    </w:p>
    <w:p w14:paraId="7C5C0A22">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年平均气温：10.9℃</w:t>
      </w:r>
    </w:p>
    <w:p w14:paraId="2F1A1CA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极端最高温：39.6℃出现两次，分别是1997年7月20日、2000年7月12日</w:t>
      </w:r>
    </w:p>
    <w:p w14:paraId="5B7C679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极端最低温：-23.2℃，出现于1984年12月25日</w:t>
      </w:r>
    </w:p>
    <w:p w14:paraId="6EA38574">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年平均相对湿度：57%</w:t>
      </w:r>
    </w:p>
    <w:p w14:paraId="5B21EFB3">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年均降水量：83.9mm</w:t>
      </w:r>
    </w:p>
    <w:p w14:paraId="5AAC9AB5">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日最大降水量：31.8mm，出现于2013年6月17日</w:t>
      </w:r>
    </w:p>
    <w:p w14:paraId="600E506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年最大降水量：186.2mm，出现于1996年</w:t>
      </w:r>
    </w:p>
    <w:p w14:paraId="5FE5889F">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最长降水连续日数：9天，出现于2013年</w:t>
      </w:r>
    </w:p>
    <w:p w14:paraId="49B15F6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年平均蒸发量：1736mm/年</w:t>
      </w:r>
    </w:p>
    <w:p w14:paraId="50D0D64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最大蒸发量：2217.2mm出现于1985年</w:t>
      </w:r>
    </w:p>
    <w:p w14:paraId="24E94BD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日照时数：2831小时</w:t>
      </w:r>
    </w:p>
    <w:p w14:paraId="666CB4EA">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年平均气压：891.3hPa</w:t>
      </w:r>
    </w:p>
    <w:p w14:paraId="7F9EF0B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（2）评价基准年污染气象</w:t>
      </w:r>
    </w:p>
    <w:p w14:paraId="0FB05BB4">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根据《环境影响评价技术导则 大气环境》（HJ2.2-2018）的二级评价要求，本次评价气象资料采用阿克苏气象站2023年连续一年的逐日、逐次的常规气象观测资料。阿克苏气象站位于阿克苏市，距离本项目小于50km。本评价收集的气象资料满足《环境影响评价技术导则 大气环境》（HJ2.2-2018）对气象观测资料的要求。统计情况如下：</w:t>
      </w:r>
    </w:p>
    <w:p w14:paraId="752A63A8">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①风向、风频</w:t>
      </w:r>
    </w:p>
    <w:p w14:paraId="3ACDB03E">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阿克苏经济技术开发区规划区域全年盛行北（N）风、东北偏北（NNE），出现频率分别为11.8%和10.5%，其次是西北偏北（NNW）和西北偏西（WNW）风出现频率均为9.3%和8.1%。该区静风频率全年为8.3%，其中秋、冬季静风频率较高在11.9%到16.5%之间。全年盛行风向亦为盛行北（N）风、东北偏东（NNE）、西北偏北（NNW）和西北偏西（WNW）风，频率在8.1%-11.8%之间。年、月风向频率见表5.2-8、图5.2-l。</w:t>
      </w:r>
    </w:p>
    <w:p w14:paraId="36D6DF37">
      <w:pPr>
        <w:jc w:val="center"/>
        <w:rPr>
          <w:rFonts w:hint="default" w:ascii="Times New Roman" w:hAnsi="Times New Roman" w:eastAsia="宋体" w:cs="Times New Roman"/>
          <w:b/>
          <w:sz w:val="24"/>
          <w:szCs w:val="24"/>
          <w:lang w:val="en-US" w:eastAsia="zh-CN"/>
        </w:rPr>
      </w:pPr>
      <w:r>
        <w:rPr>
          <w:rFonts w:hint="default" w:ascii="Times New Roman" w:hAnsi="Times New Roman" w:cs="Times New Roman"/>
          <w:b/>
          <w:sz w:val="24"/>
          <w:szCs w:val="24"/>
        </w:rPr>
        <w:t>表5</w:t>
      </w:r>
      <w:r>
        <w:rPr>
          <w:rFonts w:hint="default" w:ascii="Times New Roman" w:hAnsi="Times New Roman" w:cs="Times New Roman"/>
          <w:b/>
          <w:sz w:val="24"/>
          <w:szCs w:val="24"/>
          <w:lang w:val="en-US" w:eastAsia="zh-CN"/>
        </w:rPr>
        <w:t>.2-8</w:t>
      </w:r>
      <w:r>
        <w:rPr>
          <w:rFonts w:hint="default" w:ascii="Times New Roman" w:hAnsi="Times New Roman" w:cs="Times New Roman"/>
          <w:b/>
          <w:sz w:val="24"/>
          <w:szCs w:val="24"/>
        </w:rPr>
        <w:t xml:space="preserve"> </w:t>
      </w:r>
      <w:r>
        <w:rPr>
          <w:rFonts w:hint="default" w:ascii="Times New Roman" w:hAnsi="Times New Roman" w:cs="Times New Roman"/>
          <w:b/>
          <w:sz w:val="24"/>
          <w:szCs w:val="24"/>
          <w:lang w:val="en-US" w:eastAsia="zh-CN"/>
        </w:rPr>
        <w:t>阿克苏2023年年均风频的月、年统计一览表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11"/>
        <w:gridCol w:w="461"/>
        <w:gridCol w:w="461"/>
        <w:gridCol w:w="461"/>
        <w:gridCol w:w="461"/>
        <w:gridCol w:w="461"/>
        <w:gridCol w:w="461"/>
        <w:gridCol w:w="461"/>
        <w:gridCol w:w="461"/>
        <w:gridCol w:w="461"/>
        <w:gridCol w:w="461"/>
        <w:gridCol w:w="461"/>
        <w:gridCol w:w="513"/>
        <w:gridCol w:w="461"/>
        <w:gridCol w:w="549"/>
        <w:gridCol w:w="462"/>
        <w:gridCol w:w="491"/>
        <w:gridCol w:w="464"/>
      </w:tblGrid>
      <w:tr w14:paraId="0C36E44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2353F23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时间</w:t>
            </w:r>
          </w:p>
        </w:tc>
        <w:tc>
          <w:tcPr>
            <w:tcW w:w="273" w:type="pct"/>
            <w:tcBorders>
              <w:tl2br w:val="nil"/>
              <w:tr2bl w:val="nil"/>
            </w:tcBorders>
            <w:noWrap w:val="0"/>
            <w:vAlign w:val="center"/>
          </w:tcPr>
          <w:p w14:paraId="7589D35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w:t>
            </w:r>
          </w:p>
        </w:tc>
        <w:tc>
          <w:tcPr>
            <w:tcW w:w="273" w:type="pct"/>
            <w:tcBorders>
              <w:tl2br w:val="nil"/>
              <w:tr2bl w:val="nil"/>
            </w:tcBorders>
            <w:noWrap w:val="0"/>
            <w:vAlign w:val="center"/>
          </w:tcPr>
          <w:p w14:paraId="74865A4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NNE</w:t>
            </w:r>
          </w:p>
        </w:tc>
        <w:tc>
          <w:tcPr>
            <w:tcW w:w="273" w:type="pct"/>
            <w:tcBorders>
              <w:tl2br w:val="nil"/>
              <w:tr2bl w:val="nil"/>
            </w:tcBorders>
            <w:noWrap w:val="0"/>
            <w:vAlign w:val="center"/>
          </w:tcPr>
          <w:p w14:paraId="10E0C12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NE</w:t>
            </w:r>
          </w:p>
        </w:tc>
        <w:tc>
          <w:tcPr>
            <w:tcW w:w="273" w:type="pct"/>
            <w:tcBorders>
              <w:tl2br w:val="nil"/>
              <w:tr2bl w:val="nil"/>
            </w:tcBorders>
            <w:noWrap w:val="0"/>
            <w:vAlign w:val="center"/>
          </w:tcPr>
          <w:p w14:paraId="4B0EF81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ENE</w:t>
            </w:r>
          </w:p>
        </w:tc>
        <w:tc>
          <w:tcPr>
            <w:tcW w:w="273" w:type="pct"/>
            <w:tcBorders>
              <w:tl2br w:val="nil"/>
              <w:tr2bl w:val="nil"/>
            </w:tcBorders>
            <w:noWrap w:val="0"/>
            <w:vAlign w:val="center"/>
          </w:tcPr>
          <w:p w14:paraId="595BEA8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E</w:t>
            </w:r>
          </w:p>
        </w:tc>
        <w:tc>
          <w:tcPr>
            <w:tcW w:w="273" w:type="pct"/>
            <w:tcBorders>
              <w:tl2br w:val="nil"/>
              <w:tr2bl w:val="nil"/>
            </w:tcBorders>
            <w:noWrap w:val="0"/>
            <w:vAlign w:val="center"/>
          </w:tcPr>
          <w:p w14:paraId="6E01EF3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ESE</w:t>
            </w:r>
          </w:p>
        </w:tc>
        <w:tc>
          <w:tcPr>
            <w:tcW w:w="273" w:type="pct"/>
            <w:tcBorders>
              <w:tl2br w:val="nil"/>
              <w:tr2bl w:val="nil"/>
            </w:tcBorders>
            <w:noWrap w:val="0"/>
            <w:vAlign w:val="center"/>
          </w:tcPr>
          <w:p w14:paraId="05C82EA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SE</w:t>
            </w:r>
          </w:p>
        </w:tc>
        <w:tc>
          <w:tcPr>
            <w:tcW w:w="273" w:type="pct"/>
            <w:tcBorders>
              <w:tl2br w:val="nil"/>
              <w:tr2bl w:val="nil"/>
            </w:tcBorders>
            <w:noWrap w:val="0"/>
            <w:vAlign w:val="center"/>
          </w:tcPr>
          <w:p w14:paraId="17CB51C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SSE</w:t>
            </w:r>
          </w:p>
        </w:tc>
        <w:tc>
          <w:tcPr>
            <w:tcW w:w="273" w:type="pct"/>
            <w:tcBorders>
              <w:tl2br w:val="nil"/>
              <w:tr2bl w:val="nil"/>
            </w:tcBorders>
            <w:noWrap w:val="0"/>
            <w:vAlign w:val="center"/>
          </w:tcPr>
          <w:p w14:paraId="147DC18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w:t>
            </w:r>
          </w:p>
        </w:tc>
        <w:tc>
          <w:tcPr>
            <w:tcW w:w="273" w:type="pct"/>
            <w:tcBorders>
              <w:tl2br w:val="nil"/>
              <w:tr2bl w:val="nil"/>
            </w:tcBorders>
            <w:noWrap w:val="0"/>
            <w:vAlign w:val="center"/>
          </w:tcPr>
          <w:p w14:paraId="1800823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SSW</w:t>
            </w:r>
          </w:p>
        </w:tc>
        <w:tc>
          <w:tcPr>
            <w:tcW w:w="273" w:type="pct"/>
            <w:tcBorders>
              <w:tl2br w:val="nil"/>
              <w:tr2bl w:val="nil"/>
            </w:tcBorders>
            <w:noWrap w:val="0"/>
            <w:vAlign w:val="center"/>
          </w:tcPr>
          <w:p w14:paraId="081258A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SW</w:t>
            </w:r>
          </w:p>
        </w:tc>
        <w:tc>
          <w:tcPr>
            <w:tcW w:w="287" w:type="pct"/>
            <w:tcBorders>
              <w:tl2br w:val="nil"/>
              <w:tr2bl w:val="nil"/>
            </w:tcBorders>
            <w:noWrap w:val="0"/>
            <w:vAlign w:val="center"/>
          </w:tcPr>
          <w:p w14:paraId="301E4ED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WSW</w:t>
            </w:r>
          </w:p>
        </w:tc>
        <w:tc>
          <w:tcPr>
            <w:tcW w:w="273" w:type="pct"/>
            <w:tcBorders>
              <w:tl2br w:val="nil"/>
              <w:tr2bl w:val="nil"/>
            </w:tcBorders>
            <w:noWrap w:val="0"/>
            <w:vAlign w:val="center"/>
          </w:tcPr>
          <w:p w14:paraId="629B05D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w:t>
            </w:r>
          </w:p>
        </w:tc>
        <w:tc>
          <w:tcPr>
            <w:tcW w:w="306" w:type="pct"/>
            <w:tcBorders>
              <w:tl2br w:val="nil"/>
              <w:tr2bl w:val="nil"/>
            </w:tcBorders>
            <w:noWrap w:val="0"/>
            <w:vAlign w:val="center"/>
          </w:tcPr>
          <w:p w14:paraId="5503CB5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WNW</w:t>
            </w:r>
          </w:p>
        </w:tc>
        <w:tc>
          <w:tcPr>
            <w:tcW w:w="273" w:type="pct"/>
            <w:tcBorders>
              <w:tl2br w:val="nil"/>
              <w:tr2bl w:val="nil"/>
            </w:tcBorders>
            <w:noWrap w:val="0"/>
            <w:vAlign w:val="center"/>
          </w:tcPr>
          <w:p w14:paraId="315DA8A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NW</w:t>
            </w:r>
          </w:p>
        </w:tc>
        <w:tc>
          <w:tcPr>
            <w:tcW w:w="274" w:type="pct"/>
            <w:tcBorders>
              <w:tl2br w:val="nil"/>
              <w:tr2bl w:val="nil"/>
            </w:tcBorders>
            <w:noWrap w:val="0"/>
            <w:vAlign w:val="center"/>
          </w:tcPr>
          <w:p w14:paraId="4B07540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NNW</w:t>
            </w:r>
          </w:p>
        </w:tc>
        <w:tc>
          <w:tcPr>
            <w:tcW w:w="274" w:type="pct"/>
            <w:tcBorders>
              <w:tl2br w:val="nil"/>
              <w:tr2bl w:val="nil"/>
            </w:tcBorders>
            <w:noWrap w:val="0"/>
            <w:vAlign w:val="center"/>
          </w:tcPr>
          <w:p w14:paraId="598AD30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C</w:t>
            </w:r>
          </w:p>
        </w:tc>
      </w:tr>
      <w:tr w14:paraId="0CC3A70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706AF20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1月</w:t>
            </w:r>
          </w:p>
        </w:tc>
        <w:tc>
          <w:tcPr>
            <w:tcW w:w="273" w:type="pct"/>
            <w:tcBorders>
              <w:tl2br w:val="nil"/>
              <w:tr2bl w:val="nil"/>
            </w:tcBorders>
            <w:noWrap w:val="0"/>
            <w:vAlign w:val="center"/>
          </w:tcPr>
          <w:p w14:paraId="1741D9D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23.25</w:t>
            </w:r>
          </w:p>
        </w:tc>
        <w:tc>
          <w:tcPr>
            <w:tcW w:w="273" w:type="pct"/>
            <w:tcBorders>
              <w:tl2br w:val="nil"/>
              <w:tr2bl w:val="nil"/>
            </w:tcBorders>
            <w:noWrap w:val="0"/>
            <w:vAlign w:val="center"/>
          </w:tcPr>
          <w:p w14:paraId="2C06964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8.47</w:t>
            </w:r>
          </w:p>
        </w:tc>
        <w:tc>
          <w:tcPr>
            <w:tcW w:w="273" w:type="pct"/>
            <w:tcBorders>
              <w:tl2br w:val="nil"/>
              <w:tr2bl w:val="nil"/>
            </w:tcBorders>
            <w:noWrap w:val="0"/>
            <w:vAlign w:val="center"/>
          </w:tcPr>
          <w:p w14:paraId="2F5159D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6.85</w:t>
            </w:r>
          </w:p>
        </w:tc>
        <w:tc>
          <w:tcPr>
            <w:tcW w:w="273" w:type="pct"/>
            <w:tcBorders>
              <w:tl2br w:val="nil"/>
              <w:tr2bl w:val="nil"/>
            </w:tcBorders>
            <w:noWrap w:val="0"/>
            <w:vAlign w:val="center"/>
          </w:tcPr>
          <w:p w14:paraId="314C6A2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3.36</w:t>
            </w:r>
          </w:p>
        </w:tc>
        <w:tc>
          <w:tcPr>
            <w:tcW w:w="273" w:type="pct"/>
            <w:tcBorders>
              <w:tl2br w:val="nil"/>
              <w:tr2bl w:val="nil"/>
            </w:tcBorders>
            <w:noWrap w:val="0"/>
            <w:vAlign w:val="center"/>
          </w:tcPr>
          <w:p w14:paraId="1213E14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3.23</w:t>
            </w:r>
          </w:p>
        </w:tc>
        <w:tc>
          <w:tcPr>
            <w:tcW w:w="273" w:type="pct"/>
            <w:tcBorders>
              <w:tl2br w:val="nil"/>
              <w:tr2bl w:val="nil"/>
            </w:tcBorders>
            <w:noWrap w:val="0"/>
            <w:vAlign w:val="center"/>
          </w:tcPr>
          <w:p w14:paraId="6CD805C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3.63</w:t>
            </w:r>
          </w:p>
        </w:tc>
        <w:tc>
          <w:tcPr>
            <w:tcW w:w="273" w:type="pct"/>
            <w:tcBorders>
              <w:tl2br w:val="nil"/>
              <w:tr2bl w:val="nil"/>
            </w:tcBorders>
            <w:noWrap w:val="0"/>
            <w:vAlign w:val="center"/>
          </w:tcPr>
          <w:p w14:paraId="69B57A5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3.49</w:t>
            </w:r>
          </w:p>
        </w:tc>
        <w:tc>
          <w:tcPr>
            <w:tcW w:w="273" w:type="pct"/>
            <w:tcBorders>
              <w:tl2br w:val="nil"/>
              <w:tr2bl w:val="nil"/>
            </w:tcBorders>
            <w:noWrap w:val="0"/>
            <w:vAlign w:val="center"/>
          </w:tcPr>
          <w:p w14:paraId="6CCD4E2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4.70</w:t>
            </w:r>
          </w:p>
        </w:tc>
        <w:tc>
          <w:tcPr>
            <w:tcW w:w="273" w:type="pct"/>
            <w:tcBorders>
              <w:tl2br w:val="nil"/>
              <w:tr2bl w:val="nil"/>
            </w:tcBorders>
            <w:noWrap w:val="0"/>
            <w:vAlign w:val="center"/>
          </w:tcPr>
          <w:p w14:paraId="79F61CA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7.53</w:t>
            </w:r>
          </w:p>
        </w:tc>
        <w:tc>
          <w:tcPr>
            <w:tcW w:w="273" w:type="pct"/>
            <w:tcBorders>
              <w:tl2br w:val="nil"/>
              <w:tr2bl w:val="nil"/>
            </w:tcBorders>
            <w:noWrap w:val="0"/>
            <w:vAlign w:val="center"/>
          </w:tcPr>
          <w:p w14:paraId="52F063C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2.15</w:t>
            </w:r>
          </w:p>
        </w:tc>
        <w:tc>
          <w:tcPr>
            <w:tcW w:w="273" w:type="pct"/>
            <w:tcBorders>
              <w:tl2br w:val="nil"/>
              <w:tr2bl w:val="nil"/>
            </w:tcBorders>
            <w:noWrap w:val="0"/>
            <w:vAlign w:val="center"/>
          </w:tcPr>
          <w:p w14:paraId="6CE1D40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2.15</w:t>
            </w:r>
          </w:p>
        </w:tc>
        <w:tc>
          <w:tcPr>
            <w:tcW w:w="287" w:type="pct"/>
            <w:tcBorders>
              <w:tl2br w:val="nil"/>
              <w:tr2bl w:val="nil"/>
            </w:tcBorders>
            <w:noWrap w:val="0"/>
            <w:vAlign w:val="center"/>
          </w:tcPr>
          <w:p w14:paraId="1D5EEA0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2.15</w:t>
            </w:r>
          </w:p>
        </w:tc>
        <w:tc>
          <w:tcPr>
            <w:tcW w:w="273" w:type="pct"/>
            <w:tcBorders>
              <w:tl2br w:val="nil"/>
              <w:tr2bl w:val="nil"/>
            </w:tcBorders>
            <w:noWrap w:val="0"/>
            <w:vAlign w:val="center"/>
          </w:tcPr>
          <w:p w14:paraId="20F5B53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3.23</w:t>
            </w:r>
          </w:p>
        </w:tc>
        <w:tc>
          <w:tcPr>
            <w:tcW w:w="306" w:type="pct"/>
            <w:tcBorders>
              <w:tl2br w:val="nil"/>
              <w:tr2bl w:val="nil"/>
            </w:tcBorders>
            <w:noWrap w:val="0"/>
            <w:vAlign w:val="center"/>
          </w:tcPr>
          <w:p w14:paraId="5941033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1.88</w:t>
            </w:r>
          </w:p>
        </w:tc>
        <w:tc>
          <w:tcPr>
            <w:tcW w:w="273" w:type="pct"/>
            <w:tcBorders>
              <w:tl2br w:val="nil"/>
              <w:tr2bl w:val="nil"/>
            </w:tcBorders>
            <w:noWrap w:val="0"/>
            <w:vAlign w:val="center"/>
          </w:tcPr>
          <w:p w14:paraId="3C63BF8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5.24</w:t>
            </w:r>
          </w:p>
        </w:tc>
        <w:tc>
          <w:tcPr>
            <w:tcW w:w="274" w:type="pct"/>
            <w:tcBorders>
              <w:tl2br w:val="nil"/>
              <w:tr2bl w:val="nil"/>
            </w:tcBorders>
            <w:noWrap w:val="0"/>
            <w:vAlign w:val="center"/>
          </w:tcPr>
          <w:p w14:paraId="710D446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18.41</w:t>
            </w:r>
          </w:p>
        </w:tc>
        <w:tc>
          <w:tcPr>
            <w:tcW w:w="274" w:type="pct"/>
            <w:tcBorders>
              <w:tl2br w:val="nil"/>
              <w:tr2bl w:val="nil"/>
            </w:tcBorders>
            <w:noWrap w:val="0"/>
            <w:vAlign w:val="center"/>
          </w:tcPr>
          <w:p w14:paraId="76B633D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0.27</w:t>
            </w:r>
          </w:p>
        </w:tc>
      </w:tr>
      <w:tr w14:paraId="42CDD3D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049979D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2月</w:t>
            </w:r>
          </w:p>
        </w:tc>
        <w:tc>
          <w:tcPr>
            <w:tcW w:w="273" w:type="pct"/>
            <w:tcBorders>
              <w:tl2br w:val="nil"/>
              <w:tr2bl w:val="nil"/>
            </w:tcBorders>
            <w:noWrap w:val="0"/>
            <w:vAlign w:val="center"/>
          </w:tcPr>
          <w:p w14:paraId="3C8294E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18.01</w:t>
            </w:r>
          </w:p>
        </w:tc>
        <w:tc>
          <w:tcPr>
            <w:tcW w:w="273" w:type="pct"/>
            <w:tcBorders>
              <w:tl2br w:val="nil"/>
              <w:tr2bl w:val="nil"/>
            </w:tcBorders>
            <w:noWrap w:val="0"/>
            <w:vAlign w:val="center"/>
          </w:tcPr>
          <w:p w14:paraId="7065DD1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12.50</w:t>
            </w:r>
          </w:p>
        </w:tc>
        <w:tc>
          <w:tcPr>
            <w:tcW w:w="273" w:type="pct"/>
            <w:tcBorders>
              <w:tl2br w:val="nil"/>
              <w:tr2bl w:val="nil"/>
            </w:tcBorders>
            <w:noWrap w:val="0"/>
            <w:vAlign w:val="center"/>
          </w:tcPr>
          <w:p w14:paraId="398BA26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7.74</w:t>
            </w:r>
          </w:p>
        </w:tc>
        <w:tc>
          <w:tcPr>
            <w:tcW w:w="273" w:type="pct"/>
            <w:tcBorders>
              <w:tl2br w:val="nil"/>
              <w:tr2bl w:val="nil"/>
            </w:tcBorders>
            <w:noWrap w:val="0"/>
            <w:vAlign w:val="center"/>
          </w:tcPr>
          <w:p w14:paraId="09546E2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6.40</w:t>
            </w:r>
          </w:p>
        </w:tc>
        <w:tc>
          <w:tcPr>
            <w:tcW w:w="273" w:type="pct"/>
            <w:tcBorders>
              <w:tl2br w:val="nil"/>
              <w:tr2bl w:val="nil"/>
            </w:tcBorders>
            <w:noWrap w:val="0"/>
            <w:vAlign w:val="center"/>
          </w:tcPr>
          <w:p w14:paraId="19E4B8B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6.40</w:t>
            </w:r>
          </w:p>
        </w:tc>
        <w:tc>
          <w:tcPr>
            <w:tcW w:w="273" w:type="pct"/>
            <w:tcBorders>
              <w:tl2br w:val="nil"/>
              <w:tr2bl w:val="nil"/>
            </w:tcBorders>
            <w:noWrap w:val="0"/>
            <w:vAlign w:val="center"/>
          </w:tcPr>
          <w:p w14:paraId="06BE2F7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2.83</w:t>
            </w:r>
          </w:p>
        </w:tc>
        <w:tc>
          <w:tcPr>
            <w:tcW w:w="273" w:type="pct"/>
            <w:tcBorders>
              <w:tl2br w:val="nil"/>
              <w:tr2bl w:val="nil"/>
            </w:tcBorders>
            <w:noWrap w:val="0"/>
            <w:vAlign w:val="center"/>
          </w:tcPr>
          <w:p w14:paraId="32C02BA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2.53</w:t>
            </w:r>
          </w:p>
        </w:tc>
        <w:tc>
          <w:tcPr>
            <w:tcW w:w="273" w:type="pct"/>
            <w:tcBorders>
              <w:tl2br w:val="nil"/>
              <w:tr2bl w:val="nil"/>
            </w:tcBorders>
            <w:noWrap w:val="0"/>
            <w:vAlign w:val="center"/>
          </w:tcPr>
          <w:p w14:paraId="0EF3CFE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4.02</w:t>
            </w:r>
          </w:p>
        </w:tc>
        <w:tc>
          <w:tcPr>
            <w:tcW w:w="273" w:type="pct"/>
            <w:tcBorders>
              <w:tl2br w:val="nil"/>
              <w:tr2bl w:val="nil"/>
            </w:tcBorders>
            <w:noWrap w:val="0"/>
            <w:vAlign w:val="center"/>
          </w:tcPr>
          <w:p w14:paraId="4C8B7B3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3.72</w:t>
            </w:r>
          </w:p>
        </w:tc>
        <w:tc>
          <w:tcPr>
            <w:tcW w:w="273" w:type="pct"/>
            <w:tcBorders>
              <w:tl2br w:val="nil"/>
              <w:tr2bl w:val="nil"/>
            </w:tcBorders>
            <w:noWrap w:val="0"/>
            <w:vAlign w:val="center"/>
          </w:tcPr>
          <w:p w14:paraId="3FC878F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1.93</w:t>
            </w:r>
          </w:p>
        </w:tc>
        <w:tc>
          <w:tcPr>
            <w:tcW w:w="273" w:type="pct"/>
            <w:tcBorders>
              <w:tl2br w:val="nil"/>
              <w:tr2bl w:val="nil"/>
            </w:tcBorders>
            <w:noWrap w:val="0"/>
            <w:vAlign w:val="center"/>
          </w:tcPr>
          <w:p w14:paraId="3643CB3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2.23</w:t>
            </w:r>
          </w:p>
        </w:tc>
        <w:tc>
          <w:tcPr>
            <w:tcW w:w="287" w:type="pct"/>
            <w:tcBorders>
              <w:tl2br w:val="nil"/>
              <w:tr2bl w:val="nil"/>
            </w:tcBorders>
            <w:noWrap w:val="0"/>
            <w:vAlign w:val="center"/>
          </w:tcPr>
          <w:p w14:paraId="17E7179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2.98</w:t>
            </w:r>
          </w:p>
        </w:tc>
        <w:tc>
          <w:tcPr>
            <w:tcW w:w="273" w:type="pct"/>
            <w:tcBorders>
              <w:tl2br w:val="nil"/>
              <w:tr2bl w:val="nil"/>
            </w:tcBorders>
            <w:noWrap w:val="0"/>
            <w:vAlign w:val="center"/>
          </w:tcPr>
          <w:p w14:paraId="0D3563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3.27</w:t>
            </w:r>
          </w:p>
        </w:tc>
        <w:tc>
          <w:tcPr>
            <w:tcW w:w="306" w:type="pct"/>
            <w:tcBorders>
              <w:tl2br w:val="nil"/>
              <w:tr2bl w:val="nil"/>
            </w:tcBorders>
            <w:noWrap w:val="0"/>
            <w:vAlign w:val="center"/>
          </w:tcPr>
          <w:p w14:paraId="3A36FC2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2.68</w:t>
            </w:r>
          </w:p>
        </w:tc>
        <w:tc>
          <w:tcPr>
            <w:tcW w:w="273" w:type="pct"/>
            <w:tcBorders>
              <w:tl2br w:val="nil"/>
              <w:tr2bl w:val="nil"/>
            </w:tcBorders>
            <w:noWrap w:val="0"/>
            <w:vAlign w:val="center"/>
          </w:tcPr>
          <w:p w14:paraId="2AC7B9E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7.89</w:t>
            </w:r>
          </w:p>
        </w:tc>
        <w:tc>
          <w:tcPr>
            <w:tcW w:w="274" w:type="pct"/>
            <w:tcBorders>
              <w:tl2br w:val="nil"/>
              <w:tr2bl w:val="nil"/>
            </w:tcBorders>
            <w:noWrap w:val="0"/>
            <w:vAlign w:val="center"/>
          </w:tcPr>
          <w:p w14:paraId="723D3A1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14.73</w:t>
            </w:r>
          </w:p>
        </w:tc>
        <w:tc>
          <w:tcPr>
            <w:tcW w:w="274" w:type="pct"/>
            <w:tcBorders>
              <w:tl2br w:val="nil"/>
              <w:tr2bl w:val="nil"/>
            </w:tcBorders>
            <w:noWrap w:val="0"/>
            <w:vAlign w:val="center"/>
          </w:tcPr>
          <w:p w14:paraId="698E958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0.15</w:t>
            </w:r>
          </w:p>
        </w:tc>
      </w:tr>
      <w:tr w14:paraId="2187512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0F9ED9A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3月</w:t>
            </w:r>
          </w:p>
        </w:tc>
        <w:tc>
          <w:tcPr>
            <w:tcW w:w="273" w:type="pct"/>
            <w:tcBorders>
              <w:tl2br w:val="nil"/>
              <w:tr2bl w:val="nil"/>
            </w:tcBorders>
            <w:noWrap w:val="0"/>
            <w:vAlign w:val="center"/>
          </w:tcPr>
          <w:p w14:paraId="7C86B10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13.71</w:t>
            </w:r>
          </w:p>
        </w:tc>
        <w:tc>
          <w:tcPr>
            <w:tcW w:w="273" w:type="pct"/>
            <w:tcBorders>
              <w:tl2br w:val="nil"/>
              <w:tr2bl w:val="nil"/>
            </w:tcBorders>
            <w:noWrap w:val="0"/>
            <w:vAlign w:val="center"/>
          </w:tcPr>
          <w:p w14:paraId="54BD62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10.75</w:t>
            </w:r>
          </w:p>
        </w:tc>
        <w:tc>
          <w:tcPr>
            <w:tcW w:w="273" w:type="pct"/>
            <w:tcBorders>
              <w:tl2br w:val="nil"/>
              <w:tr2bl w:val="nil"/>
            </w:tcBorders>
            <w:noWrap w:val="0"/>
            <w:vAlign w:val="center"/>
          </w:tcPr>
          <w:p w14:paraId="5192C8E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8.60</w:t>
            </w:r>
          </w:p>
        </w:tc>
        <w:tc>
          <w:tcPr>
            <w:tcW w:w="273" w:type="pct"/>
            <w:tcBorders>
              <w:tl2br w:val="nil"/>
              <w:tr2bl w:val="nil"/>
            </w:tcBorders>
            <w:noWrap w:val="0"/>
            <w:vAlign w:val="center"/>
          </w:tcPr>
          <w:p w14:paraId="459C850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7.66</w:t>
            </w:r>
          </w:p>
        </w:tc>
        <w:tc>
          <w:tcPr>
            <w:tcW w:w="273" w:type="pct"/>
            <w:tcBorders>
              <w:tl2br w:val="nil"/>
              <w:tr2bl w:val="nil"/>
            </w:tcBorders>
            <w:noWrap w:val="0"/>
            <w:vAlign w:val="center"/>
          </w:tcPr>
          <w:p w14:paraId="002BCD3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8.06</w:t>
            </w:r>
          </w:p>
        </w:tc>
        <w:tc>
          <w:tcPr>
            <w:tcW w:w="273" w:type="pct"/>
            <w:tcBorders>
              <w:tl2br w:val="nil"/>
              <w:tr2bl w:val="nil"/>
            </w:tcBorders>
            <w:noWrap w:val="0"/>
            <w:vAlign w:val="center"/>
          </w:tcPr>
          <w:p w14:paraId="35E816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4.17</w:t>
            </w:r>
          </w:p>
        </w:tc>
        <w:tc>
          <w:tcPr>
            <w:tcW w:w="273" w:type="pct"/>
            <w:tcBorders>
              <w:tl2br w:val="nil"/>
              <w:tr2bl w:val="nil"/>
            </w:tcBorders>
            <w:noWrap w:val="0"/>
            <w:vAlign w:val="center"/>
          </w:tcPr>
          <w:p w14:paraId="6D1884E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2.82</w:t>
            </w:r>
          </w:p>
        </w:tc>
        <w:tc>
          <w:tcPr>
            <w:tcW w:w="273" w:type="pct"/>
            <w:tcBorders>
              <w:tl2br w:val="nil"/>
              <w:tr2bl w:val="nil"/>
            </w:tcBorders>
            <w:noWrap w:val="0"/>
            <w:vAlign w:val="center"/>
          </w:tcPr>
          <w:p w14:paraId="73D0659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1.75</w:t>
            </w:r>
          </w:p>
        </w:tc>
        <w:tc>
          <w:tcPr>
            <w:tcW w:w="273" w:type="pct"/>
            <w:tcBorders>
              <w:tl2br w:val="nil"/>
              <w:tr2bl w:val="nil"/>
            </w:tcBorders>
            <w:noWrap w:val="0"/>
            <w:vAlign w:val="center"/>
          </w:tcPr>
          <w:p w14:paraId="7293582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5.91</w:t>
            </w:r>
          </w:p>
        </w:tc>
        <w:tc>
          <w:tcPr>
            <w:tcW w:w="273" w:type="pct"/>
            <w:tcBorders>
              <w:tl2br w:val="nil"/>
              <w:tr2bl w:val="nil"/>
            </w:tcBorders>
            <w:noWrap w:val="0"/>
            <w:vAlign w:val="center"/>
          </w:tcPr>
          <w:p w14:paraId="00D27BB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3.49</w:t>
            </w:r>
          </w:p>
        </w:tc>
        <w:tc>
          <w:tcPr>
            <w:tcW w:w="273" w:type="pct"/>
            <w:tcBorders>
              <w:tl2br w:val="nil"/>
              <w:tr2bl w:val="nil"/>
            </w:tcBorders>
            <w:noWrap w:val="0"/>
            <w:vAlign w:val="center"/>
          </w:tcPr>
          <w:p w14:paraId="7B33D5F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2.28</w:t>
            </w:r>
          </w:p>
        </w:tc>
        <w:tc>
          <w:tcPr>
            <w:tcW w:w="287" w:type="pct"/>
            <w:tcBorders>
              <w:tl2br w:val="nil"/>
              <w:tr2bl w:val="nil"/>
            </w:tcBorders>
            <w:noWrap w:val="0"/>
            <w:vAlign w:val="center"/>
          </w:tcPr>
          <w:p w14:paraId="542C4D0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1.88</w:t>
            </w:r>
          </w:p>
        </w:tc>
        <w:tc>
          <w:tcPr>
            <w:tcW w:w="273" w:type="pct"/>
            <w:tcBorders>
              <w:tl2br w:val="nil"/>
              <w:tr2bl w:val="nil"/>
            </w:tcBorders>
            <w:noWrap w:val="0"/>
            <w:vAlign w:val="center"/>
          </w:tcPr>
          <w:p w14:paraId="5505FA9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3.36</w:t>
            </w:r>
          </w:p>
        </w:tc>
        <w:tc>
          <w:tcPr>
            <w:tcW w:w="306" w:type="pct"/>
            <w:tcBorders>
              <w:tl2br w:val="nil"/>
              <w:tr2bl w:val="nil"/>
            </w:tcBorders>
            <w:noWrap w:val="0"/>
            <w:vAlign w:val="center"/>
          </w:tcPr>
          <w:p w14:paraId="7301222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2.69</w:t>
            </w:r>
          </w:p>
        </w:tc>
        <w:tc>
          <w:tcPr>
            <w:tcW w:w="273" w:type="pct"/>
            <w:tcBorders>
              <w:tl2br w:val="nil"/>
              <w:tr2bl w:val="nil"/>
            </w:tcBorders>
            <w:noWrap w:val="0"/>
            <w:vAlign w:val="center"/>
          </w:tcPr>
          <w:p w14:paraId="27BA6ED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6.45</w:t>
            </w:r>
          </w:p>
        </w:tc>
        <w:tc>
          <w:tcPr>
            <w:tcW w:w="274" w:type="pct"/>
            <w:tcBorders>
              <w:tl2br w:val="nil"/>
              <w:tr2bl w:val="nil"/>
            </w:tcBorders>
            <w:noWrap w:val="0"/>
            <w:vAlign w:val="center"/>
          </w:tcPr>
          <w:p w14:paraId="3B25959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16.13</w:t>
            </w:r>
          </w:p>
        </w:tc>
        <w:tc>
          <w:tcPr>
            <w:tcW w:w="274" w:type="pct"/>
            <w:tcBorders>
              <w:tl2br w:val="nil"/>
              <w:tr2bl w:val="nil"/>
            </w:tcBorders>
            <w:noWrap w:val="0"/>
            <w:vAlign w:val="center"/>
          </w:tcPr>
          <w:p w14:paraId="550352D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0.27</w:t>
            </w:r>
          </w:p>
        </w:tc>
      </w:tr>
      <w:tr w14:paraId="0D4593A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2AFAAEC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4月</w:t>
            </w:r>
          </w:p>
        </w:tc>
        <w:tc>
          <w:tcPr>
            <w:tcW w:w="273" w:type="pct"/>
            <w:tcBorders>
              <w:tl2br w:val="nil"/>
              <w:tr2bl w:val="nil"/>
            </w:tcBorders>
            <w:noWrap w:val="0"/>
            <w:vAlign w:val="center"/>
          </w:tcPr>
          <w:p w14:paraId="0BB89B2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12.64</w:t>
            </w:r>
          </w:p>
        </w:tc>
        <w:tc>
          <w:tcPr>
            <w:tcW w:w="273" w:type="pct"/>
            <w:tcBorders>
              <w:tl2br w:val="nil"/>
              <w:tr2bl w:val="nil"/>
            </w:tcBorders>
            <w:noWrap w:val="0"/>
            <w:vAlign w:val="center"/>
          </w:tcPr>
          <w:p w14:paraId="255822A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9.58</w:t>
            </w:r>
          </w:p>
        </w:tc>
        <w:tc>
          <w:tcPr>
            <w:tcW w:w="273" w:type="pct"/>
            <w:tcBorders>
              <w:tl2br w:val="nil"/>
              <w:tr2bl w:val="nil"/>
            </w:tcBorders>
            <w:noWrap w:val="0"/>
            <w:vAlign w:val="center"/>
          </w:tcPr>
          <w:p w14:paraId="1B26900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9.72</w:t>
            </w:r>
          </w:p>
        </w:tc>
        <w:tc>
          <w:tcPr>
            <w:tcW w:w="273" w:type="pct"/>
            <w:tcBorders>
              <w:tl2br w:val="nil"/>
              <w:tr2bl w:val="nil"/>
            </w:tcBorders>
            <w:noWrap w:val="0"/>
            <w:vAlign w:val="center"/>
          </w:tcPr>
          <w:p w14:paraId="0D17F8B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8.33</w:t>
            </w:r>
          </w:p>
        </w:tc>
        <w:tc>
          <w:tcPr>
            <w:tcW w:w="273" w:type="pct"/>
            <w:tcBorders>
              <w:tl2br w:val="nil"/>
              <w:tr2bl w:val="nil"/>
            </w:tcBorders>
            <w:noWrap w:val="0"/>
            <w:vAlign w:val="center"/>
          </w:tcPr>
          <w:p w14:paraId="16E3BED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11.81</w:t>
            </w:r>
          </w:p>
        </w:tc>
        <w:tc>
          <w:tcPr>
            <w:tcW w:w="273" w:type="pct"/>
            <w:tcBorders>
              <w:tl2br w:val="nil"/>
              <w:tr2bl w:val="nil"/>
            </w:tcBorders>
            <w:noWrap w:val="0"/>
            <w:vAlign w:val="center"/>
          </w:tcPr>
          <w:p w14:paraId="3260196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4.72</w:t>
            </w:r>
          </w:p>
        </w:tc>
        <w:tc>
          <w:tcPr>
            <w:tcW w:w="273" w:type="pct"/>
            <w:tcBorders>
              <w:tl2br w:val="nil"/>
              <w:tr2bl w:val="nil"/>
            </w:tcBorders>
            <w:noWrap w:val="0"/>
            <w:vAlign w:val="center"/>
          </w:tcPr>
          <w:p w14:paraId="35F6D80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3.19</w:t>
            </w:r>
          </w:p>
        </w:tc>
        <w:tc>
          <w:tcPr>
            <w:tcW w:w="273" w:type="pct"/>
            <w:tcBorders>
              <w:tl2br w:val="nil"/>
              <w:tr2bl w:val="nil"/>
            </w:tcBorders>
            <w:noWrap w:val="0"/>
            <w:vAlign w:val="center"/>
          </w:tcPr>
          <w:p w14:paraId="79BF61D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3.47</w:t>
            </w:r>
          </w:p>
        </w:tc>
        <w:tc>
          <w:tcPr>
            <w:tcW w:w="273" w:type="pct"/>
            <w:tcBorders>
              <w:tl2br w:val="nil"/>
              <w:tr2bl w:val="nil"/>
            </w:tcBorders>
            <w:noWrap w:val="0"/>
            <w:vAlign w:val="center"/>
          </w:tcPr>
          <w:p w14:paraId="42C4298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6.25</w:t>
            </w:r>
          </w:p>
        </w:tc>
        <w:tc>
          <w:tcPr>
            <w:tcW w:w="273" w:type="pct"/>
            <w:tcBorders>
              <w:tl2br w:val="nil"/>
              <w:tr2bl w:val="nil"/>
            </w:tcBorders>
            <w:noWrap w:val="0"/>
            <w:vAlign w:val="center"/>
          </w:tcPr>
          <w:p w14:paraId="3365BBF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6.53</w:t>
            </w:r>
          </w:p>
        </w:tc>
        <w:tc>
          <w:tcPr>
            <w:tcW w:w="273" w:type="pct"/>
            <w:tcBorders>
              <w:tl2br w:val="nil"/>
              <w:tr2bl w:val="nil"/>
            </w:tcBorders>
            <w:noWrap w:val="0"/>
            <w:vAlign w:val="center"/>
          </w:tcPr>
          <w:p w14:paraId="18957CF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3.33</w:t>
            </w:r>
          </w:p>
        </w:tc>
        <w:tc>
          <w:tcPr>
            <w:tcW w:w="287" w:type="pct"/>
            <w:tcBorders>
              <w:tl2br w:val="nil"/>
              <w:tr2bl w:val="nil"/>
            </w:tcBorders>
            <w:noWrap w:val="0"/>
            <w:vAlign w:val="center"/>
          </w:tcPr>
          <w:p w14:paraId="2EF216E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2.92</w:t>
            </w:r>
          </w:p>
        </w:tc>
        <w:tc>
          <w:tcPr>
            <w:tcW w:w="273" w:type="pct"/>
            <w:tcBorders>
              <w:tl2br w:val="nil"/>
              <w:tr2bl w:val="nil"/>
            </w:tcBorders>
            <w:noWrap w:val="0"/>
            <w:vAlign w:val="center"/>
          </w:tcPr>
          <w:p w14:paraId="6F7AD5F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4.58</w:t>
            </w:r>
          </w:p>
        </w:tc>
        <w:tc>
          <w:tcPr>
            <w:tcW w:w="306" w:type="pct"/>
            <w:tcBorders>
              <w:tl2br w:val="nil"/>
              <w:tr2bl w:val="nil"/>
            </w:tcBorders>
            <w:noWrap w:val="0"/>
            <w:vAlign w:val="center"/>
          </w:tcPr>
          <w:p w14:paraId="0FEE96D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2.22</w:t>
            </w:r>
          </w:p>
        </w:tc>
        <w:tc>
          <w:tcPr>
            <w:tcW w:w="273" w:type="pct"/>
            <w:tcBorders>
              <w:tl2br w:val="nil"/>
              <w:tr2bl w:val="nil"/>
            </w:tcBorders>
            <w:noWrap w:val="0"/>
            <w:vAlign w:val="center"/>
          </w:tcPr>
          <w:p w14:paraId="3C1A50C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4.44</w:t>
            </w:r>
          </w:p>
        </w:tc>
        <w:tc>
          <w:tcPr>
            <w:tcW w:w="274" w:type="pct"/>
            <w:tcBorders>
              <w:tl2br w:val="nil"/>
              <w:tr2bl w:val="nil"/>
            </w:tcBorders>
            <w:noWrap w:val="0"/>
            <w:vAlign w:val="center"/>
          </w:tcPr>
          <w:p w14:paraId="6A5E177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6.11</w:t>
            </w:r>
          </w:p>
        </w:tc>
        <w:tc>
          <w:tcPr>
            <w:tcW w:w="274" w:type="pct"/>
            <w:tcBorders>
              <w:tl2br w:val="nil"/>
              <w:tr2bl w:val="nil"/>
            </w:tcBorders>
            <w:noWrap w:val="0"/>
            <w:vAlign w:val="center"/>
          </w:tcPr>
          <w:p w14:paraId="0FE9BA2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0.14</w:t>
            </w:r>
          </w:p>
        </w:tc>
      </w:tr>
      <w:tr w14:paraId="457F26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289C2DF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5月</w:t>
            </w:r>
          </w:p>
        </w:tc>
        <w:tc>
          <w:tcPr>
            <w:tcW w:w="273" w:type="pct"/>
            <w:tcBorders>
              <w:tl2br w:val="nil"/>
              <w:tr2bl w:val="nil"/>
            </w:tcBorders>
            <w:noWrap w:val="0"/>
            <w:vAlign w:val="center"/>
          </w:tcPr>
          <w:p w14:paraId="0EC3AB8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11.56</w:t>
            </w:r>
          </w:p>
        </w:tc>
        <w:tc>
          <w:tcPr>
            <w:tcW w:w="273" w:type="pct"/>
            <w:tcBorders>
              <w:tl2br w:val="nil"/>
              <w:tr2bl w:val="nil"/>
            </w:tcBorders>
            <w:noWrap w:val="0"/>
            <w:vAlign w:val="center"/>
          </w:tcPr>
          <w:p w14:paraId="227A100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9.68</w:t>
            </w:r>
          </w:p>
        </w:tc>
        <w:tc>
          <w:tcPr>
            <w:tcW w:w="273" w:type="pct"/>
            <w:tcBorders>
              <w:tl2br w:val="nil"/>
              <w:tr2bl w:val="nil"/>
            </w:tcBorders>
            <w:noWrap w:val="0"/>
            <w:vAlign w:val="center"/>
          </w:tcPr>
          <w:p w14:paraId="734A66B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12.23</w:t>
            </w:r>
          </w:p>
        </w:tc>
        <w:tc>
          <w:tcPr>
            <w:tcW w:w="273" w:type="pct"/>
            <w:tcBorders>
              <w:tl2br w:val="nil"/>
              <w:tr2bl w:val="nil"/>
            </w:tcBorders>
            <w:noWrap w:val="0"/>
            <w:vAlign w:val="center"/>
          </w:tcPr>
          <w:p w14:paraId="32B0192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9.14</w:t>
            </w:r>
          </w:p>
        </w:tc>
        <w:tc>
          <w:tcPr>
            <w:tcW w:w="273" w:type="pct"/>
            <w:tcBorders>
              <w:tl2br w:val="nil"/>
              <w:tr2bl w:val="nil"/>
            </w:tcBorders>
            <w:noWrap w:val="0"/>
            <w:vAlign w:val="center"/>
          </w:tcPr>
          <w:p w14:paraId="5D48871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9.01</w:t>
            </w:r>
          </w:p>
        </w:tc>
        <w:tc>
          <w:tcPr>
            <w:tcW w:w="273" w:type="pct"/>
            <w:tcBorders>
              <w:tl2br w:val="nil"/>
              <w:tr2bl w:val="nil"/>
            </w:tcBorders>
            <w:noWrap w:val="0"/>
            <w:vAlign w:val="center"/>
          </w:tcPr>
          <w:p w14:paraId="63C345D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3.90</w:t>
            </w:r>
          </w:p>
        </w:tc>
        <w:tc>
          <w:tcPr>
            <w:tcW w:w="273" w:type="pct"/>
            <w:tcBorders>
              <w:tl2br w:val="nil"/>
              <w:tr2bl w:val="nil"/>
            </w:tcBorders>
            <w:noWrap w:val="0"/>
            <w:vAlign w:val="center"/>
          </w:tcPr>
          <w:p w14:paraId="56AA255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4.17</w:t>
            </w:r>
          </w:p>
        </w:tc>
        <w:tc>
          <w:tcPr>
            <w:tcW w:w="273" w:type="pct"/>
            <w:tcBorders>
              <w:tl2br w:val="nil"/>
              <w:tr2bl w:val="nil"/>
            </w:tcBorders>
            <w:noWrap w:val="0"/>
            <w:vAlign w:val="center"/>
          </w:tcPr>
          <w:p w14:paraId="12FE72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w:t>
            </w:r>
          </w:p>
        </w:tc>
        <w:tc>
          <w:tcPr>
            <w:tcW w:w="273" w:type="pct"/>
            <w:tcBorders>
              <w:tl2br w:val="nil"/>
              <w:tr2bl w:val="nil"/>
            </w:tcBorders>
            <w:noWrap w:val="0"/>
            <w:vAlign w:val="center"/>
          </w:tcPr>
          <w:p w14:paraId="458163F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6.32</w:t>
            </w:r>
          </w:p>
        </w:tc>
        <w:tc>
          <w:tcPr>
            <w:tcW w:w="273" w:type="pct"/>
            <w:tcBorders>
              <w:tl2br w:val="nil"/>
              <w:tr2bl w:val="nil"/>
            </w:tcBorders>
            <w:noWrap w:val="0"/>
            <w:vAlign w:val="center"/>
          </w:tcPr>
          <w:p w14:paraId="3655BA0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4.97</w:t>
            </w:r>
          </w:p>
        </w:tc>
        <w:tc>
          <w:tcPr>
            <w:tcW w:w="273" w:type="pct"/>
            <w:tcBorders>
              <w:tl2br w:val="nil"/>
              <w:tr2bl w:val="nil"/>
            </w:tcBorders>
            <w:noWrap w:val="0"/>
            <w:vAlign w:val="center"/>
          </w:tcPr>
          <w:p w14:paraId="3E25A1F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3.09</w:t>
            </w:r>
          </w:p>
        </w:tc>
        <w:tc>
          <w:tcPr>
            <w:tcW w:w="287" w:type="pct"/>
            <w:tcBorders>
              <w:tl2br w:val="nil"/>
              <w:tr2bl w:val="nil"/>
            </w:tcBorders>
            <w:noWrap w:val="0"/>
            <w:vAlign w:val="center"/>
          </w:tcPr>
          <w:p w14:paraId="1BA086E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2.82</w:t>
            </w:r>
          </w:p>
        </w:tc>
        <w:tc>
          <w:tcPr>
            <w:tcW w:w="273" w:type="pct"/>
            <w:tcBorders>
              <w:tl2br w:val="nil"/>
              <w:tr2bl w:val="nil"/>
            </w:tcBorders>
            <w:noWrap w:val="0"/>
            <w:vAlign w:val="center"/>
          </w:tcPr>
          <w:p w14:paraId="4A47B1A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5.51</w:t>
            </w:r>
          </w:p>
        </w:tc>
        <w:tc>
          <w:tcPr>
            <w:tcW w:w="306" w:type="pct"/>
            <w:tcBorders>
              <w:tl2br w:val="nil"/>
              <w:tr2bl w:val="nil"/>
            </w:tcBorders>
            <w:noWrap w:val="0"/>
            <w:vAlign w:val="center"/>
          </w:tcPr>
          <w:p w14:paraId="0B7CE74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3.63</w:t>
            </w:r>
          </w:p>
        </w:tc>
        <w:tc>
          <w:tcPr>
            <w:tcW w:w="273" w:type="pct"/>
            <w:tcBorders>
              <w:tl2br w:val="nil"/>
              <w:tr2bl w:val="nil"/>
            </w:tcBorders>
            <w:noWrap w:val="0"/>
            <w:vAlign w:val="center"/>
          </w:tcPr>
          <w:p w14:paraId="1A6754A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5.78</w:t>
            </w:r>
          </w:p>
        </w:tc>
        <w:tc>
          <w:tcPr>
            <w:tcW w:w="274" w:type="pct"/>
            <w:tcBorders>
              <w:tl2br w:val="nil"/>
              <w:tr2bl w:val="nil"/>
            </w:tcBorders>
            <w:noWrap w:val="0"/>
            <w:vAlign w:val="center"/>
          </w:tcPr>
          <w:p w14:paraId="30DEE12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6.18</w:t>
            </w:r>
          </w:p>
        </w:tc>
        <w:tc>
          <w:tcPr>
            <w:tcW w:w="274" w:type="pct"/>
            <w:tcBorders>
              <w:tl2br w:val="nil"/>
              <w:tr2bl w:val="nil"/>
            </w:tcBorders>
            <w:noWrap w:val="0"/>
            <w:vAlign w:val="center"/>
          </w:tcPr>
          <w:p w14:paraId="27E1ACE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w:t>
            </w:r>
          </w:p>
        </w:tc>
      </w:tr>
      <w:tr w14:paraId="24A3DF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7881BE4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6月</w:t>
            </w:r>
          </w:p>
        </w:tc>
        <w:tc>
          <w:tcPr>
            <w:tcW w:w="273" w:type="pct"/>
            <w:tcBorders>
              <w:tl2br w:val="nil"/>
              <w:tr2bl w:val="nil"/>
            </w:tcBorders>
            <w:noWrap w:val="0"/>
            <w:vAlign w:val="center"/>
          </w:tcPr>
          <w:p w14:paraId="3A21C1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13.06</w:t>
            </w:r>
          </w:p>
        </w:tc>
        <w:tc>
          <w:tcPr>
            <w:tcW w:w="273" w:type="pct"/>
            <w:tcBorders>
              <w:tl2br w:val="nil"/>
              <w:tr2bl w:val="nil"/>
            </w:tcBorders>
            <w:noWrap w:val="0"/>
            <w:vAlign w:val="center"/>
          </w:tcPr>
          <w:p w14:paraId="0400FCE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11.39</w:t>
            </w:r>
          </w:p>
        </w:tc>
        <w:tc>
          <w:tcPr>
            <w:tcW w:w="273" w:type="pct"/>
            <w:tcBorders>
              <w:tl2br w:val="nil"/>
              <w:tr2bl w:val="nil"/>
            </w:tcBorders>
            <w:noWrap w:val="0"/>
            <w:vAlign w:val="center"/>
          </w:tcPr>
          <w:p w14:paraId="6FE7E9B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7.64</w:t>
            </w:r>
          </w:p>
        </w:tc>
        <w:tc>
          <w:tcPr>
            <w:tcW w:w="273" w:type="pct"/>
            <w:tcBorders>
              <w:tl2br w:val="nil"/>
              <w:tr2bl w:val="nil"/>
            </w:tcBorders>
            <w:noWrap w:val="0"/>
            <w:vAlign w:val="center"/>
          </w:tcPr>
          <w:p w14:paraId="1EE1B63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4.03</w:t>
            </w:r>
          </w:p>
        </w:tc>
        <w:tc>
          <w:tcPr>
            <w:tcW w:w="273" w:type="pct"/>
            <w:tcBorders>
              <w:tl2br w:val="nil"/>
              <w:tr2bl w:val="nil"/>
            </w:tcBorders>
            <w:noWrap w:val="0"/>
            <w:vAlign w:val="center"/>
          </w:tcPr>
          <w:p w14:paraId="4C081B2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6.39</w:t>
            </w:r>
          </w:p>
        </w:tc>
        <w:tc>
          <w:tcPr>
            <w:tcW w:w="273" w:type="pct"/>
            <w:tcBorders>
              <w:tl2br w:val="nil"/>
              <w:tr2bl w:val="nil"/>
            </w:tcBorders>
            <w:noWrap w:val="0"/>
            <w:vAlign w:val="center"/>
          </w:tcPr>
          <w:p w14:paraId="1DA3A90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4.03</w:t>
            </w:r>
          </w:p>
        </w:tc>
        <w:tc>
          <w:tcPr>
            <w:tcW w:w="273" w:type="pct"/>
            <w:tcBorders>
              <w:tl2br w:val="nil"/>
              <w:tr2bl w:val="nil"/>
            </w:tcBorders>
            <w:noWrap w:val="0"/>
            <w:vAlign w:val="center"/>
          </w:tcPr>
          <w:p w14:paraId="2EEE326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2.92</w:t>
            </w:r>
          </w:p>
        </w:tc>
        <w:tc>
          <w:tcPr>
            <w:tcW w:w="273" w:type="pct"/>
            <w:tcBorders>
              <w:tl2br w:val="nil"/>
              <w:tr2bl w:val="nil"/>
            </w:tcBorders>
            <w:noWrap w:val="0"/>
            <w:vAlign w:val="center"/>
          </w:tcPr>
          <w:p w14:paraId="5705467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1.39</w:t>
            </w:r>
          </w:p>
        </w:tc>
        <w:tc>
          <w:tcPr>
            <w:tcW w:w="273" w:type="pct"/>
            <w:tcBorders>
              <w:tl2br w:val="nil"/>
              <w:tr2bl w:val="nil"/>
            </w:tcBorders>
            <w:noWrap w:val="0"/>
            <w:vAlign w:val="center"/>
          </w:tcPr>
          <w:p w14:paraId="2610440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5.42</w:t>
            </w:r>
          </w:p>
        </w:tc>
        <w:tc>
          <w:tcPr>
            <w:tcW w:w="273" w:type="pct"/>
            <w:tcBorders>
              <w:tl2br w:val="nil"/>
              <w:tr2bl w:val="nil"/>
            </w:tcBorders>
            <w:noWrap w:val="0"/>
            <w:vAlign w:val="center"/>
          </w:tcPr>
          <w:p w14:paraId="4D47A26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w:t>
            </w:r>
          </w:p>
        </w:tc>
        <w:tc>
          <w:tcPr>
            <w:tcW w:w="273" w:type="pct"/>
            <w:tcBorders>
              <w:tl2br w:val="nil"/>
              <w:tr2bl w:val="nil"/>
            </w:tcBorders>
            <w:noWrap w:val="0"/>
            <w:vAlign w:val="center"/>
          </w:tcPr>
          <w:p w14:paraId="71A755F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1.81</w:t>
            </w:r>
          </w:p>
        </w:tc>
        <w:tc>
          <w:tcPr>
            <w:tcW w:w="287" w:type="pct"/>
            <w:tcBorders>
              <w:tl2br w:val="nil"/>
              <w:tr2bl w:val="nil"/>
            </w:tcBorders>
            <w:noWrap w:val="0"/>
            <w:vAlign w:val="center"/>
          </w:tcPr>
          <w:p w14:paraId="71C4EA3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2.64</w:t>
            </w:r>
          </w:p>
        </w:tc>
        <w:tc>
          <w:tcPr>
            <w:tcW w:w="273" w:type="pct"/>
            <w:tcBorders>
              <w:tl2br w:val="nil"/>
              <w:tr2bl w:val="nil"/>
            </w:tcBorders>
            <w:noWrap w:val="0"/>
            <w:vAlign w:val="center"/>
          </w:tcPr>
          <w:p w14:paraId="789EFAD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5.42</w:t>
            </w:r>
          </w:p>
        </w:tc>
        <w:tc>
          <w:tcPr>
            <w:tcW w:w="306" w:type="pct"/>
            <w:tcBorders>
              <w:tl2br w:val="nil"/>
              <w:tr2bl w:val="nil"/>
            </w:tcBorders>
            <w:noWrap w:val="0"/>
            <w:vAlign w:val="center"/>
          </w:tcPr>
          <w:p w14:paraId="23F771F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6.94</w:t>
            </w:r>
          </w:p>
        </w:tc>
        <w:tc>
          <w:tcPr>
            <w:tcW w:w="273" w:type="pct"/>
            <w:tcBorders>
              <w:tl2br w:val="nil"/>
              <w:tr2bl w:val="nil"/>
            </w:tcBorders>
            <w:noWrap w:val="0"/>
            <w:vAlign w:val="center"/>
          </w:tcPr>
          <w:p w14:paraId="6BD1F21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12.92</w:t>
            </w:r>
          </w:p>
        </w:tc>
        <w:tc>
          <w:tcPr>
            <w:tcW w:w="274" w:type="pct"/>
            <w:tcBorders>
              <w:tl2br w:val="nil"/>
              <w:tr2bl w:val="nil"/>
            </w:tcBorders>
            <w:noWrap w:val="0"/>
            <w:vAlign w:val="center"/>
          </w:tcPr>
          <w:p w14:paraId="1906379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11.39</w:t>
            </w:r>
          </w:p>
        </w:tc>
        <w:tc>
          <w:tcPr>
            <w:tcW w:w="274" w:type="pct"/>
            <w:tcBorders>
              <w:tl2br w:val="nil"/>
              <w:tr2bl w:val="nil"/>
            </w:tcBorders>
            <w:noWrap w:val="0"/>
            <w:vAlign w:val="center"/>
          </w:tcPr>
          <w:p w14:paraId="21B41B7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0.14</w:t>
            </w:r>
          </w:p>
        </w:tc>
      </w:tr>
      <w:tr w14:paraId="2A83146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60AE5C7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7月</w:t>
            </w:r>
          </w:p>
        </w:tc>
        <w:tc>
          <w:tcPr>
            <w:tcW w:w="273" w:type="pct"/>
            <w:tcBorders>
              <w:tl2br w:val="nil"/>
              <w:tr2bl w:val="nil"/>
            </w:tcBorders>
            <w:noWrap w:val="0"/>
            <w:vAlign w:val="center"/>
          </w:tcPr>
          <w:p w14:paraId="458918B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10.22</w:t>
            </w:r>
          </w:p>
        </w:tc>
        <w:tc>
          <w:tcPr>
            <w:tcW w:w="273" w:type="pct"/>
            <w:tcBorders>
              <w:tl2br w:val="nil"/>
              <w:tr2bl w:val="nil"/>
            </w:tcBorders>
            <w:noWrap w:val="0"/>
            <w:vAlign w:val="center"/>
          </w:tcPr>
          <w:p w14:paraId="2FFD815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7.93</w:t>
            </w:r>
          </w:p>
        </w:tc>
        <w:tc>
          <w:tcPr>
            <w:tcW w:w="273" w:type="pct"/>
            <w:tcBorders>
              <w:tl2br w:val="nil"/>
              <w:tr2bl w:val="nil"/>
            </w:tcBorders>
            <w:noWrap w:val="0"/>
            <w:vAlign w:val="center"/>
          </w:tcPr>
          <w:p w14:paraId="7E66B52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8.60</w:t>
            </w:r>
          </w:p>
        </w:tc>
        <w:tc>
          <w:tcPr>
            <w:tcW w:w="273" w:type="pct"/>
            <w:tcBorders>
              <w:tl2br w:val="nil"/>
              <w:tr2bl w:val="nil"/>
            </w:tcBorders>
            <w:noWrap w:val="0"/>
            <w:vAlign w:val="center"/>
          </w:tcPr>
          <w:p w14:paraId="7A8DF76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5.78</w:t>
            </w:r>
          </w:p>
        </w:tc>
        <w:tc>
          <w:tcPr>
            <w:tcW w:w="273" w:type="pct"/>
            <w:tcBorders>
              <w:tl2br w:val="nil"/>
              <w:tr2bl w:val="nil"/>
            </w:tcBorders>
            <w:noWrap w:val="0"/>
            <w:vAlign w:val="center"/>
          </w:tcPr>
          <w:p w14:paraId="0CB01D2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9.01</w:t>
            </w:r>
          </w:p>
        </w:tc>
        <w:tc>
          <w:tcPr>
            <w:tcW w:w="273" w:type="pct"/>
            <w:tcBorders>
              <w:tl2br w:val="nil"/>
              <w:tr2bl w:val="nil"/>
            </w:tcBorders>
            <w:noWrap w:val="0"/>
            <w:vAlign w:val="center"/>
          </w:tcPr>
          <w:p w14:paraId="0DEEF3E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6.18</w:t>
            </w:r>
          </w:p>
        </w:tc>
        <w:tc>
          <w:tcPr>
            <w:tcW w:w="273" w:type="pct"/>
            <w:tcBorders>
              <w:tl2br w:val="nil"/>
              <w:tr2bl w:val="nil"/>
            </w:tcBorders>
            <w:noWrap w:val="0"/>
            <w:vAlign w:val="center"/>
          </w:tcPr>
          <w:p w14:paraId="15861BF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6.32</w:t>
            </w:r>
          </w:p>
        </w:tc>
        <w:tc>
          <w:tcPr>
            <w:tcW w:w="273" w:type="pct"/>
            <w:tcBorders>
              <w:tl2br w:val="nil"/>
              <w:tr2bl w:val="nil"/>
            </w:tcBorders>
            <w:noWrap w:val="0"/>
            <w:vAlign w:val="center"/>
          </w:tcPr>
          <w:p w14:paraId="4488426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2.96</w:t>
            </w:r>
          </w:p>
        </w:tc>
        <w:tc>
          <w:tcPr>
            <w:tcW w:w="273" w:type="pct"/>
            <w:tcBorders>
              <w:tl2br w:val="nil"/>
              <w:tr2bl w:val="nil"/>
            </w:tcBorders>
            <w:noWrap w:val="0"/>
            <w:vAlign w:val="center"/>
          </w:tcPr>
          <w:p w14:paraId="23EC514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7.80</w:t>
            </w:r>
          </w:p>
        </w:tc>
        <w:tc>
          <w:tcPr>
            <w:tcW w:w="273" w:type="pct"/>
            <w:tcBorders>
              <w:tl2br w:val="nil"/>
              <w:tr2bl w:val="nil"/>
            </w:tcBorders>
            <w:noWrap w:val="0"/>
            <w:vAlign w:val="center"/>
          </w:tcPr>
          <w:p w14:paraId="613C914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4.03</w:t>
            </w:r>
          </w:p>
        </w:tc>
        <w:tc>
          <w:tcPr>
            <w:tcW w:w="273" w:type="pct"/>
            <w:tcBorders>
              <w:tl2br w:val="nil"/>
              <w:tr2bl w:val="nil"/>
            </w:tcBorders>
            <w:noWrap w:val="0"/>
            <w:vAlign w:val="center"/>
          </w:tcPr>
          <w:p w14:paraId="7CF299B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2.15</w:t>
            </w:r>
          </w:p>
        </w:tc>
        <w:tc>
          <w:tcPr>
            <w:tcW w:w="287" w:type="pct"/>
            <w:tcBorders>
              <w:tl2br w:val="nil"/>
              <w:tr2bl w:val="nil"/>
            </w:tcBorders>
            <w:noWrap w:val="0"/>
            <w:vAlign w:val="center"/>
          </w:tcPr>
          <w:p w14:paraId="4DFD9D8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1.34</w:t>
            </w:r>
          </w:p>
        </w:tc>
        <w:tc>
          <w:tcPr>
            <w:tcW w:w="273" w:type="pct"/>
            <w:tcBorders>
              <w:tl2br w:val="nil"/>
              <w:tr2bl w:val="nil"/>
            </w:tcBorders>
            <w:noWrap w:val="0"/>
            <w:vAlign w:val="center"/>
          </w:tcPr>
          <w:p w14:paraId="1BC8F37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3.76</w:t>
            </w:r>
          </w:p>
        </w:tc>
        <w:tc>
          <w:tcPr>
            <w:tcW w:w="306" w:type="pct"/>
            <w:tcBorders>
              <w:tl2br w:val="nil"/>
              <w:tr2bl w:val="nil"/>
            </w:tcBorders>
            <w:noWrap w:val="0"/>
            <w:vAlign w:val="center"/>
          </w:tcPr>
          <w:p w14:paraId="422E795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6.18</w:t>
            </w:r>
          </w:p>
        </w:tc>
        <w:tc>
          <w:tcPr>
            <w:tcW w:w="273" w:type="pct"/>
            <w:tcBorders>
              <w:tl2br w:val="nil"/>
              <w:tr2bl w:val="nil"/>
            </w:tcBorders>
            <w:noWrap w:val="0"/>
            <w:vAlign w:val="center"/>
          </w:tcPr>
          <w:p w14:paraId="270C36C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7.66</w:t>
            </w:r>
          </w:p>
        </w:tc>
        <w:tc>
          <w:tcPr>
            <w:tcW w:w="274" w:type="pct"/>
            <w:tcBorders>
              <w:tl2br w:val="nil"/>
              <w:tr2bl w:val="nil"/>
            </w:tcBorders>
            <w:noWrap w:val="0"/>
            <w:vAlign w:val="center"/>
          </w:tcPr>
          <w:p w14:paraId="4640228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10.08</w:t>
            </w:r>
          </w:p>
        </w:tc>
        <w:tc>
          <w:tcPr>
            <w:tcW w:w="274" w:type="pct"/>
            <w:tcBorders>
              <w:tl2br w:val="nil"/>
              <w:tr2bl w:val="nil"/>
            </w:tcBorders>
            <w:noWrap w:val="0"/>
            <w:vAlign w:val="center"/>
          </w:tcPr>
          <w:p w14:paraId="21B66C2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0.00</w:t>
            </w:r>
          </w:p>
        </w:tc>
      </w:tr>
      <w:tr w14:paraId="2CE5277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4D4EE82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8月</w:t>
            </w:r>
          </w:p>
        </w:tc>
        <w:tc>
          <w:tcPr>
            <w:tcW w:w="273" w:type="pct"/>
            <w:tcBorders>
              <w:tl2br w:val="nil"/>
              <w:tr2bl w:val="nil"/>
            </w:tcBorders>
            <w:noWrap w:val="0"/>
            <w:vAlign w:val="center"/>
          </w:tcPr>
          <w:p w14:paraId="42E05CB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13.44</w:t>
            </w:r>
          </w:p>
        </w:tc>
        <w:tc>
          <w:tcPr>
            <w:tcW w:w="273" w:type="pct"/>
            <w:tcBorders>
              <w:tl2br w:val="nil"/>
              <w:tr2bl w:val="nil"/>
            </w:tcBorders>
            <w:noWrap w:val="0"/>
            <w:vAlign w:val="center"/>
          </w:tcPr>
          <w:p w14:paraId="4FE9185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6.72</w:t>
            </w:r>
          </w:p>
        </w:tc>
        <w:tc>
          <w:tcPr>
            <w:tcW w:w="273" w:type="pct"/>
            <w:tcBorders>
              <w:tl2br w:val="nil"/>
              <w:tr2bl w:val="nil"/>
            </w:tcBorders>
            <w:noWrap w:val="0"/>
            <w:vAlign w:val="center"/>
          </w:tcPr>
          <w:p w14:paraId="0CBD18C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6.18</w:t>
            </w:r>
          </w:p>
        </w:tc>
        <w:tc>
          <w:tcPr>
            <w:tcW w:w="273" w:type="pct"/>
            <w:tcBorders>
              <w:tl2br w:val="nil"/>
              <w:tr2bl w:val="nil"/>
            </w:tcBorders>
            <w:noWrap w:val="0"/>
            <w:vAlign w:val="center"/>
          </w:tcPr>
          <w:p w14:paraId="0E4CBF8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6.18</w:t>
            </w:r>
          </w:p>
        </w:tc>
        <w:tc>
          <w:tcPr>
            <w:tcW w:w="273" w:type="pct"/>
            <w:tcBorders>
              <w:tl2br w:val="nil"/>
              <w:tr2bl w:val="nil"/>
            </w:tcBorders>
            <w:noWrap w:val="0"/>
            <w:vAlign w:val="center"/>
          </w:tcPr>
          <w:p w14:paraId="2A9A1F6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8.87</w:t>
            </w:r>
          </w:p>
        </w:tc>
        <w:tc>
          <w:tcPr>
            <w:tcW w:w="273" w:type="pct"/>
            <w:tcBorders>
              <w:tl2br w:val="nil"/>
              <w:tr2bl w:val="nil"/>
            </w:tcBorders>
            <w:noWrap w:val="0"/>
            <w:vAlign w:val="center"/>
          </w:tcPr>
          <w:p w14:paraId="3D9CD75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4.97</w:t>
            </w:r>
          </w:p>
        </w:tc>
        <w:tc>
          <w:tcPr>
            <w:tcW w:w="273" w:type="pct"/>
            <w:tcBorders>
              <w:tl2br w:val="nil"/>
              <w:tr2bl w:val="nil"/>
            </w:tcBorders>
            <w:noWrap w:val="0"/>
            <w:vAlign w:val="center"/>
          </w:tcPr>
          <w:p w14:paraId="2AB9070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2.55</w:t>
            </w:r>
          </w:p>
        </w:tc>
        <w:tc>
          <w:tcPr>
            <w:tcW w:w="273" w:type="pct"/>
            <w:tcBorders>
              <w:tl2br w:val="nil"/>
              <w:tr2bl w:val="nil"/>
            </w:tcBorders>
            <w:noWrap w:val="0"/>
            <w:vAlign w:val="center"/>
          </w:tcPr>
          <w:p w14:paraId="29E5C31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w:t>
            </w:r>
          </w:p>
        </w:tc>
        <w:tc>
          <w:tcPr>
            <w:tcW w:w="273" w:type="pct"/>
            <w:tcBorders>
              <w:tl2br w:val="nil"/>
              <w:tr2bl w:val="nil"/>
            </w:tcBorders>
            <w:noWrap w:val="0"/>
            <w:vAlign w:val="center"/>
          </w:tcPr>
          <w:p w14:paraId="1F22ADE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3.76</w:t>
            </w:r>
          </w:p>
        </w:tc>
        <w:tc>
          <w:tcPr>
            <w:tcW w:w="273" w:type="pct"/>
            <w:tcBorders>
              <w:tl2br w:val="nil"/>
              <w:tr2bl w:val="nil"/>
            </w:tcBorders>
            <w:noWrap w:val="0"/>
            <w:vAlign w:val="center"/>
          </w:tcPr>
          <w:p w14:paraId="4F2DB73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3.76</w:t>
            </w:r>
          </w:p>
        </w:tc>
        <w:tc>
          <w:tcPr>
            <w:tcW w:w="273" w:type="pct"/>
            <w:tcBorders>
              <w:tl2br w:val="nil"/>
              <w:tr2bl w:val="nil"/>
            </w:tcBorders>
            <w:noWrap w:val="0"/>
            <w:vAlign w:val="center"/>
          </w:tcPr>
          <w:p w14:paraId="65118C8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2.82</w:t>
            </w:r>
          </w:p>
        </w:tc>
        <w:tc>
          <w:tcPr>
            <w:tcW w:w="287" w:type="pct"/>
            <w:tcBorders>
              <w:tl2br w:val="nil"/>
              <w:tr2bl w:val="nil"/>
            </w:tcBorders>
            <w:noWrap w:val="0"/>
            <w:vAlign w:val="center"/>
          </w:tcPr>
          <w:p w14:paraId="1EC7576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w:t>
            </w:r>
          </w:p>
        </w:tc>
        <w:tc>
          <w:tcPr>
            <w:tcW w:w="273" w:type="pct"/>
            <w:tcBorders>
              <w:tl2br w:val="nil"/>
              <w:tr2bl w:val="nil"/>
            </w:tcBorders>
            <w:noWrap w:val="0"/>
            <w:vAlign w:val="center"/>
          </w:tcPr>
          <w:p w14:paraId="7F72B20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3.90</w:t>
            </w:r>
          </w:p>
        </w:tc>
        <w:tc>
          <w:tcPr>
            <w:tcW w:w="306" w:type="pct"/>
            <w:tcBorders>
              <w:tl2br w:val="nil"/>
              <w:tr2bl w:val="nil"/>
            </w:tcBorders>
            <w:noWrap w:val="0"/>
            <w:vAlign w:val="center"/>
          </w:tcPr>
          <w:p w14:paraId="6225B89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9.54</w:t>
            </w:r>
          </w:p>
        </w:tc>
        <w:tc>
          <w:tcPr>
            <w:tcW w:w="273" w:type="pct"/>
            <w:tcBorders>
              <w:tl2br w:val="nil"/>
              <w:tr2bl w:val="nil"/>
            </w:tcBorders>
            <w:noWrap w:val="0"/>
            <w:vAlign w:val="center"/>
          </w:tcPr>
          <w:p w14:paraId="6805230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12.90</w:t>
            </w:r>
          </w:p>
        </w:tc>
        <w:tc>
          <w:tcPr>
            <w:tcW w:w="274" w:type="pct"/>
            <w:tcBorders>
              <w:tl2br w:val="nil"/>
              <w:tr2bl w:val="nil"/>
            </w:tcBorders>
            <w:noWrap w:val="0"/>
            <w:vAlign w:val="center"/>
          </w:tcPr>
          <w:p w14:paraId="5FC37B5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10.35</w:t>
            </w:r>
          </w:p>
        </w:tc>
        <w:tc>
          <w:tcPr>
            <w:tcW w:w="274" w:type="pct"/>
            <w:tcBorders>
              <w:tl2br w:val="nil"/>
              <w:tr2bl w:val="nil"/>
            </w:tcBorders>
            <w:noWrap w:val="0"/>
            <w:vAlign w:val="center"/>
          </w:tcPr>
          <w:p w14:paraId="5271D92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0.40</w:t>
            </w:r>
          </w:p>
        </w:tc>
      </w:tr>
      <w:tr w14:paraId="15D0B97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5B9658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9月</w:t>
            </w:r>
          </w:p>
        </w:tc>
        <w:tc>
          <w:tcPr>
            <w:tcW w:w="273" w:type="pct"/>
            <w:tcBorders>
              <w:tl2br w:val="nil"/>
              <w:tr2bl w:val="nil"/>
            </w:tcBorders>
            <w:noWrap w:val="0"/>
            <w:vAlign w:val="center"/>
          </w:tcPr>
          <w:p w14:paraId="1F50AE5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17.92</w:t>
            </w:r>
          </w:p>
        </w:tc>
        <w:tc>
          <w:tcPr>
            <w:tcW w:w="273" w:type="pct"/>
            <w:tcBorders>
              <w:tl2br w:val="nil"/>
              <w:tr2bl w:val="nil"/>
            </w:tcBorders>
            <w:noWrap w:val="0"/>
            <w:vAlign w:val="center"/>
          </w:tcPr>
          <w:p w14:paraId="1FB1641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12.22</w:t>
            </w:r>
          </w:p>
        </w:tc>
        <w:tc>
          <w:tcPr>
            <w:tcW w:w="273" w:type="pct"/>
            <w:tcBorders>
              <w:tl2br w:val="nil"/>
              <w:tr2bl w:val="nil"/>
            </w:tcBorders>
            <w:noWrap w:val="0"/>
            <w:vAlign w:val="center"/>
          </w:tcPr>
          <w:p w14:paraId="02AFAC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8.75</w:t>
            </w:r>
          </w:p>
        </w:tc>
        <w:tc>
          <w:tcPr>
            <w:tcW w:w="273" w:type="pct"/>
            <w:tcBorders>
              <w:tl2br w:val="nil"/>
              <w:tr2bl w:val="nil"/>
            </w:tcBorders>
            <w:noWrap w:val="0"/>
            <w:vAlign w:val="center"/>
          </w:tcPr>
          <w:p w14:paraId="46721FC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6.81</w:t>
            </w:r>
          </w:p>
        </w:tc>
        <w:tc>
          <w:tcPr>
            <w:tcW w:w="273" w:type="pct"/>
            <w:tcBorders>
              <w:tl2br w:val="nil"/>
              <w:tr2bl w:val="nil"/>
            </w:tcBorders>
            <w:noWrap w:val="0"/>
            <w:vAlign w:val="center"/>
          </w:tcPr>
          <w:p w14:paraId="465F5F9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10.00</w:t>
            </w:r>
          </w:p>
        </w:tc>
        <w:tc>
          <w:tcPr>
            <w:tcW w:w="273" w:type="pct"/>
            <w:tcBorders>
              <w:tl2br w:val="nil"/>
              <w:tr2bl w:val="nil"/>
            </w:tcBorders>
            <w:noWrap w:val="0"/>
            <w:vAlign w:val="center"/>
          </w:tcPr>
          <w:p w14:paraId="4A097A4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5.83</w:t>
            </w:r>
          </w:p>
        </w:tc>
        <w:tc>
          <w:tcPr>
            <w:tcW w:w="273" w:type="pct"/>
            <w:tcBorders>
              <w:tl2br w:val="nil"/>
              <w:tr2bl w:val="nil"/>
            </w:tcBorders>
            <w:noWrap w:val="0"/>
            <w:vAlign w:val="center"/>
          </w:tcPr>
          <w:p w14:paraId="137D664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3.19</w:t>
            </w:r>
          </w:p>
        </w:tc>
        <w:tc>
          <w:tcPr>
            <w:tcW w:w="273" w:type="pct"/>
            <w:tcBorders>
              <w:tl2br w:val="nil"/>
              <w:tr2bl w:val="nil"/>
            </w:tcBorders>
            <w:noWrap w:val="0"/>
            <w:vAlign w:val="center"/>
          </w:tcPr>
          <w:p w14:paraId="566A443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1.39</w:t>
            </w:r>
          </w:p>
        </w:tc>
        <w:tc>
          <w:tcPr>
            <w:tcW w:w="273" w:type="pct"/>
            <w:tcBorders>
              <w:tl2br w:val="nil"/>
              <w:tr2bl w:val="nil"/>
            </w:tcBorders>
            <w:noWrap w:val="0"/>
            <w:vAlign w:val="center"/>
          </w:tcPr>
          <w:p w14:paraId="71AB863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2.36</w:t>
            </w:r>
          </w:p>
        </w:tc>
        <w:tc>
          <w:tcPr>
            <w:tcW w:w="273" w:type="pct"/>
            <w:tcBorders>
              <w:tl2br w:val="nil"/>
              <w:tr2bl w:val="nil"/>
            </w:tcBorders>
            <w:noWrap w:val="0"/>
            <w:vAlign w:val="center"/>
          </w:tcPr>
          <w:p w14:paraId="4540EC6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0.97</w:t>
            </w:r>
          </w:p>
        </w:tc>
        <w:tc>
          <w:tcPr>
            <w:tcW w:w="273" w:type="pct"/>
            <w:tcBorders>
              <w:tl2br w:val="nil"/>
              <w:tr2bl w:val="nil"/>
            </w:tcBorders>
            <w:noWrap w:val="0"/>
            <w:vAlign w:val="center"/>
          </w:tcPr>
          <w:p w14:paraId="23EDBC6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1.39</w:t>
            </w:r>
          </w:p>
        </w:tc>
        <w:tc>
          <w:tcPr>
            <w:tcW w:w="287" w:type="pct"/>
            <w:tcBorders>
              <w:tl2br w:val="nil"/>
              <w:tr2bl w:val="nil"/>
            </w:tcBorders>
            <w:noWrap w:val="0"/>
            <w:vAlign w:val="center"/>
          </w:tcPr>
          <w:p w14:paraId="0060A78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1.53</w:t>
            </w:r>
          </w:p>
        </w:tc>
        <w:tc>
          <w:tcPr>
            <w:tcW w:w="273" w:type="pct"/>
            <w:tcBorders>
              <w:tl2br w:val="nil"/>
              <w:tr2bl w:val="nil"/>
            </w:tcBorders>
            <w:noWrap w:val="0"/>
            <w:vAlign w:val="center"/>
          </w:tcPr>
          <w:p w14:paraId="24DD2A2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4.17</w:t>
            </w:r>
          </w:p>
        </w:tc>
        <w:tc>
          <w:tcPr>
            <w:tcW w:w="306" w:type="pct"/>
            <w:tcBorders>
              <w:tl2br w:val="nil"/>
              <w:tr2bl w:val="nil"/>
            </w:tcBorders>
            <w:noWrap w:val="0"/>
            <w:vAlign w:val="center"/>
          </w:tcPr>
          <w:p w14:paraId="32A202B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4.72</w:t>
            </w:r>
          </w:p>
        </w:tc>
        <w:tc>
          <w:tcPr>
            <w:tcW w:w="273" w:type="pct"/>
            <w:tcBorders>
              <w:tl2br w:val="nil"/>
              <w:tr2bl w:val="nil"/>
            </w:tcBorders>
            <w:noWrap w:val="0"/>
            <w:vAlign w:val="center"/>
          </w:tcPr>
          <w:p w14:paraId="0927531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5.56</w:t>
            </w:r>
          </w:p>
        </w:tc>
        <w:tc>
          <w:tcPr>
            <w:tcW w:w="274" w:type="pct"/>
            <w:tcBorders>
              <w:tl2br w:val="nil"/>
              <w:tr2bl w:val="nil"/>
            </w:tcBorders>
            <w:noWrap w:val="0"/>
            <w:vAlign w:val="center"/>
          </w:tcPr>
          <w:p w14:paraId="4CA3529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12.92</w:t>
            </w:r>
          </w:p>
        </w:tc>
        <w:tc>
          <w:tcPr>
            <w:tcW w:w="274" w:type="pct"/>
            <w:tcBorders>
              <w:tl2br w:val="nil"/>
              <w:tr2bl w:val="nil"/>
            </w:tcBorders>
            <w:noWrap w:val="0"/>
            <w:vAlign w:val="center"/>
          </w:tcPr>
          <w:p w14:paraId="5072116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0.28</w:t>
            </w:r>
          </w:p>
        </w:tc>
      </w:tr>
      <w:tr w14:paraId="66DDB0A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24383C6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10月</w:t>
            </w:r>
          </w:p>
        </w:tc>
        <w:tc>
          <w:tcPr>
            <w:tcW w:w="273" w:type="pct"/>
            <w:tcBorders>
              <w:tl2br w:val="nil"/>
              <w:tr2bl w:val="nil"/>
            </w:tcBorders>
            <w:noWrap w:val="0"/>
            <w:vAlign w:val="center"/>
          </w:tcPr>
          <w:p w14:paraId="23EE5A8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20.30</w:t>
            </w:r>
          </w:p>
        </w:tc>
        <w:tc>
          <w:tcPr>
            <w:tcW w:w="273" w:type="pct"/>
            <w:tcBorders>
              <w:tl2br w:val="nil"/>
              <w:tr2bl w:val="nil"/>
            </w:tcBorders>
            <w:noWrap w:val="0"/>
            <w:vAlign w:val="center"/>
          </w:tcPr>
          <w:p w14:paraId="2D6C8C4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10.22</w:t>
            </w:r>
          </w:p>
        </w:tc>
        <w:tc>
          <w:tcPr>
            <w:tcW w:w="273" w:type="pct"/>
            <w:tcBorders>
              <w:tl2br w:val="nil"/>
              <w:tr2bl w:val="nil"/>
            </w:tcBorders>
            <w:noWrap w:val="0"/>
            <w:vAlign w:val="center"/>
          </w:tcPr>
          <w:p w14:paraId="7C2F46E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8.60</w:t>
            </w:r>
          </w:p>
        </w:tc>
        <w:tc>
          <w:tcPr>
            <w:tcW w:w="273" w:type="pct"/>
            <w:tcBorders>
              <w:tl2br w:val="nil"/>
              <w:tr2bl w:val="nil"/>
            </w:tcBorders>
            <w:noWrap w:val="0"/>
            <w:vAlign w:val="center"/>
          </w:tcPr>
          <w:p w14:paraId="3141B97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3.76</w:t>
            </w:r>
          </w:p>
        </w:tc>
        <w:tc>
          <w:tcPr>
            <w:tcW w:w="273" w:type="pct"/>
            <w:tcBorders>
              <w:tl2br w:val="nil"/>
              <w:tr2bl w:val="nil"/>
            </w:tcBorders>
            <w:noWrap w:val="0"/>
            <w:vAlign w:val="center"/>
          </w:tcPr>
          <w:p w14:paraId="0CF8638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6.59</w:t>
            </w:r>
          </w:p>
        </w:tc>
        <w:tc>
          <w:tcPr>
            <w:tcW w:w="273" w:type="pct"/>
            <w:tcBorders>
              <w:tl2br w:val="nil"/>
              <w:tr2bl w:val="nil"/>
            </w:tcBorders>
            <w:noWrap w:val="0"/>
            <w:vAlign w:val="center"/>
          </w:tcPr>
          <w:p w14:paraId="0C9066F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3.49</w:t>
            </w:r>
          </w:p>
        </w:tc>
        <w:tc>
          <w:tcPr>
            <w:tcW w:w="273" w:type="pct"/>
            <w:tcBorders>
              <w:tl2br w:val="nil"/>
              <w:tr2bl w:val="nil"/>
            </w:tcBorders>
            <w:noWrap w:val="0"/>
            <w:vAlign w:val="center"/>
          </w:tcPr>
          <w:p w14:paraId="0D2980F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2.55</w:t>
            </w:r>
          </w:p>
        </w:tc>
        <w:tc>
          <w:tcPr>
            <w:tcW w:w="273" w:type="pct"/>
            <w:tcBorders>
              <w:tl2br w:val="nil"/>
              <w:tr2bl w:val="nil"/>
            </w:tcBorders>
            <w:noWrap w:val="0"/>
            <w:vAlign w:val="center"/>
          </w:tcPr>
          <w:p w14:paraId="3B01743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1.88</w:t>
            </w:r>
          </w:p>
        </w:tc>
        <w:tc>
          <w:tcPr>
            <w:tcW w:w="273" w:type="pct"/>
            <w:tcBorders>
              <w:tl2br w:val="nil"/>
              <w:tr2bl w:val="nil"/>
            </w:tcBorders>
            <w:noWrap w:val="0"/>
            <w:vAlign w:val="center"/>
          </w:tcPr>
          <w:p w14:paraId="5C922DF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3.23</w:t>
            </w:r>
          </w:p>
        </w:tc>
        <w:tc>
          <w:tcPr>
            <w:tcW w:w="273" w:type="pct"/>
            <w:tcBorders>
              <w:tl2br w:val="nil"/>
              <w:tr2bl w:val="nil"/>
            </w:tcBorders>
            <w:noWrap w:val="0"/>
            <w:vAlign w:val="center"/>
          </w:tcPr>
          <w:p w14:paraId="52203E5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2.42</w:t>
            </w:r>
          </w:p>
        </w:tc>
        <w:tc>
          <w:tcPr>
            <w:tcW w:w="273" w:type="pct"/>
            <w:tcBorders>
              <w:tl2br w:val="nil"/>
              <w:tr2bl w:val="nil"/>
            </w:tcBorders>
            <w:noWrap w:val="0"/>
            <w:vAlign w:val="center"/>
          </w:tcPr>
          <w:p w14:paraId="28A0A41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1.88</w:t>
            </w:r>
          </w:p>
        </w:tc>
        <w:tc>
          <w:tcPr>
            <w:tcW w:w="287" w:type="pct"/>
            <w:tcBorders>
              <w:tl2br w:val="nil"/>
              <w:tr2bl w:val="nil"/>
            </w:tcBorders>
            <w:noWrap w:val="0"/>
            <w:vAlign w:val="center"/>
          </w:tcPr>
          <w:p w14:paraId="27B06FF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1.34</w:t>
            </w:r>
          </w:p>
        </w:tc>
        <w:tc>
          <w:tcPr>
            <w:tcW w:w="273" w:type="pct"/>
            <w:tcBorders>
              <w:tl2br w:val="nil"/>
              <w:tr2bl w:val="nil"/>
            </w:tcBorders>
            <w:noWrap w:val="0"/>
            <w:vAlign w:val="center"/>
          </w:tcPr>
          <w:p w14:paraId="5D935DA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1.34</w:t>
            </w:r>
          </w:p>
        </w:tc>
        <w:tc>
          <w:tcPr>
            <w:tcW w:w="306" w:type="pct"/>
            <w:tcBorders>
              <w:tl2br w:val="nil"/>
              <w:tr2bl w:val="nil"/>
            </w:tcBorders>
            <w:noWrap w:val="0"/>
            <w:vAlign w:val="center"/>
          </w:tcPr>
          <w:p w14:paraId="68A2291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3.09</w:t>
            </w:r>
          </w:p>
        </w:tc>
        <w:tc>
          <w:tcPr>
            <w:tcW w:w="273" w:type="pct"/>
            <w:tcBorders>
              <w:tl2br w:val="nil"/>
              <w:tr2bl w:val="nil"/>
            </w:tcBorders>
            <w:noWrap w:val="0"/>
            <w:vAlign w:val="center"/>
          </w:tcPr>
          <w:p w14:paraId="24471E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6.18</w:t>
            </w:r>
          </w:p>
        </w:tc>
        <w:tc>
          <w:tcPr>
            <w:tcW w:w="274" w:type="pct"/>
            <w:tcBorders>
              <w:tl2br w:val="nil"/>
              <w:tr2bl w:val="nil"/>
            </w:tcBorders>
            <w:noWrap w:val="0"/>
            <w:vAlign w:val="center"/>
          </w:tcPr>
          <w:p w14:paraId="3ACEB38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22.45</w:t>
            </w:r>
          </w:p>
        </w:tc>
        <w:tc>
          <w:tcPr>
            <w:tcW w:w="274" w:type="pct"/>
            <w:tcBorders>
              <w:tl2br w:val="nil"/>
              <w:tr2bl w:val="nil"/>
            </w:tcBorders>
            <w:noWrap w:val="0"/>
            <w:vAlign w:val="center"/>
          </w:tcPr>
          <w:p w14:paraId="744867F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0.67</w:t>
            </w:r>
          </w:p>
        </w:tc>
      </w:tr>
      <w:tr w14:paraId="6067163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5F932CA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11月</w:t>
            </w:r>
          </w:p>
        </w:tc>
        <w:tc>
          <w:tcPr>
            <w:tcW w:w="273" w:type="pct"/>
            <w:tcBorders>
              <w:tl2br w:val="nil"/>
              <w:tr2bl w:val="nil"/>
            </w:tcBorders>
            <w:noWrap w:val="0"/>
            <w:vAlign w:val="center"/>
          </w:tcPr>
          <w:p w14:paraId="6C21058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21.25</w:t>
            </w:r>
          </w:p>
        </w:tc>
        <w:tc>
          <w:tcPr>
            <w:tcW w:w="273" w:type="pct"/>
            <w:tcBorders>
              <w:tl2br w:val="nil"/>
              <w:tr2bl w:val="nil"/>
            </w:tcBorders>
            <w:noWrap w:val="0"/>
            <w:vAlign w:val="center"/>
          </w:tcPr>
          <w:p w14:paraId="4A6CEA6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12.78</w:t>
            </w:r>
          </w:p>
        </w:tc>
        <w:tc>
          <w:tcPr>
            <w:tcW w:w="273" w:type="pct"/>
            <w:tcBorders>
              <w:tl2br w:val="nil"/>
              <w:tr2bl w:val="nil"/>
            </w:tcBorders>
            <w:noWrap w:val="0"/>
            <w:vAlign w:val="center"/>
          </w:tcPr>
          <w:p w14:paraId="29FE1F0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6.81</w:t>
            </w:r>
          </w:p>
        </w:tc>
        <w:tc>
          <w:tcPr>
            <w:tcW w:w="273" w:type="pct"/>
            <w:tcBorders>
              <w:tl2br w:val="nil"/>
              <w:tr2bl w:val="nil"/>
            </w:tcBorders>
            <w:noWrap w:val="0"/>
            <w:vAlign w:val="center"/>
          </w:tcPr>
          <w:p w14:paraId="0980B6E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4.44</w:t>
            </w:r>
          </w:p>
        </w:tc>
        <w:tc>
          <w:tcPr>
            <w:tcW w:w="273" w:type="pct"/>
            <w:tcBorders>
              <w:tl2br w:val="nil"/>
              <w:tr2bl w:val="nil"/>
            </w:tcBorders>
            <w:noWrap w:val="0"/>
            <w:vAlign w:val="center"/>
          </w:tcPr>
          <w:p w14:paraId="60E3347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7.08</w:t>
            </w:r>
          </w:p>
        </w:tc>
        <w:tc>
          <w:tcPr>
            <w:tcW w:w="273" w:type="pct"/>
            <w:tcBorders>
              <w:tl2br w:val="nil"/>
              <w:tr2bl w:val="nil"/>
            </w:tcBorders>
            <w:noWrap w:val="0"/>
            <w:vAlign w:val="center"/>
          </w:tcPr>
          <w:p w14:paraId="23BCE83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3.33</w:t>
            </w:r>
          </w:p>
        </w:tc>
        <w:tc>
          <w:tcPr>
            <w:tcW w:w="273" w:type="pct"/>
            <w:tcBorders>
              <w:tl2br w:val="nil"/>
              <w:tr2bl w:val="nil"/>
            </w:tcBorders>
            <w:noWrap w:val="0"/>
            <w:vAlign w:val="center"/>
          </w:tcPr>
          <w:p w14:paraId="795677D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2.78</w:t>
            </w:r>
          </w:p>
        </w:tc>
        <w:tc>
          <w:tcPr>
            <w:tcW w:w="273" w:type="pct"/>
            <w:tcBorders>
              <w:tl2br w:val="nil"/>
              <w:tr2bl w:val="nil"/>
            </w:tcBorders>
            <w:noWrap w:val="0"/>
            <w:vAlign w:val="center"/>
          </w:tcPr>
          <w:p w14:paraId="6DD590E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3.47</w:t>
            </w:r>
          </w:p>
        </w:tc>
        <w:tc>
          <w:tcPr>
            <w:tcW w:w="273" w:type="pct"/>
            <w:tcBorders>
              <w:tl2br w:val="nil"/>
              <w:tr2bl w:val="nil"/>
            </w:tcBorders>
            <w:noWrap w:val="0"/>
            <w:vAlign w:val="center"/>
          </w:tcPr>
          <w:p w14:paraId="6B06480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4.72</w:t>
            </w:r>
          </w:p>
        </w:tc>
        <w:tc>
          <w:tcPr>
            <w:tcW w:w="273" w:type="pct"/>
            <w:tcBorders>
              <w:tl2br w:val="nil"/>
              <w:tr2bl w:val="nil"/>
            </w:tcBorders>
            <w:noWrap w:val="0"/>
            <w:vAlign w:val="center"/>
          </w:tcPr>
          <w:p w14:paraId="2962706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2.92</w:t>
            </w:r>
          </w:p>
        </w:tc>
        <w:tc>
          <w:tcPr>
            <w:tcW w:w="273" w:type="pct"/>
            <w:tcBorders>
              <w:tl2br w:val="nil"/>
              <w:tr2bl w:val="nil"/>
            </w:tcBorders>
            <w:noWrap w:val="0"/>
            <w:vAlign w:val="center"/>
          </w:tcPr>
          <w:p w14:paraId="26D5F5D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1.39</w:t>
            </w:r>
          </w:p>
        </w:tc>
        <w:tc>
          <w:tcPr>
            <w:tcW w:w="287" w:type="pct"/>
            <w:tcBorders>
              <w:tl2br w:val="nil"/>
              <w:tr2bl w:val="nil"/>
            </w:tcBorders>
            <w:noWrap w:val="0"/>
            <w:vAlign w:val="center"/>
          </w:tcPr>
          <w:p w14:paraId="13B8038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0.83</w:t>
            </w:r>
          </w:p>
        </w:tc>
        <w:tc>
          <w:tcPr>
            <w:tcW w:w="273" w:type="pct"/>
            <w:tcBorders>
              <w:tl2br w:val="nil"/>
              <w:tr2bl w:val="nil"/>
            </w:tcBorders>
            <w:noWrap w:val="0"/>
            <w:vAlign w:val="center"/>
          </w:tcPr>
          <w:p w14:paraId="350DE51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1.67</w:t>
            </w:r>
          </w:p>
        </w:tc>
        <w:tc>
          <w:tcPr>
            <w:tcW w:w="306" w:type="pct"/>
            <w:tcBorders>
              <w:tl2br w:val="nil"/>
              <w:tr2bl w:val="nil"/>
            </w:tcBorders>
            <w:noWrap w:val="0"/>
            <w:vAlign w:val="center"/>
          </w:tcPr>
          <w:p w14:paraId="54EEFD4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1.81</w:t>
            </w:r>
          </w:p>
        </w:tc>
        <w:tc>
          <w:tcPr>
            <w:tcW w:w="273" w:type="pct"/>
            <w:tcBorders>
              <w:tl2br w:val="nil"/>
              <w:tr2bl w:val="nil"/>
            </w:tcBorders>
            <w:noWrap w:val="0"/>
            <w:vAlign w:val="center"/>
          </w:tcPr>
          <w:p w14:paraId="467389E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4.03</w:t>
            </w:r>
          </w:p>
        </w:tc>
        <w:tc>
          <w:tcPr>
            <w:tcW w:w="274" w:type="pct"/>
            <w:tcBorders>
              <w:tl2br w:val="nil"/>
              <w:tr2bl w:val="nil"/>
            </w:tcBorders>
            <w:noWrap w:val="0"/>
            <w:vAlign w:val="center"/>
          </w:tcPr>
          <w:p w14:paraId="01A410F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20.28</w:t>
            </w:r>
          </w:p>
        </w:tc>
        <w:tc>
          <w:tcPr>
            <w:tcW w:w="274" w:type="pct"/>
            <w:tcBorders>
              <w:tl2br w:val="nil"/>
              <w:tr2bl w:val="nil"/>
            </w:tcBorders>
            <w:noWrap w:val="0"/>
            <w:vAlign w:val="center"/>
          </w:tcPr>
          <w:p w14:paraId="733BC5C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0.42</w:t>
            </w:r>
          </w:p>
        </w:tc>
      </w:tr>
      <w:tr w14:paraId="19FDB69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33D22A8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12月</w:t>
            </w:r>
          </w:p>
        </w:tc>
        <w:tc>
          <w:tcPr>
            <w:tcW w:w="273" w:type="pct"/>
            <w:tcBorders>
              <w:tl2br w:val="nil"/>
              <w:tr2bl w:val="nil"/>
            </w:tcBorders>
            <w:noWrap w:val="0"/>
            <w:vAlign w:val="center"/>
          </w:tcPr>
          <w:p w14:paraId="13BB1CF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20.43</w:t>
            </w:r>
          </w:p>
        </w:tc>
        <w:tc>
          <w:tcPr>
            <w:tcW w:w="273" w:type="pct"/>
            <w:tcBorders>
              <w:tl2br w:val="nil"/>
              <w:tr2bl w:val="nil"/>
            </w:tcBorders>
            <w:noWrap w:val="0"/>
            <w:vAlign w:val="center"/>
          </w:tcPr>
          <w:p w14:paraId="39E85AD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16.40</w:t>
            </w:r>
          </w:p>
        </w:tc>
        <w:tc>
          <w:tcPr>
            <w:tcW w:w="273" w:type="pct"/>
            <w:tcBorders>
              <w:tl2br w:val="nil"/>
              <w:tr2bl w:val="nil"/>
            </w:tcBorders>
            <w:noWrap w:val="0"/>
            <w:vAlign w:val="center"/>
          </w:tcPr>
          <w:p w14:paraId="41E642D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9.68</w:t>
            </w:r>
          </w:p>
        </w:tc>
        <w:tc>
          <w:tcPr>
            <w:tcW w:w="273" w:type="pct"/>
            <w:tcBorders>
              <w:tl2br w:val="nil"/>
              <w:tr2bl w:val="nil"/>
            </w:tcBorders>
            <w:noWrap w:val="0"/>
            <w:vAlign w:val="center"/>
          </w:tcPr>
          <w:p w14:paraId="506513A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5.11</w:t>
            </w:r>
          </w:p>
        </w:tc>
        <w:tc>
          <w:tcPr>
            <w:tcW w:w="273" w:type="pct"/>
            <w:tcBorders>
              <w:tl2br w:val="nil"/>
              <w:tr2bl w:val="nil"/>
            </w:tcBorders>
            <w:noWrap w:val="0"/>
            <w:vAlign w:val="center"/>
          </w:tcPr>
          <w:p w14:paraId="4031BE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6.45</w:t>
            </w:r>
          </w:p>
        </w:tc>
        <w:tc>
          <w:tcPr>
            <w:tcW w:w="273" w:type="pct"/>
            <w:tcBorders>
              <w:tl2br w:val="nil"/>
              <w:tr2bl w:val="nil"/>
            </w:tcBorders>
            <w:noWrap w:val="0"/>
            <w:vAlign w:val="center"/>
          </w:tcPr>
          <w:p w14:paraId="46EB431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3.36</w:t>
            </w:r>
          </w:p>
        </w:tc>
        <w:tc>
          <w:tcPr>
            <w:tcW w:w="273" w:type="pct"/>
            <w:tcBorders>
              <w:tl2br w:val="nil"/>
              <w:tr2bl w:val="nil"/>
            </w:tcBorders>
            <w:noWrap w:val="0"/>
            <w:vAlign w:val="center"/>
          </w:tcPr>
          <w:p w14:paraId="42C0F9D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4.17</w:t>
            </w:r>
          </w:p>
        </w:tc>
        <w:tc>
          <w:tcPr>
            <w:tcW w:w="273" w:type="pct"/>
            <w:tcBorders>
              <w:tl2br w:val="nil"/>
              <w:tr2bl w:val="nil"/>
            </w:tcBorders>
            <w:noWrap w:val="0"/>
            <w:vAlign w:val="center"/>
          </w:tcPr>
          <w:p w14:paraId="282CB5B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4.17</w:t>
            </w:r>
          </w:p>
        </w:tc>
        <w:tc>
          <w:tcPr>
            <w:tcW w:w="273" w:type="pct"/>
            <w:tcBorders>
              <w:tl2br w:val="nil"/>
              <w:tr2bl w:val="nil"/>
            </w:tcBorders>
            <w:noWrap w:val="0"/>
            <w:vAlign w:val="center"/>
          </w:tcPr>
          <w:p w14:paraId="7FB0E6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5.65</w:t>
            </w:r>
          </w:p>
        </w:tc>
        <w:tc>
          <w:tcPr>
            <w:tcW w:w="273" w:type="pct"/>
            <w:tcBorders>
              <w:tl2br w:val="nil"/>
              <w:tr2bl w:val="nil"/>
            </w:tcBorders>
            <w:noWrap w:val="0"/>
            <w:vAlign w:val="center"/>
          </w:tcPr>
          <w:p w14:paraId="529F0BA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3.36</w:t>
            </w:r>
          </w:p>
        </w:tc>
        <w:tc>
          <w:tcPr>
            <w:tcW w:w="273" w:type="pct"/>
            <w:tcBorders>
              <w:tl2br w:val="nil"/>
              <w:tr2bl w:val="nil"/>
            </w:tcBorders>
            <w:noWrap w:val="0"/>
            <w:vAlign w:val="center"/>
          </w:tcPr>
          <w:p w14:paraId="139F496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2.15</w:t>
            </w:r>
          </w:p>
        </w:tc>
        <w:tc>
          <w:tcPr>
            <w:tcW w:w="287" w:type="pct"/>
            <w:tcBorders>
              <w:tl2br w:val="nil"/>
              <w:tr2bl w:val="nil"/>
            </w:tcBorders>
            <w:noWrap w:val="0"/>
            <w:vAlign w:val="center"/>
          </w:tcPr>
          <w:p w14:paraId="49F00B9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1.88</w:t>
            </w:r>
          </w:p>
        </w:tc>
        <w:tc>
          <w:tcPr>
            <w:tcW w:w="273" w:type="pct"/>
            <w:tcBorders>
              <w:tl2br w:val="nil"/>
              <w:tr2bl w:val="nil"/>
            </w:tcBorders>
            <w:noWrap w:val="0"/>
            <w:vAlign w:val="center"/>
          </w:tcPr>
          <w:p w14:paraId="092E693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1.75</w:t>
            </w:r>
          </w:p>
        </w:tc>
        <w:tc>
          <w:tcPr>
            <w:tcW w:w="306" w:type="pct"/>
            <w:tcBorders>
              <w:tl2br w:val="nil"/>
              <w:tr2bl w:val="nil"/>
            </w:tcBorders>
            <w:noWrap w:val="0"/>
            <w:vAlign w:val="center"/>
          </w:tcPr>
          <w:p w14:paraId="5A32498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1.88</w:t>
            </w:r>
          </w:p>
        </w:tc>
        <w:tc>
          <w:tcPr>
            <w:tcW w:w="273" w:type="pct"/>
            <w:tcBorders>
              <w:tl2br w:val="nil"/>
              <w:tr2bl w:val="nil"/>
            </w:tcBorders>
            <w:noWrap w:val="0"/>
            <w:vAlign w:val="center"/>
          </w:tcPr>
          <w:p w14:paraId="090A78B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3.36</w:t>
            </w:r>
          </w:p>
        </w:tc>
        <w:tc>
          <w:tcPr>
            <w:tcW w:w="274" w:type="pct"/>
            <w:tcBorders>
              <w:tl2br w:val="nil"/>
              <w:tr2bl w:val="nil"/>
            </w:tcBorders>
            <w:noWrap w:val="0"/>
            <w:vAlign w:val="center"/>
          </w:tcPr>
          <w:p w14:paraId="0EA1A5D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9.54</w:t>
            </w:r>
          </w:p>
        </w:tc>
        <w:tc>
          <w:tcPr>
            <w:tcW w:w="274" w:type="pct"/>
            <w:tcBorders>
              <w:tl2br w:val="nil"/>
              <w:tr2bl w:val="nil"/>
            </w:tcBorders>
            <w:noWrap w:val="0"/>
            <w:vAlign w:val="center"/>
          </w:tcPr>
          <w:p w14:paraId="533A624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0.67</w:t>
            </w:r>
          </w:p>
        </w:tc>
      </w:tr>
      <w:tr w14:paraId="71F8FFB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56DE975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全年</w:t>
            </w:r>
          </w:p>
        </w:tc>
        <w:tc>
          <w:tcPr>
            <w:tcW w:w="273" w:type="pct"/>
            <w:tcBorders>
              <w:tl2br w:val="nil"/>
              <w:tr2bl w:val="nil"/>
            </w:tcBorders>
            <w:noWrap w:val="0"/>
            <w:vAlign w:val="center"/>
          </w:tcPr>
          <w:p w14:paraId="0421548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16.30</w:t>
            </w:r>
          </w:p>
        </w:tc>
        <w:tc>
          <w:tcPr>
            <w:tcW w:w="273" w:type="pct"/>
            <w:tcBorders>
              <w:tl2br w:val="nil"/>
              <w:tr2bl w:val="nil"/>
            </w:tcBorders>
            <w:noWrap w:val="0"/>
            <w:vAlign w:val="center"/>
          </w:tcPr>
          <w:p w14:paraId="39E0412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10.70</w:t>
            </w:r>
          </w:p>
        </w:tc>
        <w:tc>
          <w:tcPr>
            <w:tcW w:w="273" w:type="pct"/>
            <w:tcBorders>
              <w:tl2br w:val="nil"/>
              <w:tr2bl w:val="nil"/>
            </w:tcBorders>
            <w:noWrap w:val="0"/>
            <w:vAlign w:val="center"/>
          </w:tcPr>
          <w:p w14:paraId="2839157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8.46</w:t>
            </w:r>
          </w:p>
        </w:tc>
        <w:tc>
          <w:tcPr>
            <w:tcW w:w="273" w:type="pct"/>
            <w:tcBorders>
              <w:tl2br w:val="nil"/>
              <w:tr2bl w:val="nil"/>
            </w:tcBorders>
            <w:noWrap w:val="0"/>
            <w:vAlign w:val="center"/>
          </w:tcPr>
          <w:p w14:paraId="5E63C75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5.91</w:t>
            </w:r>
          </w:p>
        </w:tc>
        <w:tc>
          <w:tcPr>
            <w:tcW w:w="273" w:type="pct"/>
            <w:tcBorders>
              <w:tl2br w:val="nil"/>
              <w:tr2bl w:val="nil"/>
            </w:tcBorders>
            <w:noWrap w:val="0"/>
            <w:vAlign w:val="center"/>
          </w:tcPr>
          <w:p w14:paraId="443AC7E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7.74</w:t>
            </w:r>
          </w:p>
        </w:tc>
        <w:tc>
          <w:tcPr>
            <w:tcW w:w="273" w:type="pct"/>
            <w:tcBorders>
              <w:tl2br w:val="nil"/>
              <w:tr2bl w:val="nil"/>
            </w:tcBorders>
            <w:noWrap w:val="0"/>
            <w:vAlign w:val="center"/>
          </w:tcPr>
          <w:p w14:paraId="6FC5C56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4.21</w:t>
            </w:r>
          </w:p>
        </w:tc>
        <w:tc>
          <w:tcPr>
            <w:tcW w:w="273" w:type="pct"/>
            <w:tcBorders>
              <w:tl2br w:val="nil"/>
              <w:tr2bl w:val="nil"/>
            </w:tcBorders>
            <w:noWrap w:val="0"/>
            <w:vAlign w:val="center"/>
          </w:tcPr>
          <w:p w14:paraId="6AC5420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3.40</w:t>
            </w:r>
          </w:p>
        </w:tc>
        <w:tc>
          <w:tcPr>
            <w:tcW w:w="273" w:type="pct"/>
            <w:tcBorders>
              <w:tl2br w:val="nil"/>
              <w:tr2bl w:val="nil"/>
            </w:tcBorders>
            <w:noWrap w:val="0"/>
            <w:vAlign w:val="center"/>
          </w:tcPr>
          <w:p w14:paraId="17AA50D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2.73</w:t>
            </w:r>
          </w:p>
        </w:tc>
        <w:tc>
          <w:tcPr>
            <w:tcW w:w="273" w:type="pct"/>
            <w:tcBorders>
              <w:tl2br w:val="nil"/>
              <w:tr2bl w:val="nil"/>
            </w:tcBorders>
            <w:noWrap w:val="0"/>
            <w:vAlign w:val="center"/>
          </w:tcPr>
          <w:p w14:paraId="3F80383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5.24</w:t>
            </w:r>
          </w:p>
        </w:tc>
        <w:tc>
          <w:tcPr>
            <w:tcW w:w="273" w:type="pct"/>
            <w:tcBorders>
              <w:tl2br w:val="nil"/>
              <w:tr2bl w:val="nil"/>
            </w:tcBorders>
            <w:noWrap w:val="0"/>
            <w:vAlign w:val="center"/>
          </w:tcPr>
          <w:p w14:paraId="1AB1B0E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3.26</w:t>
            </w:r>
          </w:p>
        </w:tc>
        <w:tc>
          <w:tcPr>
            <w:tcW w:w="273" w:type="pct"/>
            <w:tcBorders>
              <w:tl2br w:val="nil"/>
              <w:tr2bl w:val="nil"/>
            </w:tcBorders>
            <w:noWrap w:val="0"/>
            <w:vAlign w:val="center"/>
          </w:tcPr>
          <w:p w14:paraId="43209F5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2.23</w:t>
            </w:r>
          </w:p>
        </w:tc>
        <w:tc>
          <w:tcPr>
            <w:tcW w:w="287" w:type="pct"/>
            <w:tcBorders>
              <w:tl2br w:val="nil"/>
              <w:tr2bl w:val="nil"/>
            </w:tcBorders>
            <w:noWrap w:val="0"/>
            <w:vAlign w:val="center"/>
          </w:tcPr>
          <w:p w14:paraId="01A271D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w:t>
            </w:r>
          </w:p>
        </w:tc>
        <w:tc>
          <w:tcPr>
            <w:tcW w:w="273" w:type="pct"/>
            <w:tcBorders>
              <w:tl2br w:val="nil"/>
              <w:tr2bl w:val="nil"/>
            </w:tcBorders>
            <w:noWrap w:val="0"/>
            <w:vAlign w:val="center"/>
          </w:tcPr>
          <w:p w14:paraId="03E96E7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3.49</w:t>
            </w:r>
          </w:p>
        </w:tc>
        <w:tc>
          <w:tcPr>
            <w:tcW w:w="306" w:type="pct"/>
            <w:tcBorders>
              <w:tl2br w:val="nil"/>
              <w:tr2bl w:val="nil"/>
            </w:tcBorders>
            <w:noWrap w:val="0"/>
            <w:vAlign w:val="center"/>
          </w:tcPr>
          <w:p w14:paraId="54687E1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3.95</w:t>
            </w:r>
          </w:p>
        </w:tc>
        <w:tc>
          <w:tcPr>
            <w:tcW w:w="273" w:type="pct"/>
            <w:tcBorders>
              <w:tl2br w:val="nil"/>
              <w:tr2bl w:val="nil"/>
            </w:tcBorders>
            <w:noWrap w:val="0"/>
            <w:vAlign w:val="center"/>
          </w:tcPr>
          <w:p w14:paraId="1ECB596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6.86</w:t>
            </w:r>
          </w:p>
        </w:tc>
        <w:tc>
          <w:tcPr>
            <w:tcW w:w="274" w:type="pct"/>
            <w:tcBorders>
              <w:tl2br w:val="nil"/>
              <w:tr2bl w:val="nil"/>
            </w:tcBorders>
            <w:noWrap w:val="0"/>
            <w:vAlign w:val="center"/>
          </w:tcPr>
          <w:p w14:paraId="720E0A8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13.21</w:t>
            </w:r>
          </w:p>
        </w:tc>
        <w:tc>
          <w:tcPr>
            <w:tcW w:w="274" w:type="pct"/>
            <w:tcBorders>
              <w:tl2br w:val="nil"/>
              <w:tr2bl w:val="nil"/>
            </w:tcBorders>
            <w:noWrap w:val="0"/>
            <w:vAlign w:val="center"/>
          </w:tcPr>
          <w:p w14:paraId="0AB545A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0.29</w:t>
            </w:r>
          </w:p>
        </w:tc>
      </w:tr>
      <w:tr w14:paraId="1FC2AA1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12C7DF5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春季</w:t>
            </w:r>
          </w:p>
        </w:tc>
        <w:tc>
          <w:tcPr>
            <w:tcW w:w="273" w:type="pct"/>
            <w:tcBorders>
              <w:tl2br w:val="nil"/>
              <w:tr2bl w:val="nil"/>
            </w:tcBorders>
            <w:noWrap w:val="0"/>
            <w:vAlign w:val="center"/>
          </w:tcPr>
          <w:p w14:paraId="0DF4A34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12.64</w:t>
            </w:r>
          </w:p>
        </w:tc>
        <w:tc>
          <w:tcPr>
            <w:tcW w:w="273" w:type="pct"/>
            <w:tcBorders>
              <w:tl2br w:val="nil"/>
              <w:tr2bl w:val="nil"/>
            </w:tcBorders>
            <w:noWrap w:val="0"/>
            <w:vAlign w:val="center"/>
          </w:tcPr>
          <w:p w14:paraId="28B3F9B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10.01</w:t>
            </w:r>
          </w:p>
        </w:tc>
        <w:tc>
          <w:tcPr>
            <w:tcW w:w="273" w:type="pct"/>
            <w:tcBorders>
              <w:tl2br w:val="nil"/>
              <w:tr2bl w:val="nil"/>
            </w:tcBorders>
            <w:noWrap w:val="0"/>
            <w:vAlign w:val="center"/>
          </w:tcPr>
          <w:p w14:paraId="750CEE8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10.19</w:t>
            </w:r>
          </w:p>
        </w:tc>
        <w:tc>
          <w:tcPr>
            <w:tcW w:w="273" w:type="pct"/>
            <w:tcBorders>
              <w:tl2br w:val="nil"/>
              <w:tr2bl w:val="nil"/>
            </w:tcBorders>
            <w:noWrap w:val="0"/>
            <w:vAlign w:val="center"/>
          </w:tcPr>
          <w:p w14:paraId="0B6A002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8.38</w:t>
            </w:r>
          </w:p>
        </w:tc>
        <w:tc>
          <w:tcPr>
            <w:tcW w:w="273" w:type="pct"/>
            <w:tcBorders>
              <w:tl2br w:val="nil"/>
              <w:tr2bl w:val="nil"/>
            </w:tcBorders>
            <w:noWrap w:val="0"/>
            <w:vAlign w:val="center"/>
          </w:tcPr>
          <w:p w14:paraId="659B10F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9.60</w:t>
            </w:r>
          </w:p>
        </w:tc>
        <w:tc>
          <w:tcPr>
            <w:tcW w:w="273" w:type="pct"/>
            <w:tcBorders>
              <w:tl2br w:val="nil"/>
              <w:tr2bl w:val="nil"/>
            </w:tcBorders>
            <w:noWrap w:val="0"/>
            <w:vAlign w:val="center"/>
          </w:tcPr>
          <w:p w14:paraId="5A9CCEA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4.26</w:t>
            </w:r>
          </w:p>
        </w:tc>
        <w:tc>
          <w:tcPr>
            <w:tcW w:w="273" w:type="pct"/>
            <w:tcBorders>
              <w:tl2br w:val="nil"/>
              <w:tr2bl w:val="nil"/>
            </w:tcBorders>
            <w:noWrap w:val="0"/>
            <w:vAlign w:val="center"/>
          </w:tcPr>
          <w:p w14:paraId="578DB5E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3.40</w:t>
            </w:r>
          </w:p>
        </w:tc>
        <w:tc>
          <w:tcPr>
            <w:tcW w:w="273" w:type="pct"/>
            <w:tcBorders>
              <w:tl2br w:val="nil"/>
              <w:tr2bl w:val="nil"/>
            </w:tcBorders>
            <w:noWrap w:val="0"/>
            <w:vAlign w:val="center"/>
          </w:tcPr>
          <w:p w14:paraId="3B93B9D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2.40</w:t>
            </w:r>
          </w:p>
        </w:tc>
        <w:tc>
          <w:tcPr>
            <w:tcW w:w="273" w:type="pct"/>
            <w:tcBorders>
              <w:tl2br w:val="nil"/>
              <w:tr2bl w:val="nil"/>
            </w:tcBorders>
            <w:noWrap w:val="0"/>
            <w:vAlign w:val="center"/>
          </w:tcPr>
          <w:p w14:paraId="2F4BB97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6.16</w:t>
            </w:r>
          </w:p>
        </w:tc>
        <w:tc>
          <w:tcPr>
            <w:tcW w:w="273" w:type="pct"/>
            <w:tcBorders>
              <w:tl2br w:val="nil"/>
              <w:tr2bl w:val="nil"/>
            </w:tcBorders>
            <w:noWrap w:val="0"/>
            <w:vAlign w:val="center"/>
          </w:tcPr>
          <w:p w14:paraId="4395D2C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4.98</w:t>
            </w:r>
          </w:p>
        </w:tc>
        <w:tc>
          <w:tcPr>
            <w:tcW w:w="273" w:type="pct"/>
            <w:tcBorders>
              <w:tl2br w:val="nil"/>
              <w:tr2bl w:val="nil"/>
            </w:tcBorders>
            <w:noWrap w:val="0"/>
            <w:vAlign w:val="center"/>
          </w:tcPr>
          <w:p w14:paraId="38EBAD0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2.90</w:t>
            </w:r>
          </w:p>
        </w:tc>
        <w:tc>
          <w:tcPr>
            <w:tcW w:w="287" w:type="pct"/>
            <w:tcBorders>
              <w:tl2br w:val="nil"/>
              <w:tr2bl w:val="nil"/>
            </w:tcBorders>
            <w:noWrap w:val="0"/>
            <w:vAlign w:val="center"/>
          </w:tcPr>
          <w:p w14:paraId="6C01425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2.54</w:t>
            </w:r>
          </w:p>
        </w:tc>
        <w:tc>
          <w:tcPr>
            <w:tcW w:w="273" w:type="pct"/>
            <w:tcBorders>
              <w:tl2br w:val="nil"/>
              <w:tr2bl w:val="nil"/>
            </w:tcBorders>
            <w:noWrap w:val="0"/>
            <w:vAlign w:val="center"/>
          </w:tcPr>
          <w:p w14:paraId="2C8A8BE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4.48</w:t>
            </w:r>
          </w:p>
        </w:tc>
        <w:tc>
          <w:tcPr>
            <w:tcW w:w="306" w:type="pct"/>
            <w:tcBorders>
              <w:tl2br w:val="nil"/>
              <w:tr2bl w:val="nil"/>
            </w:tcBorders>
            <w:noWrap w:val="0"/>
            <w:vAlign w:val="center"/>
          </w:tcPr>
          <w:p w14:paraId="51D8E05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2.85</w:t>
            </w:r>
          </w:p>
        </w:tc>
        <w:tc>
          <w:tcPr>
            <w:tcW w:w="273" w:type="pct"/>
            <w:tcBorders>
              <w:tl2br w:val="nil"/>
              <w:tr2bl w:val="nil"/>
            </w:tcBorders>
            <w:noWrap w:val="0"/>
            <w:vAlign w:val="center"/>
          </w:tcPr>
          <w:p w14:paraId="4980C32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5.57</w:t>
            </w:r>
          </w:p>
        </w:tc>
        <w:tc>
          <w:tcPr>
            <w:tcW w:w="274" w:type="pct"/>
            <w:tcBorders>
              <w:tl2br w:val="nil"/>
              <w:tr2bl w:val="nil"/>
            </w:tcBorders>
            <w:noWrap w:val="0"/>
            <w:vAlign w:val="center"/>
          </w:tcPr>
          <w:p w14:paraId="64117F7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9.51</w:t>
            </w:r>
          </w:p>
        </w:tc>
        <w:tc>
          <w:tcPr>
            <w:tcW w:w="274" w:type="pct"/>
            <w:tcBorders>
              <w:tl2br w:val="nil"/>
              <w:tr2bl w:val="nil"/>
            </w:tcBorders>
            <w:noWrap w:val="0"/>
            <w:vAlign w:val="center"/>
          </w:tcPr>
          <w:p w14:paraId="22DAC38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0.14</w:t>
            </w:r>
          </w:p>
        </w:tc>
      </w:tr>
      <w:tr w14:paraId="59A8CBC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1E785A1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夏季</w:t>
            </w:r>
          </w:p>
        </w:tc>
        <w:tc>
          <w:tcPr>
            <w:tcW w:w="273" w:type="pct"/>
            <w:tcBorders>
              <w:tl2br w:val="nil"/>
              <w:tr2bl w:val="nil"/>
            </w:tcBorders>
            <w:noWrap w:val="0"/>
            <w:vAlign w:val="center"/>
          </w:tcPr>
          <w:p w14:paraId="0BAA91C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12.23</w:t>
            </w:r>
          </w:p>
        </w:tc>
        <w:tc>
          <w:tcPr>
            <w:tcW w:w="273" w:type="pct"/>
            <w:tcBorders>
              <w:tl2br w:val="nil"/>
              <w:tr2bl w:val="nil"/>
            </w:tcBorders>
            <w:noWrap w:val="0"/>
            <w:vAlign w:val="center"/>
          </w:tcPr>
          <w:p w14:paraId="3935D10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8.65</w:t>
            </w:r>
          </w:p>
        </w:tc>
        <w:tc>
          <w:tcPr>
            <w:tcW w:w="273" w:type="pct"/>
            <w:tcBorders>
              <w:tl2br w:val="nil"/>
              <w:tr2bl w:val="nil"/>
            </w:tcBorders>
            <w:noWrap w:val="0"/>
            <w:vAlign w:val="center"/>
          </w:tcPr>
          <w:p w14:paraId="2ACA86C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7.47</w:t>
            </w:r>
          </w:p>
        </w:tc>
        <w:tc>
          <w:tcPr>
            <w:tcW w:w="273" w:type="pct"/>
            <w:tcBorders>
              <w:tl2br w:val="nil"/>
              <w:tr2bl w:val="nil"/>
            </w:tcBorders>
            <w:noWrap w:val="0"/>
            <w:vAlign w:val="center"/>
          </w:tcPr>
          <w:p w14:paraId="5EA7BF1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5.34</w:t>
            </w:r>
          </w:p>
        </w:tc>
        <w:tc>
          <w:tcPr>
            <w:tcW w:w="273" w:type="pct"/>
            <w:tcBorders>
              <w:tl2br w:val="nil"/>
              <w:tr2bl w:val="nil"/>
            </w:tcBorders>
            <w:noWrap w:val="0"/>
            <w:vAlign w:val="center"/>
          </w:tcPr>
          <w:p w14:paraId="439ECD8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8.11</w:t>
            </w:r>
          </w:p>
        </w:tc>
        <w:tc>
          <w:tcPr>
            <w:tcW w:w="273" w:type="pct"/>
            <w:tcBorders>
              <w:tl2br w:val="nil"/>
              <w:tr2bl w:val="nil"/>
            </w:tcBorders>
            <w:noWrap w:val="0"/>
            <w:vAlign w:val="center"/>
          </w:tcPr>
          <w:p w14:paraId="426E53E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5.07</w:t>
            </w:r>
          </w:p>
        </w:tc>
        <w:tc>
          <w:tcPr>
            <w:tcW w:w="273" w:type="pct"/>
            <w:tcBorders>
              <w:tl2br w:val="nil"/>
              <w:tr2bl w:val="nil"/>
            </w:tcBorders>
            <w:noWrap w:val="0"/>
            <w:vAlign w:val="center"/>
          </w:tcPr>
          <w:p w14:paraId="10DA818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3.94</w:t>
            </w:r>
          </w:p>
        </w:tc>
        <w:tc>
          <w:tcPr>
            <w:tcW w:w="273" w:type="pct"/>
            <w:tcBorders>
              <w:tl2br w:val="nil"/>
              <w:tr2bl w:val="nil"/>
            </w:tcBorders>
            <w:noWrap w:val="0"/>
            <w:vAlign w:val="center"/>
          </w:tcPr>
          <w:p w14:paraId="417D7FB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1.99</w:t>
            </w:r>
          </w:p>
        </w:tc>
        <w:tc>
          <w:tcPr>
            <w:tcW w:w="273" w:type="pct"/>
            <w:tcBorders>
              <w:tl2br w:val="nil"/>
              <w:tr2bl w:val="nil"/>
            </w:tcBorders>
            <w:noWrap w:val="0"/>
            <w:vAlign w:val="center"/>
          </w:tcPr>
          <w:p w14:paraId="49B23E5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5.66</w:t>
            </w:r>
          </w:p>
        </w:tc>
        <w:tc>
          <w:tcPr>
            <w:tcW w:w="273" w:type="pct"/>
            <w:tcBorders>
              <w:tl2br w:val="nil"/>
              <w:tr2bl w:val="nil"/>
            </w:tcBorders>
            <w:noWrap w:val="0"/>
            <w:vAlign w:val="center"/>
          </w:tcPr>
          <w:p w14:paraId="65AA8FC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3.44</w:t>
            </w:r>
          </w:p>
        </w:tc>
        <w:tc>
          <w:tcPr>
            <w:tcW w:w="273" w:type="pct"/>
            <w:tcBorders>
              <w:tl2br w:val="nil"/>
              <w:tr2bl w:val="nil"/>
            </w:tcBorders>
            <w:noWrap w:val="0"/>
            <w:vAlign w:val="center"/>
          </w:tcPr>
          <w:p w14:paraId="52331F9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2.26</w:t>
            </w:r>
          </w:p>
        </w:tc>
        <w:tc>
          <w:tcPr>
            <w:tcW w:w="287" w:type="pct"/>
            <w:tcBorders>
              <w:tl2br w:val="nil"/>
              <w:tr2bl w:val="nil"/>
            </w:tcBorders>
            <w:noWrap w:val="0"/>
            <w:vAlign w:val="center"/>
          </w:tcPr>
          <w:p w14:paraId="2FE0749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1.99</w:t>
            </w:r>
          </w:p>
        </w:tc>
        <w:tc>
          <w:tcPr>
            <w:tcW w:w="273" w:type="pct"/>
            <w:tcBorders>
              <w:tl2br w:val="nil"/>
              <w:tr2bl w:val="nil"/>
            </w:tcBorders>
            <w:noWrap w:val="0"/>
            <w:vAlign w:val="center"/>
          </w:tcPr>
          <w:p w14:paraId="5BAE4A9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4.35</w:t>
            </w:r>
          </w:p>
        </w:tc>
        <w:tc>
          <w:tcPr>
            <w:tcW w:w="306" w:type="pct"/>
            <w:tcBorders>
              <w:tl2br w:val="nil"/>
              <w:tr2bl w:val="nil"/>
            </w:tcBorders>
            <w:noWrap w:val="0"/>
            <w:vAlign w:val="center"/>
          </w:tcPr>
          <w:p w14:paraId="04A699D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7.56</w:t>
            </w:r>
          </w:p>
        </w:tc>
        <w:tc>
          <w:tcPr>
            <w:tcW w:w="273" w:type="pct"/>
            <w:tcBorders>
              <w:tl2br w:val="nil"/>
              <w:tr2bl w:val="nil"/>
            </w:tcBorders>
            <w:noWrap w:val="0"/>
            <w:vAlign w:val="center"/>
          </w:tcPr>
          <w:p w14:paraId="619BF3B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11.14</w:t>
            </w:r>
          </w:p>
        </w:tc>
        <w:tc>
          <w:tcPr>
            <w:tcW w:w="274" w:type="pct"/>
            <w:tcBorders>
              <w:tl2br w:val="nil"/>
              <w:tr2bl w:val="nil"/>
            </w:tcBorders>
            <w:noWrap w:val="0"/>
            <w:vAlign w:val="center"/>
          </w:tcPr>
          <w:p w14:paraId="2DDC448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10.60</w:t>
            </w:r>
          </w:p>
        </w:tc>
        <w:tc>
          <w:tcPr>
            <w:tcW w:w="274" w:type="pct"/>
            <w:tcBorders>
              <w:tl2br w:val="nil"/>
              <w:tr2bl w:val="nil"/>
            </w:tcBorders>
            <w:noWrap w:val="0"/>
            <w:vAlign w:val="center"/>
          </w:tcPr>
          <w:p w14:paraId="59625B2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0.18</w:t>
            </w:r>
          </w:p>
        </w:tc>
      </w:tr>
      <w:tr w14:paraId="17520EA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14A10BC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秋季</w:t>
            </w:r>
          </w:p>
        </w:tc>
        <w:tc>
          <w:tcPr>
            <w:tcW w:w="273" w:type="pct"/>
            <w:tcBorders>
              <w:tl2br w:val="nil"/>
              <w:tr2bl w:val="nil"/>
            </w:tcBorders>
            <w:noWrap w:val="0"/>
            <w:vAlign w:val="center"/>
          </w:tcPr>
          <w:p w14:paraId="119DD42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19.83</w:t>
            </w:r>
          </w:p>
        </w:tc>
        <w:tc>
          <w:tcPr>
            <w:tcW w:w="273" w:type="pct"/>
            <w:tcBorders>
              <w:tl2br w:val="nil"/>
              <w:tr2bl w:val="nil"/>
            </w:tcBorders>
            <w:noWrap w:val="0"/>
            <w:vAlign w:val="center"/>
          </w:tcPr>
          <w:p w14:paraId="4BF0CA2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11.72</w:t>
            </w:r>
          </w:p>
        </w:tc>
        <w:tc>
          <w:tcPr>
            <w:tcW w:w="273" w:type="pct"/>
            <w:tcBorders>
              <w:tl2br w:val="nil"/>
              <w:tr2bl w:val="nil"/>
            </w:tcBorders>
            <w:noWrap w:val="0"/>
            <w:vAlign w:val="center"/>
          </w:tcPr>
          <w:p w14:paraId="1696323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8.06</w:t>
            </w:r>
          </w:p>
        </w:tc>
        <w:tc>
          <w:tcPr>
            <w:tcW w:w="273" w:type="pct"/>
            <w:tcBorders>
              <w:tl2br w:val="nil"/>
              <w:tr2bl w:val="nil"/>
            </w:tcBorders>
            <w:noWrap w:val="0"/>
            <w:vAlign w:val="center"/>
          </w:tcPr>
          <w:p w14:paraId="2B1415B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4.99</w:t>
            </w:r>
          </w:p>
        </w:tc>
        <w:tc>
          <w:tcPr>
            <w:tcW w:w="273" w:type="pct"/>
            <w:tcBorders>
              <w:tl2br w:val="nil"/>
              <w:tr2bl w:val="nil"/>
            </w:tcBorders>
            <w:noWrap w:val="0"/>
            <w:vAlign w:val="center"/>
          </w:tcPr>
          <w:p w14:paraId="423D64C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7.88</w:t>
            </w:r>
          </w:p>
        </w:tc>
        <w:tc>
          <w:tcPr>
            <w:tcW w:w="273" w:type="pct"/>
            <w:tcBorders>
              <w:tl2br w:val="nil"/>
              <w:tr2bl w:val="nil"/>
            </w:tcBorders>
            <w:noWrap w:val="0"/>
            <w:vAlign w:val="center"/>
          </w:tcPr>
          <w:p w14:paraId="21D2934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4.21</w:t>
            </w:r>
          </w:p>
        </w:tc>
        <w:tc>
          <w:tcPr>
            <w:tcW w:w="273" w:type="pct"/>
            <w:tcBorders>
              <w:tl2br w:val="nil"/>
              <w:tr2bl w:val="nil"/>
            </w:tcBorders>
            <w:noWrap w:val="0"/>
            <w:vAlign w:val="center"/>
          </w:tcPr>
          <w:p w14:paraId="6BDDDEC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2.84</w:t>
            </w:r>
          </w:p>
        </w:tc>
        <w:tc>
          <w:tcPr>
            <w:tcW w:w="273" w:type="pct"/>
            <w:tcBorders>
              <w:tl2br w:val="nil"/>
              <w:tr2bl w:val="nil"/>
            </w:tcBorders>
            <w:noWrap w:val="0"/>
            <w:vAlign w:val="center"/>
          </w:tcPr>
          <w:p w14:paraId="09ACCD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2.24</w:t>
            </w:r>
          </w:p>
        </w:tc>
        <w:tc>
          <w:tcPr>
            <w:tcW w:w="273" w:type="pct"/>
            <w:tcBorders>
              <w:tl2br w:val="nil"/>
              <w:tr2bl w:val="nil"/>
            </w:tcBorders>
            <w:noWrap w:val="0"/>
            <w:vAlign w:val="center"/>
          </w:tcPr>
          <w:p w14:paraId="0AAF77A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3.43</w:t>
            </w:r>
          </w:p>
        </w:tc>
        <w:tc>
          <w:tcPr>
            <w:tcW w:w="273" w:type="pct"/>
            <w:tcBorders>
              <w:tl2br w:val="nil"/>
              <w:tr2bl w:val="nil"/>
            </w:tcBorders>
            <w:noWrap w:val="0"/>
            <w:vAlign w:val="center"/>
          </w:tcPr>
          <w:p w14:paraId="521A1CA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2.11</w:t>
            </w:r>
          </w:p>
        </w:tc>
        <w:tc>
          <w:tcPr>
            <w:tcW w:w="273" w:type="pct"/>
            <w:tcBorders>
              <w:tl2br w:val="nil"/>
              <w:tr2bl w:val="nil"/>
            </w:tcBorders>
            <w:noWrap w:val="0"/>
            <w:vAlign w:val="center"/>
          </w:tcPr>
          <w:p w14:paraId="06B03B4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1.56</w:t>
            </w:r>
          </w:p>
        </w:tc>
        <w:tc>
          <w:tcPr>
            <w:tcW w:w="287" w:type="pct"/>
            <w:tcBorders>
              <w:tl2br w:val="nil"/>
              <w:tr2bl w:val="nil"/>
            </w:tcBorders>
            <w:noWrap w:val="0"/>
            <w:vAlign w:val="center"/>
          </w:tcPr>
          <w:p w14:paraId="336AFA2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1.24</w:t>
            </w:r>
          </w:p>
        </w:tc>
        <w:tc>
          <w:tcPr>
            <w:tcW w:w="273" w:type="pct"/>
            <w:tcBorders>
              <w:tl2br w:val="nil"/>
              <w:tr2bl w:val="nil"/>
            </w:tcBorders>
            <w:noWrap w:val="0"/>
            <w:vAlign w:val="center"/>
          </w:tcPr>
          <w:p w14:paraId="67BA19C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2.38</w:t>
            </w:r>
          </w:p>
        </w:tc>
        <w:tc>
          <w:tcPr>
            <w:tcW w:w="306" w:type="pct"/>
            <w:tcBorders>
              <w:tl2br w:val="nil"/>
              <w:tr2bl w:val="nil"/>
            </w:tcBorders>
            <w:noWrap w:val="0"/>
            <w:vAlign w:val="center"/>
          </w:tcPr>
          <w:p w14:paraId="6CF63F9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3.21</w:t>
            </w:r>
          </w:p>
        </w:tc>
        <w:tc>
          <w:tcPr>
            <w:tcW w:w="273" w:type="pct"/>
            <w:tcBorders>
              <w:tl2br w:val="nil"/>
              <w:tr2bl w:val="nil"/>
            </w:tcBorders>
            <w:noWrap w:val="0"/>
            <w:vAlign w:val="center"/>
          </w:tcPr>
          <w:p w14:paraId="67EF658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5.27</w:t>
            </w:r>
          </w:p>
        </w:tc>
        <w:tc>
          <w:tcPr>
            <w:tcW w:w="274" w:type="pct"/>
            <w:tcBorders>
              <w:tl2br w:val="nil"/>
              <w:tr2bl w:val="nil"/>
            </w:tcBorders>
            <w:noWrap w:val="0"/>
            <w:vAlign w:val="center"/>
          </w:tcPr>
          <w:p w14:paraId="3B7A030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18.59</w:t>
            </w:r>
          </w:p>
        </w:tc>
        <w:tc>
          <w:tcPr>
            <w:tcW w:w="274" w:type="pct"/>
            <w:tcBorders>
              <w:tl2br w:val="nil"/>
              <w:tr2bl w:val="nil"/>
            </w:tcBorders>
            <w:noWrap w:val="0"/>
            <w:vAlign w:val="center"/>
          </w:tcPr>
          <w:p w14:paraId="2196AEA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0.46</w:t>
            </w:r>
          </w:p>
        </w:tc>
      </w:tr>
      <w:tr w14:paraId="3DF4FF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665A242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冬季</w:t>
            </w:r>
          </w:p>
        </w:tc>
        <w:tc>
          <w:tcPr>
            <w:tcW w:w="273" w:type="pct"/>
            <w:tcBorders>
              <w:tl2br w:val="nil"/>
              <w:tr2bl w:val="nil"/>
            </w:tcBorders>
            <w:noWrap w:val="0"/>
            <w:vAlign w:val="center"/>
          </w:tcPr>
          <w:p w14:paraId="6BE9C81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20.65</w:t>
            </w:r>
          </w:p>
        </w:tc>
        <w:tc>
          <w:tcPr>
            <w:tcW w:w="273" w:type="pct"/>
            <w:tcBorders>
              <w:tl2br w:val="nil"/>
              <w:tr2bl w:val="nil"/>
            </w:tcBorders>
            <w:noWrap w:val="0"/>
            <w:vAlign w:val="center"/>
          </w:tcPr>
          <w:p w14:paraId="26ADE23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12.45</w:t>
            </w:r>
          </w:p>
        </w:tc>
        <w:tc>
          <w:tcPr>
            <w:tcW w:w="273" w:type="pct"/>
            <w:tcBorders>
              <w:tl2br w:val="nil"/>
              <w:tr2bl w:val="nil"/>
            </w:tcBorders>
            <w:noWrap w:val="0"/>
            <w:vAlign w:val="center"/>
          </w:tcPr>
          <w:p w14:paraId="6223BAB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8.10</w:t>
            </w:r>
          </w:p>
        </w:tc>
        <w:tc>
          <w:tcPr>
            <w:tcW w:w="273" w:type="pct"/>
            <w:tcBorders>
              <w:tl2br w:val="nil"/>
              <w:tr2bl w:val="nil"/>
            </w:tcBorders>
            <w:noWrap w:val="0"/>
            <w:vAlign w:val="center"/>
          </w:tcPr>
          <w:p w14:paraId="3AFD154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4.91</w:t>
            </w:r>
          </w:p>
        </w:tc>
        <w:tc>
          <w:tcPr>
            <w:tcW w:w="273" w:type="pct"/>
            <w:tcBorders>
              <w:tl2br w:val="nil"/>
              <w:tr2bl w:val="nil"/>
            </w:tcBorders>
            <w:noWrap w:val="0"/>
            <w:vAlign w:val="center"/>
          </w:tcPr>
          <w:p w14:paraId="1FFA8E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5.32</w:t>
            </w:r>
          </w:p>
        </w:tc>
        <w:tc>
          <w:tcPr>
            <w:tcW w:w="273" w:type="pct"/>
            <w:tcBorders>
              <w:tl2br w:val="nil"/>
              <w:tr2bl w:val="nil"/>
            </w:tcBorders>
            <w:noWrap w:val="0"/>
            <w:vAlign w:val="center"/>
          </w:tcPr>
          <w:p w14:paraId="4E54A5B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3.29</w:t>
            </w:r>
          </w:p>
        </w:tc>
        <w:tc>
          <w:tcPr>
            <w:tcW w:w="273" w:type="pct"/>
            <w:tcBorders>
              <w:tl2br w:val="nil"/>
              <w:tr2bl w:val="nil"/>
            </w:tcBorders>
            <w:noWrap w:val="0"/>
            <w:vAlign w:val="center"/>
          </w:tcPr>
          <w:p w14:paraId="61493C8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3.43</w:t>
            </w:r>
          </w:p>
        </w:tc>
        <w:tc>
          <w:tcPr>
            <w:tcW w:w="273" w:type="pct"/>
            <w:tcBorders>
              <w:tl2br w:val="nil"/>
              <w:tr2bl w:val="nil"/>
            </w:tcBorders>
            <w:noWrap w:val="0"/>
            <w:vAlign w:val="center"/>
          </w:tcPr>
          <w:p w14:paraId="5AA90C3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4.31</w:t>
            </w:r>
          </w:p>
        </w:tc>
        <w:tc>
          <w:tcPr>
            <w:tcW w:w="273" w:type="pct"/>
            <w:tcBorders>
              <w:tl2br w:val="nil"/>
              <w:tr2bl w:val="nil"/>
            </w:tcBorders>
            <w:noWrap w:val="0"/>
            <w:vAlign w:val="center"/>
          </w:tcPr>
          <w:p w14:paraId="55F33FF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5.69</w:t>
            </w:r>
          </w:p>
        </w:tc>
        <w:tc>
          <w:tcPr>
            <w:tcW w:w="273" w:type="pct"/>
            <w:tcBorders>
              <w:tl2br w:val="nil"/>
              <w:tr2bl w:val="nil"/>
            </w:tcBorders>
            <w:noWrap w:val="0"/>
            <w:vAlign w:val="center"/>
          </w:tcPr>
          <w:p w14:paraId="47CC8A1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2.50</w:t>
            </w:r>
          </w:p>
        </w:tc>
        <w:tc>
          <w:tcPr>
            <w:tcW w:w="273" w:type="pct"/>
            <w:tcBorders>
              <w:tl2br w:val="nil"/>
              <w:tr2bl w:val="nil"/>
            </w:tcBorders>
            <w:noWrap w:val="0"/>
            <w:vAlign w:val="center"/>
          </w:tcPr>
          <w:p w14:paraId="1C9634C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2.18</w:t>
            </w:r>
          </w:p>
        </w:tc>
        <w:tc>
          <w:tcPr>
            <w:tcW w:w="287" w:type="pct"/>
            <w:tcBorders>
              <w:tl2br w:val="nil"/>
              <w:tr2bl w:val="nil"/>
            </w:tcBorders>
            <w:noWrap w:val="0"/>
            <w:vAlign w:val="center"/>
          </w:tcPr>
          <w:p w14:paraId="7BBDCD0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2.31</w:t>
            </w:r>
          </w:p>
        </w:tc>
        <w:tc>
          <w:tcPr>
            <w:tcW w:w="273" w:type="pct"/>
            <w:tcBorders>
              <w:tl2br w:val="nil"/>
              <w:tr2bl w:val="nil"/>
            </w:tcBorders>
            <w:noWrap w:val="0"/>
            <w:vAlign w:val="center"/>
          </w:tcPr>
          <w:p w14:paraId="15BB160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2.73</w:t>
            </w:r>
          </w:p>
        </w:tc>
        <w:tc>
          <w:tcPr>
            <w:tcW w:w="306" w:type="pct"/>
            <w:tcBorders>
              <w:tl2br w:val="nil"/>
              <w:tr2bl w:val="nil"/>
            </w:tcBorders>
            <w:noWrap w:val="0"/>
            <w:vAlign w:val="center"/>
          </w:tcPr>
          <w:p w14:paraId="068712D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2.13</w:t>
            </w:r>
          </w:p>
        </w:tc>
        <w:tc>
          <w:tcPr>
            <w:tcW w:w="273" w:type="pct"/>
            <w:tcBorders>
              <w:tl2br w:val="nil"/>
              <w:tr2bl w:val="nil"/>
            </w:tcBorders>
            <w:noWrap w:val="0"/>
            <w:vAlign w:val="center"/>
          </w:tcPr>
          <w:p w14:paraId="7DA7E50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5.42</w:t>
            </w:r>
          </w:p>
        </w:tc>
        <w:tc>
          <w:tcPr>
            <w:tcW w:w="274" w:type="pct"/>
            <w:tcBorders>
              <w:tl2br w:val="nil"/>
              <w:tr2bl w:val="nil"/>
            </w:tcBorders>
            <w:noWrap w:val="0"/>
            <w:vAlign w:val="center"/>
          </w:tcPr>
          <w:p w14:paraId="184752E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14.21</w:t>
            </w:r>
          </w:p>
        </w:tc>
        <w:tc>
          <w:tcPr>
            <w:tcW w:w="274" w:type="pct"/>
            <w:tcBorders>
              <w:tl2br w:val="nil"/>
              <w:tr2bl w:val="nil"/>
            </w:tcBorders>
            <w:noWrap w:val="0"/>
            <w:vAlign w:val="center"/>
          </w:tcPr>
          <w:p w14:paraId="3D7D2D8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0.37</w:t>
            </w:r>
          </w:p>
        </w:tc>
      </w:tr>
    </w:tbl>
    <w:p w14:paraId="0CAC8468">
      <w:pPr>
        <w:spacing w:line="240" w:lineRule="auto"/>
        <w:jc w:val="center"/>
        <w:rPr>
          <w:rFonts w:hint="default" w:ascii="Times New Roman" w:hAnsi="Times New Roman" w:cs="Times New Roman"/>
          <w:color w:val="auto"/>
        </w:rPr>
      </w:pPr>
      <w:r>
        <w:rPr>
          <w:rFonts w:hint="default" w:ascii="Times New Roman" w:hAnsi="Times New Roman" w:cs="Times New Roman"/>
          <w:color w:val="auto"/>
        </w:rPr>
        <w:drawing>
          <wp:inline distT="0" distB="0" distL="114300" distR="114300">
            <wp:extent cx="5219700" cy="7249795"/>
            <wp:effectExtent l="0" t="0" r="7620" b="4445"/>
            <wp:docPr id="9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36"/>
                    <pic:cNvPicPr>
                      <a:picLocks noChangeAspect="1"/>
                    </pic:cNvPicPr>
                  </pic:nvPicPr>
                  <pic:blipFill>
                    <a:blip r:embed="rId48"/>
                    <a:srcRect l="-1495" t="-1349" r="21439" b="21040"/>
                    <a:stretch>
                      <a:fillRect/>
                    </a:stretch>
                  </pic:blipFill>
                  <pic:spPr>
                    <a:xfrm>
                      <a:off x="0" y="0"/>
                      <a:ext cx="5219700" cy="7249795"/>
                    </a:xfrm>
                    <a:prstGeom prst="rect">
                      <a:avLst/>
                    </a:prstGeom>
                    <a:noFill/>
                    <a:ln>
                      <a:noFill/>
                    </a:ln>
                  </pic:spPr>
                </pic:pic>
              </a:graphicData>
            </a:graphic>
          </wp:inline>
        </w:drawing>
      </w:r>
    </w:p>
    <w:p w14:paraId="1F0EE0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图5.2-1 阿克苏2023年风频玫瑰图</w:t>
      </w:r>
    </w:p>
    <w:p w14:paraId="5F417F5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②风速</w:t>
      </w:r>
    </w:p>
    <w:p w14:paraId="380104D7">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评价区域地面风速从年变化情况看：年平均风速为1.6m/s，春、夏季风速较大，均为1.9m/s，秋、冬季风速最小，均为1.3m/s。年、月、季各风向平均风速见表5.2-9，风速月变化曲线见图5.2-2。</w:t>
      </w:r>
    </w:p>
    <w:p w14:paraId="29E4458F">
      <w:pPr>
        <w:spacing w:line="240" w:lineRule="auto"/>
        <w:ind w:left="0" w:leftChars="0" w:right="0" w:rightChars="0" w:firstLine="0" w:firstLineChars="0"/>
        <w:jc w:val="center"/>
        <w:rPr>
          <w:rFonts w:hint="default" w:ascii="Times New Roman" w:hAnsi="Times New Roman" w:eastAsia="宋体" w:cs="Times New Roman"/>
          <w:b/>
          <w:sz w:val="24"/>
          <w:szCs w:val="24"/>
          <w:lang w:val="en-US" w:eastAsia="zh-CN"/>
        </w:rPr>
      </w:pPr>
      <w:r>
        <w:rPr>
          <w:rFonts w:hint="default" w:ascii="Times New Roman" w:hAnsi="Times New Roman" w:cs="Times New Roman"/>
          <w:b/>
          <w:sz w:val="24"/>
          <w:szCs w:val="24"/>
        </w:rPr>
        <w:t>表</w:t>
      </w:r>
      <w:r>
        <w:rPr>
          <w:rFonts w:hint="default" w:ascii="Times New Roman" w:hAnsi="Times New Roman" w:cs="Times New Roman"/>
          <w:b/>
          <w:sz w:val="24"/>
          <w:szCs w:val="24"/>
          <w:lang w:val="en-US" w:eastAsia="zh-CN"/>
        </w:rPr>
        <w:t>5.2-9 阿克苏2023年年均风速的月变化一览表</w:t>
      </w:r>
    </w:p>
    <w:tbl>
      <w:tblPr>
        <w:tblStyle w:val="39"/>
        <w:tblW w:w="4996"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52"/>
        <w:gridCol w:w="384"/>
        <w:gridCol w:w="520"/>
        <w:gridCol w:w="397"/>
        <w:gridCol w:w="502"/>
        <w:gridCol w:w="384"/>
        <w:gridCol w:w="473"/>
        <w:gridCol w:w="384"/>
        <w:gridCol w:w="464"/>
        <w:gridCol w:w="384"/>
        <w:gridCol w:w="520"/>
        <w:gridCol w:w="427"/>
        <w:gridCol w:w="585"/>
        <w:gridCol w:w="384"/>
        <w:gridCol w:w="614"/>
        <w:gridCol w:w="454"/>
        <w:gridCol w:w="577"/>
        <w:gridCol w:w="510"/>
      </w:tblGrid>
      <w:tr w14:paraId="586394F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6DD9A96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时间</w:t>
            </w:r>
          </w:p>
        </w:tc>
        <w:tc>
          <w:tcPr>
            <w:tcW w:w="225" w:type="pct"/>
            <w:tcBorders>
              <w:tl2br w:val="nil"/>
              <w:tr2bl w:val="nil"/>
            </w:tcBorders>
            <w:noWrap w:val="0"/>
            <w:vAlign w:val="center"/>
          </w:tcPr>
          <w:p w14:paraId="31E6BCF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w:t>
            </w:r>
          </w:p>
        </w:tc>
        <w:tc>
          <w:tcPr>
            <w:tcW w:w="305" w:type="pct"/>
            <w:tcBorders>
              <w:tl2br w:val="nil"/>
              <w:tr2bl w:val="nil"/>
            </w:tcBorders>
            <w:noWrap w:val="0"/>
            <w:vAlign w:val="center"/>
          </w:tcPr>
          <w:p w14:paraId="55A406D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NNE</w:t>
            </w:r>
          </w:p>
        </w:tc>
        <w:tc>
          <w:tcPr>
            <w:tcW w:w="233" w:type="pct"/>
            <w:tcBorders>
              <w:tl2br w:val="nil"/>
              <w:tr2bl w:val="nil"/>
            </w:tcBorders>
            <w:noWrap w:val="0"/>
            <w:vAlign w:val="center"/>
          </w:tcPr>
          <w:p w14:paraId="465AA15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NE</w:t>
            </w:r>
          </w:p>
        </w:tc>
        <w:tc>
          <w:tcPr>
            <w:tcW w:w="294" w:type="pct"/>
            <w:tcBorders>
              <w:tl2br w:val="nil"/>
              <w:tr2bl w:val="nil"/>
            </w:tcBorders>
            <w:noWrap w:val="0"/>
            <w:vAlign w:val="center"/>
          </w:tcPr>
          <w:p w14:paraId="6907E1E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ENE</w:t>
            </w:r>
          </w:p>
        </w:tc>
        <w:tc>
          <w:tcPr>
            <w:tcW w:w="225" w:type="pct"/>
            <w:tcBorders>
              <w:tl2br w:val="nil"/>
              <w:tr2bl w:val="nil"/>
            </w:tcBorders>
            <w:noWrap w:val="0"/>
            <w:vAlign w:val="center"/>
          </w:tcPr>
          <w:p w14:paraId="431D7FA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E</w:t>
            </w:r>
          </w:p>
        </w:tc>
        <w:tc>
          <w:tcPr>
            <w:tcW w:w="277" w:type="pct"/>
            <w:tcBorders>
              <w:tl2br w:val="nil"/>
              <w:tr2bl w:val="nil"/>
            </w:tcBorders>
            <w:noWrap w:val="0"/>
            <w:vAlign w:val="center"/>
          </w:tcPr>
          <w:p w14:paraId="471C0C1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ESE</w:t>
            </w:r>
          </w:p>
        </w:tc>
        <w:tc>
          <w:tcPr>
            <w:tcW w:w="225" w:type="pct"/>
            <w:tcBorders>
              <w:tl2br w:val="nil"/>
              <w:tr2bl w:val="nil"/>
            </w:tcBorders>
            <w:noWrap w:val="0"/>
            <w:vAlign w:val="center"/>
          </w:tcPr>
          <w:p w14:paraId="0EB9689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SE</w:t>
            </w:r>
          </w:p>
        </w:tc>
        <w:tc>
          <w:tcPr>
            <w:tcW w:w="272" w:type="pct"/>
            <w:tcBorders>
              <w:tl2br w:val="nil"/>
              <w:tr2bl w:val="nil"/>
            </w:tcBorders>
            <w:noWrap w:val="0"/>
            <w:vAlign w:val="center"/>
          </w:tcPr>
          <w:p w14:paraId="435BFF2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SSE</w:t>
            </w:r>
          </w:p>
        </w:tc>
        <w:tc>
          <w:tcPr>
            <w:tcW w:w="225" w:type="pct"/>
            <w:tcBorders>
              <w:tl2br w:val="nil"/>
              <w:tr2bl w:val="nil"/>
            </w:tcBorders>
            <w:noWrap w:val="0"/>
            <w:vAlign w:val="center"/>
          </w:tcPr>
          <w:p w14:paraId="1CA87B6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w:t>
            </w:r>
          </w:p>
        </w:tc>
        <w:tc>
          <w:tcPr>
            <w:tcW w:w="305" w:type="pct"/>
            <w:tcBorders>
              <w:tl2br w:val="nil"/>
              <w:tr2bl w:val="nil"/>
            </w:tcBorders>
            <w:noWrap w:val="0"/>
            <w:vAlign w:val="center"/>
          </w:tcPr>
          <w:p w14:paraId="3E5C23C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SSW</w:t>
            </w:r>
          </w:p>
        </w:tc>
        <w:tc>
          <w:tcPr>
            <w:tcW w:w="250" w:type="pct"/>
            <w:tcBorders>
              <w:tl2br w:val="nil"/>
              <w:tr2bl w:val="nil"/>
            </w:tcBorders>
            <w:noWrap w:val="0"/>
            <w:vAlign w:val="center"/>
          </w:tcPr>
          <w:p w14:paraId="4647773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SW</w:t>
            </w:r>
          </w:p>
        </w:tc>
        <w:tc>
          <w:tcPr>
            <w:tcW w:w="343" w:type="pct"/>
            <w:tcBorders>
              <w:tl2br w:val="nil"/>
              <w:tr2bl w:val="nil"/>
            </w:tcBorders>
            <w:noWrap w:val="0"/>
            <w:vAlign w:val="center"/>
          </w:tcPr>
          <w:p w14:paraId="689C7CC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WSW</w:t>
            </w:r>
          </w:p>
        </w:tc>
        <w:tc>
          <w:tcPr>
            <w:tcW w:w="225" w:type="pct"/>
            <w:tcBorders>
              <w:tl2br w:val="nil"/>
              <w:tr2bl w:val="nil"/>
            </w:tcBorders>
            <w:noWrap w:val="0"/>
            <w:vAlign w:val="center"/>
          </w:tcPr>
          <w:p w14:paraId="726A8F2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w:t>
            </w:r>
          </w:p>
        </w:tc>
        <w:tc>
          <w:tcPr>
            <w:tcW w:w="360" w:type="pct"/>
            <w:tcBorders>
              <w:tl2br w:val="nil"/>
              <w:tr2bl w:val="nil"/>
            </w:tcBorders>
            <w:noWrap w:val="0"/>
            <w:vAlign w:val="center"/>
          </w:tcPr>
          <w:p w14:paraId="17407E6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WNW</w:t>
            </w:r>
          </w:p>
        </w:tc>
        <w:tc>
          <w:tcPr>
            <w:tcW w:w="266" w:type="pct"/>
            <w:tcBorders>
              <w:tl2br w:val="nil"/>
              <w:tr2bl w:val="nil"/>
            </w:tcBorders>
            <w:noWrap w:val="0"/>
            <w:vAlign w:val="center"/>
          </w:tcPr>
          <w:p w14:paraId="47E79CE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NW</w:t>
            </w:r>
          </w:p>
        </w:tc>
        <w:tc>
          <w:tcPr>
            <w:tcW w:w="338" w:type="pct"/>
            <w:tcBorders>
              <w:tl2br w:val="nil"/>
              <w:tr2bl w:val="nil"/>
            </w:tcBorders>
            <w:noWrap w:val="0"/>
            <w:vAlign w:val="center"/>
          </w:tcPr>
          <w:p w14:paraId="139E109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NNW</w:t>
            </w:r>
          </w:p>
        </w:tc>
        <w:tc>
          <w:tcPr>
            <w:tcW w:w="299" w:type="pct"/>
            <w:tcBorders>
              <w:tl2br w:val="nil"/>
              <w:tr2bl w:val="nil"/>
            </w:tcBorders>
            <w:noWrap w:val="0"/>
            <w:vAlign w:val="center"/>
          </w:tcPr>
          <w:p w14:paraId="46BBFAE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平均</w:t>
            </w:r>
          </w:p>
        </w:tc>
      </w:tr>
      <w:tr w14:paraId="373AEC7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3C1EDFD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1月</w:t>
            </w:r>
          </w:p>
        </w:tc>
        <w:tc>
          <w:tcPr>
            <w:tcW w:w="225" w:type="pct"/>
            <w:tcBorders>
              <w:tl2br w:val="nil"/>
              <w:tr2bl w:val="nil"/>
            </w:tcBorders>
            <w:noWrap w:val="0"/>
            <w:vAlign w:val="center"/>
          </w:tcPr>
          <w:p w14:paraId="393356E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1.31</w:t>
            </w:r>
          </w:p>
        </w:tc>
        <w:tc>
          <w:tcPr>
            <w:tcW w:w="305" w:type="pct"/>
            <w:tcBorders>
              <w:tl2br w:val="nil"/>
              <w:tr2bl w:val="nil"/>
            </w:tcBorders>
            <w:noWrap w:val="0"/>
            <w:vAlign w:val="center"/>
          </w:tcPr>
          <w:p w14:paraId="0EB9C02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w:t>
            </w:r>
          </w:p>
        </w:tc>
        <w:tc>
          <w:tcPr>
            <w:tcW w:w="233" w:type="pct"/>
            <w:tcBorders>
              <w:tl2br w:val="nil"/>
              <w:tr2bl w:val="nil"/>
            </w:tcBorders>
            <w:noWrap w:val="0"/>
            <w:vAlign w:val="center"/>
          </w:tcPr>
          <w:p w14:paraId="45628B7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1.57</w:t>
            </w:r>
          </w:p>
        </w:tc>
        <w:tc>
          <w:tcPr>
            <w:tcW w:w="294" w:type="pct"/>
            <w:tcBorders>
              <w:tl2br w:val="nil"/>
              <w:tr2bl w:val="nil"/>
            </w:tcBorders>
            <w:noWrap w:val="0"/>
            <w:vAlign w:val="center"/>
          </w:tcPr>
          <w:p w14:paraId="5C663E1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1.59</w:t>
            </w:r>
          </w:p>
        </w:tc>
        <w:tc>
          <w:tcPr>
            <w:tcW w:w="225" w:type="pct"/>
            <w:tcBorders>
              <w:tl2br w:val="nil"/>
              <w:tr2bl w:val="nil"/>
            </w:tcBorders>
            <w:noWrap w:val="0"/>
            <w:vAlign w:val="center"/>
          </w:tcPr>
          <w:p w14:paraId="3DACEFE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1.36</w:t>
            </w:r>
          </w:p>
        </w:tc>
        <w:tc>
          <w:tcPr>
            <w:tcW w:w="277" w:type="pct"/>
            <w:tcBorders>
              <w:tl2br w:val="nil"/>
              <w:tr2bl w:val="nil"/>
            </w:tcBorders>
            <w:noWrap w:val="0"/>
            <w:vAlign w:val="center"/>
          </w:tcPr>
          <w:p w14:paraId="4FE4579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0.93</w:t>
            </w:r>
          </w:p>
        </w:tc>
        <w:tc>
          <w:tcPr>
            <w:tcW w:w="225" w:type="pct"/>
            <w:tcBorders>
              <w:tl2br w:val="nil"/>
              <w:tr2bl w:val="nil"/>
            </w:tcBorders>
            <w:noWrap w:val="0"/>
            <w:vAlign w:val="center"/>
          </w:tcPr>
          <w:p w14:paraId="79E1E11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1.10</w:t>
            </w:r>
          </w:p>
        </w:tc>
        <w:tc>
          <w:tcPr>
            <w:tcW w:w="272" w:type="pct"/>
            <w:tcBorders>
              <w:tl2br w:val="nil"/>
              <w:tr2bl w:val="nil"/>
            </w:tcBorders>
            <w:noWrap w:val="0"/>
            <w:vAlign w:val="center"/>
          </w:tcPr>
          <w:p w14:paraId="1275B38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1.29</w:t>
            </w:r>
          </w:p>
        </w:tc>
        <w:tc>
          <w:tcPr>
            <w:tcW w:w="225" w:type="pct"/>
            <w:tcBorders>
              <w:tl2br w:val="nil"/>
              <w:tr2bl w:val="nil"/>
            </w:tcBorders>
            <w:noWrap w:val="0"/>
            <w:vAlign w:val="center"/>
          </w:tcPr>
          <w:p w14:paraId="642E24F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1.44</w:t>
            </w:r>
          </w:p>
        </w:tc>
        <w:tc>
          <w:tcPr>
            <w:tcW w:w="305" w:type="pct"/>
            <w:tcBorders>
              <w:tl2br w:val="nil"/>
              <w:tr2bl w:val="nil"/>
            </w:tcBorders>
            <w:noWrap w:val="0"/>
            <w:vAlign w:val="center"/>
          </w:tcPr>
          <w:p w14:paraId="2E1E580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1.30</w:t>
            </w:r>
          </w:p>
        </w:tc>
        <w:tc>
          <w:tcPr>
            <w:tcW w:w="250" w:type="pct"/>
            <w:tcBorders>
              <w:tl2br w:val="nil"/>
              <w:tr2bl w:val="nil"/>
            </w:tcBorders>
            <w:noWrap w:val="0"/>
            <w:vAlign w:val="center"/>
          </w:tcPr>
          <w:p w14:paraId="214B753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0.99</w:t>
            </w:r>
          </w:p>
        </w:tc>
        <w:tc>
          <w:tcPr>
            <w:tcW w:w="343" w:type="pct"/>
            <w:tcBorders>
              <w:tl2br w:val="nil"/>
              <w:tr2bl w:val="nil"/>
            </w:tcBorders>
            <w:noWrap w:val="0"/>
            <w:vAlign w:val="center"/>
          </w:tcPr>
          <w:p w14:paraId="334D0D5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1.11</w:t>
            </w:r>
          </w:p>
        </w:tc>
        <w:tc>
          <w:tcPr>
            <w:tcW w:w="225" w:type="pct"/>
            <w:tcBorders>
              <w:tl2br w:val="nil"/>
              <w:tr2bl w:val="nil"/>
            </w:tcBorders>
            <w:noWrap w:val="0"/>
            <w:vAlign w:val="center"/>
          </w:tcPr>
          <w:p w14:paraId="369C5B2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1.10</w:t>
            </w:r>
          </w:p>
        </w:tc>
        <w:tc>
          <w:tcPr>
            <w:tcW w:w="360" w:type="pct"/>
            <w:tcBorders>
              <w:tl2br w:val="nil"/>
              <w:tr2bl w:val="nil"/>
            </w:tcBorders>
            <w:noWrap w:val="0"/>
            <w:vAlign w:val="center"/>
          </w:tcPr>
          <w:p w14:paraId="4B7270F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0.99</w:t>
            </w:r>
          </w:p>
        </w:tc>
        <w:tc>
          <w:tcPr>
            <w:tcW w:w="266" w:type="pct"/>
            <w:tcBorders>
              <w:tl2br w:val="nil"/>
              <w:tr2bl w:val="nil"/>
            </w:tcBorders>
            <w:noWrap w:val="0"/>
            <w:vAlign w:val="center"/>
          </w:tcPr>
          <w:p w14:paraId="6A5F3B4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1.36</w:t>
            </w:r>
          </w:p>
        </w:tc>
        <w:tc>
          <w:tcPr>
            <w:tcW w:w="338" w:type="pct"/>
            <w:tcBorders>
              <w:tl2br w:val="nil"/>
              <w:tr2bl w:val="nil"/>
            </w:tcBorders>
            <w:noWrap w:val="0"/>
            <w:vAlign w:val="center"/>
          </w:tcPr>
          <w:p w14:paraId="3667A64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1.74</w:t>
            </w:r>
          </w:p>
        </w:tc>
        <w:tc>
          <w:tcPr>
            <w:tcW w:w="299" w:type="pct"/>
            <w:tcBorders>
              <w:tl2br w:val="nil"/>
              <w:tr2bl w:val="nil"/>
            </w:tcBorders>
            <w:noWrap w:val="0"/>
            <w:vAlign w:val="center"/>
          </w:tcPr>
          <w:p w14:paraId="5269B0F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1.40</w:t>
            </w:r>
          </w:p>
        </w:tc>
      </w:tr>
      <w:tr w14:paraId="04C1DD4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54201EB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2月</w:t>
            </w:r>
          </w:p>
        </w:tc>
        <w:tc>
          <w:tcPr>
            <w:tcW w:w="225" w:type="pct"/>
            <w:tcBorders>
              <w:tl2br w:val="nil"/>
              <w:tr2bl w:val="nil"/>
            </w:tcBorders>
            <w:noWrap w:val="0"/>
            <w:vAlign w:val="center"/>
          </w:tcPr>
          <w:p w14:paraId="245F2C1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1.44</w:t>
            </w:r>
          </w:p>
        </w:tc>
        <w:tc>
          <w:tcPr>
            <w:tcW w:w="305" w:type="pct"/>
            <w:tcBorders>
              <w:tl2br w:val="nil"/>
              <w:tr2bl w:val="nil"/>
            </w:tcBorders>
            <w:noWrap w:val="0"/>
            <w:vAlign w:val="center"/>
          </w:tcPr>
          <w:p w14:paraId="742FF04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1.54</w:t>
            </w:r>
          </w:p>
        </w:tc>
        <w:tc>
          <w:tcPr>
            <w:tcW w:w="233" w:type="pct"/>
            <w:tcBorders>
              <w:tl2br w:val="nil"/>
              <w:tr2bl w:val="nil"/>
            </w:tcBorders>
            <w:noWrap w:val="0"/>
            <w:vAlign w:val="center"/>
          </w:tcPr>
          <w:p w14:paraId="62B3A5B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1.62</w:t>
            </w:r>
          </w:p>
        </w:tc>
        <w:tc>
          <w:tcPr>
            <w:tcW w:w="294" w:type="pct"/>
            <w:tcBorders>
              <w:tl2br w:val="nil"/>
              <w:tr2bl w:val="nil"/>
            </w:tcBorders>
            <w:noWrap w:val="0"/>
            <w:vAlign w:val="center"/>
          </w:tcPr>
          <w:p w14:paraId="12B9148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1.68</w:t>
            </w:r>
          </w:p>
        </w:tc>
        <w:tc>
          <w:tcPr>
            <w:tcW w:w="225" w:type="pct"/>
            <w:tcBorders>
              <w:tl2br w:val="nil"/>
              <w:tr2bl w:val="nil"/>
            </w:tcBorders>
            <w:noWrap w:val="0"/>
            <w:vAlign w:val="center"/>
          </w:tcPr>
          <w:p w14:paraId="0AD7EC4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1.83</w:t>
            </w:r>
          </w:p>
        </w:tc>
        <w:tc>
          <w:tcPr>
            <w:tcW w:w="277" w:type="pct"/>
            <w:tcBorders>
              <w:tl2br w:val="nil"/>
              <w:tr2bl w:val="nil"/>
            </w:tcBorders>
            <w:noWrap w:val="0"/>
            <w:vAlign w:val="center"/>
          </w:tcPr>
          <w:p w14:paraId="1547609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1.51</w:t>
            </w:r>
          </w:p>
        </w:tc>
        <w:tc>
          <w:tcPr>
            <w:tcW w:w="225" w:type="pct"/>
            <w:tcBorders>
              <w:tl2br w:val="nil"/>
              <w:tr2bl w:val="nil"/>
            </w:tcBorders>
            <w:noWrap w:val="0"/>
            <w:vAlign w:val="center"/>
          </w:tcPr>
          <w:p w14:paraId="4369913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1.38</w:t>
            </w:r>
          </w:p>
        </w:tc>
        <w:tc>
          <w:tcPr>
            <w:tcW w:w="272" w:type="pct"/>
            <w:tcBorders>
              <w:tl2br w:val="nil"/>
              <w:tr2bl w:val="nil"/>
            </w:tcBorders>
            <w:noWrap w:val="0"/>
            <w:vAlign w:val="center"/>
          </w:tcPr>
          <w:p w14:paraId="3DEAFE5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1.64</w:t>
            </w:r>
          </w:p>
        </w:tc>
        <w:tc>
          <w:tcPr>
            <w:tcW w:w="225" w:type="pct"/>
            <w:tcBorders>
              <w:tl2br w:val="nil"/>
              <w:tr2bl w:val="nil"/>
            </w:tcBorders>
            <w:noWrap w:val="0"/>
            <w:vAlign w:val="center"/>
          </w:tcPr>
          <w:p w14:paraId="15E462F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1.46</w:t>
            </w:r>
          </w:p>
        </w:tc>
        <w:tc>
          <w:tcPr>
            <w:tcW w:w="305" w:type="pct"/>
            <w:tcBorders>
              <w:tl2br w:val="nil"/>
              <w:tr2bl w:val="nil"/>
            </w:tcBorders>
            <w:noWrap w:val="0"/>
            <w:vAlign w:val="center"/>
          </w:tcPr>
          <w:p w14:paraId="5161712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w:t>
            </w:r>
          </w:p>
        </w:tc>
        <w:tc>
          <w:tcPr>
            <w:tcW w:w="250" w:type="pct"/>
            <w:tcBorders>
              <w:tl2br w:val="nil"/>
              <w:tr2bl w:val="nil"/>
            </w:tcBorders>
            <w:noWrap w:val="0"/>
            <w:vAlign w:val="center"/>
          </w:tcPr>
          <w:p w14:paraId="3DDAB48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1.53</w:t>
            </w:r>
          </w:p>
        </w:tc>
        <w:tc>
          <w:tcPr>
            <w:tcW w:w="343" w:type="pct"/>
            <w:tcBorders>
              <w:tl2br w:val="nil"/>
              <w:tr2bl w:val="nil"/>
            </w:tcBorders>
            <w:noWrap w:val="0"/>
            <w:vAlign w:val="center"/>
          </w:tcPr>
          <w:p w14:paraId="56329A0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1.54</w:t>
            </w:r>
          </w:p>
        </w:tc>
        <w:tc>
          <w:tcPr>
            <w:tcW w:w="225" w:type="pct"/>
            <w:tcBorders>
              <w:tl2br w:val="nil"/>
              <w:tr2bl w:val="nil"/>
            </w:tcBorders>
            <w:noWrap w:val="0"/>
            <w:vAlign w:val="center"/>
          </w:tcPr>
          <w:p w14:paraId="21000A4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1.37</w:t>
            </w:r>
          </w:p>
        </w:tc>
        <w:tc>
          <w:tcPr>
            <w:tcW w:w="360" w:type="pct"/>
            <w:tcBorders>
              <w:tl2br w:val="nil"/>
              <w:tr2bl w:val="nil"/>
            </w:tcBorders>
            <w:noWrap w:val="0"/>
            <w:vAlign w:val="center"/>
          </w:tcPr>
          <w:p w14:paraId="00A0781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1.43</w:t>
            </w:r>
          </w:p>
        </w:tc>
        <w:tc>
          <w:tcPr>
            <w:tcW w:w="266" w:type="pct"/>
            <w:tcBorders>
              <w:tl2br w:val="nil"/>
              <w:tr2bl w:val="nil"/>
            </w:tcBorders>
            <w:noWrap w:val="0"/>
            <w:vAlign w:val="center"/>
          </w:tcPr>
          <w:p w14:paraId="76E6C34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1.67</w:t>
            </w:r>
          </w:p>
        </w:tc>
        <w:tc>
          <w:tcPr>
            <w:tcW w:w="338" w:type="pct"/>
            <w:tcBorders>
              <w:tl2br w:val="nil"/>
              <w:tr2bl w:val="nil"/>
            </w:tcBorders>
            <w:noWrap w:val="0"/>
            <w:vAlign w:val="center"/>
          </w:tcPr>
          <w:p w14:paraId="5FF5A0B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1.84</w:t>
            </w:r>
          </w:p>
        </w:tc>
        <w:tc>
          <w:tcPr>
            <w:tcW w:w="299" w:type="pct"/>
            <w:tcBorders>
              <w:tl2br w:val="nil"/>
              <w:tr2bl w:val="nil"/>
            </w:tcBorders>
            <w:noWrap w:val="0"/>
            <w:vAlign w:val="center"/>
          </w:tcPr>
          <w:p w14:paraId="3F98F6A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1.60</w:t>
            </w:r>
          </w:p>
        </w:tc>
      </w:tr>
      <w:tr w14:paraId="3658446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17DA845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3月</w:t>
            </w:r>
          </w:p>
        </w:tc>
        <w:tc>
          <w:tcPr>
            <w:tcW w:w="225" w:type="pct"/>
            <w:tcBorders>
              <w:tl2br w:val="nil"/>
              <w:tr2bl w:val="nil"/>
            </w:tcBorders>
            <w:noWrap w:val="0"/>
            <w:vAlign w:val="center"/>
          </w:tcPr>
          <w:p w14:paraId="53A39F4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w:t>
            </w:r>
          </w:p>
        </w:tc>
        <w:tc>
          <w:tcPr>
            <w:tcW w:w="305" w:type="pct"/>
            <w:tcBorders>
              <w:tl2br w:val="nil"/>
              <w:tr2bl w:val="nil"/>
            </w:tcBorders>
            <w:noWrap w:val="0"/>
            <w:vAlign w:val="center"/>
          </w:tcPr>
          <w:p w14:paraId="6C2BA5F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1.83</w:t>
            </w:r>
          </w:p>
        </w:tc>
        <w:tc>
          <w:tcPr>
            <w:tcW w:w="233" w:type="pct"/>
            <w:tcBorders>
              <w:tl2br w:val="nil"/>
              <w:tr2bl w:val="nil"/>
            </w:tcBorders>
            <w:noWrap w:val="0"/>
            <w:vAlign w:val="center"/>
          </w:tcPr>
          <w:p w14:paraId="6B92D30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1.81</w:t>
            </w:r>
          </w:p>
        </w:tc>
        <w:tc>
          <w:tcPr>
            <w:tcW w:w="294" w:type="pct"/>
            <w:tcBorders>
              <w:tl2br w:val="nil"/>
              <w:tr2bl w:val="nil"/>
            </w:tcBorders>
            <w:noWrap w:val="0"/>
            <w:vAlign w:val="center"/>
          </w:tcPr>
          <w:p w14:paraId="66B3FC2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2.03</w:t>
            </w:r>
          </w:p>
        </w:tc>
        <w:tc>
          <w:tcPr>
            <w:tcW w:w="225" w:type="pct"/>
            <w:tcBorders>
              <w:tl2br w:val="nil"/>
              <w:tr2bl w:val="nil"/>
            </w:tcBorders>
            <w:noWrap w:val="0"/>
            <w:vAlign w:val="center"/>
          </w:tcPr>
          <w:p w14:paraId="2D50658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2.09</w:t>
            </w:r>
          </w:p>
        </w:tc>
        <w:tc>
          <w:tcPr>
            <w:tcW w:w="277" w:type="pct"/>
            <w:tcBorders>
              <w:tl2br w:val="nil"/>
              <w:tr2bl w:val="nil"/>
            </w:tcBorders>
            <w:noWrap w:val="0"/>
            <w:vAlign w:val="center"/>
          </w:tcPr>
          <w:p w14:paraId="6792227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1.89</w:t>
            </w:r>
          </w:p>
        </w:tc>
        <w:tc>
          <w:tcPr>
            <w:tcW w:w="225" w:type="pct"/>
            <w:tcBorders>
              <w:tl2br w:val="nil"/>
              <w:tr2bl w:val="nil"/>
            </w:tcBorders>
            <w:noWrap w:val="0"/>
            <w:vAlign w:val="center"/>
          </w:tcPr>
          <w:p w14:paraId="3B31415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2.03</w:t>
            </w:r>
          </w:p>
        </w:tc>
        <w:tc>
          <w:tcPr>
            <w:tcW w:w="272" w:type="pct"/>
            <w:tcBorders>
              <w:tl2br w:val="nil"/>
              <w:tr2bl w:val="nil"/>
            </w:tcBorders>
            <w:noWrap w:val="0"/>
            <w:vAlign w:val="center"/>
          </w:tcPr>
          <w:p w14:paraId="7CA6158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1.99</w:t>
            </w:r>
          </w:p>
        </w:tc>
        <w:tc>
          <w:tcPr>
            <w:tcW w:w="225" w:type="pct"/>
            <w:tcBorders>
              <w:tl2br w:val="nil"/>
              <w:tr2bl w:val="nil"/>
            </w:tcBorders>
            <w:noWrap w:val="0"/>
            <w:vAlign w:val="center"/>
          </w:tcPr>
          <w:p w14:paraId="5B33554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2.77</w:t>
            </w:r>
          </w:p>
        </w:tc>
        <w:tc>
          <w:tcPr>
            <w:tcW w:w="305" w:type="pct"/>
            <w:tcBorders>
              <w:tl2br w:val="nil"/>
              <w:tr2bl w:val="nil"/>
            </w:tcBorders>
            <w:noWrap w:val="0"/>
            <w:vAlign w:val="center"/>
          </w:tcPr>
          <w:p w14:paraId="2A133F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2.32</w:t>
            </w:r>
          </w:p>
        </w:tc>
        <w:tc>
          <w:tcPr>
            <w:tcW w:w="250" w:type="pct"/>
            <w:tcBorders>
              <w:tl2br w:val="nil"/>
              <w:tr2bl w:val="nil"/>
            </w:tcBorders>
            <w:noWrap w:val="0"/>
            <w:vAlign w:val="center"/>
          </w:tcPr>
          <w:p w14:paraId="7FE17EC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1.79</w:t>
            </w:r>
          </w:p>
        </w:tc>
        <w:tc>
          <w:tcPr>
            <w:tcW w:w="343" w:type="pct"/>
            <w:tcBorders>
              <w:tl2br w:val="nil"/>
              <w:tr2bl w:val="nil"/>
            </w:tcBorders>
            <w:noWrap w:val="0"/>
            <w:vAlign w:val="center"/>
          </w:tcPr>
          <w:p w14:paraId="1E2AA72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2.23</w:t>
            </w:r>
          </w:p>
        </w:tc>
        <w:tc>
          <w:tcPr>
            <w:tcW w:w="225" w:type="pct"/>
            <w:tcBorders>
              <w:tl2br w:val="nil"/>
              <w:tr2bl w:val="nil"/>
            </w:tcBorders>
            <w:noWrap w:val="0"/>
            <w:vAlign w:val="center"/>
          </w:tcPr>
          <w:p w14:paraId="3379996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4.91</w:t>
            </w:r>
          </w:p>
        </w:tc>
        <w:tc>
          <w:tcPr>
            <w:tcW w:w="360" w:type="pct"/>
            <w:tcBorders>
              <w:tl2br w:val="nil"/>
              <w:tr2bl w:val="nil"/>
            </w:tcBorders>
            <w:noWrap w:val="0"/>
            <w:vAlign w:val="center"/>
          </w:tcPr>
          <w:p w14:paraId="0BE3091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2.72</w:t>
            </w:r>
          </w:p>
        </w:tc>
        <w:tc>
          <w:tcPr>
            <w:tcW w:w="266" w:type="pct"/>
            <w:tcBorders>
              <w:tl2br w:val="nil"/>
              <w:tr2bl w:val="nil"/>
            </w:tcBorders>
            <w:noWrap w:val="0"/>
            <w:vAlign w:val="center"/>
          </w:tcPr>
          <w:p w14:paraId="122B873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1.76</w:t>
            </w:r>
          </w:p>
        </w:tc>
        <w:tc>
          <w:tcPr>
            <w:tcW w:w="338" w:type="pct"/>
            <w:tcBorders>
              <w:tl2br w:val="nil"/>
              <w:tr2bl w:val="nil"/>
            </w:tcBorders>
            <w:noWrap w:val="0"/>
            <w:vAlign w:val="center"/>
          </w:tcPr>
          <w:p w14:paraId="6FC0090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2.07</w:t>
            </w:r>
          </w:p>
        </w:tc>
        <w:tc>
          <w:tcPr>
            <w:tcW w:w="299" w:type="pct"/>
            <w:tcBorders>
              <w:tl2br w:val="nil"/>
              <w:tr2bl w:val="nil"/>
            </w:tcBorders>
            <w:noWrap w:val="0"/>
            <w:vAlign w:val="center"/>
          </w:tcPr>
          <w:p w14:paraId="18D212E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2.08</w:t>
            </w:r>
          </w:p>
        </w:tc>
      </w:tr>
      <w:tr w14:paraId="79C471E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00CB8D2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4月</w:t>
            </w:r>
          </w:p>
        </w:tc>
        <w:tc>
          <w:tcPr>
            <w:tcW w:w="225" w:type="pct"/>
            <w:tcBorders>
              <w:tl2br w:val="nil"/>
              <w:tr2bl w:val="nil"/>
            </w:tcBorders>
            <w:noWrap w:val="0"/>
            <w:vAlign w:val="center"/>
          </w:tcPr>
          <w:p w14:paraId="7F0F44A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1.66</w:t>
            </w:r>
          </w:p>
        </w:tc>
        <w:tc>
          <w:tcPr>
            <w:tcW w:w="305" w:type="pct"/>
            <w:tcBorders>
              <w:tl2br w:val="nil"/>
              <w:tr2bl w:val="nil"/>
            </w:tcBorders>
            <w:noWrap w:val="0"/>
            <w:vAlign w:val="center"/>
          </w:tcPr>
          <w:p w14:paraId="14FB960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1.80</w:t>
            </w:r>
          </w:p>
        </w:tc>
        <w:tc>
          <w:tcPr>
            <w:tcW w:w="233" w:type="pct"/>
            <w:tcBorders>
              <w:tl2br w:val="nil"/>
              <w:tr2bl w:val="nil"/>
            </w:tcBorders>
            <w:noWrap w:val="0"/>
            <w:vAlign w:val="center"/>
          </w:tcPr>
          <w:p w14:paraId="24BA853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1.63</w:t>
            </w:r>
          </w:p>
        </w:tc>
        <w:tc>
          <w:tcPr>
            <w:tcW w:w="294" w:type="pct"/>
            <w:tcBorders>
              <w:tl2br w:val="nil"/>
              <w:tr2bl w:val="nil"/>
            </w:tcBorders>
            <w:noWrap w:val="0"/>
            <w:vAlign w:val="center"/>
          </w:tcPr>
          <w:p w14:paraId="2575863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2.14</w:t>
            </w:r>
          </w:p>
        </w:tc>
        <w:tc>
          <w:tcPr>
            <w:tcW w:w="225" w:type="pct"/>
            <w:tcBorders>
              <w:tl2br w:val="nil"/>
              <w:tr2bl w:val="nil"/>
            </w:tcBorders>
            <w:noWrap w:val="0"/>
            <w:vAlign w:val="center"/>
          </w:tcPr>
          <w:p w14:paraId="4955184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3.36</w:t>
            </w:r>
          </w:p>
        </w:tc>
        <w:tc>
          <w:tcPr>
            <w:tcW w:w="277" w:type="pct"/>
            <w:tcBorders>
              <w:tl2br w:val="nil"/>
              <w:tr2bl w:val="nil"/>
            </w:tcBorders>
            <w:noWrap w:val="0"/>
            <w:vAlign w:val="center"/>
          </w:tcPr>
          <w:p w14:paraId="6AAE4FD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2.44</w:t>
            </w:r>
          </w:p>
        </w:tc>
        <w:tc>
          <w:tcPr>
            <w:tcW w:w="225" w:type="pct"/>
            <w:tcBorders>
              <w:tl2br w:val="nil"/>
              <w:tr2bl w:val="nil"/>
            </w:tcBorders>
            <w:noWrap w:val="0"/>
            <w:vAlign w:val="center"/>
          </w:tcPr>
          <w:p w14:paraId="7AD8686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2.10</w:t>
            </w:r>
          </w:p>
        </w:tc>
        <w:tc>
          <w:tcPr>
            <w:tcW w:w="272" w:type="pct"/>
            <w:tcBorders>
              <w:tl2br w:val="nil"/>
              <w:tr2bl w:val="nil"/>
            </w:tcBorders>
            <w:noWrap w:val="0"/>
            <w:vAlign w:val="center"/>
          </w:tcPr>
          <w:p w14:paraId="49F2383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2.16</w:t>
            </w:r>
          </w:p>
        </w:tc>
        <w:tc>
          <w:tcPr>
            <w:tcW w:w="225" w:type="pct"/>
            <w:tcBorders>
              <w:tl2br w:val="nil"/>
              <w:tr2bl w:val="nil"/>
            </w:tcBorders>
            <w:noWrap w:val="0"/>
            <w:vAlign w:val="center"/>
          </w:tcPr>
          <w:p w14:paraId="5036CFC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2.62</w:t>
            </w:r>
          </w:p>
        </w:tc>
        <w:tc>
          <w:tcPr>
            <w:tcW w:w="305" w:type="pct"/>
            <w:tcBorders>
              <w:tl2br w:val="nil"/>
              <w:tr2bl w:val="nil"/>
            </w:tcBorders>
            <w:noWrap w:val="0"/>
            <w:vAlign w:val="center"/>
          </w:tcPr>
          <w:p w14:paraId="3795CB5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3.17</w:t>
            </w:r>
          </w:p>
        </w:tc>
        <w:tc>
          <w:tcPr>
            <w:tcW w:w="250" w:type="pct"/>
            <w:tcBorders>
              <w:tl2br w:val="nil"/>
              <w:tr2bl w:val="nil"/>
            </w:tcBorders>
            <w:noWrap w:val="0"/>
            <w:vAlign w:val="center"/>
          </w:tcPr>
          <w:p w14:paraId="3767D50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2.34</w:t>
            </w:r>
          </w:p>
        </w:tc>
        <w:tc>
          <w:tcPr>
            <w:tcW w:w="343" w:type="pct"/>
            <w:tcBorders>
              <w:tl2br w:val="nil"/>
              <w:tr2bl w:val="nil"/>
            </w:tcBorders>
            <w:noWrap w:val="0"/>
            <w:vAlign w:val="center"/>
          </w:tcPr>
          <w:p w14:paraId="3CA1555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2.58</w:t>
            </w:r>
          </w:p>
        </w:tc>
        <w:tc>
          <w:tcPr>
            <w:tcW w:w="225" w:type="pct"/>
            <w:tcBorders>
              <w:tl2br w:val="nil"/>
              <w:tr2bl w:val="nil"/>
            </w:tcBorders>
            <w:noWrap w:val="0"/>
            <w:vAlign w:val="center"/>
          </w:tcPr>
          <w:p w14:paraId="7FDA8BF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2.44</w:t>
            </w:r>
          </w:p>
        </w:tc>
        <w:tc>
          <w:tcPr>
            <w:tcW w:w="360" w:type="pct"/>
            <w:tcBorders>
              <w:tl2br w:val="nil"/>
              <w:tr2bl w:val="nil"/>
            </w:tcBorders>
            <w:noWrap w:val="0"/>
            <w:vAlign w:val="center"/>
          </w:tcPr>
          <w:p w14:paraId="53E6FFA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1.66</w:t>
            </w:r>
          </w:p>
        </w:tc>
        <w:tc>
          <w:tcPr>
            <w:tcW w:w="266" w:type="pct"/>
            <w:tcBorders>
              <w:tl2br w:val="nil"/>
              <w:tr2bl w:val="nil"/>
            </w:tcBorders>
            <w:noWrap w:val="0"/>
            <w:vAlign w:val="center"/>
          </w:tcPr>
          <w:p w14:paraId="7DE6924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1.90</w:t>
            </w:r>
          </w:p>
        </w:tc>
        <w:tc>
          <w:tcPr>
            <w:tcW w:w="338" w:type="pct"/>
            <w:tcBorders>
              <w:tl2br w:val="nil"/>
              <w:tr2bl w:val="nil"/>
            </w:tcBorders>
            <w:noWrap w:val="0"/>
            <w:vAlign w:val="center"/>
          </w:tcPr>
          <w:p w14:paraId="3DC2A75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1.92</w:t>
            </w:r>
          </w:p>
        </w:tc>
        <w:tc>
          <w:tcPr>
            <w:tcW w:w="299" w:type="pct"/>
            <w:tcBorders>
              <w:tl2br w:val="nil"/>
              <w:tr2bl w:val="nil"/>
            </w:tcBorders>
            <w:noWrap w:val="0"/>
            <w:vAlign w:val="center"/>
          </w:tcPr>
          <w:p w14:paraId="18FFE55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2.25</w:t>
            </w:r>
          </w:p>
        </w:tc>
      </w:tr>
      <w:tr w14:paraId="18DF918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43BF88B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5月</w:t>
            </w:r>
          </w:p>
        </w:tc>
        <w:tc>
          <w:tcPr>
            <w:tcW w:w="225" w:type="pct"/>
            <w:tcBorders>
              <w:tl2br w:val="nil"/>
              <w:tr2bl w:val="nil"/>
            </w:tcBorders>
            <w:noWrap w:val="0"/>
            <w:vAlign w:val="center"/>
          </w:tcPr>
          <w:p w14:paraId="0738A09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1.87</w:t>
            </w:r>
          </w:p>
        </w:tc>
        <w:tc>
          <w:tcPr>
            <w:tcW w:w="305" w:type="pct"/>
            <w:tcBorders>
              <w:tl2br w:val="nil"/>
              <w:tr2bl w:val="nil"/>
            </w:tcBorders>
            <w:noWrap w:val="0"/>
            <w:vAlign w:val="center"/>
          </w:tcPr>
          <w:p w14:paraId="1DD6E34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2.34</w:t>
            </w:r>
          </w:p>
        </w:tc>
        <w:tc>
          <w:tcPr>
            <w:tcW w:w="233" w:type="pct"/>
            <w:tcBorders>
              <w:tl2br w:val="nil"/>
              <w:tr2bl w:val="nil"/>
            </w:tcBorders>
            <w:noWrap w:val="0"/>
            <w:vAlign w:val="center"/>
          </w:tcPr>
          <w:p w14:paraId="5873536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2.55</w:t>
            </w:r>
          </w:p>
        </w:tc>
        <w:tc>
          <w:tcPr>
            <w:tcW w:w="294" w:type="pct"/>
            <w:tcBorders>
              <w:tl2br w:val="nil"/>
              <w:tr2bl w:val="nil"/>
            </w:tcBorders>
            <w:noWrap w:val="0"/>
            <w:vAlign w:val="center"/>
          </w:tcPr>
          <w:p w14:paraId="5F7712F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2.10</w:t>
            </w:r>
          </w:p>
        </w:tc>
        <w:tc>
          <w:tcPr>
            <w:tcW w:w="225" w:type="pct"/>
            <w:tcBorders>
              <w:tl2br w:val="nil"/>
              <w:tr2bl w:val="nil"/>
            </w:tcBorders>
            <w:noWrap w:val="0"/>
            <w:vAlign w:val="center"/>
          </w:tcPr>
          <w:p w14:paraId="29A5F2C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2.83</w:t>
            </w:r>
          </w:p>
        </w:tc>
        <w:tc>
          <w:tcPr>
            <w:tcW w:w="277" w:type="pct"/>
            <w:tcBorders>
              <w:tl2br w:val="nil"/>
              <w:tr2bl w:val="nil"/>
            </w:tcBorders>
            <w:noWrap w:val="0"/>
            <w:vAlign w:val="center"/>
          </w:tcPr>
          <w:p w14:paraId="28D966A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2.69</w:t>
            </w:r>
          </w:p>
        </w:tc>
        <w:tc>
          <w:tcPr>
            <w:tcW w:w="225" w:type="pct"/>
            <w:tcBorders>
              <w:tl2br w:val="nil"/>
              <w:tr2bl w:val="nil"/>
            </w:tcBorders>
            <w:noWrap w:val="0"/>
            <w:vAlign w:val="center"/>
          </w:tcPr>
          <w:p w14:paraId="083C528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2.83</w:t>
            </w:r>
          </w:p>
        </w:tc>
        <w:tc>
          <w:tcPr>
            <w:tcW w:w="272" w:type="pct"/>
            <w:tcBorders>
              <w:tl2br w:val="nil"/>
              <w:tr2bl w:val="nil"/>
            </w:tcBorders>
            <w:noWrap w:val="0"/>
            <w:vAlign w:val="center"/>
          </w:tcPr>
          <w:p w14:paraId="33F5496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2.87</w:t>
            </w:r>
          </w:p>
        </w:tc>
        <w:tc>
          <w:tcPr>
            <w:tcW w:w="225" w:type="pct"/>
            <w:tcBorders>
              <w:tl2br w:val="nil"/>
              <w:tr2bl w:val="nil"/>
            </w:tcBorders>
            <w:noWrap w:val="0"/>
            <w:vAlign w:val="center"/>
          </w:tcPr>
          <w:p w14:paraId="14A8EDE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3.41</w:t>
            </w:r>
          </w:p>
        </w:tc>
        <w:tc>
          <w:tcPr>
            <w:tcW w:w="305" w:type="pct"/>
            <w:tcBorders>
              <w:tl2br w:val="nil"/>
              <w:tr2bl w:val="nil"/>
            </w:tcBorders>
            <w:noWrap w:val="0"/>
            <w:vAlign w:val="center"/>
          </w:tcPr>
          <w:p w14:paraId="05FF715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3.27</w:t>
            </w:r>
          </w:p>
        </w:tc>
        <w:tc>
          <w:tcPr>
            <w:tcW w:w="250" w:type="pct"/>
            <w:tcBorders>
              <w:tl2br w:val="nil"/>
              <w:tr2bl w:val="nil"/>
            </w:tcBorders>
            <w:noWrap w:val="0"/>
            <w:vAlign w:val="center"/>
          </w:tcPr>
          <w:p w14:paraId="71C8C9C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2.52</w:t>
            </w:r>
          </w:p>
        </w:tc>
        <w:tc>
          <w:tcPr>
            <w:tcW w:w="343" w:type="pct"/>
            <w:tcBorders>
              <w:tl2br w:val="nil"/>
              <w:tr2bl w:val="nil"/>
            </w:tcBorders>
            <w:noWrap w:val="0"/>
            <w:vAlign w:val="center"/>
          </w:tcPr>
          <w:p w14:paraId="7754301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2.52</w:t>
            </w:r>
          </w:p>
        </w:tc>
        <w:tc>
          <w:tcPr>
            <w:tcW w:w="225" w:type="pct"/>
            <w:tcBorders>
              <w:tl2br w:val="nil"/>
              <w:tr2bl w:val="nil"/>
            </w:tcBorders>
            <w:noWrap w:val="0"/>
            <w:vAlign w:val="center"/>
          </w:tcPr>
          <w:p w14:paraId="1142AF8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3.95</w:t>
            </w:r>
          </w:p>
        </w:tc>
        <w:tc>
          <w:tcPr>
            <w:tcW w:w="360" w:type="pct"/>
            <w:tcBorders>
              <w:tl2br w:val="nil"/>
              <w:tr2bl w:val="nil"/>
            </w:tcBorders>
            <w:noWrap w:val="0"/>
            <w:vAlign w:val="center"/>
          </w:tcPr>
          <w:p w14:paraId="1340D40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3.14</w:t>
            </w:r>
          </w:p>
        </w:tc>
        <w:tc>
          <w:tcPr>
            <w:tcW w:w="266" w:type="pct"/>
            <w:tcBorders>
              <w:tl2br w:val="nil"/>
              <w:tr2bl w:val="nil"/>
            </w:tcBorders>
            <w:noWrap w:val="0"/>
            <w:vAlign w:val="center"/>
          </w:tcPr>
          <w:p w14:paraId="0B20377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2.86</w:t>
            </w:r>
          </w:p>
        </w:tc>
        <w:tc>
          <w:tcPr>
            <w:tcW w:w="338" w:type="pct"/>
            <w:tcBorders>
              <w:tl2br w:val="nil"/>
              <w:tr2bl w:val="nil"/>
            </w:tcBorders>
            <w:noWrap w:val="0"/>
            <w:vAlign w:val="center"/>
          </w:tcPr>
          <w:p w14:paraId="5EE9803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2.43</w:t>
            </w:r>
          </w:p>
        </w:tc>
        <w:tc>
          <w:tcPr>
            <w:tcW w:w="299" w:type="pct"/>
            <w:tcBorders>
              <w:tl2br w:val="nil"/>
              <w:tr2bl w:val="nil"/>
            </w:tcBorders>
            <w:noWrap w:val="0"/>
            <w:vAlign w:val="center"/>
          </w:tcPr>
          <w:p w14:paraId="3E4B97F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2.66</w:t>
            </w:r>
          </w:p>
        </w:tc>
      </w:tr>
      <w:tr w14:paraId="3938DE6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2666D14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6月</w:t>
            </w:r>
          </w:p>
        </w:tc>
        <w:tc>
          <w:tcPr>
            <w:tcW w:w="225" w:type="pct"/>
            <w:tcBorders>
              <w:tl2br w:val="nil"/>
              <w:tr2bl w:val="nil"/>
            </w:tcBorders>
            <w:noWrap w:val="0"/>
            <w:vAlign w:val="center"/>
          </w:tcPr>
          <w:p w14:paraId="70EC9D0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2.16</w:t>
            </w:r>
          </w:p>
        </w:tc>
        <w:tc>
          <w:tcPr>
            <w:tcW w:w="305" w:type="pct"/>
            <w:tcBorders>
              <w:tl2br w:val="nil"/>
              <w:tr2bl w:val="nil"/>
            </w:tcBorders>
            <w:noWrap w:val="0"/>
            <w:vAlign w:val="center"/>
          </w:tcPr>
          <w:p w14:paraId="4FDD9B5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2.21</w:t>
            </w:r>
          </w:p>
        </w:tc>
        <w:tc>
          <w:tcPr>
            <w:tcW w:w="233" w:type="pct"/>
            <w:tcBorders>
              <w:tl2br w:val="nil"/>
              <w:tr2bl w:val="nil"/>
            </w:tcBorders>
            <w:noWrap w:val="0"/>
            <w:vAlign w:val="center"/>
          </w:tcPr>
          <w:p w14:paraId="302D5B8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2.01</w:t>
            </w:r>
          </w:p>
        </w:tc>
        <w:tc>
          <w:tcPr>
            <w:tcW w:w="294" w:type="pct"/>
            <w:tcBorders>
              <w:tl2br w:val="nil"/>
              <w:tr2bl w:val="nil"/>
            </w:tcBorders>
            <w:noWrap w:val="0"/>
            <w:vAlign w:val="center"/>
          </w:tcPr>
          <w:p w14:paraId="24A010E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2.04</w:t>
            </w:r>
          </w:p>
        </w:tc>
        <w:tc>
          <w:tcPr>
            <w:tcW w:w="225" w:type="pct"/>
            <w:tcBorders>
              <w:tl2br w:val="nil"/>
              <w:tr2bl w:val="nil"/>
            </w:tcBorders>
            <w:noWrap w:val="0"/>
            <w:vAlign w:val="center"/>
          </w:tcPr>
          <w:p w14:paraId="6869E3F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2.37</w:t>
            </w:r>
          </w:p>
        </w:tc>
        <w:tc>
          <w:tcPr>
            <w:tcW w:w="277" w:type="pct"/>
            <w:tcBorders>
              <w:tl2br w:val="nil"/>
              <w:tr2bl w:val="nil"/>
            </w:tcBorders>
            <w:noWrap w:val="0"/>
            <w:vAlign w:val="center"/>
          </w:tcPr>
          <w:p w14:paraId="65A1E8C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2.39</w:t>
            </w:r>
          </w:p>
        </w:tc>
        <w:tc>
          <w:tcPr>
            <w:tcW w:w="225" w:type="pct"/>
            <w:tcBorders>
              <w:tl2br w:val="nil"/>
              <w:tr2bl w:val="nil"/>
            </w:tcBorders>
            <w:noWrap w:val="0"/>
            <w:vAlign w:val="center"/>
          </w:tcPr>
          <w:p w14:paraId="7A02EA3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2.53</w:t>
            </w:r>
          </w:p>
        </w:tc>
        <w:tc>
          <w:tcPr>
            <w:tcW w:w="272" w:type="pct"/>
            <w:tcBorders>
              <w:tl2br w:val="nil"/>
              <w:tr2bl w:val="nil"/>
            </w:tcBorders>
            <w:noWrap w:val="0"/>
            <w:vAlign w:val="center"/>
          </w:tcPr>
          <w:p w14:paraId="7099F73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2.42</w:t>
            </w:r>
          </w:p>
        </w:tc>
        <w:tc>
          <w:tcPr>
            <w:tcW w:w="225" w:type="pct"/>
            <w:tcBorders>
              <w:tl2br w:val="nil"/>
              <w:tr2bl w:val="nil"/>
            </w:tcBorders>
            <w:noWrap w:val="0"/>
            <w:vAlign w:val="center"/>
          </w:tcPr>
          <w:p w14:paraId="107B30F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3.18</w:t>
            </w:r>
          </w:p>
        </w:tc>
        <w:tc>
          <w:tcPr>
            <w:tcW w:w="305" w:type="pct"/>
            <w:tcBorders>
              <w:tl2br w:val="nil"/>
              <w:tr2bl w:val="nil"/>
            </w:tcBorders>
            <w:noWrap w:val="0"/>
            <w:vAlign w:val="center"/>
          </w:tcPr>
          <w:p w14:paraId="10F2C16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2.94</w:t>
            </w:r>
          </w:p>
        </w:tc>
        <w:tc>
          <w:tcPr>
            <w:tcW w:w="250" w:type="pct"/>
            <w:tcBorders>
              <w:tl2br w:val="nil"/>
              <w:tr2bl w:val="nil"/>
            </w:tcBorders>
            <w:noWrap w:val="0"/>
            <w:vAlign w:val="center"/>
          </w:tcPr>
          <w:p w14:paraId="7575A36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2.43</w:t>
            </w:r>
          </w:p>
        </w:tc>
        <w:tc>
          <w:tcPr>
            <w:tcW w:w="343" w:type="pct"/>
            <w:tcBorders>
              <w:tl2br w:val="nil"/>
              <w:tr2bl w:val="nil"/>
            </w:tcBorders>
            <w:noWrap w:val="0"/>
            <w:vAlign w:val="center"/>
          </w:tcPr>
          <w:p w14:paraId="6F5ADCF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2.57</w:t>
            </w:r>
          </w:p>
        </w:tc>
        <w:tc>
          <w:tcPr>
            <w:tcW w:w="225" w:type="pct"/>
            <w:tcBorders>
              <w:tl2br w:val="nil"/>
              <w:tr2bl w:val="nil"/>
            </w:tcBorders>
            <w:noWrap w:val="0"/>
            <w:vAlign w:val="center"/>
          </w:tcPr>
          <w:p w14:paraId="45C6873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3.12</w:t>
            </w:r>
          </w:p>
        </w:tc>
        <w:tc>
          <w:tcPr>
            <w:tcW w:w="360" w:type="pct"/>
            <w:tcBorders>
              <w:tl2br w:val="nil"/>
              <w:tr2bl w:val="nil"/>
            </w:tcBorders>
            <w:noWrap w:val="0"/>
            <w:vAlign w:val="center"/>
          </w:tcPr>
          <w:p w14:paraId="58CDC87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3.32</w:t>
            </w:r>
          </w:p>
        </w:tc>
        <w:tc>
          <w:tcPr>
            <w:tcW w:w="266" w:type="pct"/>
            <w:tcBorders>
              <w:tl2br w:val="nil"/>
              <w:tr2bl w:val="nil"/>
            </w:tcBorders>
            <w:noWrap w:val="0"/>
            <w:vAlign w:val="center"/>
          </w:tcPr>
          <w:p w14:paraId="2B33384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2.51</w:t>
            </w:r>
          </w:p>
        </w:tc>
        <w:tc>
          <w:tcPr>
            <w:tcW w:w="338" w:type="pct"/>
            <w:tcBorders>
              <w:tl2br w:val="nil"/>
              <w:tr2bl w:val="nil"/>
            </w:tcBorders>
            <w:noWrap w:val="0"/>
            <w:vAlign w:val="center"/>
          </w:tcPr>
          <w:p w14:paraId="0932EC2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2.63</w:t>
            </w:r>
          </w:p>
        </w:tc>
        <w:tc>
          <w:tcPr>
            <w:tcW w:w="299" w:type="pct"/>
            <w:tcBorders>
              <w:tl2br w:val="nil"/>
              <w:tr2bl w:val="nil"/>
            </w:tcBorders>
            <w:noWrap w:val="0"/>
            <w:vAlign w:val="center"/>
          </w:tcPr>
          <w:p w14:paraId="777713A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2.51</w:t>
            </w:r>
          </w:p>
        </w:tc>
      </w:tr>
      <w:tr w14:paraId="77AAEC2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5266B08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7月</w:t>
            </w:r>
          </w:p>
        </w:tc>
        <w:tc>
          <w:tcPr>
            <w:tcW w:w="225" w:type="pct"/>
            <w:tcBorders>
              <w:tl2br w:val="nil"/>
              <w:tr2bl w:val="nil"/>
            </w:tcBorders>
            <w:noWrap w:val="0"/>
            <w:vAlign w:val="center"/>
          </w:tcPr>
          <w:p w14:paraId="04717BC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1.94</w:t>
            </w:r>
          </w:p>
        </w:tc>
        <w:tc>
          <w:tcPr>
            <w:tcW w:w="305" w:type="pct"/>
            <w:tcBorders>
              <w:tl2br w:val="nil"/>
              <w:tr2bl w:val="nil"/>
            </w:tcBorders>
            <w:noWrap w:val="0"/>
            <w:vAlign w:val="center"/>
          </w:tcPr>
          <w:p w14:paraId="3FFDA42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1.90</w:t>
            </w:r>
          </w:p>
        </w:tc>
        <w:tc>
          <w:tcPr>
            <w:tcW w:w="233" w:type="pct"/>
            <w:tcBorders>
              <w:tl2br w:val="nil"/>
              <w:tr2bl w:val="nil"/>
            </w:tcBorders>
            <w:noWrap w:val="0"/>
            <w:vAlign w:val="center"/>
          </w:tcPr>
          <w:p w14:paraId="7B5480A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1.82</w:t>
            </w:r>
          </w:p>
        </w:tc>
        <w:tc>
          <w:tcPr>
            <w:tcW w:w="294" w:type="pct"/>
            <w:tcBorders>
              <w:tl2br w:val="nil"/>
              <w:tr2bl w:val="nil"/>
            </w:tcBorders>
            <w:noWrap w:val="0"/>
            <w:vAlign w:val="center"/>
          </w:tcPr>
          <w:p w14:paraId="2C845E0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1.48</w:t>
            </w:r>
          </w:p>
        </w:tc>
        <w:tc>
          <w:tcPr>
            <w:tcW w:w="225" w:type="pct"/>
            <w:tcBorders>
              <w:tl2br w:val="nil"/>
              <w:tr2bl w:val="nil"/>
            </w:tcBorders>
            <w:noWrap w:val="0"/>
            <w:vAlign w:val="center"/>
          </w:tcPr>
          <w:p w14:paraId="7FD96C3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1.73</w:t>
            </w:r>
          </w:p>
        </w:tc>
        <w:tc>
          <w:tcPr>
            <w:tcW w:w="277" w:type="pct"/>
            <w:tcBorders>
              <w:tl2br w:val="nil"/>
              <w:tr2bl w:val="nil"/>
            </w:tcBorders>
            <w:noWrap w:val="0"/>
            <w:vAlign w:val="center"/>
          </w:tcPr>
          <w:p w14:paraId="258415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2.24</w:t>
            </w:r>
          </w:p>
        </w:tc>
        <w:tc>
          <w:tcPr>
            <w:tcW w:w="225" w:type="pct"/>
            <w:tcBorders>
              <w:tl2br w:val="nil"/>
              <w:tr2bl w:val="nil"/>
            </w:tcBorders>
            <w:noWrap w:val="0"/>
            <w:vAlign w:val="center"/>
          </w:tcPr>
          <w:p w14:paraId="0E3B3D0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2.64</w:t>
            </w:r>
          </w:p>
        </w:tc>
        <w:tc>
          <w:tcPr>
            <w:tcW w:w="272" w:type="pct"/>
            <w:tcBorders>
              <w:tl2br w:val="nil"/>
              <w:tr2bl w:val="nil"/>
            </w:tcBorders>
            <w:noWrap w:val="0"/>
            <w:vAlign w:val="center"/>
          </w:tcPr>
          <w:p w14:paraId="72D8155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2.92</w:t>
            </w:r>
          </w:p>
        </w:tc>
        <w:tc>
          <w:tcPr>
            <w:tcW w:w="225" w:type="pct"/>
            <w:tcBorders>
              <w:tl2br w:val="nil"/>
              <w:tr2bl w:val="nil"/>
            </w:tcBorders>
            <w:noWrap w:val="0"/>
            <w:vAlign w:val="center"/>
          </w:tcPr>
          <w:p w14:paraId="05A6EB7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3.51</w:t>
            </w:r>
          </w:p>
        </w:tc>
        <w:tc>
          <w:tcPr>
            <w:tcW w:w="305" w:type="pct"/>
            <w:tcBorders>
              <w:tl2br w:val="nil"/>
              <w:tr2bl w:val="nil"/>
            </w:tcBorders>
            <w:noWrap w:val="0"/>
            <w:vAlign w:val="center"/>
          </w:tcPr>
          <w:p w14:paraId="6E8AC2A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4.13</w:t>
            </w:r>
          </w:p>
        </w:tc>
        <w:tc>
          <w:tcPr>
            <w:tcW w:w="250" w:type="pct"/>
            <w:tcBorders>
              <w:tl2br w:val="nil"/>
              <w:tr2bl w:val="nil"/>
            </w:tcBorders>
            <w:noWrap w:val="0"/>
            <w:vAlign w:val="center"/>
          </w:tcPr>
          <w:p w14:paraId="003F2A2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2.42</w:t>
            </w:r>
          </w:p>
        </w:tc>
        <w:tc>
          <w:tcPr>
            <w:tcW w:w="343" w:type="pct"/>
            <w:tcBorders>
              <w:tl2br w:val="nil"/>
              <w:tr2bl w:val="nil"/>
            </w:tcBorders>
            <w:noWrap w:val="0"/>
            <w:vAlign w:val="center"/>
          </w:tcPr>
          <w:p w14:paraId="075D3D6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1.80</w:t>
            </w:r>
          </w:p>
        </w:tc>
        <w:tc>
          <w:tcPr>
            <w:tcW w:w="225" w:type="pct"/>
            <w:tcBorders>
              <w:tl2br w:val="nil"/>
              <w:tr2bl w:val="nil"/>
            </w:tcBorders>
            <w:noWrap w:val="0"/>
            <w:vAlign w:val="center"/>
          </w:tcPr>
          <w:p w14:paraId="00C66D7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2.26</w:t>
            </w:r>
          </w:p>
        </w:tc>
        <w:tc>
          <w:tcPr>
            <w:tcW w:w="360" w:type="pct"/>
            <w:tcBorders>
              <w:tl2br w:val="nil"/>
              <w:tr2bl w:val="nil"/>
            </w:tcBorders>
            <w:noWrap w:val="0"/>
            <w:vAlign w:val="center"/>
          </w:tcPr>
          <w:p w14:paraId="1A597BE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2.93</w:t>
            </w:r>
          </w:p>
        </w:tc>
        <w:tc>
          <w:tcPr>
            <w:tcW w:w="266" w:type="pct"/>
            <w:tcBorders>
              <w:tl2br w:val="nil"/>
              <w:tr2bl w:val="nil"/>
            </w:tcBorders>
            <w:noWrap w:val="0"/>
            <w:vAlign w:val="center"/>
          </w:tcPr>
          <w:p w14:paraId="007A025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2.67</w:t>
            </w:r>
          </w:p>
        </w:tc>
        <w:tc>
          <w:tcPr>
            <w:tcW w:w="338" w:type="pct"/>
            <w:tcBorders>
              <w:tl2br w:val="nil"/>
              <w:tr2bl w:val="nil"/>
            </w:tcBorders>
            <w:noWrap w:val="0"/>
            <w:vAlign w:val="center"/>
          </w:tcPr>
          <w:p w14:paraId="0AE83D1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2.42</w:t>
            </w:r>
          </w:p>
        </w:tc>
        <w:tc>
          <w:tcPr>
            <w:tcW w:w="299" w:type="pct"/>
            <w:tcBorders>
              <w:tl2br w:val="nil"/>
              <w:tr2bl w:val="nil"/>
            </w:tcBorders>
            <w:noWrap w:val="0"/>
            <w:vAlign w:val="center"/>
          </w:tcPr>
          <w:p w14:paraId="656CB40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2.37</w:t>
            </w:r>
          </w:p>
        </w:tc>
      </w:tr>
      <w:tr w14:paraId="0AEF51A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7AC170D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8月</w:t>
            </w:r>
          </w:p>
        </w:tc>
        <w:tc>
          <w:tcPr>
            <w:tcW w:w="225" w:type="pct"/>
            <w:tcBorders>
              <w:tl2br w:val="nil"/>
              <w:tr2bl w:val="nil"/>
            </w:tcBorders>
            <w:noWrap w:val="0"/>
            <w:vAlign w:val="center"/>
          </w:tcPr>
          <w:p w14:paraId="0879426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1.77</w:t>
            </w:r>
          </w:p>
        </w:tc>
        <w:tc>
          <w:tcPr>
            <w:tcW w:w="305" w:type="pct"/>
            <w:tcBorders>
              <w:tl2br w:val="nil"/>
              <w:tr2bl w:val="nil"/>
            </w:tcBorders>
            <w:noWrap w:val="0"/>
            <w:vAlign w:val="center"/>
          </w:tcPr>
          <w:p w14:paraId="1F53028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1.96</w:t>
            </w:r>
          </w:p>
        </w:tc>
        <w:tc>
          <w:tcPr>
            <w:tcW w:w="233" w:type="pct"/>
            <w:tcBorders>
              <w:tl2br w:val="nil"/>
              <w:tr2bl w:val="nil"/>
            </w:tcBorders>
            <w:noWrap w:val="0"/>
            <w:vAlign w:val="center"/>
          </w:tcPr>
          <w:p w14:paraId="6FE7272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1.88</w:t>
            </w:r>
          </w:p>
        </w:tc>
        <w:tc>
          <w:tcPr>
            <w:tcW w:w="294" w:type="pct"/>
            <w:tcBorders>
              <w:tl2br w:val="nil"/>
              <w:tr2bl w:val="nil"/>
            </w:tcBorders>
            <w:noWrap w:val="0"/>
            <w:vAlign w:val="center"/>
          </w:tcPr>
          <w:p w14:paraId="21FC393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1.74</w:t>
            </w:r>
          </w:p>
        </w:tc>
        <w:tc>
          <w:tcPr>
            <w:tcW w:w="225" w:type="pct"/>
            <w:tcBorders>
              <w:tl2br w:val="nil"/>
              <w:tr2bl w:val="nil"/>
            </w:tcBorders>
            <w:noWrap w:val="0"/>
            <w:vAlign w:val="center"/>
          </w:tcPr>
          <w:p w14:paraId="48BD567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2.40</w:t>
            </w:r>
          </w:p>
        </w:tc>
        <w:tc>
          <w:tcPr>
            <w:tcW w:w="277" w:type="pct"/>
            <w:tcBorders>
              <w:tl2br w:val="nil"/>
              <w:tr2bl w:val="nil"/>
            </w:tcBorders>
            <w:noWrap w:val="0"/>
            <w:vAlign w:val="center"/>
          </w:tcPr>
          <w:p w14:paraId="0DFFA4A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2.49</w:t>
            </w:r>
          </w:p>
        </w:tc>
        <w:tc>
          <w:tcPr>
            <w:tcW w:w="225" w:type="pct"/>
            <w:tcBorders>
              <w:tl2br w:val="nil"/>
              <w:tr2bl w:val="nil"/>
            </w:tcBorders>
            <w:noWrap w:val="0"/>
            <w:vAlign w:val="center"/>
          </w:tcPr>
          <w:p w14:paraId="4ADEA6F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2.35</w:t>
            </w:r>
          </w:p>
        </w:tc>
        <w:tc>
          <w:tcPr>
            <w:tcW w:w="272" w:type="pct"/>
            <w:tcBorders>
              <w:tl2br w:val="nil"/>
              <w:tr2bl w:val="nil"/>
            </w:tcBorders>
            <w:noWrap w:val="0"/>
            <w:vAlign w:val="center"/>
          </w:tcPr>
          <w:p w14:paraId="093A7E7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2.70</w:t>
            </w:r>
          </w:p>
        </w:tc>
        <w:tc>
          <w:tcPr>
            <w:tcW w:w="225" w:type="pct"/>
            <w:tcBorders>
              <w:tl2br w:val="nil"/>
              <w:tr2bl w:val="nil"/>
            </w:tcBorders>
            <w:noWrap w:val="0"/>
            <w:vAlign w:val="center"/>
          </w:tcPr>
          <w:p w14:paraId="37F920C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2.99</w:t>
            </w:r>
          </w:p>
        </w:tc>
        <w:tc>
          <w:tcPr>
            <w:tcW w:w="305" w:type="pct"/>
            <w:tcBorders>
              <w:tl2br w:val="nil"/>
              <w:tr2bl w:val="nil"/>
            </w:tcBorders>
            <w:noWrap w:val="0"/>
            <w:vAlign w:val="center"/>
          </w:tcPr>
          <w:p w14:paraId="55DD6F1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3.37</w:t>
            </w:r>
          </w:p>
        </w:tc>
        <w:tc>
          <w:tcPr>
            <w:tcW w:w="250" w:type="pct"/>
            <w:tcBorders>
              <w:tl2br w:val="nil"/>
              <w:tr2bl w:val="nil"/>
            </w:tcBorders>
            <w:noWrap w:val="0"/>
            <w:vAlign w:val="center"/>
          </w:tcPr>
          <w:p w14:paraId="486E493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2.09</w:t>
            </w:r>
          </w:p>
        </w:tc>
        <w:tc>
          <w:tcPr>
            <w:tcW w:w="343" w:type="pct"/>
            <w:tcBorders>
              <w:tl2br w:val="nil"/>
              <w:tr2bl w:val="nil"/>
            </w:tcBorders>
            <w:noWrap w:val="0"/>
            <w:vAlign w:val="center"/>
          </w:tcPr>
          <w:p w14:paraId="411FAFB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1.65</w:t>
            </w:r>
          </w:p>
        </w:tc>
        <w:tc>
          <w:tcPr>
            <w:tcW w:w="225" w:type="pct"/>
            <w:tcBorders>
              <w:tl2br w:val="nil"/>
              <w:tr2bl w:val="nil"/>
            </w:tcBorders>
            <w:noWrap w:val="0"/>
            <w:vAlign w:val="center"/>
          </w:tcPr>
          <w:p w14:paraId="5E5F2DC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2.67</w:t>
            </w:r>
          </w:p>
        </w:tc>
        <w:tc>
          <w:tcPr>
            <w:tcW w:w="360" w:type="pct"/>
            <w:tcBorders>
              <w:tl2br w:val="nil"/>
              <w:tr2bl w:val="nil"/>
            </w:tcBorders>
            <w:noWrap w:val="0"/>
            <w:vAlign w:val="center"/>
          </w:tcPr>
          <w:p w14:paraId="05EAC7C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4.19</w:t>
            </w:r>
          </w:p>
        </w:tc>
        <w:tc>
          <w:tcPr>
            <w:tcW w:w="266" w:type="pct"/>
            <w:tcBorders>
              <w:tl2br w:val="nil"/>
              <w:tr2bl w:val="nil"/>
            </w:tcBorders>
            <w:noWrap w:val="0"/>
            <w:vAlign w:val="center"/>
          </w:tcPr>
          <w:p w14:paraId="3956967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2.81</w:t>
            </w:r>
          </w:p>
        </w:tc>
        <w:tc>
          <w:tcPr>
            <w:tcW w:w="338" w:type="pct"/>
            <w:tcBorders>
              <w:tl2br w:val="nil"/>
              <w:tr2bl w:val="nil"/>
            </w:tcBorders>
            <w:noWrap w:val="0"/>
            <w:vAlign w:val="center"/>
          </w:tcPr>
          <w:p w14:paraId="3C83F5A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2.35</w:t>
            </w:r>
          </w:p>
        </w:tc>
        <w:tc>
          <w:tcPr>
            <w:tcW w:w="299" w:type="pct"/>
            <w:tcBorders>
              <w:tl2br w:val="nil"/>
              <w:tr2bl w:val="nil"/>
            </w:tcBorders>
            <w:noWrap w:val="0"/>
            <w:vAlign w:val="center"/>
          </w:tcPr>
          <w:p w14:paraId="40108AF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2.48</w:t>
            </w:r>
          </w:p>
        </w:tc>
      </w:tr>
      <w:tr w14:paraId="32F1E22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139F435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9月</w:t>
            </w:r>
          </w:p>
        </w:tc>
        <w:tc>
          <w:tcPr>
            <w:tcW w:w="225" w:type="pct"/>
            <w:tcBorders>
              <w:tl2br w:val="nil"/>
              <w:tr2bl w:val="nil"/>
            </w:tcBorders>
            <w:noWrap w:val="0"/>
            <w:vAlign w:val="center"/>
          </w:tcPr>
          <w:p w14:paraId="5223C0B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1.75</w:t>
            </w:r>
          </w:p>
        </w:tc>
        <w:tc>
          <w:tcPr>
            <w:tcW w:w="305" w:type="pct"/>
            <w:tcBorders>
              <w:tl2br w:val="nil"/>
              <w:tr2bl w:val="nil"/>
            </w:tcBorders>
            <w:noWrap w:val="0"/>
            <w:vAlign w:val="center"/>
          </w:tcPr>
          <w:p w14:paraId="4702B0E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1.75</w:t>
            </w:r>
          </w:p>
        </w:tc>
        <w:tc>
          <w:tcPr>
            <w:tcW w:w="233" w:type="pct"/>
            <w:tcBorders>
              <w:tl2br w:val="nil"/>
              <w:tr2bl w:val="nil"/>
            </w:tcBorders>
            <w:noWrap w:val="0"/>
            <w:vAlign w:val="center"/>
          </w:tcPr>
          <w:p w14:paraId="74C5171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1.74</w:t>
            </w:r>
          </w:p>
        </w:tc>
        <w:tc>
          <w:tcPr>
            <w:tcW w:w="294" w:type="pct"/>
            <w:tcBorders>
              <w:tl2br w:val="nil"/>
              <w:tr2bl w:val="nil"/>
            </w:tcBorders>
            <w:noWrap w:val="0"/>
            <w:vAlign w:val="center"/>
          </w:tcPr>
          <w:p w14:paraId="399A139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1.72</w:t>
            </w:r>
          </w:p>
        </w:tc>
        <w:tc>
          <w:tcPr>
            <w:tcW w:w="225" w:type="pct"/>
            <w:tcBorders>
              <w:tl2br w:val="nil"/>
              <w:tr2bl w:val="nil"/>
            </w:tcBorders>
            <w:noWrap w:val="0"/>
            <w:vAlign w:val="center"/>
          </w:tcPr>
          <w:p w14:paraId="2ACAF8C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2.17</w:t>
            </w:r>
          </w:p>
        </w:tc>
        <w:tc>
          <w:tcPr>
            <w:tcW w:w="277" w:type="pct"/>
            <w:tcBorders>
              <w:tl2br w:val="nil"/>
              <w:tr2bl w:val="nil"/>
            </w:tcBorders>
            <w:noWrap w:val="0"/>
            <w:vAlign w:val="center"/>
          </w:tcPr>
          <w:p w14:paraId="38935DF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2.32</w:t>
            </w:r>
          </w:p>
        </w:tc>
        <w:tc>
          <w:tcPr>
            <w:tcW w:w="225" w:type="pct"/>
            <w:tcBorders>
              <w:tl2br w:val="nil"/>
              <w:tr2bl w:val="nil"/>
            </w:tcBorders>
            <w:noWrap w:val="0"/>
            <w:vAlign w:val="center"/>
          </w:tcPr>
          <w:p w14:paraId="5B19182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2.17</w:t>
            </w:r>
          </w:p>
        </w:tc>
        <w:tc>
          <w:tcPr>
            <w:tcW w:w="272" w:type="pct"/>
            <w:tcBorders>
              <w:tl2br w:val="nil"/>
              <w:tr2bl w:val="nil"/>
            </w:tcBorders>
            <w:noWrap w:val="0"/>
            <w:vAlign w:val="center"/>
          </w:tcPr>
          <w:p w14:paraId="3621734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2.44</w:t>
            </w:r>
          </w:p>
        </w:tc>
        <w:tc>
          <w:tcPr>
            <w:tcW w:w="225" w:type="pct"/>
            <w:tcBorders>
              <w:tl2br w:val="nil"/>
              <w:tr2bl w:val="nil"/>
            </w:tcBorders>
            <w:noWrap w:val="0"/>
            <w:vAlign w:val="center"/>
          </w:tcPr>
          <w:p w14:paraId="5F82B47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2.98</w:t>
            </w:r>
          </w:p>
        </w:tc>
        <w:tc>
          <w:tcPr>
            <w:tcW w:w="305" w:type="pct"/>
            <w:tcBorders>
              <w:tl2br w:val="nil"/>
              <w:tr2bl w:val="nil"/>
            </w:tcBorders>
            <w:noWrap w:val="0"/>
            <w:vAlign w:val="center"/>
          </w:tcPr>
          <w:p w14:paraId="3324A16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2.67</w:t>
            </w:r>
          </w:p>
        </w:tc>
        <w:tc>
          <w:tcPr>
            <w:tcW w:w="250" w:type="pct"/>
            <w:tcBorders>
              <w:tl2br w:val="nil"/>
              <w:tr2bl w:val="nil"/>
            </w:tcBorders>
            <w:noWrap w:val="0"/>
            <w:vAlign w:val="center"/>
          </w:tcPr>
          <w:p w14:paraId="14D6A7B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1.88</w:t>
            </w:r>
          </w:p>
        </w:tc>
        <w:tc>
          <w:tcPr>
            <w:tcW w:w="343" w:type="pct"/>
            <w:tcBorders>
              <w:tl2br w:val="nil"/>
              <w:tr2bl w:val="nil"/>
            </w:tcBorders>
            <w:noWrap w:val="0"/>
            <w:vAlign w:val="center"/>
          </w:tcPr>
          <w:p w14:paraId="5EB1F92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1.72</w:t>
            </w:r>
          </w:p>
        </w:tc>
        <w:tc>
          <w:tcPr>
            <w:tcW w:w="225" w:type="pct"/>
            <w:tcBorders>
              <w:tl2br w:val="nil"/>
              <w:tr2bl w:val="nil"/>
            </w:tcBorders>
            <w:noWrap w:val="0"/>
            <w:vAlign w:val="center"/>
          </w:tcPr>
          <w:p w14:paraId="321FECA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3.34</w:t>
            </w:r>
          </w:p>
        </w:tc>
        <w:tc>
          <w:tcPr>
            <w:tcW w:w="360" w:type="pct"/>
            <w:tcBorders>
              <w:tl2br w:val="nil"/>
              <w:tr2bl w:val="nil"/>
            </w:tcBorders>
            <w:noWrap w:val="0"/>
            <w:vAlign w:val="center"/>
          </w:tcPr>
          <w:p w14:paraId="79AFD56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4.13</w:t>
            </w:r>
          </w:p>
        </w:tc>
        <w:tc>
          <w:tcPr>
            <w:tcW w:w="266" w:type="pct"/>
            <w:tcBorders>
              <w:tl2br w:val="nil"/>
              <w:tr2bl w:val="nil"/>
            </w:tcBorders>
            <w:noWrap w:val="0"/>
            <w:vAlign w:val="center"/>
          </w:tcPr>
          <w:p w14:paraId="6312637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2.87</w:t>
            </w:r>
          </w:p>
        </w:tc>
        <w:tc>
          <w:tcPr>
            <w:tcW w:w="338" w:type="pct"/>
            <w:tcBorders>
              <w:tl2br w:val="nil"/>
              <w:tr2bl w:val="nil"/>
            </w:tcBorders>
            <w:noWrap w:val="0"/>
            <w:vAlign w:val="center"/>
          </w:tcPr>
          <w:p w14:paraId="05BBE49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2.24</w:t>
            </w:r>
          </w:p>
        </w:tc>
        <w:tc>
          <w:tcPr>
            <w:tcW w:w="299" w:type="pct"/>
            <w:tcBorders>
              <w:tl2br w:val="nil"/>
              <w:tr2bl w:val="nil"/>
            </w:tcBorders>
            <w:noWrap w:val="0"/>
            <w:vAlign w:val="center"/>
          </w:tcPr>
          <w:p w14:paraId="160F2EF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2.18</w:t>
            </w:r>
          </w:p>
        </w:tc>
      </w:tr>
      <w:tr w14:paraId="351513D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4C34256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10月</w:t>
            </w:r>
          </w:p>
        </w:tc>
        <w:tc>
          <w:tcPr>
            <w:tcW w:w="225" w:type="pct"/>
            <w:tcBorders>
              <w:tl2br w:val="nil"/>
              <w:tr2bl w:val="nil"/>
            </w:tcBorders>
            <w:noWrap w:val="0"/>
            <w:vAlign w:val="center"/>
          </w:tcPr>
          <w:p w14:paraId="12D9D19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w:t>
            </w:r>
          </w:p>
        </w:tc>
        <w:tc>
          <w:tcPr>
            <w:tcW w:w="305" w:type="pct"/>
            <w:tcBorders>
              <w:tl2br w:val="nil"/>
              <w:tr2bl w:val="nil"/>
            </w:tcBorders>
            <w:noWrap w:val="0"/>
            <w:vAlign w:val="center"/>
          </w:tcPr>
          <w:p w14:paraId="7A29DD7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1.66</w:t>
            </w:r>
          </w:p>
        </w:tc>
        <w:tc>
          <w:tcPr>
            <w:tcW w:w="233" w:type="pct"/>
            <w:tcBorders>
              <w:tl2br w:val="nil"/>
              <w:tr2bl w:val="nil"/>
            </w:tcBorders>
            <w:noWrap w:val="0"/>
            <w:vAlign w:val="center"/>
          </w:tcPr>
          <w:p w14:paraId="1C6D42D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1.46</w:t>
            </w:r>
          </w:p>
        </w:tc>
        <w:tc>
          <w:tcPr>
            <w:tcW w:w="294" w:type="pct"/>
            <w:tcBorders>
              <w:tl2br w:val="nil"/>
              <w:tr2bl w:val="nil"/>
            </w:tcBorders>
            <w:noWrap w:val="0"/>
            <w:vAlign w:val="center"/>
          </w:tcPr>
          <w:p w14:paraId="7082630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1.37</w:t>
            </w:r>
          </w:p>
        </w:tc>
        <w:tc>
          <w:tcPr>
            <w:tcW w:w="225" w:type="pct"/>
            <w:tcBorders>
              <w:tl2br w:val="nil"/>
              <w:tr2bl w:val="nil"/>
            </w:tcBorders>
            <w:noWrap w:val="0"/>
            <w:vAlign w:val="center"/>
          </w:tcPr>
          <w:p w14:paraId="62557A5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1.82</w:t>
            </w:r>
          </w:p>
        </w:tc>
        <w:tc>
          <w:tcPr>
            <w:tcW w:w="277" w:type="pct"/>
            <w:tcBorders>
              <w:tl2br w:val="nil"/>
              <w:tr2bl w:val="nil"/>
            </w:tcBorders>
            <w:noWrap w:val="0"/>
            <w:vAlign w:val="center"/>
          </w:tcPr>
          <w:p w14:paraId="1760916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1.82</w:t>
            </w:r>
          </w:p>
        </w:tc>
        <w:tc>
          <w:tcPr>
            <w:tcW w:w="225" w:type="pct"/>
            <w:tcBorders>
              <w:tl2br w:val="nil"/>
              <w:tr2bl w:val="nil"/>
            </w:tcBorders>
            <w:noWrap w:val="0"/>
            <w:vAlign w:val="center"/>
          </w:tcPr>
          <w:p w14:paraId="44A88F2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1.96</w:t>
            </w:r>
          </w:p>
        </w:tc>
        <w:tc>
          <w:tcPr>
            <w:tcW w:w="272" w:type="pct"/>
            <w:tcBorders>
              <w:tl2br w:val="nil"/>
              <w:tr2bl w:val="nil"/>
            </w:tcBorders>
            <w:noWrap w:val="0"/>
            <w:vAlign w:val="center"/>
          </w:tcPr>
          <w:p w14:paraId="090FF91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1.97</w:t>
            </w:r>
          </w:p>
        </w:tc>
        <w:tc>
          <w:tcPr>
            <w:tcW w:w="225" w:type="pct"/>
            <w:tcBorders>
              <w:tl2br w:val="nil"/>
              <w:tr2bl w:val="nil"/>
            </w:tcBorders>
            <w:noWrap w:val="0"/>
            <w:vAlign w:val="center"/>
          </w:tcPr>
          <w:p w14:paraId="09489CC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2.29</w:t>
            </w:r>
          </w:p>
        </w:tc>
        <w:tc>
          <w:tcPr>
            <w:tcW w:w="305" w:type="pct"/>
            <w:tcBorders>
              <w:tl2br w:val="nil"/>
              <w:tr2bl w:val="nil"/>
            </w:tcBorders>
            <w:noWrap w:val="0"/>
            <w:vAlign w:val="center"/>
          </w:tcPr>
          <w:p w14:paraId="0B9016D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1.93</w:t>
            </w:r>
          </w:p>
        </w:tc>
        <w:tc>
          <w:tcPr>
            <w:tcW w:w="250" w:type="pct"/>
            <w:tcBorders>
              <w:tl2br w:val="nil"/>
              <w:tr2bl w:val="nil"/>
            </w:tcBorders>
            <w:noWrap w:val="0"/>
            <w:vAlign w:val="center"/>
          </w:tcPr>
          <w:p w14:paraId="2E7ACD2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1.90</w:t>
            </w:r>
          </w:p>
        </w:tc>
        <w:tc>
          <w:tcPr>
            <w:tcW w:w="343" w:type="pct"/>
            <w:tcBorders>
              <w:tl2br w:val="nil"/>
              <w:tr2bl w:val="nil"/>
            </w:tcBorders>
            <w:noWrap w:val="0"/>
            <w:vAlign w:val="center"/>
          </w:tcPr>
          <w:p w14:paraId="36A189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1.22</w:t>
            </w:r>
          </w:p>
        </w:tc>
        <w:tc>
          <w:tcPr>
            <w:tcW w:w="225" w:type="pct"/>
            <w:tcBorders>
              <w:tl2br w:val="nil"/>
              <w:tr2bl w:val="nil"/>
            </w:tcBorders>
            <w:noWrap w:val="0"/>
            <w:vAlign w:val="center"/>
          </w:tcPr>
          <w:p w14:paraId="0C9955F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1.38</w:t>
            </w:r>
          </w:p>
        </w:tc>
        <w:tc>
          <w:tcPr>
            <w:tcW w:w="360" w:type="pct"/>
            <w:tcBorders>
              <w:tl2br w:val="nil"/>
              <w:tr2bl w:val="nil"/>
            </w:tcBorders>
            <w:noWrap w:val="0"/>
            <w:vAlign w:val="center"/>
          </w:tcPr>
          <w:p w14:paraId="5CCCEB0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w:t>
            </w:r>
          </w:p>
        </w:tc>
        <w:tc>
          <w:tcPr>
            <w:tcW w:w="266" w:type="pct"/>
            <w:tcBorders>
              <w:tl2br w:val="nil"/>
              <w:tr2bl w:val="nil"/>
            </w:tcBorders>
            <w:noWrap w:val="0"/>
            <w:vAlign w:val="center"/>
          </w:tcPr>
          <w:p w14:paraId="22744CD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2.10</w:t>
            </w:r>
          </w:p>
        </w:tc>
        <w:tc>
          <w:tcPr>
            <w:tcW w:w="338" w:type="pct"/>
            <w:tcBorders>
              <w:tl2br w:val="nil"/>
              <w:tr2bl w:val="nil"/>
            </w:tcBorders>
            <w:noWrap w:val="0"/>
            <w:vAlign w:val="center"/>
          </w:tcPr>
          <w:p w14:paraId="419BBDA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2.15</w:t>
            </w:r>
          </w:p>
        </w:tc>
        <w:tc>
          <w:tcPr>
            <w:tcW w:w="299" w:type="pct"/>
            <w:tcBorders>
              <w:tl2br w:val="nil"/>
              <w:tr2bl w:val="nil"/>
            </w:tcBorders>
            <w:noWrap w:val="0"/>
            <w:vAlign w:val="center"/>
          </w:tcPr>
          <w:p w14:paraId="615BB44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1.81</w:t>
            </w:r>
          </w:p>
        </w:tc>
      </w:tr>
      <w:tr w14:paraId="3594C8D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4F42722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11月</w:t>
            </w:r>
          </w:p>
        </w:tc>
        <w:tc>
          <w:tcPr>
            <w:tcW w:w="225" w:type="pct"/>
            <w:tcBorders>
              <w:tl2br w:val="nil"/>
              <w:tr2bl w:val="nil"/>
            </w:tcBorders>
            <w:noWrap w:val="0"/>
            <w:vAlign w:val="center"/>
          </w:tcPr>
          <w:p w14:paraId="5BB7FF0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1.36</w:t>
            </w:r>
          </w:p>
        </w:tc>
        <w:tc>
          <w:tcPr>
            <w:tcW w:w="305" w:type="pct"/>
            <w:tcBorders>
              <w:tl2br w:val="nil"/>
              <w:tr2bl w:val="nil"/>
            </w:tcBorders>
            <w:noWrap w:val="0"/>
            <w:vAlign w:val="center"/>
          </w:tcPr>
          <w:p w14:paraId="3C603F2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1.55</w:t>
            </w:r>
          </w:p>
        </w:tc>
        <w:tc>
          <w:tcPr>
            <w:tcW w:w="233" w:type="pct"/>
            <w:tcBorders>
              <w:tl2br w:val="nil"/>
              <w:tr2bl w:val="nil"/>
            </w:tcBorders>
            <w:noWrap w:val="0"/>
            <w:vAlign w:val="center"/>
          </w:tcPr>
          <w:p w14:paraId="157F017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1.37</w:t>
            </w:r>
          </w:p>
        </w:tc>
        <w:tc>
          <w:tcPr>
            <w:tcW w:w="294" w:type="pct"/>
            <w:tcBorders>
              <w:tl2br w:val="nil"/>
              <w:tr2bl w:val="nil"/>
            </w:tcBorders>
            <w:noWrap w:val="0"/>
            <w:vAlign w:val="center"/>
          </w:tcPr>
          <w:p w14:paraId="1800312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1.89</w:t>
            </w:r>
          </w:p>
        </w:tc>
        <w:tc>
          <w:tcPr>
            <w:tcW w:w="225" w:type="pct"/>
            <w:tcBorders>
              <w:tl2br w:val="nil"/>
              <w:tr2bl w:val="nil"/>
            </w:tcBorders>
            <w:noWrap w:val="0"/>
            <w:vAlign w:val="center"/>
          </w:tcPr>
          <w:p w14:paraId="686C7F3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277" w:type="pct"/>
            <w:tcBorders>
              <w:tl2br w:val="nil"/>
              <w:tr2bl w:val="nil"/>
            </w:tcBorders>
            <w:noWrap w:val="0"/>
            <w:vAlign w:val="center"/>
          </w:tcPr>
          <w:p w14:paraId="1398676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1.68</w:t>
            </w:r>
          </w:p>
        </w:tc>
        <w:tc>
          <w:tcPr>
            <w:tcW w:w="225" w:type="pct"/>
            <w:tcBorders>
              <w:tl2br w:val="nil"/>
              <w:tr2bl w:val="nil"/>
            </w:tcBorders>
            <w:noWrap w:val="0"/>
            <w:vAlign w:val="center"/>
          </w:tcPr>
          <w:p w14:paraId="2D69C6B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1.77</w:t>
            </w:r>
          </w:p>
        </w:tc>
        <w:tc>
          <w:tcPr>
            <w:tcW w:w="272" w:type="pct"/>
            <w:tcBorders>
              <w:tl2br w:val="nil"/>
              <w:tr2bl w:val="nil"/>
            </w:tcBorders>
            <w:noWrap w:val="0"/>
            <w:vAlign w:val="center"/>
          </w:tcPr>
          <w:p w14:paraId="17AE248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1.76</w:t>
            </w:r>
          </w:p>
        </w:tc>
        <w:tc>
          <w:tcPr>
            <w:tcW w:w="225" w:type="pct"/>
            <w:tcBorders>
              <w:tl2br w:val="nil"/>
              <w:tr2bl w:val="nil"/>
            </w:tcBorders>
            <w:noWrap w:val="0"/>
            <w:vAlign w:val="center"/>
          </w:tcPr>
          <w:p w14:paraId="6F6A2A0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1.78</w:t>
            </w:r>
          </w:p>
        </w:tc>
        <w:tc>
          <w:tcPr>
            <w:tcW w:w="305" w:type="pct"/>
            <w:tcBorders>
              <w:tl2br w:val="nil"/>
              <w:tr2bl w:val="nil"/>
            </w:tcBorders>
            <w:noWrap w:val="0"/>
            <w:vAlign w:val="center"/>
          </w:tcPr>
          <w:p w14:paraId="27310FB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1.94</w:t>
            </w:r>
          </w:p>
        </w:tc>
        <w:tc>
          <w:tcPr>
            <w:tcW w:w="250" w:type="pct"/>
            <w:tcBorders>
              <w:tl2br w:val="nil"/>
              <w:tr2bl w:val="nil"/>
            </w:tcBorders>
            <w:noWrap w:val="0"/>
            <w:vAlign w:val="center"/>
          </w:tcPr>
          <w:p w14:paraId="429F43C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0.95</w:t>
            </w:r>
          </w:p>
        </w:tc>
        <w:tc>
          <w:tcPr>
            <w:tcW w:w="343" w:type="pct"/>
            <w:tcBorders>
              <w:tl2br w:val="nil"/>
              <w:tr2bl w:val="nil"/>
            </w:tcBorders>
            <w:noWrap w:val="0"/>
            <w:vAlign w:val="center"/>
          </w:tcPr>
          <w:p w14:paraId="0A82B91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1.20</w:t>
            </w:r>
          </w:p>
        </w:tc>
        <w:tc>
          <w:tcPr>
            <w:tcW w:w="225" w:type="pct"/>
            <w:tcBorders>
              <w:tl2br w:val="nil"/>
              <w:tr2bl w:val="nil"/>
            </w:tcBorders>
            <w:noWrap w:val="0"/>
            <w:vAlign w:val="center"/>
          </w:tcPr>
          <w:p w14:paraId="74AF6B5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1.10</w:t>
            </w:r>
          </w:p>
        </w:tc>
        <w:tc>
          <w:tcPr>
            <w:tcW w:w="360" w:type="pct"/>
            <w:tcBorders>
              <w:tl2br w:val="nil"/>
              <w:tr2bl w:val="nil"/>
            </w:tcBorders>
            <w:noWrap w:val="0"/>
            <w:vAlign w:val="center"/>
          </w:tcPr>
          <w:p w14:paraId="79EF009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1.25</w:t>
            </w:r>
          </w:p>
        </w:tc>
        <w:tc>
          <w:tcPr>
            <w:tcW w:w="266" w:type="pct"/>
            <w:tcBorders>
              <w:tl2br w:val="nil"/>
              <w:tr2bl w:val="nil"/>
            </w:tcBorders>
            <w:noWrap w:val="0"/>
            <w:vAlign w:val="center"/>
          </w:tcPr>
          <w:p w14:paraId="40148BB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1.59</w:t>
            </w:r>
          </w:p>
        </w:tc>
        <w:tc>
          <w:tcPr>
            <w:tcW w:w="338" w:type="pct"/>
            <w:tcBorders>
              <w:tl2br w:val="nil"/>
              <w:tr2bl w:val="nil"/>
            </w:tcBorders>
            <w:noWrap w:val="0"/>
            <w:vAlign w:val="center"/>
          </w:tcPr>
          <w:p w14:paraId="2053BF8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1.83</w:t>
            </w:r>
          </w:p>
        </w:tc>
        <w:tc>
          <w:tcPr>
            <w:tcW w:w="299" w:type="pct"/>
            <w:tcBorders>
              <w:tl2br w:val="nil"/>
              <w:tr2bl w:val="nil"/>
            </w:tcBorders>
            <w:noWrap w:val="0"/>
            <w:vAlign w:val="center"/>
          </w:tcPr>
          <w:p w14:paraId="342DDD9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1.58</w:t>
            </w:r>
          </w:p>
        </w:tc>
      </w:tr>
      <w:tr w14:paraId="700588C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3ACD3A8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12月</w:t>
            </w:r>
          </w:p>
        </w:tc>
        <w:tc>
          <w:tcPr>
            <w:tcW w:w="225" w:type="pct"/>
            <w:tcBorders>
              <w:tl2br w:val="nil"/>
              <w:tr2bl w:val="nil"/>
            </w:tcBorders>
            <w:noWrap w:val="0"/>
            <w:vAlign w:val="center"/>
          </w:tcPr>
          <w:p w14:paraId="5E338B1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1.20</w:t>
            </w:r>
          </w:p>
        </w:tc>
        <w:tc>
          <w:tcPr>
            <w:tcW w:w="305" w:type="pct"/>
            <w:tcBorders>
              <w:tl2br w:val="nil"/>
              <w:tr2bl w:val="nil"/>
            </w:tcBorders>
            <w:noWrap w:val="0"/>
            <w:vAlign w:val="center"/>
          </w:tcPr>
          <w:p w14:paraId="0235BBD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1.38</w:t>
            </w:r>
          </w:p>
        </w:tc>
        <w:tc>
          <w:tcPr>
            <w:tcW w:w="233" w:type="pct"/>
            <w:tcBorders>
              <w:tl2br w:val="nil"/>
              <w:tr2bl w:val="nil"/>
            </w:tcBorders>
            <w:noWrap w:val="0"/>
            <w:vAlign w:val="center"/>
          </w:tcPr>
          <w:p w14:paraId="0FCEE52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1.26</w:t>
            </w:r>
          </w:p>
        </w:tc>
        <w:tc>
          <w:tcPr>
            <w:tcW w:w="294" w:type="pct"/>
            <w:tcBorders>
              <w:tl2br w:val="nil"/>
              <w:tr2bl w:val="nil"/>
            </w:tcBorders>
            <w:noWrap w:val="0"/>
            <w:vAlign w:val="center"/>
          </w:tcPr>
          <w:p w14:paraId="47FC2BE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1.37</w:t>
            </w:r>
          </w:p>
        </w:tc>
        <w:tc>
          <w:tcPr>
            <w:tcW w:w="225" w:type="pct"/>
            <w:tcBorders>
              <w:tl2br w:val="nil"/>
              <w:tr2bl w:val="nil"/>
            </w:tcBorders>
            <w:noWrap w:val="0"/>
            <w:vAlign w:val="center"/>
          </w:tcPr>
          <w:p w14:paraId="5204220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1.80</w:t>
            </w:r>
          </w:p>
        </w:tc>
        <w:tc>
          <w:tcPr>
            <w:tcW w:w="277" w:type="pct"/>
            <w:tcBorders>
              <w:tl2br w:val="nil"/>
              <w:tr2bl w:val="nil"/>
            </w:tcBorders>
            <w:noWrap w:val="0"/>
            <w:vAlign w:val="center"/>
          </w:tcPr>
          <w:p w14:paraId="65786C3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1.24</w:t>
            </w:r>
          </w:p>
        </w:tc>
        <w:tc>
          <w:tcPr>
            <w:tcW w:w="225" w:type="pct"/>
            <w:tcBorders>
              <w:tl2br w:val="nil"/>
              <w:tr2bl w:val="nil"/>
            </w:tcBorders>
            <w:noWrap w:val="0"/>
            <w:vAlign w:val="center"/>
          </w:tcPr>
          <w:p w14:paraId="1BB7294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1.46</w:t>
            </w:r>
          </w:p>
        </w:tc>
        <w:tc>
          <w:tcPr>
            <w:tcW w:w="272" w:type="pct"/>
            <w:tcBorders>
              <w:tl2br w:val="nil"/>
              <w:tr2bl w:val="nil"/>
            </w:tcBorders>
            <w:noWrap w:val="0"/>
            <w:vAlign w:val="center"/>
          </w:tcPr>
          <w:p w14:paraId="2B1DD5E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1.41</w:t>
            </w:r>
          </w:p>
        </w:tc>
        <w:tc>
          <w:tcPr>
            <w:tcW w:w="225" w:type="pct"/>
            <w:tcBorders>
              <w:tl2br w:val="nil"/>
              <w:tr2bl w:val="nil"/>
            </w:tcBorders>
            <w:noWrap w:val="0"/>
            <w:vAlign w:val="center"/>
          </w:tcPr>
          <w:p w14:paraId="2F6D6CB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1.34</w:t>
            </w:r>
          </w:p>
        </w:tc>
        <w:tc>
          <w:tcPr>
            <w:tcW w:w="305" w:type="pct"/>
            <w:tcBorders>
              <w:tl2br w:val="nil"/>
              <w:tr2bl w:val="nil"/>
            </w:tcBorders>
            <w:noWrap w:val="0"/>
            <w:vAlign w:val="center"/>
          </w:tcPr>
          <w:p w14:paraId="221C6C6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1.34</w:t>
            </w:r>
          </w:p>
        </w:tc>
        <w:tc>
          <w:tcPr>
            <w:tcW w:w="250" w:type="pct"/>
            <w:tcBorders>
              <w:tl2br w:val="nil"/>
              <w:tr2bl w:val="nil"/>
            </w:tcBorders>
            <w:noWrap w:val="0"/>
            <w:vAlign w:val="center"/>
          </w:tcPr>
          <w:p w14:paraId="4645A6C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1.11</w:t>
            </w:r>
          </w:p>
        </w:tc>
        <w:tc>
          <w:tcPr>
            <w:tcW w:w="343" w:type="pct"/>
            <w:tcBorders>
              <w:tl2br w:val="nil"/>
              <w:tr2bl w:val="nil"/>
            </w:tcBorders>
            <w:noWrap w:val="0"/>
            <w:vAlign w:val="center"/>
          </w:tcPr>
          <w:p w14:paraId="7C6C0A8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0.99</w:t>
            </w:r>
          </w:p>
        </w:tc>
        <w:tc>
          <w:tcPr>
            <w:tcW w:w="225" w:type="pct"/>
            <w:tcBorders>
              <w:tl2br w:val="nil"/>
              <w:tr2bl w:val="nil"/>
            </w:tcBorders>
            <w:noWrap w:val="0"/>
            <w:vAlign w:val="center"/>
          </w:tcPr>
          <w:p w14:paraId="250CD64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0.99</w:t>
            </w:r>
          </w:p>
        </w:tc>
        <w:tc>
          <w:tcPr>
            <w:tcW w:w="360" w:type="pct"/>
            <w:tcBorders>
              <w:tl2br w:val="nil"/>
              <w:tr2bl w:val="nil"/>
            </w:tcBorders>
            <w:noWrap w:val="0"/>
            <w:vAlign w:val="center"/>
          </w:tcPr>
          <w:p w14:paraId="304BF7F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1.39</w:t>
            </w:r>
          </w:p>
        </w:tc>
        <w:tc>
          <w:tcPr>
            <w:tcW w:w="266" w:type="pct"/>
            <w:tcBorders>
              <w:tl2br w:val="nil"/>
              <w:tr2bl w:val="nil"/>
            </w:tcBorders>
            <w:noWrap w:val="0"/>
            <w:vAlign w:val="center"/>
          </w:tcPr>
          <w:p w14:paraId="739775D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1.36</w:t>
            </w:r>
          </w:p>
        </w:tc>
        <w:tc>
          <w:tcPr>
            <w:tcW w:w="338" w:type="pct"/>
            <w:tcBorders>
              <w:tl2br w:val="nil"/>
              <w:tr2bl w:val="nil"/>
            </w:tcBorders>
            <w:noWrap w:val="0"/>
            <w:vAlign w:val="center"/>
          </w:tcPr>
          <w:p w14:paraId="4C7C92D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1.69</w:t>
            </w:r>
          </w:p>
        </w:tc>
        <w:tc>
          <w:tcPr>
            <w:tcW w:w="299" w:type="pct"/>
            <w:tcBorders>
              <w:tl2br w:val="nil"/>
              <w:tr2bl w:val="nil"/>
            </w:tcBorders>
            <w:noWrap w:val="0"/>
            <w:vAlign w:val="center"/>
          </w:tcPr>
          <w:p w14:paraId="257D506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1.35</w:t>
            </w:r>
          </w:p>
        </w:tc>
      </w:tr>
      <w:tr w14:paraId="62C6200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5A7EF2B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全年</w:t>
            </w:r>
          </w:p>
        </w:tc>
        <w:tc>
          <w:tcPr>
            <w:tcW w:w="225" w:type="pct"/>
            <w:tcBorders>
              <w:tl2br w:val="nil"/>
              <w:tr2bl w:val="nil"/>
            </w:tcBorders>
            <w:noWrap w:val="0"/>
            <w:vAlign w:val="center"/>
          </w:tcPr>
          <w:p w14:paraId="282885F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1.58</w:t>
            </w:r>
          </w:p>
        </w:tc>
        <w:tc>
          <w:tcPr>
            <w:tcW w:w="305" w:type="pct"/>
            <w:tcBorders>
              <w:tl2br w:val="nil"/>
              <w:tr2bl w:val="nil"/>
            </w:tcBorders>
            <w:noWrap w:val="0"/>
            <w:vAlign w:val="center"/>
          </w:tcPr>
          <w:p w14:paraId="63B1576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1.76</w:t>
            </w:r>
          </w:p>
        </w:tc>
        <w:tc>
          <w:tcPr>
            <w:tcW w:w="233" w:type="pct"/>
            <w:tcBorders>
              <w:tl2br w:val="nil"/>
              <w:tr2bl w:val="nil"/>
            </w:tcBorders>
            <w:noWrap w:val="0"/>
            <w:vAlign w:val="center"/>
          </w:tcPr>
          <w:p w14:paraId="7968A1B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1.76</w:t>
            </w:r>
          </w:p>
        </w:tc>
        <w:tc>
          <w:tcPr>
            <w:tcW w:w="294" w:type="pct"/>
            <w:tcBorders>
              <w:tl2br w:val="nil"/>
              <w:tr2bl w:val="nil"/>
            </w:tcBorders>
            <w:noWrap w:val="0"/>
            <w:vAlign w:val="center"/>
          </w:tcPr>
          <w:p w14:paraId="4E9C76B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1.81</w:t>
            </w:r>
          </w:p>
        </w:tc>
        <w:tc>
          <w:tcPr>
            <w:tcW w:w="225" w:type="pct"/>
            <w:tcBorders>
              <w:tl2br w:val="nil"/>
              <w:tr2bl w:val="nil"/>
            </w:tcBorders>
            <w:noWrap w:val="0"/>
            <w:vAlign w:val="center"/>
          </w:tcPr>
          <w:p w14:paraId="154EF47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2.22</w:t>
            </w:r>
          </w:p>
        </w:tc>
        <w:tc>
          <w:tcPr>
            <w:tcW w:w="277" w:type="pct"/>
            <w:tcBorders>
              <w:tl2br w:val="nil"/>
              <w:tr2bl w:val="nil"/>
            </w:tcBorders>
            <w:noWrap w:val="0"/>
            <w:vAlign w:val="center"/>
          </w:tcPr>
          <w:p w14:paraId="0231A70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2.04</w:t>
            </w:r>
          </w:p>
        </w:tc>
        <w:tc>
          <w:tcPr>
            <w:tcW w:w="225" w:type="pct"/>
            <w:tcBorders>
              <w:tl2br w:val="nil"/>
              <w:tr2bl w:val="nil"/>
            </w:tcBorders>
            <w:noWrap w:val="0"/>
            <w:vAlign w:val="center"/>
          </w:tcPr>
          <w:p w14:paraId="6A0A518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2.08</w:t>
            </w:r>
          </w:p>
        </w:tc>
        <w:tc>
          <w:tcPr>
            <w:tcW w:w="272" w:type="pct"/>
            <w:tcBorders>
              <w:tl2br w:val="nil"/>
              <w:tr2bl w:val="nil"/>
            </w:tcBorders>
            <w:noWrap w:val="0"/>
            <w:vAlign w:val="center"/>
          </w:tcPr>
          <w:p w14:paraId="3469717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1.98</w:t>
            </w:r>
          </w:p>
        </w:tc>
        <w:tc>
          <w:tcPr>
            <w:tcW w:w="225" w:type="pct"/>
            <w:tcBorders>
              <w:tl2br w:val="nil"/>
              <w:tr2bl w:val="nil"/>
            </w:tcBorders>
            <w:noWrap w:val="0"/>
            <w:vAlign w:val="center"/>
          </w:tcPr>
          <w:p w14:paraId="72E61C0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2.51</w:t>
            </w:r>
          </w:p>
        </w:tc>
        <w:tc>
          <w:tcPr>
            <w:tcW w:w="305" w:type="pct"/>
            <w:tcBorders>
              <w:tl2br w:val="nil"/>
              <w:tr2bl w:val="nil"/>
            </w:tcBorders>
            <w:noWrap w:val="0"/>
            <w:vAlign w:val="center"/>
          </w:tcPr>
          <w:p w14:paraId="36CC58E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2.69</w:t>
            </w:r>
          </w:p>
        </w:tc>
        <w:tc>
          <w:tcPr>
            <w:tcW w:w="250" w:type="pct"/>
            <w:tcBorders>
              <w:tl2br w:val="nil"/>
              <w:tr2bl w:val="nil"/>
            </w:tcBorders>
            <w:noWrap w:val="0"/>
            <w:vAlign w:val="center"/>
          </w:tcPr>
          <w:p w14:paraId="74C52ED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1.90</w:t>
            </w:r>
          </w:p>
        </w:tc>
        <w:tc>
          <w:tcPr>
            <w:tcW w:w="343" w:type="pct"/>
            <w:tcBorders>
              <w:tl2br w:val="nil"/>
              <w:tr2bl w:val="nil"/>
            </w:tcBorders>
            <w:noWrap w:val="0"/>
            <w:vAlign w:val="center"/>
          </w:tcPr>
          <w:p w14:paraId="2190819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1.87</w:t>
            </w:r>
          </w:p>
        </w:tc>
        <w:tc>
          <w:tcPr>
            <w:tcW w:w="225" w:type="pct"/>
            <w:tcBorders>
              <w:tl2br w:val="nil"/>
              <w:tr2bl w:val="nil"/>
            </w:tcBorders>
            <w:noWrap w:val="0"/>
            <w:vAlign w:val="center"/>
          </w:tcPr>
          <w:p w14:paraId="7083CF7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2.69</w:t>
            </w:r>
          </w:p>
        </w:tc>
        <w:tc>
          <w:tcPr>
            <w:tcW w:w="360" w:type="pct"/>
            <w:tcBorders>
              <w:tl2br w:val="nil"/>
              <w:tr2bl w:val="nil"/>
            </w:tcBorders>
            <w:noWrap w:val="0"/>
            <w:vAlign w:val="center"/>
          </w:tcPr>
          <w:p w14:paraId="56A3EFD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2.97</w:t>
            </w:r>
          </w:p>
        </w:tc>
        <w:tc>
          <w:tcPr>
            <w:tcW w:w="266" w:type="pct"/>
            <w:tcBorders>
              <w:tl2br w:val="nil"/>
              <w:tr2bl w:val="nil"/>
            </w:tcBorders>
            <w:noWrap w:val="0"/>
            <w:vAlign w:val="center"/>
          </w:tcPr>
          <w:p w14:paraId="236C6A7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2.26</w:t>
            </w:r>
          </w:p>
        </w:tc>
        <w:tc>
          <w:tcPr>
            <w:tcW w:w="338" w:type="pct"/>
            <w:tcBorders>
              <w:tl2br w:val="nil"/>
              <w:tr2bl w:val="nil"/>
            </w:tcBorders>
            <w:noWrap w:val="0"/>
            <w:vAlign w:val="center"/>
          </w:tcPr>
          <w:p w14:paraId="289D857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2.07</w:t>
            </w:r>
          </w:p>
        </w:tc>
        <w:tc>
          <w:tcPr>
            <w:tcW w:w="299" w:type="pct"/>
            <w:tcBorders>
              <w:tl2br w:val="nil"/>
              <w:tr2bl w:val="nil"/>
            </w:tcBorders>
            <w:noWrap w:val="0"/>
            <w:vAlign w:val="center"/>
          </w:tcPr>
          <w:p w14:paraId="3283E8B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2.02</w:t>
            </w:r>
          </w:p>
        </w:tc>
      </w:tr>
      <w:tr w14:paraId="16D7661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3E9F29C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春季</w:t>
            </w:r>
          </w:p>
        </w:tc>
        <w:tc>
          <w:tcPr>
            <w:tcW w:w="225" w:type="pct"/>
            <w:tcBorders>
              <w:tl2br w:val="nil"/>
              <w:tr2bl w:val="nil"/>
            </w:tcBorders>
            <w:noWrap w:val="0"/>
            <w:vAlign w:val="center"/>
          </w:tcPr>
          <w:p w14:paraId="2EEDCEB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1.71</w:t>
            </w:r>
          </w:p>
        </w:tc>
        <w:tc>
          <w:tcPr>
            <w:tcW w:w="305" w:type="pct"/>
            <w:tcBorders>
              <w:tl2br w:val="nil"/>
              <w:tr2bl w:val="nil"/>
            </w:tcBorders>
            <w:noWrap w:val="0"/>
            <w:vAlign w:val="center"/>
          </w:tcPr>
          <w:p w14:paraId="79031F8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1.99</w:t>
            </w:r>
          </w:p>
        </w:tc>
        <w:tc>
          <w:tcPr>
            <w:tcW w:w="233" w:type="pct"/>
            <w:tcBorders>
              <w:tl2br w:val="nil"/>
              <w:tr2bl w:val="nil"/>
            </w:tcBorders>
            <w:noWrap w:val="0"/>
            <w:vAlign w:val="center"/>
          </w:tcPr>
          <w:p w14:paraId="5B3E1D4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2.05</w:t>
            </w:r>
          </w:p>
        </w:tc>
        <w:tc>
          <w:tcPr>
            <w:tcW w:w="294" w:type="pct"/>
            <w:tcBorders>
              <w:tl2br w:val="nil"/>
              <w:tr2bl w:val="nil"/>
            </w:tcBorders>
            <w:noWrap w:val="0"/>
            <w:vAlign w:val="center"/>
          </w:tcPr>
          <w:p w14:paraId="5F8542D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2.09</w:t>
            </w:r>
          </w:p>
        </w:tc>
        <w:tc>
          <w:tcPr>
            <w:tcW w:w="225" w:type="pct"/>
            <w:tcBorders>
              <w:tl2br w:val="nil"/>
              <w:tr2bl w:val="nil"/>
            </w:tcBorders>
            <w:noWrap w:val="0"/>
            <w:vAlign w:val="center"/>
          </w:tcPr>
          <w:p w14:paraId="17C015B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2.83</w:t>
            </w:r>
          </w:p>
        </w:tc>
        <w:tc>
          <w:tcPr>
            <w:tcW w:w="277" w:type="pct"/>
            <w:tcBorders>
              <w:tl2br w:val="nil"/>
              <w:tr2bl w:val="nil"/>
            </w:tcBorders>
            <w:noWrap w:val="0"/>
            <w:vAlign w:val="center"/>
          </w:tcPr>
          <w:p w14:paraId="27DDCD1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2.34</w:t>
            </w:r>
          </w:p>
        </w:tc>
        <w:tc>
          <w:tcPr>
            <w:tcW w:w="225" w:type="pct"/>
            <w:tcBorders>
              <w:tl2br w:val="nil"/>
              <w:tr2bl w:val="nil"/>
            </w:tcBorders>
            <w:noWrap w:val="0"/>
            <w:vAlign w:val="center"/>
          </w:tcPr>
          <w:p w14:paraId="4ABACC4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2.38</w:t>
            </w:r>
          </w:p>
        </w:tc>
        <w:tc>
          <w:tcPr>
            <w:tcW w:w="272" w:type="pct"/>
            <w:tcBorders>
              <w:tl2br w:val="nil"/>
              <w:tr2bl w:val="nil"/>
            </w:tcBorders>
            <w:noWrap w:val="0"/>
            <w:vAlign w:val="center"/>
          </w:tcPr>
          <w:p w14:paraId="5D457ED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2.32</w:t>
            </w:r>
          </w:p>
        </w:tc>
        <w:tc>
          <w:tcPr>
            <w:tcW w:w="225" w:type="pct"/>
            <w:tcBorders>
              <w:tl2br w:val="nil"/>
              <w:tr2bl w:val="nil"/>
            </w:tcBorders>
            <w:noWrap w:val="0"/>
            <w:vAlign w:val="center"/>
          </w:tcPr>
          <w:p w14:paraId="4A5337D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2.94</w:t>
            </w:r>
          </w:p>
        </w:tc>
        <w:tc>
          <w:tcPr>
            <w:tcW w:w="305" w:type="pct"/>
            <w:tcBorders>
              <w:tl2br w:val="nil"/>
              <w:tr2bl w:val="nil"/>
            </w:tcBorders>
            <w:noWrap w:val="0"/>
            <w:vAlign w:val="center"/>
          </w:tcPr>
          <w:p w14:paraId="30F8CDF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3.00</w:t>
            </w:r>
          </w:p>
        </w:tc>
        <w:tc>
          <w:tcPr>
            <w:tcW w:w="250" w:type="pct"/>
            <w:tcBorders>
              <w:tl2br w:val="nil"/>
              <w:tr2bl w:val="nil"/>
            </w:tcBorders>
            <w:noWrap w:val="0"/>
            <w:vAlign w:val="center"/>
          </w:tcPr>
          <w:p w14:paraId="529C98E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2.26</w:t>
            </w:r>
          </w:p>
        </w:tc>
        <w:tc>
          <w:tcPr>
            <w:tcW w:w="343" w:type="pct"/>
            <w:tcBorders>
              <w:tl2br w:val="nil"/>
              <w:tr2bl w:val="nil"/>
            </w:tcBorders>
            <w:noWrap w:val="0"/>
            <w:vAlign w:val="center"/>
          </w:tcPr>
          <w:p w14:paraId="2A70D33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2.47</w:t>
            </w:r>
          </w:p>
        </w:tc>
        <w:tc>
          <w:tcPr>
            <w:tcW w:w="225" w:type="pct"/>
            <w:tcBorders>
              <w:tl2br w:val="nil"/>
              <w:tr2bl w:val="nil"/>
            </w:tcBorders>
            <w:noWrap w:val="0"/>
            <w:vAlign w:val="center"/>
          </w:tcPr>
          <w:p w14:paraId="3EE7BC0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3.69</w:t>
            </w:r>
          </w:p>
        </w:tc>
        <w:tc>
          <w:tcPr>
            <w:tcW w:w="360" w:type="pct"/>
            <w:tcBorders>
              <w:tl2br w:val="nil"/>
              <w:tr2bl w:val="nil"/>
            </w:tcBorders>
            <w:noWrap w:val="0"/>
            <w:vAlign w:val="center"/>
          </w:tcPr>
          <w:p w14:paraId="5007F18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2.63</w:t>
            </w:r>
          </w:p>
        </w:tc>
        <w:tc>
          <w:tcPr>
            <w:tcW w:w="266" w:type="pct"/>
            <w:tcBorders>
              <w:tl2br w:val="nil"/>
              <w:tr2bl w:val="nil"/>
            </w:tcBorders>
            <w:noWrap w:val="0"/>
            <w:vAlign w:val="center"/>
          </w:tcPr>
          <w:p w14:paraId="6E91AA8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2.18</w:t>
            </w:r>
          </w:p>
        </w:tc>
        <w:tc>
          <w:tcPr>
            <w:tcW w:w="338" w:type="pct"/>
            <w:tcBorders>
              <w:tl2br w:val="nil"/>
              <w:tr2bl w:val="nil"/>
            </w:tcBorders>
            <w:noWrap w:val="0"/>
            <w:vAlign w:val="center"/>
          </w:tcPr>
          <w:p w14:paraId="1669C7F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2.12</w:t>
            </w:r>
          </w:p>
        </w:tc>
        <w:tc>
          <w:tcPr>
            <w:tcW w:w="299" w:type="pct"/>
            <w:tcBorders>
              <w:tl2br w:val="nil"/>
              <w:tr2bl w:val="nil"/>
            </w:tcBorders>
            <w:noWrap w:val="0"/>
            <w:vAlign w:val="center"/>
          </w:tcPr>
          <w:p w14:paraId="2FA7747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2.33</w:t>
            </w:r>
          </w:p>
        </w:tc>
      </w:tr>
      <w:tr w14:paraId="5010144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73DD77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夏季</w:t>
            </w:r>
          </w:p>
        </w:tc>
        <w:tc>
          <w:tcPr>
            <w:tcW w:w="225" w:type="pct"/>
            <w:tcBorders>
              <w:tl2br w:val="nil"/>
              <w:tr2bl w:val="nil"/>
            </w:tcBorders>
            <w:noWrap w:val="0"/>
            <w:vAlign w:val="center"/>
          </w:tcPr>
          <w:p w14:paraId="5D6E561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1.95</w:t>
            </w:r>
          </w:p>
        </w:tc>
        <w:tc>
          <w:tcPr>
            <w:tcW w:w="305" w:type="pct"/>
            <w:tcBorders>
              <w:tl2br w:val="nil"/>
              <w:tr2bl w:val="nil"/>
            </w:tcBorders>
            <w:noWrap w:val="0"/>
            <w:vAlign w:val="center"/>
          </w:tcPr>
          <w:p w14:paraId="7144C51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2.05</w:t>
            </w:r>
          </w:p>
        </w:tc>
        <w:tc>
          <w:tcPr>
            <w:tcW w:w="233" w:type="pct"/>
            <w:tcBorders>
              <w:tl2br w:val="nil"/>
              <w:tr2bl w:val="nil"/>
            </w:tcBorders>
            <w:noWrap w:val="0"/>
            <w:vAlign w:val="center"/>
          </w:tcPr>
          <w:p w14:paraId="1F71902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1.90</w:t>
            </w:r>
          </w:p>
        </w:tc>
        <w:tc>
          <w:tcPr>
            <w:tcW w:w="294" w:type="pct"/>
            <w:tcBorders>
              <w:tl2br w:val="nil"/>
              <w:tr2bl w:val="nil"/>
            </w:tcBorders>
            <w:noWrap w:val="0"/>
            <w:vAlign w:val="center"/>
          </w:tcPr>
          <w:p w14:paraId="4EF4F92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1.72</w:t>
            </w:r>
          </w:p>
        </w:tc>
        <w:tc>
          <w:tcPr>
            <w:tcW w:w="225" w:type="pct"/>
            <w:tcBorders>
              <w:tl2br w:val="nil"/>
              <w:tr2bl w:val="nil"/>
            </w:tcBorders>
            <w:noWrap w:val="0"/>
            <w:vAlign w:val="center"/>
          </w:tcPr>
          <w:p w14:paraId="5F22D08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2.14</w:t>
            </w:r>
          </w:p>
        </w:tc>
        <w:tc>
          <w:tcPr>
            <w:tcW w:w="277" w:type="pct"/>
            <w:tcBorders>
              <w:tl2br w:val="nil"/>
              <w:tr2bl w:val="nil"/>
            </w:tcBorders>
            <w:noWrap w:val="0"/>
            <w:vAlign w:val="center"/>
          </w:tcPr>
          <w:p w14:paraId="55E38A6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2.36</w:t>
            </w:r>
          </w:p>
        </w:tc>
        <w:tc>
          <w:tcPr>
            <w:tcW w:w="225" w:type="pct"/>
            <w:tcBorders>
              <w:tl2br w:val="nil"/>
              <w:tr2bl w:val="nil"/>
            </w:tcBorders>
            <w:noWrap w:val="0"/>
            <w:vAlign w:val="center"/>
          </w:tcPr>
          <w:p w14:paraId="7D8EF44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2.55</w:t>
            </w:r>
          </w:p>
        </w:tc>
        <w:tc>
          <w:tcPr>
            <w:tcW w:w="272" w:type="pct"/>
            <w:tcBorders>
              <w:tl2br w:val="nil"/>
              <w:tr2bl w:val="nil"/>
            </w:tcBorders>
            <w:noWrap w:val="0"/>
            <w:vAlign w:val="center"/>
          </w:tcPr>
          <w:p w14:paraId="50E5FF0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2.75</w:t>
            </w:r>
          </w:p>
        </w:tc>
        <w:tc>
          <w:tcPr>
            <w:tcW w:w="225" w:type="pct"/>
            <w:tcBorders>
              <w:tl2br w:val="nil"/>
              <w:tr2bl w:val="nil"/>
            </w:tcBorders>
            <w:noWrap w:val="0"/>
            <w:vAlign w:val="center"/>
          </w:tcPr>
          <w:p w14:paraId="1442838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3.29</w:t>
            </w:r>
          </w:p>
        </w:tc>
        <w:tc>
          <w:tcPr>
            <w:tcW w:w="305" w:type="pct"/>
            <w:tcBorders>
              <w:tl2br w:val="nil"/>
              <w:tr2bl w:val="nil"/>
            </w:tcBorders>
            <w:noWrap w:val="0"/>
            <w:vAlign w:val="center"/>
          </w:tcPr>
          <w:p w14:paraId="2F07EA5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3.57</w:t>
            </w:r>
          </w:p>
        </w:tc>
        <w:tc>
          <w:tcPr>
            <w:tcW w:w="250" w:type="pct"/>
            <w:tcBorders>
              <w:tl2br w:val="nil"/>
              <w:tr2bl w:val="nil"/>
            </w:tcBorders>
            <w:noWrap w:val="0"/>
            <w:vAlign w:val="center"/>
          </w:tcPr>
          <w:p w14:paraId="5E9414E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2.28</w:t>
            </w:r>
          </w:p>
        </w:tc>
        <w:tc>
          <w:tcPr>
            <w:tcW w:w="343" w:type="pct"/>
            <w:tcBorders>
              <w:tl2br w:val="nil"/>
              <w:tr2bl w:val="nil"/>
            </w:tcBorders>
            <w:noWrap w:val="0"/>
            <w:vAlign w:val="center"/>
          </w:tcPr>
          <w:p w14:paraId="5B4BCE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2.08</w:t>
            </w:r>
          </w:p>
        </w:tc>
        <w:tc>
          <w:tcPr>
            <w:tcW w:w="225" w:type="pct"/>
            <w:tcBorders>
              <w:tl2br w:val="nil"/>
              <w:tr2bl w:val="nil"/>
            </w:tcBorders>
            <w:noWrap w:val="0"/>
            <w:vAlign w:val="center"/>
          </w:tcPr>
          <w:p w14:paraId="2324069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2.73</w:t>
            </w:r>
          </w:p>
        </w:tc>
        <w:tc>
          <w:tcPr>
            <w:tcW w:w="360" w:type="pct"/>
            <w:tcBorders>
              <w:tl2br w:val="nil"/>
              <w:tr2bl w:val="nil"/>
            </w:tcBorders>
            <w:noWrap w:val="0"/>
            <w:vAlign w:val="center"/>
          </w:tcPr>
          <w:p w14:paraId="4B1EB8B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3.58</w:t>
            </w:r>
          </w:p>
        </w:tc>
        <w:tc>
          <w:tcPr>
            <w:tcW w:w="266" w:type="pct"/>
            <w:tcBorders>
              <w:tl2br w:val="nil"/>
              <w:tr2bl w:val="nil"/>
            </w:tcBorders>
            <w:noWrap w:val="0"/>
            <w:vAlign w:val="center"/>
          </w:tcPr>
          <w:p w14:paraId="1B9DD3B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2.66</w:t>
            </w:r>
          </w:p>
        </w:tc>
        <w:tc>
          <w:tcPr>
            <w:tcW w:w="338" w:type="pct"/>
            <w:tcBorders>
              <w:tl2br w:val="nil"/>
              <w:tr2bl w:val="nil"/>
            </w:tcBorders>
            <w:noWrap w:val="0"/>
            <w:vAlign w:val="center"/>
          </w:tcPr>
          <w:p w14:paraId="69E5529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2.47</w:t>
            </w:r>
          </w:p>
        </w:tc>
        <w:tc>
          <w:tcPr>
            <w:tcW w:w="299" w:type="pct"/>
            <w:tcBorders>
              <w:tl2br w:val="nil"/>
              <w:tr2bl w:val="nil"/>
            </w:tcBorders>
            <w:noWrap w:val="0"/>
            <w:vAlign w:val="center"/>
          </w:tcPr>
          <w:p w14:paraId="35719D8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2.45</w:t>
            </w:r>
          </w:p>
        </w:tc>
      </w:tr>
      <w:tr w14:paraId="41F5492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19473E5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秋季</w:t>
            </w:r>
          </w:p>
        </w:tc>
        <w:tc>
          <w:tcPr>
            <w:tcW w:w="225" w:type="pct"/>
            <w:tcBorders>
              <w:tl2br w:val="nil"/>
              <w:tr2bl w:val="nil"/>
            </w:tcBorders>
            <w:noWrap w:val="0"/>
            <w:vAlign w:val="center"/>
          </w:tcPr>
          <w:p w14:paraId="58CAD4A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1.56</w:t>
            </w:r>
          </w:p>
        </w:tc>
        <w:tc>
          <w:tcPr>
            <w:tcW w:w="305" w:type="pct"/>
            <w:tcBorders>
              <w:tl2br w:val="nil"/>
              <w:tr2bl w:val="nil"/>
            </w:tcBorders>
            <w:noWrap w:val="0"/>
            <w:vAlign w:val="center"/>
          </w:tcPr>
          <w:p w14:paraId="65E70B8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1.65</w:t>
            </w:r>
          </w:p>
        </w:tc>
        <w:tc>
          <w:tcPr>
            <w:tcW w:w="233" w:type="pct"/>
            <w:tcBorders>
              <w:tl2br w:val="nil"/>
              <w:tr2bl w:val="nil"/>
            </w:tcBorders>
            <w:noWrap w:val="0"/>
            <w:vAlign w:val="center"/>
          </w:tcPr>
          <w:p w14:paraId="55F2A40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1.54</w:t>
            </w:r>
          </w:p>
        </w:tc>
        <w:tc>
          <w:tcPr>
            <w:tcW w:w="294" w:type="pct"/>
            <w:tcBorders>
              <w:tl2br w:val="nil"/>
              <w:tr2bl w:val="nil"/>
            </w:tcBorders>
            <w:noWrap w:val="0"/>
            <w:vAlign w:val="center"/>
          </w:tcPr>
          <w:p w14:paraId="7AC9387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1.68</w:t>
            </w:r>
          </w:p>
        </w:tc>
        <w:tc>
          <w:tcPr>
            <w:tcW w:w="225" w:type="pct"/>
            <w:tcBorders>
              <w:tl2br w:val="nil"/>
              <w:tr2bl w:val="nil"/>
            </w:tcBorders>
            <w:noWrap w:val="0"/>
            <w:vAlign w:val="center"/>
          </w:tcPr>
          <w:p w14:paraId="6A61638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1.87</w:t>
            </w:r>
          </w:p>
        </w:tc>
        <w:tc>
          <w:tcPr>
            <w:tcW w:w="277" w:type="pct"/>
            <w:tcBorders>
              <w:tl2br w:val="nil"/>
              <w:tr2bl w:val="nil"/>
            </w:tcBorders>
            <w:noWrap w:val="0"/>
            <w:vAlign w:val="center"/>
          </w:tcPr>
          <w:p w14:paraId="10AF928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2.01</w:t>
            </w:r>
          </w:p>
        </w:tc>
        <w:tc>
          <w:tcPr>
            <w:tcW w:w="225" w:type="pct"/>
            <w:tcBorders>
              <w:tl2br w:val="nil"/>
              <w:tr2bl w:val="nil"/>
            </w:tcBorders>
            <w:noWrap w:val="0"/>
            <w:vAlign w:val="center"/>
          </w:tcPr>
          <w:p w14:paraId="5B05F91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1.98</w:t>
            </w:r>
          </w:p>
        </w:tc>
        <w:tc>
          <w:tcPr>
            <w:tcW w:w="272" w:type="pct"/>
            <w:tcBorders>
              <w:tl2br w:val="nil"/>
              <w:tr2bl w:val="nil"/>
            </w:tcBorders>
            <w:noWrap w:val="0"/>
            <w:vAlign w:val="center"/>
          </w:tcPr>
          <w:p w14:paraId="35E462B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1.96</w:t>
            </w:r>
          </w:p>
        </w:tc>
        <w:tc>
          <w:tcPr>
            <w:tcW w:w="225" w:type="pct"/>
            <w:tcBorders>
              <w:tl2br w:val="nil"/>
              <w:tr2bl w:val="nil"/>
            </w:tcBorders>
            <w:noWrap w:val="0"/>
            <w:vAlign w:val="center"/>
          </w:tcPr>
          <w:p w14:paraId="78B617D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2.21</w:t>
            </w:r>
          </w:p>
        </w:tc>
        <w:tc>
          <w:tcPr>
            <w:tcW w:w="305" w:type="pct"/>
            <w:tcBorders>
              <w:tl2br w:val="nil"/>
              <w:tr2bl w:val="nil"/>
            </w:tcBorders>
            <w:noWrap w:val="0"/>
            <w:vAlign w:val="center"/>
          </w:tcPr>
          <w:p w14:paraId="7E72C9C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2.05</w:t>
            </w:r>
          </w:p>
        </w:tc>
        <w:tc>
          <w:tcPr>
            <w:tcW w:w="250" w:type="pct"/>
            <w:tcBorders>
              <w:tl2br w:val="nil"/>
              <w:tr2bl w:val="nil"/>
            </w:tcBorders>
            <w:noWrap w:val="0"/>
            <w:vAlign w:val="center"/>
          </w:tcPr>
          <w:p w14:paraId="256EC55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1.61</w:t>
            </w:r>
          </w:p>
        </w:tc>
        <w:tc>
          <w:tcPr>
            <w:tcW w:w="343" w:type="pct"/>
            <w:tcBorders>
              <w:tl2br w:val="nil"/>
              <w:tr2bl w:val="nil"/>
            </w:tcBorders>
            <w:noWrap w:val="0"/>
            <w:vAlign w:val="center"/>
          </w:tcPr>
          <w:p w14:paraId="7051312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1.42</w:t>
            </w:r>
          </w:p>
        </w:tc>
        <w:tc>
          <w:tcPr>
            <w:tcW w:w="225" w:type="pct"/>
            <w:tcBorders>
              <w:tl2br w:val="nil"/>
              <w:tr2bl w:val="nil"/>
            </w:tcBorders>
            <w:noWrap w:val="0"/>
            <w:vAlign w:val="center"/>
          </w:tcPr>
          <w:p w14:paraId="4259D14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2.44</w:t>
            </w:r>
          </w:p>
        </w:tc>
        <w:tc>
          <w:tcPr>
            <w:tcW w:w="360" w:type="pct"/>
            <w:tcBorders>
              <w:tl2br w:val="nil"/>
              <w:tr2bl w:val="nil"/>
            </w:tcBorders>
            <w:noWrap w:val="0"/>
            <w:vAlign w:val="center"/>
          </w:tcPr>
          <w:p w14:paraId="45088FB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2.90</w:t>
            </w:r>
          </w:p>
        </w:tc>
        <w:tc>
          <w:tcPr>
            <w:tcW w:w="266" w:type="pct"/>
            <w:tcBorders>
              <w:tl2br w:val="nil"/>
              <w:tr2bl w:val="nil"/>
            </w:tcBorders>
            <w:noWrap w:val="0"/>
            <w:vAlign w:val="center"/>
          </w:tcPr>
          <w:p w14:paraId="4195FBB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2.24</w:t>
            </w:r>
          </w:p>
        </w:tc>
        <w:tc>
          <w:tcPr>
            <w:tcW w:w="338" w:type="pct"/>
            <w:tcBorders>
              <w:tl2br w:val="nil"/>
              <w:tr2bl w:val="nil"/>
            </w:tcBorders>
            <w:noWrap w:val="0"/>
            <w:vAlign w:val="center"/>
          </w:tcPr>
          <w:p w14:paraId="51C4E18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2.06</w:t>
            </w:r>
          </w:p>
        </w:tc>
        <w:tc>
          <w:tcPr>
            <w:tcW w:w="299" w:type="pct"/>
            <w:tcBorders>
              <w:tl2br w:val="nil"/>
              <w:tr2bl w:val="nil"/>
            </w:tcBorders>
            <w:noWrap w:val="0"/>
            <w:vAlign w:val="center"/>
          </w:tcPr>
          <w:p w14:paraId="13C17CC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1.86</w:t>
            </w:r>
          </w:p>
        </w:tc>
      </w:tr>
      <w:tr w14:paraId="476DAE3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43FE829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冬季</w:t>
            </w:r>
          </w:p>
        </w:tc>
        <w:tc>
          <w:tcPr>
            <w:tcW w:w="225" w:type="pct"/>
            <w:tcBorders>
              <w:tl2br w:val="nil"/>
              <w:tr2bl w:val="nil"/>
            </w:tcBorders>
            <w:noWrap w:val="0"/>
            <w:vAlign w:val="center"/>
          </w:tcPr>
          <w:p w14:paraId="7483A32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1.31</w:t>
            </w:r>
          </w:p>
        </w:tc>
        <w:tc>
          <w:tcPr>
            <w:tcW w:w="305" w:type="pct"/>
            <w:tcBorders>
              <w:tl2br w:val="nil"/>
              <w:tr2bl w:val="nil"/>
            </w:tcBorders>
            <w:noWrap w:val="0"/>
            <w:vAlign w:val="center"/>
          </w:tcPr>
          <w:p w14:paraId="4A92203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1.48</w:t>
            </w:r>
          </w:p>
        </w:tc>
        <w:tc>
          <w:tcPr>
            <w:tcW w:w="233" w:type="pct"/>
            <w:tcBorders>
              <w:tl2br w:val="nil"/>
              <w:tr2bl w:val="nil"/>
            </w:tcBorders>
            <w:noWrap w:val="0"/>
            <w:vAlign w:val="center"/>
          </w:tcPr>
          <w:p w14:paraId="3446789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1.46</w:t>
            </w:r>
          </w:p>
        </w:tc>
        <w:tc>
          <w:tcPr>
            <w:tcW w:w="294" w:type="pct"/>
            <w:tcBorders>
              <w:tl2br w:val="nil"/>
              <w:tr2bl w:val="nil"/>
            </w:tcBorders>
            <w:noWrap w:val="0"/>
            <w:vAlign w:val="center"/>
          </w:tcPr>
          <w:p w14:paraId="332F1BA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1.55</w:t>
            </w:r>
          </w:p>
        </w:tc>
        <w:tc>
          <w:tcPr>
            <w:tcW w:w="225" w:type="pct"/>
            <w:tcBorders>
              <w:tl2br w:val="nil"/>
              <w:tr2bl w:val="nil"/>
            </w:tcBorders>
            <w:noWrap w:val="0"/>
            <w:vAlign w:val="center"/>
          </w:tcPr>
          <w:p w14:paraId="3129A0E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1.72</w:t>
            </w:r>
          </w:p>
        </w:tc>
        <w:tc>
          <w:tcPr>
            <w:tcW w:w="277" w:type="pct"/>
            <w:tcBorders>
              <w:tl2br w:val="nil"/>
              <w:tr2bl w:val="nil"/>
            </w:tcBorders>
            <w:noWrap w:val="0"/>
            <w:vAlign w:val="center"/>
          </w:tcPr>
          <w:p w14:paraId="6835F3B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1.20</w:t>
            </w:r>
          </w:p>
        </w:tc>
        <w:tc>
          <w:tcPr>
            <w:tcW w:w="225" w:type="pct"/>
            <w:tcBorders>
              <w:tl2br w:val="nil"/>
              <w:tr2bl w:val="nil"/>
            </w:tcBorders>
            <w:noWrap w:val="0"/>
            <w:vAlign w:val="center"/>
          </w:tcPr>
          <w:p w14:paraId="6100AAE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1.31</w:t>
            </w:r>
          </w:p>
        </w:tc>
        <w:tc>
          <w:tcPr>
            <w:tcW w:w="272" w:type="pct"/>
            <w:tcBorders>
              <w:tl2br w:val="nil"/>
              <w:tr2bl w:val="nil"/>
            </w:tcBorders>
            <w:noWrap w:val="0"/>
            <w:vAlign w:val="center"/>
          </w:tcPr>
          <w:p w14:paraId="69C42F7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1.43</w:t>
            </w:r>
          </w:p>
        </w:tc>
        <w:tc>
          <w:tcPr>
            <w:tcW w:w="225" w:type="pct"/>
            <w:tcBorders>
              <w:tl2br w:val="nil"/>
              <w:tr2bl w:val="nil"/>
            </w:tcBorders>
            <w:noWrap w:val="0"/>
            <w:vAlign w:val="center"/>
          </w:tcPr>
          <w:p w14:paraId="07E6DBC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1.41</w:t>
            </w:r>
          </w:p>
        </w:tc>
        <w:tc>
          <w:tcPr>
            <w:tcW w:w="305" w:type="pct"/>
            <w:tcBorders>
              <w:tl2br w:val="nil"/>
              <w:tr2bl w:val="nil"/>
            </w:tcBorders>
            <w:noWrap w:val="0"/>
            <w:vAlign w:val="center"/>
          </w:tcPr>
          <w:p w14:paraId="4A2B47F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1.39</w:t>
            </w:r>
          </w:p>
        </w:tc>
        <w:tc>
          <w:tcPr>
            <w:tcW w:w="250" w:type="pct"/>
            <w:tcBorders>
              <w:tl2br w:val="nil"/>
              <w:tr2bl w:val="nil"/>
            </w:tcBorders>
            <w:noWrap w:val="0"/>
            <w:vAlign w:val="center"/>
          </w:tcPr>
          <w:p w14:paraId="2DFDDB9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1.21</w:t>
            </w:r>
          </w:p>
        </w:tc>
        <w:tc>
          <w:tcPr>
            <w:tcW w:w="343" w:type="pct"/>
            <w:tcBorders>
              <w:tl2br w:val="nil"/>
              <w:tr2bl w:val="nil"/>
            </w:tcBorders>
            <w:noWrap w:val="0"/>
            <w:vAlign w:val="center"/>
          </w:tcPr>
          <w:p w14:paraId="3F7D5B5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1.24</w:t>
            </w:r>
          </w:p>
        </w:tc>
        <w:tc>
          <w:tcPr>
            <w:tcW w:w="225" w:type="pct"/>
            <w:tcBorders>
              <w:tl2br w:val="nil"/>
              <w:tr2bl w:val="nil"/>
            </w:tcBorders>
            <w:noWrap w:val="0"/>
            <w:vAlign w:val="center"/>
          </w:tcPr>
          <w:p w14:paraId="392C2C5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1.18</w:t>
            </w:r>
          </w:p>
        </w:tc>
        <w:tc>
          <w:tcPr>
            <w:tcW w:w="360" w:type="pct"/>
            <w:tcBorders>
              <w:tl2br w:val="nil"/>
              <w:tr2bl w:val="nil"/>
            </w:tcBorders>
            <w:noWrap w:val="0"/>
            <w:vAlign w:val="center"/>
          </w:tcPr>
          <w:p w14:paraId="30E8B2F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1.28</w:t>
            </w:r>
          </w:p>
        </w:tc>
        <w:tc>
          <w:tcPr>
            <w:tcW w:w="266" w:type="pct"/>
            <w:tcBorders>
              <w:tl2br w:val="nil"/>
              <w:tr2bl w:val="nil"/>
            </w:tcBorders>
            <w:noWrap w:val="0"/>
            <w:vAlign w:val="center"/>
          </w:tcPr>
          <w:p w14:paraId="23143D7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1.50</w:t>
            </w:r>
          </w:p>
        </w:tc>
        <w:tc>
          <w:tcPr>
            <w:tcW w:w="338" w:type="pct"/>
            <w:tcBorders>
              <w:tl2br w:val="nil"/>
              <w:tr2bl w:val="nil"/>
            </w:tcBorders>
            <w:noWrap w:val="0"/>
            <w:vAlign w:val="center"/>
          </w:tcPr>
          <w:p w14:paraId="5CE684A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1.76</w:t>
            </w:r>
          </w:p>
        </w:tc>
        <w:tc>
          <w:tcPr>
            <w:tcW w:w="299" w:type="pct"/>
            <w:tcBorders>
              <w:tl2br w:val="nil"/>
              <w:tr2bl w:val="nil"/>
            </w:tcBorders>
            <w:noWrap w:val="0"/>
            <w:vAlign w:val="center"/>
          </w:tcPr>
          <w:p w14:paraId="260B9C0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1.45</w:t>
            </w:r>
          </w:p>
        </w:tc>
      </w:tr>
    </w:tbl>
    <w:p w14:paraId="51A59558">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drawing>
          <wp:inline distT="0" distB="0" distL="114300" distR="114300">
            <wp:extent cx="5219700" cy="1929765"/>
            <wp:effectExtent l="0" t="0" r="7620" b="5715"/>
            <wp:docPr id="9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37"/>
                    <pic:cNvPicPr>
                      <a:picLocks noChangeAspect="1"/>
                    </pic:cNvPicPr>
                  </pic:nvPicPr>
                  <pic:blipFill>
                    <a:blip r:embed="rId49"/>
                    <a:stretch>
                      <a:fillRect/>
                    </a:stretch>
                  </pic:blipFill>
                  <pic:spPr>
                    <a:xfrm>
                      <a:off x="0" y="0"/>
                      <a:ext cx="5219700" cy="1929765"/>
                    </a:xfrm>
                    <a:prstGeom prst="rect">
                      <a:avLst/>
                    </a:prstGeom>
                    <a:noFill/>
                    <a:ln>
                      <a:noFill/>
                    </a:ln>
                  </pic:spPr>
                </pic:pic>
              </a:graphicData>
            </a:graphic>
          </wp:inline>
        </w:drawing>
      </w:r>
    </w:p>
    <w:p w14:paraId="1BE267CE">
      <w:pPr>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图5.2-2 阿克苏2023年风速月变化曲线图</w:t>
      </w:r>
    </w:p>
    <w:p w14:paraId="1FA2944A">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③温度</w:t>
      </w:r>
    </w:p>
    <w:p w14:paraId="07E0463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阿克苏2023年平均温度月变化见表5.2-10，变化曲线见图5.2-3。</w:t>
      </w:r>
    </w:p>
    <w:p w14:paraId="1AC905B2">
      <w:pPr>
        <w:jc w:val="center"/>
        <w:rPr>
          <w:rFonts w:hint="default" w:ascii="Times New Roman" w:hAnsi="Times New Roman" w:eastAsia="宋体" w:cs="Times New Roman"/>
          <w:b/>
          <w:bCs/>
          <w:sz w:val="24"/>
          <w:szCs w:val="24"/>
          <w:u w:val="none"/>
          <w:lang w:val="en-US" w:eastAsia="zh-CN"/>
        </w:rPr>
      </w:pPr>
      <w:r>
        <w:rPr>
          <w:rFonts w:hint="default" w:ascii="Times New Roman" w:hAnsi="Times New Roman" w:cs="Times New Roman"/>
          <w:b/>
          <w:bCs/>
          <w:sz w:val="24"/>
          <w:szCs w:val="24"/>
          <w:u w:val="none"/>
        </w:rPr>
        <w:t>表5</w:t>
      </w:r>
      <w:r>
        <w:rPr>
          <w:rFonts w:hint="default" w:ascii="Times New Roman" w:hAnsi="Times New Roman" w:cs="Times New Roman"/>
          <w:b/>
          <w:bCs/>
          <w:sz w:val="24"/>
          <w:szCs w:val="24"/>
          <w:u w:val="none"/>
          <w:lang w:val="en-US" w:eastAsia="zh-CN"/>
        </w:rPr>
        <w:t>.2</w:t>
      </w:r>
      <w:r>
        <w:rPr>
          <w:rFonts w:hint="default" w:ascii="Times New Roman" w:hAnsi="Times New Roman" w:cs="Times New Roman"/>
          <w:b/>
          <w:bCs/>
          <w:sz w:val="24"/>
          <w:szCs w:val="24"/>
          <w:u w:val="none"/>
        </w:rPr>
        <w:t>-</w:t>
      </w:r>
      <w:r>
        <w:rPr>
          <w:rFonts w:hint="default" w:ascii="Times New Roman" w:hAnsi="Times New Roman" w:cs="Times New Roman"/>
          <w:b/>
          <w:bCs/>
          <w:sz w:val="24"/>
          <w:szCs w:val="24"/>
          <w:u w:val="none"/>
          <w:lang w:val="en-US" w:eastAsia="zh-CN"/>
        </w:rPr>
        <w:t>10阿克苏2023年温度月变化一览表  单位：</w:t>
      </w:r>
      <w:r>
        <w:rPr>
          <w:rFonts w:hint="default" w:ascii="Times New Roman" w:hAnsi="Times New Roman" w:eastAsia="宋体" w:cs="Times New Roman"/>
          <w:b/>
          <w:bCs/>
          <w:sz w:val="24"/>
          <w:szCs w:val="24"/>
          <w:u w:val="none"/>
          <w:lang w:val="en-US" w:eastAsia="zh-CN"/>
        </w:rPr>
        <w:t>℃</w:t>
      </w:r>
    </w:p>
    <w:tbl>
      <w:tblPr>
        <w:tblStyle w:val="40"/>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653"/>
        <w:gridCol w:w="584"/>
        <w:gridCol w:w="689"/>
        <w:gridCol w:w="689"/>
        <w:gridCol w:w="689"/>
        <w:gridCol w:w="689"/>
        <w:gridCol w:w="689"/>
        <w:gridCol w:w="689"/>
        <w:gridCol w:w="689"/>
        <w:gridCol w:w="689"/>
        <w:gridCol w:w="585"/>
        <w:gridCol w:w="654"/>
      </w:tblGrid>
      <w:tr w14:paraId="5CBAC7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l2br w:val="nil"/>
              <w:tr2bl w:val="nil"/>
            </w:tcBorders>
            <w:noWrap w:val="0"/>
            <w:vAlign w:val="center"/>
          </w:tcPr>
          <w:p w14:paraId="0039AE54">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月份</w:t>
            </w:r>
          </w:p>
        </w:tc>
        <w:tc>
          <w:tcPr>
            <w:tcW w:w="383" w:type="pct"/>
            <w:tcBorders>
              <w:tl2br w:val="nil"/>
              <w:tr2bl w:val="nil"/>
            </w:tcBorders>
            <w:noWrap w:val="0"/>
            <w:vAlign w:val="center"/>
          </w:tcPr>
          <w:p w14:paraId="6ECC2B61">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1月</w:t>
            </w:r>
          </w:p>
        </w:tc>
        <w:tc>
          <w:tcPr>
            <w:tcW w:w="342" w:type="pct"/>
            <w:tcBorders>
              <w:tl2br w:val="nil"/>
              <w:tr2bl w:val="nil"/>
            </w:tcBorders>
            <w:noWrap w:val="0"/>
            <w:vAlign w:val="center"/>
          </w:tcPr>
          <w:p w14:paraId="05E1B316">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2月</w:t>
            </w:r>
          </w:p>
        </w:tc>
        <w:tc>
          <w:tcPr>
            <w:tcW w:w="404" w:type="pct"/>
            <w:tcBorders>
              <w:tl2br w:val="nil"/>
              <w:tr2bl w:val="nil"/>
            </w:tcBorders>
            <w:noWrap w:val="0"/>
            <w:vAlign w:val="center"/>
          </w:tcPr>
          <w:p w14:paraId="23AB0C13">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3月</w:t>
            </w:r>
          </w:p>
        </w:tc>
        <w:tc>
          <w:tcPr>
            <w:tcW w:w="404" w:type="pct"/>
            <w:tcBorders>
              <w:tl2br w:val="nil"/>
              <w:tr2bl w:val="nil"/>
            </w:tcBorders>
            <w:noWrap w:val="0"/>
            <w:vAlign w:val="center"/>
          </w:tcPr>
          <w:p w14:paraId="7CB62A70">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4月</w:t>
            </w:r>
          </w:p>
        </w:tc>
        <w:tc>
          <w:tcPr>
            <w:tcW w:w="404" w:type="pct"/>
            <w:tcBorders>
              <w:tl2br w:val="nil"/>
              <w:tr2bl w:val="nil"/>
            </w:tcBorders>
            <w:noWrap w:val="0"/>
            <w:vAlign w:val="center"/>
          </w:tcPr>
          <w:p w14:paraId="30AFE2E5">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5月</w:t>
            </w:r>
          </w:p>
        </w:tc>
        <w:tc>
          <w:tcPr>
            <w:tcW w:w="404" w:type="pct"/>
            <w:tcBorders>
              <w:tl2br w:val="nil"/>
              <w:tr2bl w:val="nil"/>
            </w:tcBorders>
            <w:noWrap w:val="0"/>
            <w:vAlign w:val="center"/>
          </w:tcPr>
          <w:p w14:paraId="05E05C7A">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6月</w:t>
            </w:r>
          </w:p>
        </w:tc>
        <w:tc>
          <w:tcPr>
            <w:tcW w:w="404" w:type="pct"/>
            <w:tcBorders>
              <w:tl2br w:val="nil"/>
              <w:tr2bl w:val="nil"/>
            </w:tcBorders>
            <w:noWrap w:val="0"/>
            <w:vAlign w:val="center"/>
          </w:tcPr>
          <w:p w14:paraId="405C826D">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7月</w:t>
            </w:r>
          </w:p>
        </w:tc>
        <w:tc>
          <w:tcPr>
            <w:tcW w:w="404" w:type="pct"/>
            <w:tcBorders>
              <w:tl2br w:val="nil"/>
              <w:tr2bl w:val="nil"/>
            </w:tcBorders>
            <w:noWrap w:val="0"/>
            <w:vAlign w:val="center"/>
          </w:tcPr>
          <w:p w14:paraId="004AEC28">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8月</w:t>
            </w:r>
          </w:p>
        </w:tc>
        <w:tc>
          <w:tcPr>
            <w:tcW w:w="404" w:type="pct"/>
            <w:tcBorders>
              <w:tl2br w:val="nil"/>
              <w:tr2bl w:val="nil"/>
            </w:tcBorders>
            <w:noWrap w:val="0"/>
            <w:vAlign w:val="center"/>
          </w:tcPr>
          <w:p w14:paraId="6D26E69D">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9月</w:t>
            </w:r>
          </w:p>
        </w:tc>
        <w:tc>
          <w:tcPr>
            <w:tcW w:w="404" w:type="pct"/>
            <w:tcBorders>
              <w:tl2br w:val="nil"/>
              <w:tr2bl w:val="nil"/>
            </w:tcBorders>
            <w:noWrap w:val="0"/>
            <w:vAlign w:val="center"/>
          </w:tcPr>
          <w:p w14:paraId="443BF9A3">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10月</w:t>
            </w:r>
          </w:p>
        </w:tc>
        <w:tc>
          <w:tcPr>
            <w:tcW w:w="342" w:type="pct"/>
            <w:tcBorders>
              <w:tl2br w:val="nil"/>
              <w:tr2bl w:val="nil"/>
            </w:tcBorders>
            <w:noWrap w:val="0"/>
            <w:vAlign w:val="center"/>
          </w:tcPr>
          <w:p w14:paraId="70CC3994">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11月</w:t>
            </w:r>
          </w:p>
        </w:tc>
        <w:tc>
          <w:tcPr>
            <w:tcW w:w="383" w:type="pct"/>
            <w:tcBorders>
              <w:tl2br w:val="nil"/>
              <w:tr2bl w:val="nil"/>
            </w:tcBorders>
            <w:noWrap w:val="0"/>
            <w:vAlign w:val="center"/>
          </w:tcPr>
          <w:p w14:paraId="77F226AC">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12月</w:t>
            </w:r>
          </w:p>
        </w:tc>
      </w:tr>
      <w:tr w14:paraId="42597F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13" w:type="pct"/>
            <w:tcBorders>
              <w:tl2br w:val="nil"/>
              <w:tr2bl w:val="nil"/>
            </w:tcBorders>
            <w:noWrap w:val="0"/>
            <w:vAlign w:val="center"/>
          </w:tcPr>
          <w:p w14:paraId="7D15CE00">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温度</w:t>
            </w:r>
          </w:p>
        </w:tc>
        <w:tc>
          <w:tcPr>
            <w:tcW w:w="383" w:type="pct"/>
            <w:tcBorders>
              <w:tl2br w:val="nil"/>
              <w:tr2bl w:val="nil"/>
            </w:tcBorders>
            <w:noWrap w:val="0"/>
            <w:vAlign w:val="center"/>
          </w:tcPr>
          <w:p w14:paraId="3E2A1C51">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-9.46</w:t>
            </w:r>
          </w:p>
        </w:tc>
        <w:tc>
          <w:tcPr>
            <w:tcW w:w="342" w:type="pct"/>
            <w:tcBorders>
              <w:tl2br w:val="nil"/>
              <w:tr2bl w:val="nil"/>
            </w:tcBorders>
            <w:noWrap w:val="0"/>
            <w:vAlign w:val="center"/>
          </w:tcPr>
          <w:p w14:paraId="6A2EBB3C">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0.97</w:t>
            </w:r>
          </w:p>
        </w:tc>
        <w:tc>
          <w:tcPr>
            <w:tcW w:w="404" w:type="pct"/>
            <w:tcBorders>
              <w:tl2br w:val="nil"/>
              <w:tr2bl w:val="nil"/>
            </w:tcBorders>
            <w:noWrap w:val="0"/>
            <w:vAlign w:val="center"/>
          </w:tcPr>
          <w:p w14:paraId="060D5431">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11.22</w:t>
            </w:r>
          </w:p>
        </w:tc>
        <w:tc>
          <w:tcPr>
            <w:tcW w:w="404" w:type="pct"/>
            <w:tcBorders>
              <w:tl2br w:val="nil"/>
              <w:tr2bl w:val="nil"/>
            </w:tcBorders>
            <w:noWrap w:val="0"/>
            <w:vAlign w:val="center"/>
          </w:tcPr>
          <w:p w14:paraId="09AB0319">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14.88</w:t>
            </w:r>
          </w:p>
        </w:tc>
        <w:tc>
          <w:tcPr>
            <w:tcW w:w="404" w:type="pct"/>
            <w:tcBorders>
              <w:tl2br w:val="nil"/>
              <w:tr2bl w:val="nil"/>
            </w:tcBorders>
            <w:noWrap w:val="0"/>
            <w:vAlign w:val="center"/>
          </w:tcPr>
          <w:p w14:paraId="783D4606">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18.99</w:t>
            </w:r>
          </w:p>
        </w:tc>
        <w:tc>
          <w:tcPr>
            <w:tcW w:w="404" w:type="pct"/>
            <w:tcBorders>
              <w:tl2br w:val="nil"/>
              <w:tr2bl w:val="nil"/>
            </w:tcBorders>
            <w:noWrap w:val="0"/>
            <w:vAlign w:val="center"/>
          </w:tcPr>
          <w:p w14:paraId="5ACEE85C">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25.94</w:t>
            </w:r>
          </w:p>
        </w:tc>
        <w:tc>
          <w:tcPr>
            <w:tcW w:w="404" w:type="pct"/>
            <w:tcBorders>
              <w:tl2br w:val="nil"/>
              <w:tr2bl w:val="nil"/>
            </w:tcBorders>
            <w:noWrap w:val="0"/>
            <w:vAlign w:val="center"/>
          </w:tcPr>
          <w:p w14:paraId="7EA07FF6">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27.22</w:t>
            </w:r>
          </w:p>
        </w:tc>
        <w:tc>
          <w:tcPr>
            <w:tcW w:w="404" w:type="pct"/>
            <w:tcBorders>
              <w:tl2br w:val="nil"/>
              <w:tr2bl w:val="nil"/>
            </w:tcBorders>
            <w:noWrap w:val="0"/>
            <w:vAlign w:val="center"/>
          </w:tcPr>
          <w:p w14:paraId="4D3B1391">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25.23</w:t>
            </w:r>
          </w:p>
        </w:tc>
        <w:tc>
          <w:tcPr>
            <w:tcW w:w="404" w:type="pct"/>
            <w:tcBorders>
              <w:tl2br w:val="nil"/>
              <w:tr2bl w:val="nil"/>
            </w:tcBorders>
            <w:noWrap w:val="0"/>
            <w:vAlign w:val="center"/>
          </w:tcPr>
          <w:p w14:paraId="423BCB2C">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20.50</w:t>
            </w:r>
          </w:p>
        </w:tc>
        <w:tc>
          <w:tcPr>
            <w:tcW w:w="404" w:type="pct"/>
            <w:tcBorders>
              <w:tl2br w:val="nil"/>
              <w:tr2bl w:val="nil"/>
            </w:tcBorders>
            <w:noWrap w:val="0"/>
            <w:vAlign w:val="center"/>
          </w:tcPr>
          <w:p w14:paraId="6D230DBE">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14.40</w:t>
            </w:r>
          </w:p>
        </w:tc>
        <w:tc>
          <w:tcPr>
            <w:tcW w:w="342" w:type="pct"/>
            <w:tcBorders>
              <w:tl2br w:val="nil"/>
              <w:tr2bl w:val="nil"/>
            </w:tcBorders>
            <w:noWrap w:val="0"/>
            <w:vAlign w:val="center"/>
          </w:tcPr>
          <w:p w14:paraId="69213DF8">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4.77</w:t>
            </w:r>
          </w:p>
        </w:tc>
        <w:tc>
          <w:tcPr>
            <w:tcW w:w="383" w:type="pct"/>
            <w:tcBorders>
              <w:tl2br w:val="nil"/>
              <w:tr2bl w:val="nil"/>
            </w:tcBorders>
            <w:noWrap w:val="0"/>
            <w:vAlign w:val="center"/>
          </w:tcPr>
          <w:p w14:paraId="5A8BD4E5">
            <w:pPr>
              <w:keepNext w:val="0"/>
              <w:keepLines w:val="0"/>
              <w:pageBreakBefore w:val="0"/>
              <w:widowControl w:val="0"/>
              <w:kinsoku/>
              <w:wordWrap/>
              <w:overflowPunct/>
              <w:topLinePunct w:val="0"/>
              <w:autoSpaceDE/>
              <w:autoSpaceDN/>
              <w:bidi w:val="0"/>
              <w:adjustRightInd/>
              <w:snapToGrid/>
              <w:spacing w:line="240" w:lineRule="auto"/>
              <w:ind w:left="-120" w:leftChars="-50" w:right="-120" w:rightChars="-5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-4.53</w:t>
            </w:r>
          </w:p>
        </w:tc>
      </w:tr>
    </w:tbl>
    <w:p w14:paraId="4D7A7DD8">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drawing>
          <wp:inline distT="0" distB="0" distL="114300" distR="114300">
            <wp:extent cx="5219700" cy="1771015"/>
            <wp:effectExtent l="0" t="0" r="7620" b="12065"/>
            <wp:docPr id="9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38"/>
                    <pic:cNvPicPr>
                      <a:picLocks noChangeAspect="1"/>
                    </pic:cNvPicPr>
                  </pic:nvPicPr>
                  <pic:blipFill>
                    <a:blip r:embed="rId50"/>
                    <a:stretch>
                      <a:fillRect/>
                    </a:stretch>
                  </pic:blipFill>
                  <pic:spPr>
                    <a:xfrm>
                      <a:off x="0" y="0"/>
                      <a:ext cx="5219700" cy="1771015"/>
                    </a:xfrm>
                    <a:prstGeom prst="rect">
                      <a:avLst/>
                    </a:prstGeom>
                    <a:noFill/>
                    <a:ln>
                      <a:noFill/>
                    </a:ln>
                  </pic:spPr>
                </pic:pic>
              </a:graphicData>
            </a:graphic>
          </wp:inline>
        </w:drawing>
      </w:r>
    </w:p>
    <w:p w14:paraId="73459331">
      <w:pPr>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图5.2-3 阿克苏2023年温度月变化曲线图</w:t>
      </w:r>
    </w:p>
    <w:p w14:paraId="56A709D2">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④稳定度</w:t>
      </w:r>
    </w:p>
    <w:p w14:paraId="520B6A8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阿克苏2023年月、季、年稳定度见表5.2-11。</w:t>
      </w:r>
    </w:p>
    <w:p w14:paraId="79BA6FC7">
      <w:pPr>
        <w:jc w:val="center"/>
        <w:rPr>
          <w:rFonts w:hint="default" w:ascii="Times New Roman" w:hAnsi="Times New Roman" w:eastAsia="宋体" w:cs="Times New Roman"/>
          <w:b/>
          <w:bCs/>
          <w:sz w:val="24"/>
          <w:szCs w:val="24"/>
          <w:u w:val="none"/>
          <w:lang w:val="en-US" w:eastAsia="zh-CN"/>
        </w:rPr>
      </w:pPr>
      <w:r>
        <w:rPr>
          <w:rFonts w:hint="default" w:ascii="Times New Roman" w:hAnsi="Times New Roman" w:cs="Times New Roman"/>
          <w:b/>
          <w:bCs/>
          <w:sz w:val="24"/>
          <w:szCs w:val="24"/>
          <w:u w:val="none"/>
        </w:rPr>
        <w:t>表5</w:t>
      </w:r>
      <w:r>
        <w:rPr>
          <w:rFonts w:hint="default" w:ascii="Times New Roman" w:hAnsi="Times New Roman" w:cs="Times New Roman"/>
          <w:b/>
          <w:bCs/>
          <w:sz w:val="24"/>
          <w:szCs w:val="24"/>
          <w:u w:val="none"/>
          <w:lang w:val="en-US" w:eastAsia="zh-CN"/>
        </w:rPr>
        <w:t>.2</w:t>
      </w:r>
      <w:r>
        <w:rPr>
          <w:rFonts w:hint="default" w:ascii="Times New Roman" w:hAnsi="Times New Roman" w:cs="Times New Roman"/>
          <w:b/>
          <w:bCs/>
          <w:sz w:val="24"/>
          <w:szCs w:val="24"/>
          <w:u w:val="none"/>
        </w:rPr>
        <w:t>-1</w:t>
      </w:r>
      <w:r>
        <w:rPr>
          <w:rFonts w:hint="default" w:ascii="Times New Roman" w:hAnsi="Times New Roman" w:cs="Times New Roman"/>
          <w:b/>
          <w:bCs/>
          <w:sz w:val="24"/>
          <w:szCs w:val="24"/>
          <w:u w:val="none"/>
          <w:lang w:val="en-US" w:eastAsia="zh-CN"/>
        </w:rPr>
        <w:t>1</w:t>
      </w:r>
      <w:r>
        <w:rPr>
          <w:rFonts w:hint="default" w:ascii="Times New Roman" w:hAnsi="Times New Roman" w:cs="Times New Roman"/>
          <w:b/>
          <w:bCs/>
          <w:sz w:val="24"/>
          <w:szCs w:val="24"/>
          <w:u w:val="none"/>
        </w:rPr>
        <w:t xml:space="preserve"> </w:t>
      </w:r>
      <w:r>
        <w:rPr>
          <w:rFonts w:hint="default" w:ascii="Times New Roman" w:hAnsi="Times New Roman" w:cs="Times New Roman"/>
          <w:b/>
          <w:bCs/>
          <w:sz w:val="24"/>
          <w:szCs w:val="24"/>
          <w:u w:val="none"/>
          <w:lang w:val="en-US" w:eastAsia="zh-CN"/>
        </w:rPr>
        <w:t>阿克苏2023年月、季、年稳定度一览表  单位：</w:t>
      </w:r>
      <w:r>
        <w:rPr>
          <w:rFonts w:hint="default" w:ascii="Times New Roman" w:hAnsi="Times New Roman" w:eastAsia="宋体" w:cs="Times New Roman"/>
          <w:b/>
          <w:bCs/>
          <w:sz w:val="24"/>
          <w:szCs w:val="24"/>
          <w:u w:val="none"/>
          <w:lang w:val="en-US" w:eastAsia="zh-CN"/>
        </w:rPr>
        <w:t>%</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1" w:type="dxa"/>
          <w:bottom w:w="0" w:type="dxa"/>
          <w:right w:w="11" w:type="dxa"/>
        </w:tblCellMar>
      </w:tblPr>
      <w:tblGrid>
        <w:gridCol w:w="818"/>
        <w:gridCol w:w="853"/>
        <w:gridCol w:w="833"/>
        <w:gridCol w:w="830"/>
        <w:gridCol w:w="830"/>
        <w:gridCol w:w="833"/>
        <w:gridCol w:w="830"/>
        <w:gridCol w:w="830"/>
        <w:gridCol w:w="833"/>
        <w:gridCol w:w="833"/>
      </w:tblGrid>
      <w:tr w14:paraId="5AADDBA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49EC5D4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时间</w:t>
            </w:r>
          </w:p>
        </w:tc>
        <w:tc>
          <w:tcPr>
            <w:tcW w:w="512" w:type="pct"/>
            <w:tcBorders>
              <w:tl2br w:val="nil"/>
              <w:tr2bl w:val="nil"/>
            </w:tcBorders>
            <w:noWrap w:val="0"/>
            <w:vAlign w:val="center"/>
          </w:tcPr>
          <w:p w14:paraId="0D6564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A</w:t>
            </w:r>
          </w:p>
        </w:tc>
        <w:tc>
          <w:tcPr>
            <w:tcW w:w="500" w:type="pct"/>
            <w:tcBorders>
              <w:tl2br w:val="nil"/>
              <w:tr2bl w:val="nil"/>
            </w:tcBorders>
            <w:noWrap w:val="0"/>
            <w:vAlign w:val="center"/>
          </w:tcPr>
          <w:p w14:paraId="1969E06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B</w:t>
            </w:r>
          </w:p>
        </w:tc>
        <w:tc>
          <w:tcPr>
            <w:tcW w:w="498" w:type="pct"/>
            <w:tcBorders>
              <w:tl2br w:val="nil"/>
              <w:tr2bl w:val="nil"/>
            </w:tcBorders>
            <w:noWrap w:val="0"/>
            <w:vAlign w:val="center"/>
          </w:tcPr>
          <w:p w14:paraId="4B0C132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B-C</w:t>
            </w:r>
          </w:p>
        </w:tc>
        <w:tc>
          <w:tcPr>
            <w:tcW w:w="498" w:type="pct"/>
            <w:tcBorders>
              <w:tl2br w:val="nil"/>
              <w:tr2bl w:val="nil"/>
            </w:tcBorders>
            <w:noWrap w:val="0"/>
            <w:vAlign w:val="center"/>
          </w:tcPr>
          <w:p w14:paraId="7E4FD39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C</w:t>
            </w:r>
          </w:p>
        </w:tc>
        <w:tc>
          <w:tcPr>
            <w:tcW w:w="500" w:type="pct"/>
            <w:tcBorders>
              <w:tl2br w:val="nil"/>
              <w:tr2bl w:val="nil"/>
            </w:tcBorders>
            <w:noWrap w:val="0"/>
            <w:vAlign w:val="center"/>
          </w:tcPr>
          <w:p w14:paraId="54C0F41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C-D</w:t>
            </w:r>
          </w:p>
        </w:tc>
        <w:tc>
          <w:tcPr>
            <w:tcW w:w="498" w:type="pct"/>
            <w:tcBorders>
              <w:tl2br w:val="nil"/>
              <w:tr2bl w:val="nil"/>
            </w:tcBorders>
            <w:noWrap w:val="0"/>
            <w:vAlign w:val="center"/>
          </w:tcPr>
          <w:p w14:paraId="0F1B420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D</w:t>
            </w:r>
          </w:p>
        </w:tc>
        <w:tc>
          <w:tcPr>
            <w:tcW w:w="498" w:type="pct"/>
            <w:tcBorders>
              <w:tl2br w:val="nil"/>
              <w:tr2bl w:val="nil"/>
            </w:tcBorders>
            <w:noWrap w:val="0"/>
            <w:vAlign w:val="center"/>
          </w:tcPr>
          <w:p w14:paraId="1D74EBB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D-E</w:t>
            </w:r>
          </w:p>
        </w:tc>
        <w:tc>
          <w:tcPr>
            <w:tcW w:w="500" w:type="pct"/>
            <w:tcBorders>
              <w:tl2br w:val="nil"/>
              <w:tr2bl w:val="nil"/>
            </w:tcBorders>
            <w:noWrap w:val="0"/>
            <w:vAlign w:val="center"/>
          </w:tcPr>
          <w:p w14:paraId="4744FC2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E</w:t>
            </w:r>
          </w:p>
        </w:tc>
        <w:tc>
          <w:tcPr>
            <w:tcW w:w="500" w:type="pct"/>
            <w:tcBorders>
              <w:tl2br w:val="nil"/>
              <w:tr2bl w:val="nil"/>
            </w:tcBorders>
            <w:noWrap w:val="0"/>
            <w:vAlign w:val="center"/>
          </w:tcPr>
          <w:p w14:paraId="047453F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F</w:t>
            </w:r>
          </w:p>
        </w:tc>
      </w:tr>
      <w:tr w14:paraId="486C0D5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414DFEF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1月</w:t>
            </w:r>
          </w:p>
        </w:tc>
        <w:tc>
          <w:tcPr>
            <w:tcW w:w="512" w:type="pct"/>
            <w:tcBorders>
              <w:tl2br w:val="nil"/>
              <w:tr2bl w:val="nil"/>
            </w:tcBorders>
            <w:noWrap w:val="0"/>
            <w:vAlign w:val="center"/>
          </w:tcPr>
          <w:p w14:paraId="23F4C5B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26C9B5E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10.48</w:t>
            </w:r>
          </w:p>
        </w:tc>
        <w:tc>
          <w:tcPr>
            <w:tcW w:w="498" w:type="pct"/>
            <w:tcBorders>
              <w:tl2br w:val="nil"/>
              <w:tr2bl w:val="nil"/>
            </w:tcBorders>
            <w:noWrap w:val="0"/>
            <w:vAlign w:val="center"/>
          </w:tcPr>
          <w:p w14:paraId="428FE8F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498" w:type="pct"/>
            <w:tcBorders>
              <w:tl2br w:val="nil"/>
              <w:tr2bl w:val="nil"/>
            </w:tcBorders>
            <w:noWrap w:val="0"/>
            <w:vAlign w:val="center"/>
          </w:tcPr>
          <w:p w14:paraId="508EDC8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1.34</w:t>
            </w:r>
          </w:p>
        </w:tc>
        <w:tc>
          <w:tcPr>
            <w:tcW w:w="500" w:type="pct"/>
            <w:tcBorders>
              <w:tl2br w:val="nil"/>
              <w:tr2bl w:val="nil"/>
            </w:tcBorders>
            <w:noWrap w:val="0"/>
            <w:vAlign w:val="center"/>
          </w:tcPr>
          <w:p w14:paraId="2D7E039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498" w:type="pct"/>
            <w:tcBorders>
              <w:tl2br w:val="nil"/>
              <w:tr2bl w:val="nil"/>
            </w:tcBorders>
            <w:noWrap w:val="0"/>
            <w:vAlign w:val="center"/>
          </w:tcPr>
          <w:p w14:paraId="2618CE8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57.93</w:t>
            </w:r>
          </w:p>
        </w:tc>
        <w:tc>
          <w:tcPr>
            <w:tcW w:w="498" w:type="pct"/>
            <w:tcBorders>
              <w:tl2br w:val="nil"/>
              <w:tr2bl w:val="nil"/>
            </w:tcBorders>
            <w:noWrap w:val="0"/>
            <w:vAlign w:val="center"/>
          </w:tcPr>
          <w:p w14:paraId="668730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3B629F8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6.59</w:t>
            </w:r>
          </w:p>
        </w:tc>
        <w:tc>
          <w:tcPr>
            <w:tcW w:w="500" w:type="pct"/>
            <w:tcBorders>
              <w:tl2br w:val="nil"/>
              <w:tr2bl w:val="nil"/>
            </w:tcBorders>
            <w:noWrap w:val="0"/>
            <w:vAlign w:val="center"/>
          </w:tcPr>
          <w:p w14:paraId="02BD1FD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23.66</w:t>
            </w:r>
          </w:p>
        </w:tc>
      </w:tr>
      <w:tr w14:paraId="0EC1C9C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18A7B19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2月</w:t>
            </w:r>
          </w:p>
        </w:tc>
        <w:tc>
          <w:tcPr>
            <w:tcW w:w="512" w:type="pct"/>
            <w:tcBorders>
              <w:tl2br w:val="nil"/>
              <w:tr2bl w:val="nil"/>
            </w:tcBorders>
            <w:noWrap w:val="0"/>
            <w:vAlign w:val="center"/>
          </w:tcPr>
          <w:p w14:paraId="293A5DA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7380C2B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13.24</w:t>
            </w:r>
          </w:p>
        </w:tc>
        <w:tc>
          <w:tcPr>
            <w:tcW w:w="498" w:type="pct"/>
            <w:tcBorders>
              <w:tl2br w:val="nil"/>
              <w:tr2bl w:val="nil"/>
            </w:tcBorders>
            <w:noWrap w:val="0"/>
            <w:vAlign w:val="center"/>
          </w:tcPr>
          <w:p w14:paraId="77B33E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0.30</w:t>
            </w:r>
          </w:p>
        </w:tc>
        <w:tc>
          <w:tcPr>
            <w:tcW w:w="498" w:type="pct"/>
            <w:tcBorders>
              <w:tl2br w:val="nil"/>
              <w:tr2bl w:val="nil"/>
            </w:tcBorders>
            <w:noWrap w:val="0"/>
            <w:vAlign w:val="center"/>
          </w:tcPr>
          <w:p w14:paraId="17B7A16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5.80</w:t>
            </w:r>
          </w:p>
        </w:tc>
        <w:tc>
          <w:tcPr>
            <w:tcW w:w="500" w:type="pct"/>
            <w:tcBorders>
              <w:tl2br w:val="nil"/>
              <w:tr2bl w:val="nil"/>
            </w:tcBorders>
            <w:noWrap w:val="0"/>
            <w:vAlign w:val="center"/>
          </w:tcPr>
          <w:p w14:paraId="463FA91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498" w:type="pct"/>
            <w:tcBorders>
              <w:tl2br w:val="nil"/>
              <w:tr2bl w:val="nil"/>
            </w:tcBorders>
            <w:noWrap w:val="0"/>
            <w:vAlign w:val="center"/>
          </w:tcPr>
          <w:p w14:paraId="73C77AB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36.61</w:t>
            </w:r>
          </w:p>
        </w:tc>
        <w:tc>
          <w:tcPr>
            <w:tcW w:w="498" w:type="pct"/>
            <w:tcBorders>
              <w:tl2br w:val="nil"/>
              <w:tr2bl w:val="nil"/>
            </w:tcBorders>
            <w:noWrap w:val="0"/>
            <w:vAlign w:val="center"/>
          </w:tcPr>
          <w:p w14:paraId="2BC3F17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082AB76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6.10</w:t>
            </w:r>
          </w:p>
        </w:tc>
        <w:tc>
          <w:tcPr>
            <w:tcW w:w="500" w:type="pct"/>
            <w:tcBorders>
              <w:tl2br w:val="nil"/>
              <w:tr2bl w:val="nil"/>
            </w:tcBorders>
            <w:noWrap w:val="0"/>
            <w:vAlign w:val="center"/>
          </w:tcPr>
          <w:p w14:paraId="73DFB7A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37.95</w:t>
            </w:r>
          </w:p>
        </w:tc>
      </w:tr>
      <w:tr w14:paraId="5A83ED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4E0BB6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3月</w:t>
            </w:r>
          </w:p>
        </w:tc>
        <w:tc>
          <w:tcPr>
            <w:tcW w:w="512" w:type="pct"/>
            <w:tcBorders>
              <w:tl2br w:val="nil"/>
              <w:tr2bl w:val="nil"/>
            </w:tcBorders>
            <w:noWrap w:val="0"/>
            <w:vAlign w:val="center"/>
          </w:tcPr>
          <w:p w14:paraId="4B67736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6F28440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19.09</w:t>
            </w:r>
          </w:p>
        </w:tc>
        <w:tc>
          <w:tcPr>
            <w:tcW w:w="498" w:type="pct"/>
            <w:tcBorders>
              <w:tl2br w:val="nil"/>
              <w:tr2bl w:val="nil"/>
            </w:tcBorders>
            <w:noWrap w:val="0"/>
            <w:vAlign w:val="center"/>
          </w:tcPr>
          <w:p w14:paraId="547EAE5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2.28</w:t>
            </w:r>
          </w:p>
        </w:tc>
        <w:tc>
          <w:tcPr>
            <w:tcW w:w="498" w:type="pct"/>
            <w:tcBorders>
              <w:tl2br w:val="nil"/>
              <w:tr2bl w:val="nil"/>
            </w:tcBorders>
            <w:noWrap w:val="0"/>
            <w:vAlign w:val="center"/>
          </w:tcPr>
          <w:p w14:paraId="4A4E7DC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9.01</w:t>
            </w:r>
          </w:p>
        </w:tc>
        <w:tc>
          <w:tcPr>
            <w:tcW w:w="500" w:type="pct"/>
            <w:tcBorders>
              <w:tl2br w:val="nil"/>
              <w:tr2bl w:val="nil"/>
            </w:tcBorders>
            <w:noWrap w:val="0"/>
            <w:vAlign w:val="center"/>
          </w:tcPr>
          <w:p w14:paraId="12DEEAC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0.13</w:t>
            </w:r>
          </w:p>
        </w:tc>
        <w:tc>
          <w:tcPr>
            <w:tcW w:w="498" w:type="pct"/>
            <w:tcBorders>
              <w:tl2br w:val="nil"/>
              <w:tr2bl w:val="nil"/>
            </w:tcBorders>
            <w:noWrap w:val="0"/>
            <w:vAlign w:val="center"/>
          </w:tcPr>
          <w:p w14:paraId="4487417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13.58</w:t>
            </w:r>
          </w:p>
        </w:tc>
        <w:tc>
          <w:tcPr>
            <w:tcW w:w="498" w:type="pct"/>
            <w:tcBorders>
              <w:tl2br w:val="nil"/>
              <w:tr2bl w:val="nil"/>
            </w:tcBorders>
            <w:noWrap w:val="0"/>
            <w:vAlign w:val="center"/>
          </w:tcPr>
          <w:p w14:paraId="5328328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34B48F2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11.29</w:t>
            </w:r>
          </w:p>
        </w:tc>
        <w:tc>
          <w:tcPr>
            <w:tcW w:w="500" w:type="pct"/>
            <w:tcBorders>
              <w:tl2br w:val="nil"/>
              <w:tr2bl w:val="nil"/>
            </w:tcBorders>
            <w:noWrap w:val="0"/>
            <w:vAlign w:val="center"/>
          </w:tcPr>
          <w:p w14:paraId="0EC3CCE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44.62</w:t>
            </w:r>
          </w:p>
        </w:tc>
      </w:tr>
      <w:tr w14:paraId="0F1868A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4382794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4月</w:t>
            </w:r>
          </w:p>
        </w:tc>
        <w:tc>
          <w:tcPr>
            <w:tcW w:w="512" w:type="pct"/>
            <w:tcBorders>
              <w:tl2br w:val="nil"/>
              <w:tr2bl w:val="nil"/>
            </w:tcBorders>
            <w:noWrap w:val="0"/>
            <w:vAlign w:val="center"/>
          </w:tcPr>
          <w:p w14:paraId="6D5B64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140C544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13.89</w:t>
            </w:r>
          </w:p>
        </w:tc>
        <w:tc>
          <w:tcPr>
            <w:tcW w:w="498" w:type="pct"/>
            <w:tcBorders>
              <w:tl2br w:val="nil"/>
              <w:tr2bl w:val="nil"/>
            </w:tcBorders>
            <w:noWrap w:val="0"/>
            <w:vAlign w:val="center"/>
          </w:tcPr>
          <w:p w14:paraId="1F54463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5.00</w:t>
            </w:r>
          </w:p>
        </w:tc>
        <w:tc>
          <w:tcPr>
            <w:tcW w:w="498" w:type="pct"/>
            <w:tcBorders>
              <w:tl2br w:val="nil"/>
              <w:tr2bl w:val="nil"/>
            </w:tcBorders>
            <w:noWrap w:val="0"/>
            <w:vAlign w:val="center"/>
          </w:tcPr>
          <w:p w14:paraId="5A95324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4.72</w:t>
            </w:r>
          </w:p>
        </w:tc>
        <w:tc>
          <w:tcPr>
            <w:tcW w:w="500" w:type="pct"/>
            <w:tcBorders>
              <w:tl2br w:val="nil"/>
              <w:tr2bl w:val="nil"/>
            </w:tcBorders>
            <w:noWrap w:val="0"/>
            <w:vAlign w:val="center"/>
          </w:tcPr>
          <w:p w14:paraId="1768471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0.69</w:t>
            </w:r>
          </w:p>
        </w:tc>
        <w:tc>
          <w:tcPr>
            <w:tcW w:w="498" w:type="pct"/>
            <w:tcBorders>
              <w:tl2br w:val="nil"/>
              <w:tr2bl w:val="nil"/>
            </w:tcBorders>
            <w:noWrap w:val="0"/>
            <w:vAlign w:val="center"/>
          </w:tcPr>
          <w:p w14:paraId="28743E9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42.64</w:t>
            </w:r>
          </w:p>
        </w:tc>
        <w:tc>
          <w:tcPr>
            <w:tcW w:w="498" w:type="pct"/>
            <w:tcBorders>
              <w:tl2br w:val="nil"/>
              <w:tr2bl w:val="nil"/>
            </w:tcBorders>
            <w:noWrap w:val="0"/>
            <w:vAlign w:val="center"/>
          </w:tcPr>
          <w:p w14:paraId="4411E38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5DA202E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8.61</w:t>
            </w:r>
          </w:p>
        </w:tc>
        <w:tc>
          <w:tcPr>
            <w:tcW w:w="500" w:type="pct"/>
            <w:tcBorders>
              <w:tl2br w:val="nil"/>
              <w:tr2bl w:val="nil"/>
            </w:tcBorders>
            <w:noWrap w:val="0"/>
            <w:vAlign w:val="center"/>
          </w:tcPr>
          <w:p w14:paraId="75B2183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24.44</w:t>
            </w:r>
          </w:p>
        </w:tc>
      </w:tr>
      <w:tr w14:paraId="67A4345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1926612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5月</w:t>
            </w:r>
          </w:p>
        </w:tc>
        <w:tc>
          <w:tcPr>
            <w:tcW w:w="512" w:type="pct"/>
            <w:tcBorders>
              <w:tl2br w:val="nil"/>
              <w:tr2bl w:val="nil"/>
            </w:tcBorders>
            <w:noWrap w:val="0"/>
            <w:vAlign w:val="center"/>
          </w:tcPr>
          <w:p w14:paraId="20AE5CC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5738015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14.25</w:t>
            </w:r>
          </w:p>
        </w:tc>
        <w:tc>
          <w:tcPr>
            <w:tcW w:w="498" w:type="pct"/>
            <w:tcBorders>
              <w:tl2br w:val="nil"/>
              <w:tr2bl w:val="nil"/>
            </w:tcBorders>
            <w:noWrap w:val="0"/>
            <w:vAlign w:val="center"/>
          </w:tcPr>
          <w:p w14:paraId="5A389AF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7.26</w:t>
            </w:r>
          </w:p>
        </w:tc>
        <w:tc>
          <w:tcPr>
            <w:tcW w:w="498" w:type="pct"/>
            <w:tcBorders>
              <w:tl2br w:val="nil"/>
              <w:tr2bl w:val="nil"/>
            </w:tcBorders>
            <w:noWrap w:val="0"/>
            <w:vAlign w:val="center"/>
          </w:tcPr>
          <w:p w14:paraId="1F9CAB3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6.32</w:t>
            </w:r>
          </w:p>
        </w:tc>
        <w:tc>
          <w:tcPr>
            <w:tcW w:w="500" w:type="pct"/>
            <w:tcBorders>
              <w:tl2br w:val="nil"/>
              <w:tr2bl w:val="nil"/>
            </w:tcBorders>
            <w:noWrap w:val="0"/>
            <w:vAlign w:val="center"/>
          </w:tcPr>
          <w:p w14:paraId="362BCCC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0.40</w:t>
            </w:r>
          </w:p>
        </w:tc>
        <w:tc>
          <w:tcPr>
            <w:tcW w:w="498" w:type="pct"/>
            <w:tcBorders>
              <w:tl2br w:val="nil"/>
              <w:tr2bl w:val="nil"/>
            </w:tcBorders>
            <w:noWrap w:val="0"/>
            <w:vAlign w:val="center"/>
          </w:tcPr>
          <w:p w14:paraId="1B7BCD8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40.19</w:t>
            </w:r>
          </w:p>
        </w:tc>
        <w:tc>
          <w:tcPr>
            <w:tcW w:w="498" w:type="pct"/>
            <w:tcBorders>
              <w:tl2br w:val="nil"/>
              <w:tr2bl w:val="nil"/>
            </w:tcBorders>
            <w:noWrap w:val="0"/>
            <w:vAlign w:val="center"/>
          </w:tcPr>
          <w:p w14:paraId="5F22C07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47945AF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7.39</w:t>
            </w:r>
          </w:p>
        </w:tc>
        <w:tc>
          <w:tcPr>
            <w:tcW w:w="500" w:type="pct"/>
            <w:tcBorders>
              <w:tl2br w:val="nil"/>
              <w:tr2bl w:val="nil"/>
            </w:tcBorders>
            <w:noWrap w:val="0"/>
            <w:vAlign w:val="center"/>
          </w:tcPr>
          <w:p w14:paraId="0CE005F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24.19</w:t>
            </w:r>
          </w:p>
        </w:tc>
      </w:tr>
      <w:tr w14:paraId="7B4A62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11B1D40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6月</w:t>
            </w:r>
          </w:p>
        </w:tc>
        <w:tc>
          <w:tcPr>
            <w:tcW w:w="512" w:type="pct"/>
            <w:tcBorders>
              <w:tl2br w:val="nil"/>
              <w:tr2bl w:val="nil"/>
            </w:tcBorders>
            <w:noWrap w:val="0"/>
            <w:vAlign w:val="center"/>
          </w:tcPr>
          <w:p w14:paraId="71941BB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1.53</w:t>
            </w:r>
          </w:p>
        </w:tc>
        <w:tc>
          <w:tcPr>
            <w:tcW w:w="500" w:type="pct"/>
            <w:tcBorders>
              <w:tl2br w:val="nil"/>
              <w:tr2bl w:val="nil"/>
            </w:tcBorders>
            <w:noWrap w:val="0"/>
            <w:vAlign w:val="center"/>
          </w:tcPr>
          <w:p w14:paraId="1ADE30F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16.94</w:t>
            </w:r>
          </w:p>
        </w:tc>
        <w:tc>
          <w:tcPr>
            <w:tcW w:w="498" w:type="pct"/>
            <w:tcBorders>
              <w:tl2br w:val="nil"/>
              <w:tr2bl w:val="nil"/>
            </w:tcBorders>
            <w:noWrap w:val="0"/>
            <w:vAlign w:val="center"/>
          </w:tcPr>
          <w:p w14:paraId="3C9018E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4.17</w:t>
            </w:r>
          </w:p>
        </w:tc>
        <w:tc>
          <w:tcPr>
            <w:tcW w:w="498" w:type="pct"/>
            <w:tcBorders>
              <w:tl2br w:val="nil"/>
              <w:tr2bl w:val="nil"/>
            </w:tcBorders>
            <w:noWrap w:val="0"/>
            <w:vAlign w:val="center"/>
          </w:tcPr>
          <w:p w14:paraId="0CA0C0E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8.89</w:t>
            </w:r>
          </w:p>
        </w:tc>
        <w:tc>
          <w:tcPr>
            <w:tcW w:w="500" w:type="pct"/>
            <w:tcBorders>
              <w:tl2br w:val="nil"/>
              <w:tr2bl w:val="nil"/>
            </w:tcBorders>
            <w:noWrap w:val="0"/>
            <w:vAlign w:val="center"/>
          </w:tcPr>
          <w:p w14:paraId="0C6B0A1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0.42</w:t>
            </w:r>
          </w:p>
        </w:tc>
        <w:tc>
          <w:tcPr>
            <w:tcW w:w="498" w:type="pct"/>
            <w:tcBorders>
              <w:tl2br w:val="nil"/>
              <w:tr2bl w:val="nil"/>
            </w:tcBorders>
            <w:noWrap w:val="0"/>
            <w:vAlign w:val="center"/>
          </w:tcPr>
          <w:p w14:paraId="61232ED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35.00</w:t>
            </w:r>
          </w:p>
        </w:tc>
        <w:tc>
          <w:tcPr>
            <w:tcW w:w="498" w:type="pct"/>
            <w:tcBorders>
              <w:tl2br w:val="nil"/>
              <w:tr2bl w:val="nil"/>
            </w:tcBorders>
            <w:noWrap w:val="0"/>
            <w:vAlign w:val="center"/>
          </w:tcPr>
          <w:p w14:paraId="60C5075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1B3298F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9.03</w:t>
            </w:r>
          </w:p>
        </w:tc>
        <w:tc>
          <w:tcPr>
            <w:tcW w:w="500" w:type="pct"/>
            <w:tcBorders>
              <w:tl2br w:val="nil"/>
              <w:tr2bl w:val="nil"/>
            </w:tcBorders>
            <w:noWrap w:val="0"/>
            <w:vAlign w:val="center"/>
          </w:tcPr>
          <w:p w14:paraId="5343988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24.03</w:t>
            </w:r>
          </w:p>
        </w:tc>
      </w:tr>
      <w:tr w14:paraId="67ADAC2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2634255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7月</w:t>
            </w:r>
          </w:p>
        </w:tc>
        <w:tc>
          <w:tcPr>
            <w:tcW w:w="512" w:type="pct"/>
            <w:tcBorders>
              <w:tl2br w:val="nil"/>
              <w:tr2bl w:val="nil"/>
            </w:tcBorders>
            <w:noWrap w:val="0"/>
            <w:vAlign w:val="center"/>
          </w:tcPr>
          <w:p w14:paraId="47BE4AB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0.81</w:t>
            </w:r>
          </w:p>
        </w:tc>
        <w:tc>
          <w:tcPr>
            <w:tcW w:w="500" w:type="pct"/>
            <w:tcBorders>
              <w:tl2br w:val="nil"/>
              <w:tr2bl w:val="nil"/>
            </w:tcBorders>
            <w:noWrap w:val="0"/>
            <w:vAlign w:val="center"/>
          </w:tcPr>
          <w:p w14:paraId="0B17418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11.42</w:t>
            </w:r>
          </w:p>
        </w:tc>
        <w:tc>
          <w:tcPr>
            <w:tcW w:w="498" w:type="pct"/>
            <w:tcBorders>
              <w:tl2br w:val="nil"/>
              <w:tr2bl w:val="nil"/>
            </w:tcBorders>
            <w:noWrap w:val="0"/>
            <w:vAlign w:val="center"/>
          </w:tcPr>
          <w:p w14:paraId="1EA1900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4.44</w:t>
            </w:r>
          </w:p>
        </w:tc>
        <w:tc>
          <w:tcPr>
            <w:tcW w:w="498" w:type="pct"/>
            <w:tcBorders>
              <w:tl2br w:val="nil"/>
              <w:tr2bl w:val="nil"/>
            </w:tcBorders>
            <w:noWrap w:val="0"/>
            <w:vAlign w:val="center"/>
          </w:tcPr>
          <w:p w14:paraId="466A219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4.44</w:t>
            </w:r>
          </w:p>
        </w:tc>
        <w:tc>
          <w:tcPr>
            <w:tcW w:w="500" w:type="pct"/>
            <w:tcBorders>
              <w:tl2br w:val="nil"/>
              <w:tr2bl w:val="nil"/>
            </w:tcBorders>
            <w:noWrap w:val="0"/>
            <w:vAlign w:val="center"/>
          </w:tcPr>
          <w:p w14:paraId="0D168C3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0.54</w:t>
            </w:r>
          </w:p>
        </w:tc>
        <w:tc>
          <w:tcPr>
            <w:tcW w:w="498" w:type="pct"/>
            <w:tcBorders>
              <w:tl2br w:val="nil"/>
              <w:tr2bl w:val="nil"/>
            </w:tcBorders>
            <w:noWrap w:val="0"/>
            <w:vAlign w:val="center"/>
          </w:tcPr>
          <w:p w14:paraId="41C929B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51.48</w:t>
            </w:r>
          </w:p>
        </w:tc>
        <w:tc>
          <w:tcPr>
            <w:tcW w:w="498" w:type="pct"/>
            <w:tcBorders>
              <w:tl2br w:val="nil"/>
              <w:tr2bl w:val="nil"/>
            </w:tcBorders>
            <w:noWrap w:val="0"/>
            <w:vAlign w:val="center"/>
          </w:tcPr>
          <w:p w14:paraId="537DB3C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07C3AB9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5.78</w:t>
            </w:r>
          </w:p>
        </w:tc>
        <w:tc>
          <w:tcPr>
            <w:tcW w:w="500" w:type="pct"/>
            <w:tcBorders>
              <w:tl2br w:val="nil"/>
              <w:tr2bl w:val="nil"/>
            </w:tcBorders>
            <w:noWrap w:val="0"/>
            <w:vAlign w:val="center"/>
          </w:tcPr>
          <w:p w14:paraId="052F82B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21.10</w:t>
            </w:r>
          </w:p>
        </w:tc>
      </w:tr>
      <w:tr w14:paraId="575309E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5FE976D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8月</w:t>
            </w:r>
          </w:p>
        </w:tc>
        <w:tc>
          <w:tcPr>
            <w:tcW w:w="512" w:type="pct"/>
            <w:tcBorders>
              <w:tl2br w:val="nil"/>
              <w:tr2bl w:val="nil"/>
            </w:tcBorders>
            <w:noWrap w:val="0"/>
            <w:vAlign w:val="center"/>
          </w:tcPr>
          <w:p w14:paraId="4D912E0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0.13</w:t>
            </w:r>
          </w:p>
        </w:tc>
        <w:tc>
          <w:tcPr>
            <w:tcW w:w="500" w:type="pct"/>
            <w:tcBorders>
              <w:tl2br w:val="nil"/>
              <w:tr2bl w:val="nil"/>
            </w:tcBorders>
            <w:noWrap w:val="0"/>
            <w:vAlign w:val="center"/>
          </w:tcPr>
          <w:p w14:paraId="44C205F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14.38</w:t>
            </w:r>
          </w:p>
        </w:tc>
        <w:tc>
          <w:tcPr>
            <w:tcW w:w="498" w:type="pct"/>
            <w:tcBorders>
              <w:tl2br w:val="nil"/>
              <w:tr2bl w:val="nil"/>
            </w:tcBorders>
            <w:noWrap w:val="0"/>
            <w:vAlign w:val="center"/>
          </w:tcPr>
          <w:p w14:paraId="4206EE3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6.05</w:t>
            </w:r>
          </w:p>
        </w:tc>
        <w:tc>
          <w:tcPr>
            <w:tcW w:w="498" w:type="pct"/>
            <w:tcBorders>
              <w:tl2br w:val="nil"/>
              <w:tr2bl w:val="nil"/>
            </w:tcBorders>
            <w:noWrap w:val="0"/>
            <w:vAlign w:val="center"/>
          </w:tcPr>
          <w:p w14:paraId="0CD8ACB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4.84</w:t>
            </w:r>
          </w:p>
        </w:tc>
        <w:tc>
          <w:tcPr>
            <w:tcW w:w="500" w:type="pct"/>
            <w:tcBorders>
              <w:tl2br w:val="nil"/>
              <w:tr2bl w:val="nil"/>
            </w:tcBorders>
            <w:noWrap w:val="0"/>
            <w:vAlign w:val="center"/>
          </w:tcPr>
          <w:p w14:paraId="3800613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498" w:type="pct"/>
            <w:tcBorders>
              <w:tl2br w:val="nil"/>
              <w:tr2bl w:val="nil"/>
            </w:tcBorders>
            <w:noWrap w:val="0"/>
            <w:vAlign w:val="center"/>
          </w:tcPr>
          <w:p w14:paraId="16419F2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40.05</w:t>
            </w:r>
          </w:p>
        </w:tc>
        <w:tc>
          <w:tcPr>
            <w:tcW w:w="498" w:type="pct"/>
            <w:tcBorders>
              <w:tl2br w:val="nil"/>
              <w:tr2bl w:val="nil"/>
            </w:tcBorders>
            <w:noWrap w:val="0"/>
            <w:vAlign w:val="center"/>
          </w:tcPr>
          <w:p w14:paraId="3C97981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3A3EF52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8.20</w:t>
            </w:r>
          </w:p>
        </w:tc>
        <w:tc>
          <w:tcPr>
            <w:tcW w:w="500" w:type="pct"/>
            <w:tcBorders>
              <w:tl2br w:val="nil"/>
              <w:tr2bl w:val="nil"/>
            </w:tcBorders>
            <w:noWrap w:val="0"/>
            <w:vAlign w:val="center"/>
          </w:tcPr>
          <w:p w14:paraId="24E49A6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26.34</w:t>
            </w:r>
          </w:p>
        </w:tc>
      </w:tr>
      <w:tr w14:paraId="2C3ACAC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0C58DEB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9月</w:t>
            </w:r>
          </w:p>
        </w:tc>
        <w:tc>
          <w:tcPr>
            <w:tcW w:w="512" w:type="pct"/>
            <w:tcBorders>
              <w:tl2br w:val="nil"/>
              <w:tr2bl w:val="nil"/>
            </w:tcBorders>
            <w:noWrap w:val="0"/>
            <w:vAlign w:val="center"/>
          </w:tcPr>
          <w:p w14:paraId="123C1CB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35141B7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14.44</w:t>
            </w:r>
          </w:p>
        </w:tc>
        <w:tc>
          <w:tcPr>
            <w:tcW w:w="498" w:type="pct"/>
            <w:tcBorders>
              <w:tl2br w:val="nil"/>
              <w:tr2bl w:val="nil"/>
            </w:tcBorders>
            <w:noWrap w:val="0"/>
            <w:vAlign w:val="center"/>
          </w:tcPr>
          <w:p w14:paraId="2B7FEB4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2.92</w:t>
            </w:r>
          </w:p>
        </w:tc>
        <w:tc>
          <w:tcPr>
            <w:tcW w:w="498" w:type="pct"/>
            <w:tcBorders>
              <w:tl2br w:val="nil"/>
              <w:tr2bl w:val="nil"/>
            </w:tcBorders>
            <w:noWrap w:val="0"/>
            <w:vAlign w:val="center"/>
          </w:tcPr>
          <w:p w14:paraId="51522AD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5.83</w:t>
            </w:r>
          </w:p>
        </w:tc>
        <w:tc>
          <w:tcPr>
            <w:tcW w:w="500" w:type="pct"/>
            <w:tcBorders>
              <w:tl2br w:val="nil"/>
              <w:tr2bl w:val="nil"/>
            </w:tcBorders>
            <w:noWrap w:val="0"/>
            <w:vAlign w:val="center"/>
          </w:tcPr>
          <w:p w14:paraId="74A686E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0.42</w:t>
            </w:r>
          </w:p>
        </w:tc>
        <w:tc>
          <w:tcPr>
            <w:tcW w:w="498" w:type="pct"/>
            <w:tcBorders>
              <w:tl2br w:val="nil"/>
              <w:tr2bl w:val="nil"/>
            </w:tcBorders>
            <w:noWrap w:val="0"/>
            <w:vAlign w:val="center"/>
          </w:tcPr>
          <w:p w14:paraId="704CB96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33.33</w:t>
            </w:r>
          </w:p>
        </w:tc>
        <w:tc>
          <w:tcPr>
            <w:tcW w:w="498" w:type="pct"/>
            <w:tcBorders>
              <w:tl2br w:val="nil"/>
              <w:tr2bl w:val="nil"/>
            </w:tcBorders>
            <w:noWrap w:val="0"/>
            <w:vAlign w:val="center"/>
          </w:tcPr>
          <w:p w14:paraId="5D95FF7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621F1FB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6.94</w:t>
            </w:r>
          </w:p>
        </w:tc>
        <w:tc>
          <w:tcPr>
            <w:tcW w:w="500" w:type="pct"/>
            <w:tcBorders>
              <w:tl2br w:val="nil"/>
              <w:tr2bl w:val="nil"/>
            </w:tcBorders>
            <w:noWrap w:val="0"/>
            <w:vAlign w:val="center"/>
          </w:tcPr>
          <w:p w14:paraId="6A00842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36.11</w:t>
            </w:r>
          </w:p>
        </w:tc>
      </w:tr>
      <w:tr w14:paraId="1511FB6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7AA6CF1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10月</w:t>
            </w:r>
          </w:p>
        </w:tc>
        <w:tc>
          <w:tcPr>
            <w:tcW w:w="512" w:type="pct"/>
            <w:tcBorders>
              <w:tl2br w:val="nil"/>
              <w:tr2bl w:val="nil"/>
            </w:tcBorders>
            <w:noWrap w:val="0"/>
            <w:vAlign w:val="center"/>
          </w:tcPr>
          <w:p w14:paraId="281212E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36EAD59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13.58</w:t>
            </w:r>
          </w:p>
        </w:tc>
        <w:tc>
          <w:tcPr>
            <w:tcW w:w="498" w:type="pct"/>
            <w:tcBorders>
              <w:tl2br w:val="nil"/>
              <w:tr2bl w:val="nil"/>
            </w:tcBorders>
            <w:noWrap w:val="0"/>
            <w:vAlign w:val="center"/>
          </w:tcPr>
          <w:p w14:paraId="46B9EC2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0.54</w:t>
            </w:r>
          </w:p>
        </w:tc>
        <w:tc>
          <w:tcPr>
            <w:tcW w:w="498" w:type="pct"/>
            <w:tcBorders>
              <w:tl2br w:val="nil"/>
              <w:tr2bl w:val="nil"/>
            </w:tcBorders>
            <w:noWrap w:val="0"/>
            <w:vAlign w:val="center"/>
          </w:tcPr>
          <w:p w14:paraId="0BDAA07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6.59</w:t>
            </w:r>
          </w:p>
        </w:tc>
        <w:tc>
          <w:tcPr>
            <w:tcW w:w="500" w:type="pct"/>
            <w:tcBorders>
              <w:tl2br w:val="nil"/>
              <w:tr2bl w:val="nil"/>
            </w:tcBorders>
            <w:noWrap w:val="0"/>
            <w:vAlign w:val="center"/>
          </w:tcPr>
          <w:p w14:paraId="6ECCD15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0.13</w:t>
            </w:r>
          </w:p>
        </w:tc>
        <w:tc>
          <w:tcPr>
            <w:tcW w:w="498" w:type="pct"/>
            <w:tcBorders>
              <w:tl2br w:val="nil"/>
              <w:tr2bl w:val="nil"/>
            </w:tcBorders>
            <w:noWrap w:val="0"/>
            <w:vAlign w:val="center"/>
          </w:tcPr>
          <w:p w14:paraId="7A0BDE2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25.00</w:t>
            </w:r>
          </w:p>
        </w:tc>
        <w:tc>
          <w:tcPr>
            <w:tcW w:w="498" w:type="pct"/>
            <w:tcBorders>
              <w:tl2br w:val="nil"/>
              <w:tr2bl w:val="nil"/>
            </w:tcBorders>
            <w:noWrap w:val="0"/>
            <w:vAlign w:val="center"/>
          </w:tcPr>
          <w:p w14:paraId="4E99444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622A01F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8.33</w:t>
            </w:r>
          </w:p>
        </w:tc>
        <w:tc>
          <w:tcPr>
            <w:tcW w:w="500" w:type="pct"/>
            <w:tcBorders>
              <w:tl2br w:val="nil"/>
              <w:tr2bl w:val="nil"/>
            </w:tcBorders>
            <w:noWrap w:val="0"/>
            <w:vAlign w:val="center"/>
          </w:tcPr>
          <w:p w14:paraId="75E698C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45.83</w:t>
            </w:r>
          </w:p>
        </w:tc>
      </w:tr>
      <w:tr w14:paraId="346065A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42EECA6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11月</w:t>
            </w:r>
          </w:p>
        </w:tc>
        <w:tc>
          <w:tcPr>
            <w:tcW w:w="512" w:type="pct"/>
            <w:tcBorders>
              <w:tl2br w:val="nil"/>
              <w:tr2bl w:val="nil"/>
            </w:tcBorders>
            <w:noWrap w:val="0"/>
            <w:vAlign w:val="center"/>
          </w:tcPr>
          <w:p w14:paraId="743094B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2AF3E1C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14.44</w:t>
            </w:r>
          </w:p>
        </w:tc>
        <w:tc>
          <w:tcPr>
            <w:tcW w:w="498" w:type="pct"/>
            <w:tcBorders>
              <w:tl2br w:val="nil"/>
              <w:tr2bl w:val="nil"/>
            </w:tcBorders>
            <w:noWrap w:val="0"/>
            <w:vAlign w:val="center"/>
          </w:tcPr>
          <w:p w14:paraId="340F4C6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498" w:type="pct"/>
            <w:tcBorders>
              <w:tl2br w:val="nil"/>
              <w:tr2bl w:val="nil"/>
            </w:tcBorders>
            <w:noWrap w:val="0"/>
            <w:vAlign w:val="center"/>
          </w:tcPr>
          <w:p w14:paraId="793D4A4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7.64</w:t>
            </w:r>
          </w:p>
        </w:tc>
        <w:tc>
          <w:tcPr>
            <w:tcW w:w="500" w:type="pct"/>
            <w:tcBorders>
              <w:tl2br w:val="nil"/>
              <w:tr2bl w:val="nil"/>
            </w:tcBorders>
            <w:noWrap w:val="0"/>
            <w:vAlign w:val="center"/>
          </w:tcPr>
          <w:p w14:paraId="756716D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498" w:type="pct"/>
            <w:tcBorders>
              <w:tl2br w:val="nil"/>
              <w:tr2bl w:val="nil"/>
            </w:tcBorders>
            <w:noWrap w:val="0"/>
            <w:vAlign w:val="center"/>
          </w:tcPr>
          <w:p w14:paraId="67B2EDE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18.89</w:t>
            </w:r>
          </w:p>
        </w:tc>
        <w:tc>
          <w:tcPr>
            <w:tcW w:w="498" w:type="pct"/>
            <w:tcBorders>
              <w:tl2br w:val="nil"/>
              <w:tr2bl w:val="nil"/>
            </w:tcBorders>
            <w:noWrap w:val="0"/>
            <w:vAlign w:val="center"/>
          </w:tcPr>
          <w:p w14:paraId="5891E62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099994B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11.53</w:t>
            </w:r>
          </w:p>
        </w:tc>
        <w:tc>
          <w:tcPr>
            <w:tcW w:w="500" w:type="pct"/>
            <w:tcBorders>
              <w:tl2br w:val="nil"/>
              <w:tr2bl w:val="nil"/>
            </w:tcBorders>
            <w:noWrap w:val="0"/>
            <w:vAlign w:val="center"/>
          </w:tcPr>
          <w:p w14:paraId="6BA6C18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47.50</w:t>
            </w:r>
          </w:p>
        </w:tc>
      </w:tr>
      <w:tr w14:paraId="7674738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39113C6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12月</w:t>
            </w:r>
          </w:p>
        </w:tc>
        <w:tc>
          <w:tcPr>
            <w:tcW w:w="512" w:type="pct"/>
            <w:tcBorders>
              <w:tl2br w:val="nil"/>
              <w:tr2bl w:val="nil"/>
            </w:tcBorders>
            <w:noWrap w:val="0"/>
            <w:vAlign w:val="center"/>
          </w:tcPr>
          <w:p w14:paraId="32B47BD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743F913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13.71</w:t>
            </w:r>
          </w:p>
        </w:tc>
        <w:tc>
          <w:tcPr>
            <w:tcW w:w="498" w:type="pct"/>
            <w:tcBorders>
              <w:tl2br w:val="nil"/>
              <w:tr2bl w:val="nil"/>
            </w:tcBorders>
            <w:noWrap w:val="0"/>
            <w:vAlign w:val="center"/>
          </w:tcPr>
          <w:p w14:paraId="7C375CD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498" w:type="pct"/>
            <w:tcBorders>
              <w:tl2br w:val="nil"/>
              <w:tr2bl w:val="nil"/>
            </w:tcBorders>
            <w:noWrap w:val="0"/>
            <w:vAlign w:val="center"/>
          </w:tcPr>
          <w:p w14:paraId="58FCFDA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3.76</w:t>
            </w:r>
          </w:p>
        </w:tc>
        <w:tc>
          <w:tcPr>
            <w:tcW w:w="500" w:type="pct"/>
            <w:tcBorders>
              <w:tl2br w:val="nil"/>
              <w:tr2bl w:val="nil"/>
            </w:tcBorders>
            <w:noWrap w:val="0"/>
            <w:vAlign w:val="center"/>
          </w:tcPr>
          <w:p w14:paraId="3F52471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498" w:type="pct"/>
            <w:tcBorders>
              <w:tl2br w:val="nil"/>
              <w:tr2bl w:val="nil"/>
            </w:tcBorders>
            <w:noWrap w:val="0"/>
            <w:vAlign w:val="center"/>
          </w:tcPr>
          <w:p w14:paraId="57FAA0F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28.09</w:t>
            </w:r>
          </w:p>
        </w:tc>
        <w:tc>
          <w:tcPr>
            <w:tcW w:w="498" w:type="pct"/>
            <w:tcBorders>
              <w:tl2br w:val="nil"/>
              <w:tr2bl w:val="nil"/>
            </w:tcBorders>
            <w:noWrap w:val="0"/>
            <w:vAlign w:val="center"/>
          </w:tcPr>
          <w:p w14:paraId="5FE000E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0B527F0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7.93</w:t>
            </w:r>
          </w:p>
        </w:tc>
        <w:tc>
          <w:tcPr>
            <w:tcW w:w="500" w:type="pct"/>
            <w:tcBorders>
              <w:tl2br w:val="nil"/>
              <w:tr2bl w:val="nil"/>
            </w:tcBorders>
            <w:noWrap w:val="0"/>
            <w:vAlign w:val="center"/>
          </w:tcPr>
          <w:p w14:paraId="0AA51B0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46.51</w:t>
            </w:r>
          </w:p>
        </w:tc>
      </w:tr>
      <w:tr w14:paraId="1254288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02475BA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全年</w:t>
            </w:r>
          </w:p>
        </w:tc>
        <w:tc>
          <w:tcPr>
            <w:tcW w:w="512" w:type="pct"/>
            <w:tcBorders>
              <w:tl2br w:val="nil"/>
              <w:tr2bl w:val="nil"/>
            </w:tcBorders>
            <w:noWrap w:val="0"/>
            <w:vAlign w:val="center"/>
          </w:tcPr>
          <w:p w14:paraId="6F5EC3F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0.21</w:t>
            </w:r>
          </w:p>
        </w:tc>
        <w:tc>
          <w:tcPr>
            <w:tcW w:w="500" w:type="pct"/>
            <w:tcBorders>
              <w:tl2br w:val="nil"/>
              <w:tr2bl w:val="nil"/>
            </w:tcBorders>
            <w:noWrap w:val="0"/>
            <w:vAlign w:val="center"/>
          </w:tcPr>
          <w:p w14:paraId="54A7DC8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14.16</w:t>
            </w:r>
          </w:p>
        </w:tc>
        <w:tc>
          <w:tcPr>
            <w:tcW w:w="498" w:type="pct"/>
            <w:tcBorders>
              <w:tl2br w:val="nil"/>
              <w:tr2bl w:val="nil"/>
            </w:tcBorders>
            <w:noWrap w:val="0"/>
            <w:vAlign w:val="center"/>
          </w:tcPr>
          <w:p w14:paraId="2885F73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2.76</w:t>
            </w:r>
          </w:p>
        </w:tc>
        <w:tc>
          <w:tcPr>
            <w:tcW w:w="498" w:type="pct"/>
            <w:tcBorders>
              <w:tl2br w:val="nil"/>
              <w:tr2bl w:val="nil"/>
            </w:tcBorders>
            <w:noWrap w:val="0"/>
            <w:vAlign w:val="center"/>
          </w:tcPr>
          <w:p w14:paraId="75A3A85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5.75</w:t>
            </w:r>
          </w:p>
        </w:tc>
        <w:tc>
          <w:tcPr>
            <w:tcW w:w="500" w:type="pct"/>
            <w:tcBorders>
              <w:tl2br w:val="nil"/>
              <w:tr2bl w:val="nil"/>
            </w:tcBorders>
            <w:noWrap w:val="0"/>
            <w:vAlign w:val="center"/>
          </w:tcPr>
          <w:p w14:paraId="3566880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0.23</w:t>
            </w:r>
          </w:p>
        </w:tc>
        <w:tc>
          <w:tcPr>
            <w:tcW w:w="498" w:type="pct"/>
            <w:tcBorders>
              <w:tl2br w:val="nil"/>
              <w:tr2bl w:val="nil"/>
            </w:tcBorders>
            <w:noWrap w:val="0"/>
            <w:vAlign w:val="center"/>
          </w:tcPr>
          <w:p w14:paraId="3B8A1D3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35.25</w:t>
            </w:r>
          </w:p>
        </w:tc>
        <w:tc>
          <w:tcPr>
            <w:tcW w:w="498" w:type="pct"/>
            <w:tcBorders>
              <w:tl2br w:val="nil"/>
              <w:tr2bl w:val="nil"/>
            </w:tcBorders>
            <w:noWrap w:val="0"/>
            <w:vAlign w:val="center"/>
          </w:tcPr>
          <w:p w14:paraId="264180C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7511640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8.15</w:t>
            </w:r>
          </w:p>
        </w:tc>
        <w:tc>
          <w:tcPr>
            <w:tcW w:w="500" w:type="pct"/>
            <w:tcBorders>
              <w:tl2br w:val="nil"/>
              <w:tr2bl w:val="nil"/>
            </w:tcBorders>
            <w:noWrap w:val="0"/>
            <w:vAlign w:val="center"/>
          </w:tcPr>
          <w:p w14:paraId="43A8110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33.49</w:t>
            </w:r>
          </w:p>
        </w:tc>
      </w:tr>
      <w:tr w14:paraId="627F854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2C6ADD1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春季</w:t>
            </w:r>
          </w:p>
        </w:tc>
        <w:tc>
          <w:tcPr>
            <w:tcW w:w="512" w:type="pct"/>
            <w:tcBorders>
              <w:tl2br w:val="nil"/>
              <w:tr2bl w:val="nil"/>
            </w:tcBorders>
            <w:noWrap w:val="0"/>
            <w:vAlign w:val="center"/>
          </w:tcPr>
          <w:p w14:paraId="04C37AC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2C145D8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15.76</w:t>
            </w:r>
          </w:p>
        </w:tc>
        <w:tc>
          <w:tcPr>
            <w:tcW w:w="498" w:type="pct"/>
            <w:tcBorders>
              <w:tl2br w:val="nil"/>
              <w:tr2bl w:val="nil"/>
            </w:tcBorders>
            <w:noWrap w:val="0"/>
            <w:vAlign w:val="center"/>
          </w:tcPr>
          <w:p w14:paraId="2B037C1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4.85</w:t>
            </w:r>
          </w:p>
        </w:tc>
        <w:tc>
          <w:tcPr>
            <w:tcW w:w="498" w:type="pct"/>
            <w:tcBorders>
              <w:tl2br w:val="nil"/>
              <w:tr2bl w:val="nil"/>
            </w:tcBorders>
            <w:noWrap w:val="0"/>
            <w:vAlign w:val="center"/>
          </w:tcPr>
          <w:p w14:paraId="061A888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6.70</w:t>
            </w:r>
          </w:p>
        </w:tc>
        <w:tc>
          <w:tcPr>
            <w:tcW w:w="500" w:type="pct"/>
            <w:tcBorders>
              <w:tl2br w:val="nil"/>
              <w:tr2bl w:val="nil"/>
            </w:tcBorders>
            <w:noWrap w:val="0"/>
            <w:vAlign w:val="center"/>
          </w:tcPr>
          <w:p w14:paraId="7C73869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0.41</w:t>
            </w:r>
          </w:p>
        </w:tc>
        <w:tc>
          <w:tcPr>
            <w:tcW w:w="498" w:type="pct"/>
            <w:tcBorders>
              <w:tl2br w:val="nil"/>
              <w:tr2bl w:val="nil"/>
            </w:tcBorders>
            <w:noWrap w:val="0"/>
            <w:vAlign w:val="center"/>
          </w:tcPr>
          <w:p w14:paraId="4AC6F97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32.02</w:t>
            </w:r>
          </w:p>
        </w:tc>
        <w:tc>
          <w:tcPr>
            <w:tcW w:w="498" w:type="pct"/>
            <w:tcBorders>
              <w:tl2br w:val="nil"/>
              <w:tr2bl w:val="nil"/>
            </w:tcBorders>
            <w:noWrap w:val="0"/>
            <w:vAlign w:val="center"/>
          </w:tcPr>
          <w:p w14:paraId="332CC77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4867EAD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9.10</w:t>
            </w:r>
          </w:p>
        </w:tc>
        <w:tc>
          <w:tcPr>
            <w:tcW w:w="500" w:type="pct"/>
            <w:tcBorders>
              <w:tl2br w:val="nil"/>
              <w:tr2bl w:val="nil"/>
            </w:tcBorders>
            <w:noWrap w:val="0"/>
            <w:vAlign w:val="center"/>
          </w:tcPr>
          <w:p w14:paraId="37CBDDE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31.16</w:t>
            </w:r>
          </w:p>
        </w:tc>
      </w:tr>
      <w:tr w14:paraId="14C1DCF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684305C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夏季</w:t>
            </w:r>
          </w:p>
        </w:tc>
        <w:tc>
          <w:tcPr>
            <w:tcW w:w="512" w:type="pct"/>
            <w:tcBorders>
              <w:tl2br w:val="nil"/>
              <w:tr2bl w:val="nil"/>
            </w:tcBorders>
            <w:noWrap w:val="0"/>
            <w:vAlign w:val="center"/>
          </w:tcPr>
          <w:p w14:paraId="54F4025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0.82</w:t>
            </w:r>
          </w:p>
        </w:tc>
        <w:tc>
          <w:tcPr>
            <w:tcW w:w="500" w:type="pct"/>
            <w:tcBorders>
              <w:tl2br w:val="nil"/>
              <w:tr2bl w:val="nil"/>
            </w:tcBorders>
            <w:noWrap w:val="0"/>
            <w:vAlign w:val="center"/>
          </w:tcPr>
          <w:p w14:paraId="6B282CA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14.22</w:t>
            </w:r>
          </w:p>
        </w:tc>
        <w:tc>
          <w:tcPr>
            <w:tcW w:w="498" w:type="pct"/>
            <w:tcBorders>
              <w:tl2br w:val="nil"/>
              <w:tr2bl w:val="nil"/>
            </w:tcBorders>
            <w:noWrap w:val="0"/>
            <w:vAlign w:val="center"/>
          </w:tcPr>
          <w:p w14:paraId="18B273A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4.89</w:t>
            </w:r>
          </w:p>
        </w:tc>
        <w:tc>
          <w:tcPr>
            <w:tcW w:w="498" w:type="pct"/>
            <w:tcBorders>
              <w:tl2br w:val="nil"/>
              <w:tr2bl w:val="nil"/>
            </w:tcBorders>
            <w:noWrap w:val="0"/>
            <w:vAlign w:val="center"/>
          </w:tcPr>
          <w:p w14:paraId="3507555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6.02</w:t>
            </w:r>
          </w:p>
        </w:tc>
        <w:tc>
          <w:tcPr>
            <w:tcW w:w="500" w:type="pct"/>
            <w:tcBorders>
              <w:tl2br w:val="nil"/>
              <w:tr2bl w:val="nil"/>
            </w:tcBorders>
            <w:noWrap w:val="0"/>
            <w:vAlign w:val="center"/>
          </w:tcPr>
          <w:p w14:paraId="799053F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0.32</w:t>
            </w:r>
          </w:p>
        </w:tc>
        <w:tc>
          <w:tcPr>
            <w:tcW w:w="498" w:type="pct"/>
            <w:tcBorders>
              <w:tl2br w:val="nil"/>
              <w:tr2bl w:val="nil"/>
            </w:tcBorders>
            <w:noWrap w:val="0"/>
            <w:vAlign w:val="center"/>
          </w:tcPr>
          <w:p w14:paraId="441CE8A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42.26</w:t>
            </w:r>
          </w:p>
        </w:tc>
        <w:tc>
          <w:tcPr>
            <w:tcW w:w="498" w:type="pct"/>
            <w:tcBorders>
              <w:tl2br w:val="nil"/>
              <w:tr2bl w:val="nil"/>
            </w:tcBorders>
            <w:noWrap w:val="0"/>
            <w:vAlign w:val="center"/>
          </w:tcPr>
          <w:p w14:paraId="39C46BC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66EF40D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7.65</w:t>
            </w:r>
          </w:p>
        </w:tc>
        <w:tc>
          <w:tcPr>
            <w:tcW w:w="500" w:type="pct"/>
            <w:tcBorders>
              <w:tl2br w:val="nil"/>
              <w:tr2bl w:val="nil"/>
            </w:tcBorders>
            <w:noWrap w:val="0"/>
            <w:vAlign w:val="center"/>
          </w:tcPr>
          <w:p w14:paraId="528D2A6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23.82</w:t>
            </w:r>
          </w:p>
        </w:tc>
      </w:tr>
      <w:tr w14:paraId="7A566AD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5EAD58F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秋季</w:t>
            </w:r>
          </w:p>
        </w:tc>
        <w:tc>
          <w:tcPr>
            <w:tcW w:w="512" w:type="pct"/>
            <w:tcBorders>
              <w:tl2br w:val="nil"/>
              <w:tr2bl w:val="nil"/>
            </w:tcBorders>
            <w:noWrap w:val="0"/>
            <w:vAlign w:val="center"/>
          </w:tcPr>
          <w:p w14:paraId="7721E25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7492191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14.15</w:t>
            </w:r>
          </w:p>
        </w:tc>
        <w:tc>
          <w:tcPr>
            <w:tcW w:w="498" w:type="pct"/>
            <w:tcBorders>
              <w:tl2br w:val="nil"/>
              <w:tr2bl w:val="nil"/>
            </w:tcBorders>
            <w:noWrap w:val="0"/>
            <w:vAlign w:val="center"/>
          </w:tcPr>
          <w:p w14:paraId="45687A0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1.14</w:t>
            </w:r>
          </w:p>
        </w:tc>
        <w:tc>
          <w:tcPr>
            <w:tcW w:w="498" w:type="pct"/>
            <w:tcBorders>
              <w:tl2br w:val="nil"/>
              <w:tr2bl w:val="nil"/>
            </w:tcBorders>
            <w:noWrap w:val="0"/>
            <w:vAlign w:val="center"/>
          </w:tcPr>
          <w:p w14:paraId="2120906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6.68</w:t>
            </w:r>
          </w:p>
        </w:tc>
        <w:tc>
          <w:tcPr>
            <w:tcW w:w="500" w:type="pct"/>
            <w:tcBorders>
              <w:tl2br w:val="nil"/>
              <w:tr2bl w:val="nil"/>
            </w:tcBorders>
            <w:noWrap w:val="0"/>
            <w:vAlign w:val="center"/>
          </w:tcPr>
          <w:p w14:paraId="1883155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0.18</w:t>
            </w:r>
          </w:p>
        </w:tc>
        <w:tc>
          <w:tcPr>
            <w:tcW w:w="498" w:type="pct"/>
            <w:tcBorders>
              <w:tl2br w:val="nil"/>
              <w:tr2bl w:val="nil"/>
            </w:tcBorders>
            <w:noWrap w:val="0"/>
            <w:vAlign w:val="center"/>
          </w:tcPr>
          <w:p w14:paraId="2112557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25.73</w:t>
            </w:r>
          </w:p>
        </w:tc>
        <w:tc>
          <w:tcPr>
            <w:tcW w:w="498" w:type="pct"/>
            <w:tcBorders>
              <w:tl2br w:val="nil"/>
              <w:tr2bl w:val="nil"/>
            </w:tcBorders>
            <w:noWrap w:val="0"/>
            <w:vAlign w:val="center"/>
          </w:tcPr>
          <w:p w14:paraId="7CE414A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1C6D2BF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8.93</w:t>
            </w:r>
          </w:p>
        </w:tc>
        <w:tc>
          <w:tcPr>
            <w:tcW w:w="500" w:type="pct"/>
            <w:tcBorders>
              <w:tl2br w:val="nil"/>
              <w:tr2bl w:val="nil"/>
            </w:tcBorders>
            <w:noWrap w:val="0"/>
            <w:vAlign w:val="center"/>
          </w:tcPr>
          <w:p w14:paraId="4270072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43.18</w:t>
            </w:r>
          </w:p>
        </w:tc>
      </w:tr>
      <w:tr w14:paraId="30F3E56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1" w:type="dxa"/>
            <w:bottom w:w="0" w:type="dxa"/>
            <w:right w:w="11" w:type="dxa"/>
          </w:tblCellMar>
        </w:tblPrEx>
        <w:trPr>
          <w:jc w:val="center"/>
        </w:trPr>
        <w:tc>
          <w:tcPr>
            <w:tcW w:w="491" w:type="pct"/>
            <w:tcBorders>
              <w:tl2br w:val="nil"/>
              <w:tr2bl w:val="nil"/>
            </w:tcBorders>
            <w:noWrap w:val="0"/>
            <w:vAlign w:val="center"/>
          </w:tcPr>
          <w:p w14:paraId="6433CA7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冬季</w:t>
            </w:r>
          </w:p>
        </w:tc>
        <w:tc>
          <w:tcPr>
            <w:tcW w:w="512" w:type="pct"/>
            <w:tcBorders>
              <w:tl2br w:val="nil"/>
              <w:tr2bl w:val="nil"/>
            </w:tcBorders>
            <w:noWrap w:val="0"/>
            <w:vAlign w:val="center"/>
          </w:tcPr>
          <w:p w14:paraId="4BC0232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10D9862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12.45</w:t>
            </w:r>
          </w:p>
        </w:tc>
        <w:tc>
          <w:tcPr>
            <w:tcW w:w="498" w:type="pct"/>
            <w:tcBorders>
              <w:tl2br w:val="nil"/>
              <w:tr2bl w:val="nil"/>
            </w:tcBorders>
            <w:noWrap w:val="0"/>
            <w:vAlign w:val="center"/>
          </w:tcPr>
          <w:p w14:paraId="52CCEBA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0.09</w:t>
            </w:r>
          </w:p>
        </w:tc>
        <w:tc>
          <w:tcPr>
            <w:tcW w:w="498" w:type="pct"/>
            <w:tcBorders>
              <w:tl2br w:val="nil"/>
              <w:tr2bl w:val="nil"/>
            </w:tcBorders>
            <w:noWrap w:val="0"/>
            <w:vAlign w:val="center"/>
          </w:tcPr>
          <w:p w14:paraId="087AA4A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3.56</w:t>
            </w:r>
          </w:p>
        </w:tc>
        <w:tc>
          <w:tcPr>
            <w:tcW w:w="500" w:type="pct"/>
            <w:tcBorders>
              <w:tl2br w:val="nil"/>
              <w:tr2bl w:val="nil"/>
            </w:tcBorders>
            <w:noWrap w:val="0"/>
            <w:vAlign w:val="center"/>
          </w:tcPr>
          <w:p w14:paraId="1DBB0F4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498" w:type="pct"/>
            <w:tcBorders>
              <w:tl2br w:val="nil"/>
              <w:tr2bl w:val="nil"/>
            </w:tcBorders>
            <w:noWrap w:val="0"/>
            <w:vAlign w:val="center"/>
          </w:tcPr>
          <w:p w14:paraId="1000F9A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41.02</w:t>
            </w:r>
          </w:p>
        </w:tc>
        <w:tc>
          <w:tcPr>
            <w:tcW w:w="498" w:type="pct"/>
            <w:tcBorders>
              <w:tl2br w:val="nil"/>
              <w:tr2bl w:val="nil"/>
            </w:tcBorders>
            <w:noWrap w:val="0"/>
            <w:vAlign w:val="center"/>
          </w:tcPr>
          <w:p w14:paraId="3627A24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0.00</w:t>
            </w:r>
          </w:p>
        </w:tc>
        <w:tc>
          <w:tcPr>
            <w:tcW w:w="500" w:type="pct"/>
            <w:tcBorders>
              <w:tl2br w:val="nil"/>
              <w:tr2bl w:val="nil"/>
            </w:tcBorders>
            <w:noWrap w:val="0"/>
            <w:vAlign w:val="center"/>
          </w:tcPr>
          <w:p w14:paraId="1CA5BA9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6.90</w:t>
            </w:r>
          </w:p>
        </w:tc>
        <w:tc>
          <w:tcPr>
            <w:tcW w:w="500" w:type="pct"/>
            <w:tcBorders>
              <w:tl2br w:val="nil"/>
              <w:tr2bl w:val="nil"/>
            </w:tcBorders>
            <w:noWrap w:val="0"/>
            <w:vAlign w:val="center"/>
          </w:tcPr>
          <w:p w14:paraId="1FAE33D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35.97</w:t>
            </w:r>
          </w:p>
        </w:tc>
      </w:tr>
    </w:tbl>
    <w:p w14:paraId="12B4B285">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bookmarkStart w:id="205" w:name="_Toc15834"/>
      <w:bookmarkStart w:id="206" w:name="_Toc31902"/>
      <w:r>
        <w:rPr>
          <w:rFonts w:hint="default" w:ascii="Times New Roman" w:hAnsi="Times New Roman" w:eastAsia="宋体" w:cs="Times New Roman"/>
          <w:b w:val="0"/>
          <w:bCs w:val="0"/>
          <w:sz w:val="24"/>
          <w:szCs w:val="24"/>
          <w:u w:val="none"/>
          <w:lang w:val="en-US" w:eastAsia="zh-CN"/>
        </w:rPr>
        <w:t>⑤污染系数</w:t>
      </w:r>
    </w:p>
    <w:p w14:paraId="7FAE6575">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阿克苏2023年污染系数变化见表5.2-12。</w:t>
      </w:r>
    </w:p>
    <w:p w14:paraId="6B4C0BE0">
      <w:pPr>
        <w:jc w:val="center"/>
        <w:rPr>
          <w:rFonts w:hint="default" w:ascii="Times New Roman" w:hAnsi="Times New Roman" w:eastAsia="宋体" w:cs="Times New Roman"/>
          <w:b/>
          <w:bCs/>
          <w:sz w:val="24"/>
          <w:szCs w:val="24"/>
          <w:u w:val="none"/>
          <w:lang w:val="en-US" w:eastAsia="zh-CN"/>
        </w:rPr>
      </w:pPr>
      <w:r>
        <w:rPr>
          <w:rFonts w:hint="default" w:ascii="Times New Roman" w:hAnsi="Times New Roman" w:cs="Times New Roman"/>
          <w:b/>
          <w:bCs/>
          <w:sz w:val="24"/>
          <w:szCs w:val="24"/>
          <w:u w:val="none"/>
        </w:rPr>
        <w:t>表5</w:t>
      </w:r>
      <w:r>
        <w:rPr>
          <w:rFonts w:hint="default" w:ascii="Times New Roman" w:hAnsi="Times New Roman" w:cs="Times New Roman"/>
          <w:b/>
          <w:bCs/>
          <w:sz w:val="24"/>
          <w:szCs w:val="24"/>
          <w:u w:val="none"/>
          <w:lang w:val="en-US" w:eastAsia="zh-CN"/>
        </w:rPr>
        <w:t>.2</w:t>
      </w:r>
      <w:r>
        <w:rPr>
          <w:rFonts w:hint="default" w:ascii="Times New Roman" w:hAnsi="Times New Roman" w:cs="Times New Roman"/>
          <w:b/>
          <w:bCs/>
          <w:sz w:val="24"/>
          <w:szCs w:val="24"/>
          <w:u w:val="none"/>
        </w:rPr>
        <w:t>-1</w:t>
      </w:r>
      <w:r>
        <w:rPr>
          <w:rFonts w:hint="default" w:ascii="Times New Roman" w:hAnsi="Times New Roman" w:cs="Times New Roman"/>
          <w:b/>
          <w:bCs/>
          <w:sz w:val="24"/>
          <w:szCs w:val="24"/>
          <w:u w:val="none"/>
          <w:lang w:val="en-US" w:eastAsia="zh-CN"/>
        </w:rPr>
        <w:t>2</w:t>
      </w:r>
      <w:r>
        <w:rPr>
          <w:rFonts w:hint="default" w:ascii="Times New Roman" w:hAnsi="Times New Roman" w:cs="Times New Roman"/>
          <w:b/>
          <w:bCs/>
          <w:sz w:val="24"/>
          <w:szCs w:val="24"/>
          <w:u w:val="none"/>
        </w:rPr>
        <w:t xml:space="preserve"> </w:t>
      </w:r>
      <w:r>
        <w:rPr>
          <w:rFonts w:hint="default" w:ascii="Times New Roman" w:hAnsi="Times New Roman" w:cs="Times New Roman"/>
          <w:b/>
          <w:bCs/>
          <w:sz w:val="24"/>
          <w:szCs w:val="24"/>
          <w:u w:val="none"/>
          <w:lang w:val="en-US" w:eastAsia="zh-CN"/>
        </w:rPr>
        <w:t>阿克苏2023年污染系数变化一览表</w:t>
      </w:r>
    </w:p>
    <w:tbl>
      <w:tblPr>
        <w:tblStyle w:val="39"/>
        <w:tblW w:w="4996"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49"/>
        <w:gridCol w:w="449"/>
        <w:gridCol w:w="516"/>
        <w:gridCol w:w="393"/>
        <w:gridCol w:w="498"/>
        <w:gridCol w:w="380"/>
        <w:gridCol w:w="469"/>
        <w:gridCol w:w="380"/>
        <w:gridCol w:w="460"/>
        <w:gridCol w:w="380"/>
        <w:gridCol w:w="516"/>
        <w:gridCol w:w="423"/>
        <w:gridCol w:w="581"/>
        <w:gridCol w:w="380"/>
        <w:gridCol w:w="610"/>
        <w:gridCol w:w="450"/>
        <w:gridCol w:w="574"/>
        <w:gridCol w:w="507"/>
      </w:tblGrid>
      <w:tr w14:paraId="771EB8E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64BBBBA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时间</w:t>
            </w:r>
          </w:p>
        </w:tc>
        <w:tc>
          <w:tcPr>
            <w:tcW w:w="225" w:type="pct"/>
            <w:tcBorders>
              <w:tl2br w:val="nil"/>
              <w:tr2bl w:val="nil"/>
            </w:tcBorders>
            <w:noWrap w:val="0"/>
            <w:vAlign w:val="center"/>
          </w:tcPr>
          <w:p w14:paraId="7422B0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N</w:t>
            </w:r>
          </w:p>
        </w:tc>
        <w:tc>
          <w:tcPr>
            <w:tcW w:w="305" w:type="pct"/>
            <w:tcBorders>
              <w:tl2br w:val="nil"/>
              <w:tr2bl w:val="nil"/>
            </w:tcBorders>
            <w:noWrap w:val="0"/>
            <w:vAlign w:val="center"/>
          </w:tcPr>
          <w:p w14:paraId="589B687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NNE</w:t>
            </w:r>
          </w:p>
        </w:tc>
        <w:tc>
          <w:tcPr>
            <w:tcW w:w="233" w:type="pct"/>
            <w:tcBorders>
              <w:tl2br w:val="nil"/>
              <w:tr2bl w:val="nil"/>
            </w:tcBorders>
            <w:noWrap w:val="0"/>
            <w:vAlign w:val="center"/>
          </w:tcPr>
          <w:p w14:paraId="0DCBF2B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NE</w:t>
            </w:r>
          </w:p>
        </w:tc>
        <w:tc>
          <w:tcPr>
            <w:tcW w:w="294" w:type="pct"/>
            <w:tcBorders>
              <w:tl2br w:val="nil"/>
              <w:tr2bl w:val="nil"/>
            </w:tcBorders>
            <w:noWrap w:val="0"/>
            <w:vAlign w:val="center"/>
          </w:tcPr>
          <w:p w14:paraId="71EBA64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ENE</w:t>
            </w:r>
          </w:p>
        </w:tc>
        <w:tc>
          <w:tcPr>
            <w:tcW w:w="225" w:type="pct"/>
            <w:tcBorders>
              <w:tl2br w:val="nil"/>
              <w:tr2bl w:val="nil"/>
            </w:tcBorders>
            <w:noWrap w:val="0"/>
            <w:vAlign w:val="center"/>
          </w:tcPr>
          <w:p w14:paraId="1EA4CBD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E</w:t>
            </w:r>
          </w:p>
        </w:tc>
        <w:tc>
          <w:tcPr>
            <w:tcW w:w="277" w:type="pct"/>
            <w:tcBorders>
              <w:tl2br w:val="nil"/>
              <w:tr2bl w:val="nil"/>
            </w:tcBorders>
            <w:noWrap w:val="0"/>
            <w:vAlign w:val="center"/>
          </w:tcPr>
          <w:p w14:paraId="561EEBB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ESE</w:t>
            </w:r>
          </w:p>
        </w:tc>
        <w:tc>
          <w:tcPr>
            <w:tcW w:w="225" w:type="pct"/>
            <w:tcBorders>
              <w:tl2br w:val="nil"/>
              <w:tr2bl w:val="nil"/>
            </w:tcBorders>
            <w:noWrap w:val="0"/>
            <w:vAlign w:val="center"/>
          </w:tcPr>
          <w:p w14:paraId="5B6932F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SE</w:t>
            </w:r>
          </w:p>
        </w:tc>
        <w:tc>
          <w:tcPr>
            <w:tcW w:w="272" w:type="pct"/>
            <w:tcBorders>
              <w:tl2br w:val="nil"/>
              <w:tr2bl w:val="nil"/>
            </w:tcBorders>
            <w:noWrap w:val="0"/>
            <w:vAlign w:val="center"/>
          </w:tcPr>
          <w:p w14:paraId="5B14E48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SSE</w:t>
            </w:r>
          </w:p>
        </w:tc>
        <w:tc>
          <w:tcPr>
            <w:tcW w:w="225" w:type="pct"/>
            <w:tcBorders>
              <w:tl2br w:val="nil"/>
              <w:tr2bl w:val="nil"/>
            </w:tcBorders>
            <w:noWrap w:val="0"/>
            <w:vAlign w:val="center"/>
          </w:tcPr>
          <w:p w14:paraId="0DA6AAA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S</w:t>
            </w:r>
          </w:p>
        </w:tc>
        <w:tc>
          <w:tcPr>
            <w:tcW w:w="305" w:type="pct"/>
            <w:tcBorders>
              <w:tl2br w:val="nil"/>
              <w:tr2bl w:val="nil"/>
            </w:tcBorders>
            <w:noWrap w:val="0"/>
            <w:vAlign w:val="center"/>
          </w:tcPr>
          <w:p w14:paraId="41A4830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SSW</w:t>
            </w:r>
          </w:p>
        </w:tc>
        <w:tc>
          <w:tcPr>
            <w:tcW w:w="250" w:type="pct"/>
            <w:tcBorders>
              <w:tl2br w:val="nil"/>
              <w:tr2bl w:val="nil"/>
            </w:tcBorders>
            <w:noWrap w:val="0"/>
            <w:vAlign w:val="center"/>
          </w:tcPr>
          <w:p w14:paraId="6E5E375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SW</w:t>
            </w:r>
          </w:p>
        </w:tc>
        <w:tc>
          <w:tcPr>
            <w:tcW w:w="343" w:type="pct"/>
            <w:tcBorders>
              <w:tl2br w:val="nil"/>
              <w:tr2bl w:val="nil"/>
            </w:tcBorders>
            <w:noWrap w:val="0"/>
            <w:vAlign w:val="center"/>
          </w:tcPr>
          <w:p w14:paraId="2280DE0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WSW</w:t>
            </w:r>
          </w:p>
        </w:tc>
        <w:tc>
          <w:tcPr>
            <w:tcW w:w="225" w:type="pct"/>
            <w:tcBorders>
              <w:tl2br w:val="nil"/>
              <w:tr2bl w:val="nil"/>
            </w:tcBorders>
            <w:noWrap w:val="0"/>
            <w:vAlign w:val="center"/>
          </w:tcPr>
          <w:p w14:paraId="0097517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W</w:t>
            </w:r>
          </w:p>
        </w:tc>
        <w:tc>
          <w:tcPr>
            <w:tcW w:w="360" w:type="pct"/>
            <w:tcBorders>
              <w:tl2br w:val="nil"/>
              <w:tr2bl w:val="nil"/>
            </w:tcBorders>
            <w:noWrap w:val="0"/>
            <w:vAlign w:val="center"/>
          </w:tcPr>
          <w:p w14:paraId="1C9041B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WNW</w:t>
            </w:r>
          </w:p>
        </w:tc>
        <w:tc>
          <w:tcPr>
            <w:tcW w:w="266" w:type="pct"/>
            <w:tcBorders>
              <w:tl2br w:val="nil"/>
              <w:tr2bl w:val="nil"/>
            </w:tcBorders>
            <w:noWrap w:val="0"/>
            <w:vAlign w:val="center"/>
          </w:tcPr>
          <w:p w14:paraId="441361A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NW</w:t>
            </w:r>
          </w:p>
        </w:tc>
        <w:tc>
          <w:tcPr>
            <w:tcW w:w="338" w:type="pct"/>
            <w:tcBorders>
              <w:tl2br w:val="nil"/>
              <w:tr2bl w:val="nil"/>
            </w:tcBorders>
            <w:noWrap w:val="0"/>
            <w:vAlign w:val="center"/>
          </w:tcPr>
          <w:p w14:paraId="491CE70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NNW</w:t>
            </w:r>
          </w:p>
        </w:tc>
        <w:tc>
          <w:tcPr>
            <w:tcW w:w="299" w:type="pct"/>
            <w:tcBorders>
              <w:tl2br w:val="nil"/>
              <w:tr2bl w:val="nil"/>
            </w:tcBorders>
            <w:noWrap w:val="0"/>
            <w:vAlign w:val="center"/>
          </w:tcPr>
          <w:p w14:paraId="2FEE8E3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平均</w:t>
            </w:r>
          </w:p>
        </w:tc>
      </w:tr>
      <w:tr w14:paraId="6EF82BF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2251E89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1月</w:t>
            </w:r>
          </w:p>
        </w:tc>
        <w:tc>
          <w:tcPr>
            <w:tcW w:w="225" w:type="pct"/>
            <w:tcBorders>
              <w:tl2br w:val="nil"/>
              <w:tr2bl w:val="nil"/>
            </w:tcBorders>
            <w:noWrap w:val="0"/>
            <w:vAlign w:val="center"/>
          </w:tcPr>
          <w:p w14:paraId="218178F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17.75</w:t>
            </w:r>
          </w:p>
        </w:tc>
        <w:tc>
          <w:tcPr>
            <w:tcW w:w="305" w:type="pct"/>
            <w:tcBorders>
              <w:tl2br w:val="nil"/>
              <w:tr2bl w:val="nil"/>
            </w:tcBorders>
            <w:noWrap w:val="0"/>
            <w:vAlign w:val="center"/>
          </w:tcPr>
          <w:p w14:paraId="334785D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5.26</w:t>
            </w:r>
          </w:p>
        </w:tc>
        <w:tc>
          <w:tcPr>
            <w:tcW w:w="233" w:type="pct"/>
            <w:tcBorders>
              <w:tl2br w:val="nil"/>
              <w:tr2bl w:val="nil"/>
            </w:tcBorders>
            <w:noWrap w:val="0"/>
            <w:vAlign w:val="center"/>
          </w:tcPr>
          <w:p w14:paraId="299DA1D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4.36</w:t>
            </w:r>
          </w:p>
        </w:tc>
        <w:tc>
          <w:tcPr>
            <w:tcW w:w="294" w:type="pct"/>
            <w:tcBorders>
              <w:tl2br w:val="nil"/>
              <w:tr2bl w:val="nil"/>
            </w:tcBorders>
            <w:noWrap w:val="0"/>
            <w:vAlign w:val="center"/>
          </w:tcPr>
          <w:p w14:paraId="75650C3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2.11</w:t>
            </w:r>
          </w:p>
        </w:tc>
        <w:tc>
          <w:tcPr>
            <w:tcW w:w="225" w:type="pct"/>
            <w:tcBorders>
              <w:tl2br w:val="nil"/>
              <w:tr2bl w:val="nil"/>
            </w:tcBorders>
            <w:noWrap w:val="0"/>
            <w:vAlign w:val="center"/>
          </w:tcPr>
          <w:p w14:paraId="46C60A5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2.38</w:t>
            </w:r>
          </w:p>
        </w:tc>
        <w:tc>
          <w:tcPr>
            <w:tcW w:w="277" w:type="pct"/>
            <w:tcBorders>
              <w:tl2br w:val="nil"/>
              <w:tr2bl w:val="nil"/>
            </w:tcBorders>
            <w:noWrap w:val="0"/>
            <w:vAlign w:val="center"/>
          </w:tcPr>
          <w:p w14:paraId="04AFAE7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3.90</w:t>
            </w:r>
          </w:p>
        </w:tc>
        <w:tc>
          <w:tcPr>
            <w:tcW w:w="225" w:type="pct"/>
            <w:tcBorders>
              <w:tl2br w:val="nil"/>
              <w:tr2bl w:val="nil"/>
            </w:tcBorders>
            <w:noWrap w:val="0"/>
            <w:vAlign w:val="center"/>
          </w:tcPr>
          <w:p w14:paraId="47CD8C5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3.17</w:t>
            </w:r>
          </w:p>
        </w:tc>
        <w:tc>
          <w:tcPr>
            <w:tcW w:w="272" w:type="pct"/>
            <w:tcBorders>
              <w:tl2br w:val="nil"/>
              <w:tr2bl w:val="nil"/>
            </w:tcBorders>
            <w:noWrap w:val="0"/>
            <w:vAlign w:val="center"/>
          </w:tcPr>
          <w:p w14:paraId="328B4DE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3.64</w:t>
            </w:r>
          </w:p>
        </w:tc>
        <w:tc>
          <w:tcPr>
            <w:tcW w:w="225" w:type="pct"/>
            <w:tcBorders>
              <w:tl2br w:val="nil"/>
              <w:tr2bl w:val="nil"/>
            </w:tcBorders>
            <w:noWrap w:val="0"/>
            <w:vAlign w:val="center"/>
          </w:tcPr>
          <w:p w14:paraId="1D6524A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5.23</w:t>
            </w:r>
          </w:p>
        </w:tc>
        <w:tc>
          <w:tcPr>
            <w:tcW w:w="305" w:type="pct"/>
            <w:tcBorders>
              <w:tl2br w:val="nil"/>
              <w:tr2bl w:val="nil"/>
            </w:tcBorders>
            <w:noWrap w:val="0"/>
            <w:vAlign w:val="center"/>
          </w:tcPr>
          <w:p w14:paraId="462B62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1.65</w:t>
            </w:r>
          </w:p>
        </w:tc>
        <w:tc>
          <w:tcPr>
            <w:tcW w:w="250" w:type="pct"/>
            <w:tcBorders>
              <w:tl2br w:val="nil"/>
              <w:tr2bl w:val="nil"/>
            </w:tcBorders>
            <w:noWrap w:val="0"/>
            <w:vAlign w:val="center"/>
          </w:tcPr>
          <w:p w14:paraId="00078C0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2.17</w:t>
            </w:r>
          </w:p>
        </w:tc>
        <w:tc>
          <w:tcPr>
            <w:tcW w:w="343" w:type="pct"/>
            <w:tcBorders>
              <w:tl2br w:val="nil"/>
              <w:tr2bl w:val="nil"/>
            </w:tcBorders>
            <w:noWrap w:val="0"/>
            <w:vAlign w:val="center"/>
          </w:tcPr>
          <w:p w14:paraId="2DAA6E5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1.94</w:t>
            </w:r>
          </w:p>
        </w:tc>
        <w:tc>
          <w:tcPr>
            <w:tcW w:w="225" w:type="pct"/>
            <w:tcBorders>
              <w:tl2br w:val="nil"/>
              <w:tr2bl w:val="nil"/>
            </w:tcBorders>
            <w:noWrap w:val="0"/>
            <w:vAlign w:val="center"/>
          </w:tcPr>
          <w:p w14:paraId="76D6BD4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2.94</w:t>
            </w:r>
          </w:p>
        </w:tc>
        <w:tc>
          <w:tcPr>
            <w:tcW w:w="360" w:type="pct"/>
            <w:tcBorders>
              <w:tl2br w:val="nil"/>
              <w:tr2bl w:val="nil"/>
            </w:tcBorders>
            <w:noWrap w:val="0"/>
            <w:vAlign w:val="center"/>
          </w:tcPr>
          <w:p w14:paraId="203CE0A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1.90</w:t>
            </w:r>
          </w:p>
        </w:tc>
        <w:tc>
          <w:tcPr>
            <w:tcW w:w="266" w:type="pct"/>
            <w:tcBorders>
              <w:tl2br w:val="nil"/>
              <w:tr2bl w:val="nil"/>
            </w:tcBorders>
            <w:noWrap w:val="0"/>
            <w:vAlign w:val="center"/>
          </w:tcPr>
          <w:p w14:paraId="1420947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3.85</w:t>
            </w:r>
          </w:p>
        </w:tc>
        <w:tc>
          <w:tcPr>
            <w:tcW w:w="338" w:type="pct"/>
            <w:tcBorders>
              <w:tl2br w:val="nil"/>
              <w:tr2bl w:val="nil"/>
            </w:tcBorders>
            <w:noWrap w:val="0"/>
            <w:vAlign w:val="center"/>
          </w:tcPr>
          <w:p w14:paraId="5346A44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10.58</w:t>
            </w:r>
          </w:p>
        </w:tc>
        <w:tc>
          <w:tcPr>
            <w:tcW w:w="299" w:type="pct"/>
            <w:tcBorders>
              <w:tl2br w:val="nil"/>
              <w:tr2bl w:val="nil"/>
            </w:tcBorders>
            <w:noWrap w:val="0"/>
            <w:vAlign w:val="center"/>
          </w:tcPr>
          <w:p w14:paraId="48D43EF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4.55</w:t>
            </w:r>
          </w:p>
        </w:tc>
      </w:tr>
      <w:tr w14:paraId="56C5EE3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31B7918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2月</w:t>
            </w:r>
          </w:p>
        </w:tc>
        <w:tc>
          <w:tcPr>
            <w:tcW w:w="225" w:type="pct"/>
            <w:tcBorders>
              <w:tl2br w:val="nil"/>
              <w:tr2bl w:val="nil"/>
            </w:tcBorders>
            <w:noWrap w:val="0"/>
            <w:vAlign w:val="center"/>
          </w:tcPr>
          <w:p w14:paraId="14B8AE9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12.51</w:t>
            </w:r>
          </w:p>
        </w:tc>
        <w:tc>
          <w:tcPr>
            <w:tcW w:w="305" w:type="pct"/>
            <w:tcBorders>
              <w:tl2br w:val="nil"/>
              <w:tr2bl w:val="nil"/>
            </w:tcBorders>
            <w:noWrap w:val="0"/>
            <w:vAlign w:val="center"/>
          </w:tcPr>
          <w:p w14:paraId="25098FC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8.12</w:t>
            </w:r>
          </w:p>
        </w:tc>
        <w:tc>
          <w:tcPr>
            <w:tcW w:w="233" w:type="pct"/>
            <w:tcBorders>
              <w:tl2br w:val="nil"/>
              <w:tr2bl w:val="nil"/>
            </w:tcBorders>
            <w:noWrap w:val="0"/>
            <w:vAlign w:val="center"/>
          </w:tcPr>
          <w:p w14:paraId="0F8DF9D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4.78</w:t>
            </w:r>
          </w:p>
        </w:tc>
        <w:tc>
          <w:tcPr>
            <w:tcW w:w="294" w:type="pct"/>
            <w:tcBorders>
              <w:tl2br w:val="nil"/>
              <w:tr2bl w:val="nil"/>
            </w:tcBorders>
            <w:noWrap w:val="0"/>
            <w:vAlign w:val="center"/>
          </w:tcPr>
          <w:p w14:paraId="2868B23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3.81</w:t>
            </w:r>
          </w:p>
        </w:tc>
        <w:tc>
          <w:tcPr>
            <w:tcW w:w="225" w:type="pct"/>
            <w:tcBorders>
              <w:tl2br w:val="nil"/>
              <w:tr2bl w:val="nil"/>
            </w:tcBorders>
            <w:noWrap w:val="0"/>
            <w:vAlign w:val="center"/>
          </w:tcPr>
          <w:p w14:paraId="7B2F02D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3.50</w:t>
            </w:r>
          </w:p>
        </w:tc>
        <w:tc>
          <w:tcPr>
            <w:tcW w:w="277" w:type="pct"/>
            <w:tcBorders>
              <w:tl2br w:val="nil"/>
              <w:tr2bl w:val="nil"/>
            </w:tcBorders>
            <w:noWrap w:val="0"/>
            <w:vAlign w:val="center"/>
          </w:tcPr>
          <w:p w14:paraId="1DB4397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1.87</w:t>
            </w:r>
          </w:p>
        </w:tc>
        <w:tc>
          <w:tcPr>
            <w:tcW w:w="225" w:type="pct"/>
            <w:tcBorders>
              <w:tl2br w:val="nil"/>
              <w:tr2bl w:val="nil"/>
            </w:tcBorders>
            <w:noWrap w:val="0"/>
            <w:vAlign w:val="center"/>
          </w:tcPr>
          <w:p w14:paraId="47421EF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1.83</w:t>
            </w:r>
          </w:p>
        </w:tc>
        <w:tc>
          <w:tcPr>
            <w:tcW w:w="272" w:type="pct"/>
            <w:tcBorders>
              <w:tl2br w:val="nil"/>
              <w:tr2bl w:val="nil"/>
            </w:tcBorders>
            <w:noWrap w:val="0"/>
            <w:vAlign w:val="center"/>
          </w:tcPr>
          <w:p w14:paraId="7624E5A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2.45</w:t>
            </w:r>
          </w:p>
        </w:tc>
        <w:tc>
          <w:tcPr>
            <w:tcW w:w="225" w:type="pct"/>
            <w:tcBorders>
              <w:tl2br w:val="nil"/>
              <w:tr2bl w:val="nil"/>
            </w:tcBorders>
            <w:noWrap w:val="0"/>
            <w:vAlign w:val="center"/>
          </w:tcPr>
          <w:p w14:paraId="6DC063B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2.55</w:t>
            </w:r>
          </w:p>
        </w:tc>
        <w:tc>
          <w:tcPr>
            <w:tcW w:w="305" w:type="pct"/>
            <w:tcBorders>
              <w:tl2br w:val="nil"/>
              <w:tr2bl w:val="nil"/>
            </w:tcBorders>
            <w:noWrap w:val="0"/>
            <w:vAlign w:val="center"/>
          </w:tcPr>
          <w:p w14:paraId="4DAB18C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1.20</w:t>
            </w:r>
          </w:p>
        </w:tc>
        <w:tc>
          <w:tcPr>
            <w:tcW w:w="250" w:type="pct"/>
            <w:tcBorders>
              <w:tl2br w:val="nil"/>
              <w:tr2bl w:val="nil"/>
            </w:tcBorders>
            <w:noWrap w:val="0"/>
            <w:vAlign w:val="center"/>
          </w:tcPr>
          <w:p w14:paraId="6967F9F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1.46</w:t>
            </w:r>
          </w:p>
        </w:tc>
        <w:tc>
          <w:tcPr>
            <w:tcW w:w="343" w:type="pct"/>
            <w:tcBorders>
              <w:tl2br w:val="nil"/>
              <w:tr2bl w:val="nil"/>
            </w:tcBorders>
            <w:noWrap w:val="0"/>
            <w:vAlign w:val="center"/>
          </w:tcPr>
          <w:p w14:paraId="199B775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1.94</w:t>
            </w:r>
          </w:p>
        </w:tc>
        <w:tc>
          <w:tcPr>
            <w:tcW w:w="225" w:type="pct"/>
            <w:tcBorders>
              <w:tl2br w:val="nil"/>
              <w:tr2bl w:val="nil"/>
            </w:tcBorders>
            <w:noWrap w:val="0"/>
            <w:vAlign w:val="center"/>
          </w:tcPr>
          <w:p w14:paraId="62224DF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2.39</w:t>
            </w:r>
          </w:p>
        </w:tc>
        <w:tc>
          <w:tcPr>
            <w:tcW w:w="360" w:type="pct"/>
            <w:tcBorders>
              <w:tl2br w:val="nil"/>
              <w:tr2bl w:val="nil"/>
            </w:tcBorders>
            <w:noWrap w:val="0"/>
            <w:vAlign w:val="center"/>
          </w:tcPr>
          <w:p w14:paraId="052FA5A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1.87</w:t>
            </w:r>
          </w:p>
        </w:tc>
        <w:tc>
          <w:tcPr>
            <w:tcW w:w="266" w:type="pct"/>
            <w:tcBorders>
              <w:tl2br w:val="nil"/>
              <w:tr2bl w:val="nil"/>
            </w:tcBorders>
            <w:noWrap w:val="0"/>
            <w:vAlign w:val="center"/>
          </w:tcPr>
          <w:p w14:paraId="5A95E94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4.72</w:t>
            </w:r>
          </w:p>
        </w:tc>
        <w:tc>
          <w:tcPr>
            <w:tcW w:w="338" w:type="pct"/>
            <w:tcBorders>
              <w:tl2br w:val="nil"/>
              <w:tr2bl w:val="nil"/>
            </w:tcBorders>
            <w:noWrap w:val="0"/>
            <w:vAlign w:val="center"/>
          </w:tcPr>
          <w:p w14:paraId="5015837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8.01</w:t>
            </w:r>
          </w:p>
        </w:tc>
        <w:tc>
          <w:tcPr>
            <w:tcW w:w="299" w:type="pct"/>
            <w:tcBorders>
              <w:tl2br w:val="nil"/>
              <w:tr2bl w:val="nil"/>
            </w:tcBorders>
            <w:noWrap w:val="0"/>
            <w:vAlign w:val="center"/>
          </w:tcPr>
          <w:p w14:paraId="2EC5A4E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3.94</w:t>
            </w:r>
          </w:p>
        </w:tc>
      </w:tr>
      <w:tr w14:paraId="0D83B4C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333FCD6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3月</w:t>
            </w:r>
          </w:p>
        </w:tc>
        <w:tc>
          <w:tcPr>
            <w:tcW w:w="225" w:type="pct"/>
            <w:tcBorders>
              <w:tl2br w:val="nil"/>
              <w:tr2bl w:val="nil"/>
            </w:tcBorders>
            <w:noWrap w:val="0"/>
            <w:vAlign w:val="center"/>
          </w:tcPr>
          <w:p w14:paraId="0E4CAC7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8.52</w:t>
            </w:r>
          </w:p>
        </w:tc>
        <w:tc>
          <w:tcPr>
            <w:tcW w:w="305" w:type="pct"/>
            <w:tcBorders>
              <w:tl2br w:val="nil"/>
              <w:tr2bl w:val="nil"/>
            </w:tcBorders>
            <w:noWrap w:val="0"/>
            <w:vAlign w:val="center"/>
          </w:tcPr>
          <w:p w14:paraId="5571ED8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5.87</w:t>
            </w:r>
          </w:p>
        </w:tc>
        <w:tc>
          <w:tcPr>
            <w:tcW w:w="233" w:type="pct"/>
            <w:tcBorders>
              <w:tl2br w:val="nil"/>
              <w:tr2bl w:val="nil"/>
            </w:tcBorders>
            <w:noWrap w:val="0"/>
            <w:vAlign w:val="center"/>
          </w:tcPr>
          <w:p w14:paraId="357BC83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4.75</w:t>
            </w:r>
          </w:p>
        </w:tc>
        <w:tc>
          <w:tcPr>
            <w:tcW w:w="294" w:type="pct"/>
            <w:tcBorders>
              <w:tl2br w:val="nil"/>
              <w:tr2bl w:val="nil"/>
            </w:tcBorders>
            <w:noWrap w:val="0"/>
            <w:vAlign w:val="center"/>
          </w:tcPr>
          <w:p w14:paraId="4ACD073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3.77</w:t>
            </w:r>
          </w:p>
        </w:tc>
        <w:tc>
          <w:tcPr>
            <w:tcW w:w="225" w:type="pct"/>
            <w:tcBorders>
              <w:tl2br w:val="nil"/>
              <w:tr2bl w:val="nil"/>
            </w:tcBorders>
            <w:noWrap w:val="0"/>
            <w:vAlign w:val="center"/>
          </w:tcPr>
          <w:p w14:paraId="2FA59E6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3.86</w:t>
            </w:r>
          </w:p>
        </w:tc>
        <w:tc>
          <w:tcPr>
            <w:tcW w:w="277" w:type="pct"/>
            <w:tcBorders>
              <w:tl2br w:val="nil"/>
              <w:tr2bl w:val="nil"/>
            </w:tcBorders>
            <w:noWrap w:val="0"/>
            <w:vAlign w:val="center"/>
          </w:tcPr>
          <w:p w14:paraId="0CE976C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2.21</w:t>
            </w:r>
          </w:p>
        </w:tc>
        <w:tc>
          <w:tcPr>
            <w:tcW w:w="225" w:type="pct"/>
            <w:tcBorders>
              <w:tl2br w:val="nil"/>
              <w:tr2bl w:val="nil"/>
            </w:tcBorders>
            <w:noWrap w:val="0"/>
            <w:vAlign w:val="center"/>
          </w:tcPr>
          <w:p w14:paraId="1944040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1.39</w:t>
            </w:r>
          </w:p>
        </w:tc>
        <w:tc>
          <w:tcPr>
            <w:tcW w:w="272" w:type="pct"/>
            <w:tcBorders>
              <w:tl2br w:val="nil"/>
              <w:tr2bl w:val="nil"/>
            </w:tcBorders>
            <w:noWrap w:val="0"/>
            <w:vAlign w:val="center"/>
          </w:tcPr>
          <w:p w14:paraId="7570DEF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0.88</w:t>
            </w:r>
          </w:p>
        </w:tc>
        <w:tc>
          <w:tcPr>
            <w:tcW w:w="225" w:type="pct"/>
            <w:tcBorders>
              <w:tl2br w:val="nil"/>
              <w:tr2bl w:val="nil"/>
            </w:tcBorders>
            <w:noWrap w:val="0"/>
            <w:vAlign w:val="center"/>
          </w:tcPr>
          <w:p w14:paraId="19E75FF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2.13</w:t>
            </w:r>
          </w:p>
        </w:tc>
        <w:tc>
          <w:tcPr>
            <w:tcW w:w="305" w:type="pct"/>
            <w:tcBorders>
              <w:tl2br w:val="nil"/>
              <w:tr2bl w:val="nil"/>
            </w:tcBorders>
            <w:noWrap w:val="0"/>
            <w:vAlign w:val="center"/>
          </w:tcPr>
          <w:p w14:paraId="36369C4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1.50</w:t>
            </w:r>
          </w:p>
        </w:tc>
        <w:tc>
          <w:tcPr>
            <w:tcW w:w="250" w:type="pct"/>
            <w:tcBorders>
              <w:tl2br w:val="nil"/>
              <w:tr2bl w:val="nil"/>
            </w:tcBorders>
            <w:noWrap w:val="0"/>
            <w:vAlign w:val="center"/>
          </w:tcPr>
          <w:p w14:paraId="57D1F94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1.27</w:t>
            </w:r>
          </w:p>
        </w:tc>
        <w:tc>
          <w:tcPr>
            <w:tcW w:w="343" w:type="pct"/>
            <w:tcBorders>
              <w:tl2br w:val="nil"/>
              <w:tr2bl w:val="nil"/>
            </w:tcBorders>
            <w:noWrap w:val="0"/>
            <w:vAlign w:val="center"/>
          </w:tcPr>
          <w:p w14:paraId="0C656EC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0.84</w:t>
            </w:r>
          </w:p>
        </w:tc>
        <w:tc>
          <w:tcPr>
            <w:tcW w:w="225" w:type="pct"/>
            <w:tcBorders>
              <w:tl2br w:val="nil"/>
              <w:tr2bl w:val="nil"/>
            </w:tcBorders>
            <w:noWrap w:val="0"/>
            <w:vAlign w:val="center"/>
          </w:tcPr>
          <w:p w14:paraId="6634E51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0.68</w:t>
            </w:r>
          </w:p>
        </w:tc>
        <w:tc>
          <w:tcPr>
            <w:tcW w:w="360" w:type="pct"/>
            <w:tcBorders>
              <w:tl2br w:val="nil"/>
              <w:tr2bl w:val="nil"/>
            </w:tcBorders>
            <w:noWrap w:val="0"/>
            <w:vAlign w:val="center"/>
          </w:tcPr>
          <w:p w14:paraId="7121351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0.99</w:t>
            </w:r>
          </w:p>
        </w:tc>
        <w:tc>
          <w:tcPr>
            <w:tcW w:w="266" w:type="pct"/>
            <w:tcBorders>
              <w:tl2br w:val="nil"/>
              <w:tr2bl w:val="nil"/>
            </w:tcBorders>
            <w:noWrap w:val="0"/>
            <w:vAlign w:val="center"/>
          </w:tcPr>
          <w:p w14:paraId="091C3F3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3.66</w:t>
            </w:r>
          </w:p>
        </w:tc>
        <w:tc>
          <w:tcPr>
            <w:tcW w:w="338" w:type="pct"/>
            <w:tcBorders>
              <w:tl2br w:val="nil"/>
              <w:tr2bl w:val="nil"/>
            </w:tcBorders>
            <w:noWrap w:val="0"/>
            <w:vAlign w:val="center"/>
          </w:tcPr>
          <w:p w14:paraId="6E146E7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7.79</w:t>
            </w:r>
          </w:p>
        </w:tc>
        <w:tc>
          <w:tcPr>
            <w:tcW w:w="299" w:type="pct"/>
            <w:tcBorders>
              <w:tl2br w:val="nil"/>
              <w:tr2bl w:val="nil"/>
            </w:tcBorders>
            <w:noWrap w:val="0"/>
            <w:vAlign w:val="center"/>
          </w:tcPr>
          <w:p w14:paraId="4BC5A66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3.13</w:t>
            </w:r>
          </w:p>
        </w:tc>
      </w:tr>
      <w:tr w14:paraId="6F0EC1E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1155E23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4月</w:t>
            </w:r>
          </w:p>
        </w:tc>
        <w:tc>
          <w:tcPr>
            <w:tcW w:w="225" w:type="pct"/>
            <w:tcBorders>
              <w:tl2br w:val="nil"/>
              <w:tr2bl w:val="nil"/>
            </w:tcBorders>
            <w:noWrap w:val="0"/>
            <w:vAlign w:val="center"/>
          </w:tcPr>
          <w:p w14:paraId="13F0E3A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7.61</w:t>
            </w:r>
          </w:p>
        </w:tc>
        <w:tc>
          <w:tcPr>
            <w:tcW w:w="305" w:type="pct"/>
            <w:tcBorders>
              <w:tl2br w:val="nil"/>
              <w:tr2bl w:val="nil"/>
            </w:tcBorders>
            <w:noWrap w:val="0"/>
            <w:vAlign w:val="center"/>
          </w:tcPr>
          <w:p w14:paraId="294DCD5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5.32</w:t>
            </w:r>
          </w:p>
        </w:tc>
        <w:tc>
          <w:tcPr>
            <w:tcW w:w="233" w:type="pct"/>
            <w:tcBorders>
              <w:tl2br w:val="nil"/>
              <w:tr2bl w:val="nil"/>
            </w:tcBorders>
            <w:noWrap w:val="0"/>
            <w:vAlign w:val="center"/>
          </w:tcPr>
          <w:p w14:paraId="4F49635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5.96</w:t>
            </w:r>
          </w:p>
        </w:tc>
        <w:tc>
          <w:tcPr>
            <w:tcW w:w="294" w:type="pct"/>
            <w:tcBorders>
              <w:tl2br w:val="nil"/>
              <w:tr2bl w:val="nil"/>
            </w:tcBorders>
            <w:noWrap w:val="0"/>
            <w:vAlign w:val="center"/>
          </w:tcPr>
          <w:p w14:paraId="60A917E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3.89</w:t>
            </w:r>
          </w:p>
        </w:tc>
        <w:tc>
          <w:tcPr>
            <w:tcW w:w="225" w:type="pct"/>
            <w:tcBorders>
              <w:tl2br w:val="nil"/>
              <w:tr2bl w:val="nil"/>
            </w:tcBorders>
            <w:noWrap w:val="0"/>
            <w:vAlign w:val="center"/>
          </w:tcPr>
          <w:p w14:paraId="270DFED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3.51</w:t>
            </w:r>
          </w:p>
        </w:tc>
        <w:tc>
          <w:tcPr>
            <w:tcW w:w="277" w:type="pct"/>
            <w:tcBorders>
              <w:tl2br w:val="nil"/>
              <w:tr2bl w:val="nil"/>
            </w:tcBorders>
            <w:noWrap w:val="0"/>
            <w:vAlign w:val="center"/>
          </w:tcPr>
          <w:p w14:paraId="1129EF3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1.93</w:t>
            </w:r>
          </w:p>
        </w:tc>
        <w:tc>
          <w:tcPr>
            <w:tcW w:w="225" w:type="pct"/>
            <w:tcBorders>
              <w:tl2br w:val="nil"/>
              <w:tr2bl w:val="nil"/>
            </w:tcBorders>
            <w:noWrap w:val="0"/>
            <w:vAlign w:val="center"/>
          </w:tcPr>
          <w:p w14:paraId="7FB0FA1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1.52</w:t>
            </w:r>
          </w:p>
        </w:tc>
        <w:tc>
          <w:tcPr>
            <w:tcW w:w="272" w:type="pct"/>
            <w:tcBorders>
              <w:tl2br w:val="nil"/>
              <w:tr2bl w:val="nil"/>
            </w:tcBorders>
            <w:noWrap w:val="0"/>
            <w:vAlign w:val="center"/>
          </w:tcPr>
          <w:p w14:paraId="09EB6EE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1.61</w:t>
            </w:r>
          </w:p>
        </w:tc>
        <w:tc>
          <w:tcPr>
            <w:tcW w:w="225" w:type="pct"/>
            <w:tcBorders>
              <w:tl2br w:val="nil"/>
              <w:tr2bl w:val="nil"/>
            </w:tcBorders>
            <w:noWrap w:val="0"/>
            <w:vAlign w:val="center"/>
          </w:tcPr>
          <w:p w14:paraId="7FE35CA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2.39</w:t>
            </w:r>
          </w:p>
        </w:tc>
        <w:tc>
          <w:tcPr>
            <w:tcW w:w="305" w:type="pct"/>
            <w:tcBorders>
              <w:tl2br w:val="nil"/>
              <w:tr2bl w:val="nil"/>
            </w:tcBorders>
            <w:noWrap w:val="0"/>
            <w:vAlign w:val="center"/>
          </w:tcPr>
          <w:p w14:paraId="5D0D8A8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2.06</w:t>
            </w:r>
          </w:p>
        </w:tc>
        <w:tc>
          <w:tcPr>
            <w:tcW w:w="250" w:type="pct"/>
            <w:tcBorders>
              <w:tl2br w:val="nil"/>
              <w:tr2bl w:val="nil"/>
            </w:tcBorders>
            <w:noWrap w:val="0"/>
            <w:vAlign w:val="center"/>
          </w:tcPr>
          <w:p w14:paraId="44F5FB6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1.42</w:t>
            </w:r>
          </w:p>
        </w:tc>
        <w:tc>
          <w:tcPr>
            <w:tcW w:w="343" w:type="pct"/>
            <w:tcBorders>
              <w:tl2br w:val="nil"/>
              <w:tr2bl w:val="nil"/>
            </w:tcBorders>
            <w:noWrap w:val="0"/>
            <w:vAlign w:val="center"/>
          </w:tcPr>
          <w:p w14:paraId="0C191E7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1.13</w:t>
            </w:r>
          </w:p>
        </w:tc>
        <w:tc>
          <w:tcPr>
            <w:tcW w:w="225" w:type="pct"/>
            <w:tcBorders>
              <w:tl2br w:val="nil"/>
              <w:tr2bl w:val="nil"/>
            </w:tcBorders>
            <w:noWrap w:val="0"/>
            <w:vAlign w:val="center"/>
          </w:tcPr>
          <w:p w14:paraId="194D043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1.88</w:t>
            </w:r>
          </w:p>
        </w:tc>
        <w:tc>
          <w:tcPr>
            <w:tcW w:w="360" w:type="pct"/>
            <w:tcBorders>
              <w:tl2br w:val="nil"/>
              <w:tr2bl w:val="nil"/>
            </w:tcBorders>
            <w:noWrap w:val="0"/>
            <w:vAlign w:val="center"/>
          </w:tcPr>
          <w:p w14:paraId="4F01086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1.34</w:t>
            </w:r>
          </w:p>
        </w:tc>
        <w:tc>
          <w:tcPr>
            <w:tcW w:w="266" w:type="pct"/>
            <w:tcBorders>
              <w:tl2br w:val="nil"/>
              <w:tr2bl w:val="nil"/>
            </w:tcBorders>
            <w:noWrap w:val="0"/>
            <w:vAlign w:val="center"/>
          </w:tcPr>
          <w:p w14:paraId="130F72B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2.34</w:t>
            </w:r>
          </w:p>
        </w:tc>
        <w:tc>
          <w:tcPr>
            <w:tcW w:w="338" w:type="pct"/>
            <w:tcBorders>
              <w:tl2br w:val="nil"/>
              <w:tr2bl w:val="nil"/>
            </w:tcBorders>
            <w:noWrap w:val="0"/>
            <w:vAlign w:val="center"/>
          </w:tcPr>
          <w:p w14:paraId="66A295A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3.18</w:t>
            </w:r>
          </w:p>
        </w:tc>
        <w:tc>
          <w:tcPr>
            <w:tcW w:w="299" w:type="pct"/>
            <w:tcBorders>
              <w:tl2br w:val="nil"/>
              <w:tr2bl w:val="nil"/>
            </w:tcBorders>
            <w:noWrap w:val="0"/>
            <w:vAlign w:val="center"/>
          </w:tcPr>
          <w:p w14:paraId="5D5C10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2.94</w:t>
            </w:r>
          </w:p>
        </w:tc>
      </w:tr>
      <w:tr w14:paraId="5681381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009894D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5月</w:t>
            </w:r>
          </w:p>
        </w:tc>
        <w:tc>
          <w:tcPr>
            <w:tcW w:w="225" w:type="pct"/>
            <w:tcBorders>
              <w:tl2br w:val="nil"/>
              <w:tr2bl w:val="nil"/>
            </w:tcBorders>
            <w:noWrap w:val="0"/>
            <w:vAlign w:val="center"/>
          </w:tcPr>
          <w:p w14:paraId="2BC4E0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6.18</w:t>
            </w:r>
          </w:p>
        </w:tc>
        <w:tc>
          <w:tcPr>
            <w:tcW w:w="305" w:type="pct"/>
            <w:tcBorders>
              <w:tl2br w:val="nil"/>
              <w:tr2bl w:val="nil"/>
            </w:tcBorders>
            <w:noWrap w:val="0"/>
            <w:vAlign w:val="center"/>
          </w:tcPr>
          <w:p w14:paraId="1873418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4.14</w:t>
            </w:r>
          </w:p>
        </w:tc>
        <w:tc>
          <w:tcPr>
            <w:tcW w:w="233" w:type="pct"/>
            <w:tcBorders>
              <w:tl2br w:val="nil"/>
              <w:tr2bl w:val="nil"/>
            </w:tcBorders>
            <w:noWrap w:val="0"/>
            <w:vAlign w:val="center"/>
          </w:tcPr>
          <w:p w14:paraId="1BD647E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4.80</w:t>
            </w:r>
          </w:p>
        </w:tc>
        <w:tc>
          <w:tcPr>
            <w:tcW w:w="294" w:type="pct"/>
            <w:tcBorders>
              <w:tl2br w:val="nil"/>
              <w:tr2bl w:val="nil"/>
            </w:tcBorders>
            <w:noWrap w:val="0"/>
            <w:vAlign w:val="center"/>
          </w:tcPr>
          <w:p w14:paraId="0994336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4.35</w:t>
            </w:r>
          </w:p>
        </w:tc>
        <w:tc>
          <w:tcPr>
            <w:tcW w:w="225" w:type="pct"/>
            <w:tcBorders>
              <w:tl2br w:val="nil"/>
              <w:tr2bl w:val="nil"/>
            </w:tcBorders>
            <w:noWrap w:val="0"/>
            <w:vAlign w:val="center"/>
          </w:tcPr>
          <w:p w14:paraId="37A3DF7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3.18</w:t>
            </w:r>
          </w:p>
        </w:tc>
        <w:tc>
          <w:tcPr>
            <w:tcW w:w="277" w:type="pct"/>
            <w:tcBorders>
              <w:tl2br w:val="nil"/>
              <w:tr2bl w:val="nil"/>
            </w:tcBorders>
            <w:noWrap w:val="0"/>
            <w:vAlign w:val="center"/>
          </w:tcPr>
          <w:p w14:paraId="2AD6C17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1.45</w:t>
            </w:r>
          </w:p>
        </w:tc>
        <w:tc>
          <w:tcPr>
            <w:tcW w:w="225" w:type="pct"/>
            <w:tcBorders>
              <w:tl2br w:val="nil"/>
              <w:tr2bl w:val="nil"/>
            </w:tcBorders>
            <w:noWrap w:val="0"/>
            <w:vAlign w:val="center"/>
          </w:tcPr>
          <w:p w14:paraId="43EEED7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1.47</w:t>
            </w:r>
          </w:p>
        </w:tc>
        <w:tc>
          <w:tcPr>
            <w:tcW w:w="272" w:type="pct"/>
            <w:tcBorders>
              <w:tl2br w:val="nil"/>
              <w:tr2bl w:val="nil"/>
            </w:tcBorders>
            <w:noWrap w:val="0"/>
            <w:vAlign w:val="center"/>
          </w:tcPr>
          <w:p w14:paraId="6A8E30A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0.70</w:t>
            </w:r>
          </w:p>
        </w:tc>
        <w:tc>
          <w:tcPr>
            <w:tcW w:w="225" w:type="pct"/>
            <w:tcBorders>
              <w:tl2br w:val="nil"/>
              <w:tr2bl w:val="nil"/>
            </w:tcBorders>
            <w:noWrap w:val="0"/>
            <w:vAlign w:val="center"/>
          </w:tcPr>
          <w:p w14:paraId="3EC1C01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1.85</w:t>
            </w:r>
          </w:p>
        </w:tc>
        <w:tc>
          <w:tcPr>
            <w:tcW w:w="305" w:type="pct"/>
            <w:tcBorders>
              <w:tl2br w:val="nil"/>
              <w:tr2bl w:val="nil"/>
            </w:tcBorders>
            <w:noWrap w:val="0"/>
            <w:vAlign w:val="center"/>
          </w:tcPr>
          <w:p w14:paraId="2F2D536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1.52</w:t>
            </w:r>
          </w:p>
        </w:tc>
        <w:tc>
          <w:tcPr>
            <w:tcW w:w="250" w:type="pct"/>
            <w:tcBorders>
              <w:tl2br w:val="nil"/>
              <w:tr2bl w:val="nil"/>
            </w:tcBorders>
            <w:noWrap w:val="0"/>
            <w:vAlign w:val="center"/>
          </w:tcPr>
          <w:p w14:paraId="5577072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1.23</w:t>
            </w:r>
          </w:p>
        </w:tc>
        <w:tc>
          <w:tcPr>
            <w:tcW w:w="343" w:type="pct"/>
            <w:tcBorders>
              <w:tl2br w:val="nil"/>
              <w:tr2bl w:val="nil"/>
            </w:tcBorders>
            <w:noWrap w:val="0"/>
            <w:vAlign w:val="center"/>
          </w:tcPr>
          <w:p w14:paraId="624A0E1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1.12</w:t>
            </w:r>
          </w:p>
        </w:tc>
        <w:tc>
          <w:tcPr>
            <w:tcW w:w="225" w:type="pct"/>
            <w:tcBorders>
              <w:tl2br w:val="nil"/>
              <w:tr2bl w:val="nil"/>
            </w:tcBorders>
            <w:noWrap w:val="0"/>
            <w:vAlign w:val="center"/>
          </w:tcPr>
          <w:p w14:paraId="6D4FE66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1.39</w:t>
            </w:r>
          </w:p>
        </w:tc>
        <w:tc>
          <w:tcPr>
            <w:tcW w:w="360" w:type="pct"/>
            <w:tcBorders>
              <w:tl2br w:val="nil"/>
              <w:tr2bl w:val="nil"/>
            </w:tcBorders>
            <w:noWrap w:val="0"/>
            <w:vAlign w:val="center"/>
          </w:tcPr>
          <w:p w14:paraId="638808A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1.16</w:t>
            </w:r>
          </w:p>
        </w:tc>
        <w:tc>
          <w:tcPr>
            <w:tcW w:w="266" w:type="pct"/>
            <w:tcBorders>
              <w:tl2br w:val="nil"/>
              <w:tr2bl w:val="nil"/>
            </w:tcBorders>
            <w:noWrap w:val="0"/>
            <w:vAlign w:val="center"/>
          </w:tcPr>
          <w:p w14:paraId="213525F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2.02</w:t>
            </w:r>
          </w:p>
        </w:tc>
        <w:tc>
          <w:tcPr>
            <w:tcW w:w="338" w:type="pct"/>
            <w:tcBorders>
              <w:tl2br w:val="nil"/>
              <w:tr2bl w:val="nil"/>
            </w:tcBorders>
            <w:noWrap w:val="0"/>
            <w:vAlign w:val="center"/>
          </w:tcPr>
          <w:p w14:paraId="1B83EC0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2.54</w:t>
            </w:r>
          </w:p>
        </w:tc>
        <w:tc>
          <w:tcPr>
            <w:tcW w:w="299" w:type="pct"/>
            <w:tcBorders>
              <w:tl2br w:val="nil"/>
              <w:tr2bl w:val="nil"/>
            </w:tcBorders>
            <w:noWrap w:val="0"/>
            <w:vAlign w:val="center"/>
          </w:tcPr>
          <w:p w14:paraId="3CF6275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2.44</w:t>
            </w:r>
          </w:p>
        </w:tc>
      </w:tr>
      <w:tr w14:paraId="4E259EC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61956F7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6月</w:t>
            </w:r>
          </w:p>
        </w:tc>
        <w:tc>
          <w:tcPr>
            <w:tcW w:w="225" w:type="pct"/>
            <w:tcBorders>
              <w:tl2br w:val="nil"/>
              <w:tr2bl w:val="nil"/>
            </w:tcBorders>
            <w:noWrap w:val="0"/>
            <w:vAlign w:val="center"/>
          </w:tcPr>
          <w:p w14:paraId="1D4E49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6.05</w:t>
            </w:r>
          </w:p>
        </w:tc>
        <w:tc>
          <w:tcPr>
            <w:tcW w:w="305" w:type="pct"/>
            <w:tcBorders>
              <w:tl2br w:val="nil"/>
              <w:tr2bl w:val="nil"/>
            </w:tcBorders>
            <w:noWrap w:val="0"/>
            <w:vAlign w:val="center"/>
          </w:tcPr>
          <w:p w14:paraId="0D71A47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5.15</w:t>
            </w:r>
          </w:p>
        </w:tc>
        <w:tc>
          <w:tcPr>
            <w:tcW w:w="233" w:type="pct"/>
            <w:tcBorders>
              <w:tl2br w:val="nil"/>
              <w:tr2bl w:val="nil"/>
            </w:tcBorders>
            <w:noWrap w:val="0"/>
            <w:vAlign w:val="center"/>
          </w:tcPr>
          <w:p w14:paraId="271096C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3.80</w:t>
            </w:r>
          </w:p>
        </w:tc>
        <w:tc>
          <w:tcPr>
            <w:tcW w:w="294" w:type="pct"/>
            <w:tcBorders>
              <w:tl2br w:val="nil"/>
              <w:tr2bl w:val="nil"/>
            </w:tcBorders>
            <w:noWrap w:val="0"/>
            <w:vAlign w:val="center"/>
          </w:tcPr>
          <w:p w14:paraId="427D16B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1.98</w:t>
            </w:r>
          </w:p>
        </w:tc>
        <w:tc>
          <w:tcPr>
            <w:tcW w:w="225" w:type="pct"/>
            <w:tcBorders>
              <w:tl2br w:val="nil"/>
              <w:tr2bl w:val="nil"/>
            </w:tcBorders>
            <w:noWrap w:val="0"/>
            <w:vAlign w:val="center"/>
          </w:tcPr>
          <w:p w14:paraId="1332B1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2.70</w:t>
            </w:r>
          </w:p>
        </w:tc>
        <w:tc>
          <w:tcPr>
            <w:tcW w:w="277" w:type="pct"/>
            <w:tcBorders>
              <w:tl2br w:val="nil"/>
              <w:tr2bl w:val="nil"/>
            </w:tcBorders>
            <w:noWrap w:val="0"/>
            <w:vAlign w:val="center"/>
          </w:tcPr>
          <w:p w14:paraId="47C608B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1.69</w:t>
            </w:r>
          </w:p>
        </w:tc>
        <w:tc>
          <w:tcPr>
            <w:tcW w:w="225" w:type="pct"/>
            <w:tcBorders>
              <w:tl2br w:val="nil"/>
              <w:tr2bl w:val="nil"/>
            </w:tcBorders>
            <w:noWrap w:val="0"/>
            <w:vAlign w:val="center"/>
          </w:tcPr>
          <w:p w14:paraId="1E71B42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1.15</w:t>
            </w:r>
          </w:p>
        </w:tc>
        <w:tc>
          <w:tcPr>
            <w:tcW w:w="272" w:type="pct"/>
            <w:tcBorders>
              <w:tl2br w:val="nil"/>
              <w:tr2bl w:val="nil"/>
            </w:tcBorders>
            <w:noWrap w:val="0"/>
            <w:vAlign w:val="center"/>
          </w:tcPr>
          <w:p w14:paraId="579C446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0.57</w:t>
            </w:r>
          </w:p>
        </w:tc>
        <w:tc>
          <w:tcPr>
            <w:tcW w:w="225" w:type="pct"/>
            <w:tcBorders>
              <w:tl2br w:val="nil"/>
              <w:tr2bl w:val="nil"/>
            </w:tcBorders>
            <w:noWrap w:val="0"/>
            <w:vAlign w:val="center"/>
          </w:tcPr>
          <w:p w14:paraId="4552573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1.70</w:t>
            </w:r>
          </w:p>
        </w:tc>
        <w:tc>
          <w:tcPr>
            <w:tcW w:w="305" w:type="pct"/>
            <w:tcBorders>
              <w:tl2br w:val="nil"/>
              <w:tr2bl w:val="nil"/>
            </w:tcBorders>
            <w:noWrap w:val="0"/>
            <w:vAlign w:val="center"/>
          </w:tcPr>
          <w:p w14:paraId="312B891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0.85</w:t>
            </w:r>
          </w:p>
        </w:tc>
        <w:tc>
          <w:tcPr>
            <w:tcW w:w="250" w:type="pct"/>
            <w:tcBorders>
              <w:tl2br w:val="nil"/>
              <w:tr2bl w:val="nil"/>
            </w:tcBorders>
            <w:noWrap w:val="0"/>
            <w:vAlign w:val="center"/>
          </w:tcPr>
          <w:p w14:paraId="0246463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0.74</w:t>
            </w:r>
          </w:p>
        </w:tc>
        <w:tc>
          <w:tcPr>
            <w:tcW w:w="343" w:type="pct"/>
            <w:tcBorders>
              <w:tl2br w:val="nil"/>
              <w:tr2bl w:val="nil"/>
            </w:tcBorders>
            <w:noWrap w:val="0"/>
            <w:vAlign w:val="center"/>
          </w:tcPr>
          <w:p w14:paraId="1404746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1.03</w:t>
            </w:r>
          </w:p>
        </w:tc>
        <w:tc>
          <w:tcPr>
            <w:tcW w:w="225" w:type="pct"/>
            <w:tcBorders>
              <w:tl2br w:val="nil"/>
              <w:tr2bl w:val="nil"/>
            </w:tcBorders>
            <w:noWrap w:val="0"/>
            <w:vAlign w:val="center"/>
          </w:tcPr>
          <w:p w14:paraId="0FEF42A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1.74</w:t>
            </w:r>
          </w:p>
        </w:tc>
        <w:tc>
          <w:tcPr>
            <w:tcW w:w="360" w:type="pct"/>
            <w:tcBorders>
              <w:tl2br w:val="nil"/>
              <w:tr2bl w:val="nil"/>
            </w:tcBorders>
            <w:noWrap w:val="0"/>
            <w:vAlign w:val="center"/>
          </w:tcPr>
          <w:p w14:paraId="7CD3206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2.09</w:t>
            </w:r>
          </w:p>
        </w:tc>
        <w:tc>
          <w:tcPr>
            <w:tcW w:w="266" w:type="pct"/>
            <w:tcBorders>
              <w:tl2br w:val="nil"/>
              <w:tr2bl w:val="nil"/>
            </w:tcBorders>
            <w:noWrap w:val="0"/>
            <w:vAlign w:val="center"/>
          </w:tcPr>
          <w:p w14:paraId="115FA30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5.15</w:t>
            </w:r>
          </w:p>
        </w:tc>
        <w:tc>
          <w:tcPr>
            <w:tcW w:w="338" w:type="pct"/>
            <w:tcBorders>
              <w:tl2br w:val="nil"/>
              <w:tr2bl w:val="nil"/>
            </w:tcBorders>
            <w:noWrap w:val="0"/>
            <w:vAlign w:val="center"/>
          </w:tcPr>
          <w:p w14:paraId="12DDBE0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4.33</w:t>
            </w:r>
          </w:p>
        </w:tc>
        <w:tc>
          <w:tcPr>
            <w:tcW w:w="299" w:type="pct"/>
            <w:tcBorders>
              <w:tl2br w:val="nil"/>
              <w:tr2bl w:val="nil"/>
            </w:tcBorders>
            <w:noWrap w:val="0"/>
            <w:vAlign w:val="center"/>
          </w:tcPr>
          <w:p w14:paraId="4815FD2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2.55</w:t>
            </w:r>
          </w:p>
        </w:tc>
      </w:tr>
      <w:tr w14:paraId="588541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3B009D8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7月</w:t>
            </w:r>
          </w:p>
        </w:tc>
        <w:tc>
          <w:tcPr>
            <w:tcW w:w="225" w:type="pct"/>
            <w:tcBorders>
              <w:tl2br w:val="nil"/>
              <w:tr2bl w:val="nil"/>
            </w:tcBorders>
            <w:noWrap w:val="0"/>
            <w:vAlign w:val="center"/>
          </w:tcPr>
          <w:p w14:paraId="160A102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5.27</w:t>
            </w:r>
          </w:p>
        </w:tc>
        <w:tc>
          <w:tcPr>
            <w:tcW w:w="305" w:type="pct"/>
            <w:tcBorders>
              <w:tl2br w:val="nil"/>
              <w:tr2bl w:val="nil"/>
            </w:tcBorders>
            <w:noWrap w:val="0"/>
            <w:vAlign w:val="center"/>
          </w:tcPr>
          <w:p w14:paraId="27A10FB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4.17</w:t>
            </w:r>
          </w:p>
        </w:tc>
        <w:tc>
          <w:tcPr>
            <w:tcW w:w="233" w:type="pct"/>
            <w:tcBorders>
              <w:tl2br w:val="nil"/>
              <w:tr2bl w:val="nil"/>
            </w:tcBorders>
            <w:noWrap w:val="0"/>
            <w:vAlign w:val="center"/>
          </w:tcPr>
          <w:p w14:paraId="471BF5D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4.73</w:t>
            </w:r>
          </w:p>
        </w:tc>
        <w:tc>
          <w:tcPr>
            <w:tcW w:w="294" w:type="pct"/>
            <w:tcBorders>
              <w:tl2br w:val="nil"/>
              <w:tr2bl w:val="nil"/>
            </w:tcBorders>
            <w:noWrap w:val="0"/>
            <w:vAlign w:val="center"/>
          </w:tcPr>
          <w:p w14:paraId="6F11539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3.91</w:t>
            </w:r>
          </w:p>
        </w:tc>
        <w:tc>
          <w:tcPr>
            <w:tcW w:w="225" w:type="pct"/>
            <w:tcBorders>
              <w:tl2br w:val="nil"/>
              <w:tr2bl w:val="nil"/>
            </w:tcBorders>
            <w:noWrap w:val="0"/>
            <w:vAlign w:val="center"/>
          </w:tcPr>
          <w:p w14:paraId="3806158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5.21</w:t>
            </w:r>
          </w:p>
        </w:tc>
        <w:tc>
          <w:tcPr>
            <w:tcW w:w="277" w:type="pct"/>
            <w:tcBorders>
              <w:tl2br w:val="nil"/>
              <w:tr2bl w:val="nil"/>
            </w:tcBorders>
            <w:noWrap w:val="0"/>
            <w:vAlign w:val="center"/>
          </w:tcPr>
          <w:p w14:paraId="7043189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2.76</w:t>
            </w:r>
          </w:p>
        </w:tc>
        <w:tc>
          <w:tcPr>
            <w:tcW w:w="225" w:type="pct"/>
            <w:tcBorders>
              <w:tl2br w:val="nil"/>
              <w:tr2bl w:val="nil"/>
            </w:tcBorders>
            <w:noWrap w:val="0"/>
            <w:vAlign w:val="center"/>
          </w:tcPr>
          <w:p w14:paraId="195E817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2.39</w:t>
            </w:r>
          </w:p>
        </w:tc>
        <w:tc>
          <w:tcPr>
            <w:tcW w:w="272" w:type="pct"/>
            <w:tcBorders>
              <w:tl2br w:val="nil"/>
              <w:tr2bl w:val="nil"/>
            </w:tcBorders>
            <w:noWrap w:val="0"/>
            <w:vAlign w:val="center"/>
          </w:tcPr>
          <w:p w14:paraId="44648DD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1.01</w:t>
            </w:r>
          </w:p>
        </w:tc>
        <w:tc>
          <w:tcPr>
            <w:tcW w:w="225" w:type="pct"/>
            <w:tcBorders>
              <w:tl2br w:val="nil"/>
              <w:tr2bl w:val="nil"/>
            </w:tcBorders>
            <w:noWrap w:val="0"/>
            <w:vAlign w:val="center"/>
          </w:tcPr>
          <w:p w14:paraId="4FA9440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2.22</w:t>
            </w:r>
          </w:p>
        </w:tc>
        <w:tc>
          <w:tcPr>
            <w:tcW w:w="305" w:type="pct"/>
            <w:tcBorders>
              <w:tl2br w:val="nil"/>
              <w:tr2bl w:val="nil"/>
            </w:tcBorders>
            <w:noWrap w:val="0"/>
            <w:vAlign w:val="center"/>
          </w:tcPr>
          <w:p w14:paraId="18C795F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0.98</w:t>
            </w:r>
          </w:p>
        </w:tc>
        <w:tc>
          <w:tcPr>
            <w:tcW w:w="250" w:type="pct"/>
            <w:tcBorders>
              <w:tl2br w:val="nil"/>
              <w:tr2bl w:val="nil"/>
            </w:tcBorders>
            <w:noWrap w:val="0"/>
            <w:vAlign w:val="center"/>
          </w:tcPr>
          <w:p w14:paraId="204ED30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0.89</w:t>
            </w:r>
          </w:p>
        </w:tc>
        <w:tc>
          <w:tcPr>
            <w:tcW w:w="343" w:type="pct"/>
            <w:tcBorders>
              <w:tl2br w:val="nil"/>
              <w:tr2bl w:val="nil"/>
            </w:tcBorders>
            <w:noWrap w:val="0"/>
            <w:vAlign w:val="center"/>
          </w:tcPr>
          <w:p w14:paraId="138A3F4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0.74</w:t>
            </w:r>
          </w:p>
        </w:tc>
        <w:tc>
          <w:tcPr>
            <w:tcW w:w="225" w:type="pct"/>
            <w:tcBorders>
              <w:tl2br w:val="nil"/>
              <w:tr2bl w:val="nil"/>
            </w:tcBorders>
            <w:noWrap w:val="0"/>
            <w:vAlign w:val="center"/>
          </w:tcPr>
          <w:p w14:paraId="70733DC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1.66</w:t>
            </w:r>
          </w:p>
        </w:tc>
        <w:tc>
          <w:tcPr>
            <w:tcW w:w="360" w:type="pct"/>
            <w:tcBorders>
              <w:tl2br w:val="nil"/>
              <w:tr2bl w:val="nil"/>
            </w:tcBorders>
            <w:noWrap w:val="0"/>
            <w:vAlign w:val="center"/>
          </w:tcPr>
          <w:p w14:paraId="7562922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2.11</w:t>
            </w:r>
          </w:p>
        </w:tc>
        <w:tc>
          <w:tcPr>
            <w:tcW w:w="266" w:type="pct"/>
            <w:tcBorders>
              <w:tl2br w:val="nil"/>
              <w:tr2bl w:val="nil"/>
            </w:tcBorders>
            <w:noWrap w:val="0"/>
            <w:vAlign w:val="center"/>
          </w:tcPr>
          <w:p w14:paraId="555CC1D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2.87</w:t>
            </w:r>
          </w:p>
        </w:tc>
        <w:tc>
          <w:tcPr>
            <w:tcW w:w="338" w:type="pct"/>
            <w:tcBorders>
              <w:tl2br w:val="nil"/>
              <w:tr2bl w:val="nil"/>
            </w:tcBorders>
            <w:noWrap w:val="0"/>
            <w:vAlign w:val="center"/>
          </w:tcPr>
          <w:p w14:paraId="667F1CD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4.17</w:t>
            </w:r>
          </w:p>
        </w:tc>
        <w:tc>
          <w:tcPr>
            <w:tcW w:w="299" w:type="pct"/>
            <w:tcBorders>
              <w:tl2br w:val="nil"/>
              <w:tr2bl w:val="nil"/>
            </w:tcBorders>
            <w:noWrap w:val="0"/>
            <w:vAlign w:val="center"/>
          </w:tcPr>
          <w:p w14:paraId="644AC57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2.82</w:t>
            </w:r>
          </w:p>
        </w:tc>
      </w:tr>
      <w:tr w14:paraId="2921DDE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34D877B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8月</w:t>
            </w:r>
          </w:p>
        </w:tc>
        <w:tc>
          <w:tcPr>
            <w:tcW w:w="225" w:type="pct"/>
            <w:tcBorders>
              <w:tl2br w:val="nil"/>
              <w:tr2bl w:val="nil"/>
            </w:tcBorders>
            <w:noWrap w:val="0"/>
            <w:vAlign w:val="center"/>
          </w:tcPr>
          <w:p w14:paraId="4778424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7.59</w:t>
            </w:r>
          </w:p>
        </w:tc>
        <w:tc>
          <w:tcPr>
            <w:tcW w:w="305" w:type="pct"/>
            <w:tcBorders>
              <w:tl2br w:val="nil"/>
              <w:tr2bl w:val="nil"/>
            </w:tcBorders>
            <w:noWrap w:val="0"/>
            <w:vAlign w:val="center"/>
          </w:tcPr>
          <w:p w14:paraId="5CC1B30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3.43</w:t>
            </w:r>
          </w:p>
        </w:tc>
        <w:tc>
          <w:tcPr>
            <w:tcW w:w="233" w:type="pct"/>
            <w:tcBorders>
              <w:tl2br w:val="nil"/>
              <w:tr2bl w:val="nil"/>
            </w:tcBorders>
            <w:noWrap w:val="0"/>
            <w:vAlign w:val="center"/>
          </w:tcPr>
          <w:p w14:paraId="50C7C83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3.29</w:t>
            </w:r>
          </w:p>
        </w:tc>
        <w:tc>
          <w:tcPr>
            <w:tcW w:w="294" w:type="pct"/>
            <w:tcBorders>
              <w:tl2br w:val="nil"/>
              <w:tr2bl w:val="nil"/>
            </w:tcBorders>
            <w:noWrap w:val="0"/>
            <w:vAlign w:val="center"/>
          </w:tcPr>
          <w:p w14:paraId="0A032D6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3.55</w:t>
            </w:r>
          </w:p>
        </w:tc>
        <w:tc>
          <w:tcPr>
            <w:tcW w:w="225" w:type="pct"/>
            <w:tcBorders>
              <w:tl2br w:val="nil"/>
              <w:tr2bl w:val="nil"/>
            </w:tcBorders>
            <w:noWrap w:val="0"/>
            <w:vAlign w:val="center"/>
          </w:tcPr>
          <w:p w14:paraId="6EC5876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3.70</w:t>
            </w:r>
          </w:p>
        </w:tc>
        <w:tc>
          <w:tcPr>
            <w:tcW w:w="277" w:type="pct"/>
            <w:tcBorders>
              <w:tl2br w:val="nil"/>
              <w:tr2bl w:val="nil"/>
            </w:tcBorders>
            <w:noWrap w:val="0"/>
            <w:vAlign w:val="center"/>
          </w:tcPr>
          <w:p w14:paraId="2D67671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2.00</w:t>
            </w:r>
          </w:p>
        </w:tc>
        <w:tc>
          <w:tcPr>
            <w:tcW w:w="225" w:type="pct"/>
            <w:tcBorders>
              <w:tl2br w:val="nil"/>
              <w:tr2bl w:val="nil"/>
            </w:tcBorders>
            <w:noWrap w:val="0"/>
            <w:vAlign w:val="center"/>
          </w:tcPr>
          <w:p w14:paraId="18B0473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1.09</w:t>
            </w:r>
          </w:p>
        </w:tc>
        <w:tc>
          <w:tcPr>
            <w:tcW w:w="272" w:type="pct"/>
            <w:tcBorders>
              <w:tl2br w:val="nil"/>
              <w:tr2bl w:val="nil"/>
            </w:tcBorders>
            <w:noWrap w:val="0"/>
            <w:vAlign w:val="center"/>
          </w:tcPr>
          <w:p w14:paraId="51D1072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0.60</w:t>
            </w:r>
          </w:p>
        </w:tc>
        <w:tc>
          <w:tcPr>
            <w:tcW w:w="225" w:type="pct"/>
            <w:tcBorders>
              <w:tl2br w:val="nil"/>
              <w:tr2bl w:val="nil"/>
            </w:tcBorders>
            <w:noWrap w:val="0"/>
            <w:vAlign w:val="center"/>
          </w:tcPr>
          <w:p w14:paraId="3A3DB0B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1.26</w:t>
            </w:r>
          </w:p>
        </w:tc>
        <w:tc>
          <w:tcPr>
            <w:tcW w:w="305" w:type="pct"/>
            <w:tcBorders>
              <w:tl2br w:val="nil"/>
              <w:tr2bl w:val="nil"/>
            </w:tcBorders>
            <w:noWrap w:val="0"/>
            <w:vAlign w:val="center"/>
          </w:tcPr>
          <w:p w14:paraId="6E76574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1.12</w:t>
            </w:r>
          </w:p>
        </w:tc>
        <w:tc>
          <w:tcPr>
            <w:tcW w:w="250" w:type="pct"/>
            <w:tcBorders>
              <w:tl2br w:val="nil"/>
              <w:tr2bl w:val="nil"/>
            </w:tcBorders>
            <w:noWrap w:val="0"/>
            <w:vAlign w:val="center"/>
          </w:tcPr>
          <w:p w14:paraId="17215FE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1.35</w:t>
            </w:r>
          </w:p>
        </w:tc>
        <w:tc>
          <w:tcPr>
            <w:tcW w:w="343" w:type="pct"/>
            <w:tcBorders>
              <w:tl2br w:val="nil"/>
              <w:tr2bl w:val="nil"/>
            </w:tcBorders>
            <w:noWrap w:val="0"/>
            <w:vAlign w:val="center"/>
          </w:tcPr>
          <w:p w14:paraId="6DF1813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1.22</w:t>
            </w:r>
          </w:p>
        </w:tc>
        <w:tc>
          <w:tcPr>
            <w:tcW w:w="225" w:type="pct"/>
            <w:tcBorders>
              <w:tl2br w:val="nil"/>
              <w:tr2bl w:val="nil"/>
            </w:tcBorders>
            <w:noWrap w:val="0"/>
            <w:vAlign w:val="center"/>
          </w:tcPr>
          <w:p w14:paraId="6737F30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1.46</w:t>
            </w:r>
          </w:p>
        </w:tc>
        <w:tc>
          <w:tcPr>
            <w:tcW w:w="360" w:type="pct"/>
            <w:tcBorders>
              <w:tl2br w:val="nil"/>
              <w:tr2bl w:val="nil"/>
            </w:tcBorders>
            <w:noWrap w:val="0"/>
            <w:vAlign w:val="center"/>
          </w:tcPr>
          <w:p w14:paraId="1165E61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2.28</w:t>
            </w:r>
          </w:p>
        </w:tc>
        <w:tc>
          <w:tcPr>
            <w:tcW w:w="266" w:type="pct"/>
            <w:tcBorders>
              <w:tl2br w:val="nil"/>
              <w:tr2bl w:val="nil"/>
            </w:tcBorders>
            <w:noWrap w:val="0"/>
            <w:vAlign w:val="center"/>
          </w:tcPr>
          <w:p w14:paraId="687A6DB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4.59</w:t>
            </w:r>
          </w:p>
        </w:tc>
        <w:tc>
          <w:tcPr>
            <w:tcW w:w="338" w:type="pct"/>
            <w:tcBorders>
              <w:tl2br w:val="nil"/>
              <w:tr2bl w:val="nil"/>
            </w:tcBorders>
            <w:noWrap w:val="0"/>
            <w:vAlign w:val="center"/>
          </w:tcPr>
          <w:p w14:paraId="26E7E5E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4.40</w:t>
            </w:r>
          </w:p>
        </w:tc>
        <w:tc>
          <w:tcPr>
            <w:tcW w:w="299" w:type="pct"/>
            <w:tcBorders>
              <w:tl2br w:val="nil"/>
              <w:tr2bl w:val="nil"/>
            </w:tcBorders>
            <w:noWrap w:val="0"/>
            <w:vAlign w:val="center"/>
          </w:tcPr>
          <w:p w14:paraId="2A6962C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2.68</w:t>
            </w:r>
          </w:p>
        </w:tc>
      </w:tr>
      <w:tr w14:paraId="01D2AD5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0E1CCD0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9月</w:t>
            </w:r>
          </w:p>
        </w:tc>
        <w:tc>
          <w:tcPr>
            <w:tcW w:w="225" w:type="pct"/>
            <w:tcBorders>
              <w:tl2br w:val="nil"/>
              <w:tr2bl w:val="nil"/>
            </w:tcBorders>
            <w:noWrap w:val="0"/>
            <w:vAlign w:val="center"/>
          </w:tcPr>
          <w:p w14:paraId="7E84DBB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10.24</w:t>
            </w:r>
          </w:p>
        </w:tc>
        <w:tc>
          <w:tcPr>
            <w:tcW w:w="305" w:type="pct"/>
            <w:tcBorders>
              <w:tl2br w:val="nil"/>
              <w:tr2bl w:val="nil"/>
            </w:tcBorders>
            <w:noWrap w:val="0"/>
            <w:vAlign w:val="center"/>
          </w:tcPr>
          <w:p w14:paraId="345D8A3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6.98</w:t>
            </w:r>
          </w:p>
        </w:tc>
        <w:tc>
          <w:tcPr>
            <w:tcW w:w="233" w:type="pct"/>
            <w:tcBorders>
              <w:tl2br w:val="nil"/>
              <w:tr2bl w:val="nil"/>
            </w:tcBorders>
            <w:noWrap w:val="0"/>
            <w:vAlign w:val="center"/>
          </w:tcPr>
          <w:p w14:paraId="39D7DC6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5.03</w:t>
            </w:r>
          </w:p>
        </w:tc>
        <w:tc>
          <w:tcPr>
            <w:tcW w:w="294" w:type="pct"/>
            <w:tcBorders>
              <w:tl2br w:val="nil"/>
              <w:tr2bl w:val="nil"/>
            </w:tcBorders>
            <w:noWrap w:val="0"/>
            <w:vAlign w:val="center"/>
          </w:tcPr>
          <w:p w14:paraId="2049FDA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3.96</w:t>
            </w:r>
          </w:p>
        </w:tc>
        <w:tc>
          <w:tcPr>
            <w:tcW w:w="225" w:type="pct"/>
            <w:tcBorders>
              <w:tl2br w:val="nil"/>
              <w:tr2bl w:val="nil"/>
            </w:tcBorders>
            <w:noWrap w:val="0"/>
            <w:vAlign w:val="center"/>
          </w:tcPr>
          <w:p w14:paraId="4E5BD38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4.61</w:t>
            </w:r>
          </w:p>
        </w:tc>
        <w:tc>
          <w:tcPr>
            <w:tcW w:w="277" w:type="pct"/>
            <w:tcBorders>
              <w:tl2br w:val="nil"/>
              <w:tr2bl w:val="nil"/>
            </w:tcBorders>
            <w:noWrap w:val="0"/>
            <w:vAlign w:val="center"/>
          </w:tcPr>
          <w:p w14:paraId="6511F22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2.51</w:t>
            </w:r>
          </w:p>
        </w:tc>
        <w:tc>
          <w:tcPr>
            <w:tcW w:w="225" w:type="pct"/>
            <w:tcBorders>
              <w:tl2br w:val="nil"/>
              <w:tr2bl w:val="nil"/>
            </w:tcBorders>
            <w:noWrap w:val="0"/>
            <w:vAlign w:val="center"/>
          </w:tcPr>
          <w:p w14:paraId="258194F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1.47</w:t>
            </w:r>
          </w:p>
        </w:tc>
        <w:tc>
          <w:tcPr>
            <w:tcW w:w="272" w:type="pct"/>
            <w:tcBorders>
              <w:tl2br w:val="nil"/>
              <w:tr2bl w:val="nil"/>
            </w:tcBorders>
            <w:noWrap w:val="0"/>
            <w:vAlign w:val="center"/>
          </w:tcPr>
          <w:p w14:paraId="3FF5605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0.57</w:t>
            </w:r>
          </w:p>
        </w:tc>
        <w:tc>
          <w:tcPr>
            <w:tcW w:w="225" w:type="pct"/>
            <w:tcBorders>
              <w:tl2br w:val="nil"/>
              <w:tr2bl w:val="nil"/>
            </w:tcBorders>
            <w:noWrap w:val="0"/>
            <w:vAlign w:val="center"/>
          </w:tcPr>
          <w:p w14:paraId="709787C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0.79</w:t>
            </w:r>
          </w:p>
        </w:tc>
        <w:tc>
          <w:tcPr>
            <w:tcW w:w="305" w:type="pct"/>
            <w:tcBorders>
              <w:tl2br w:val="nil"/>
              <w:tr2bl w:val="nil"/>
            </w:tcBorders>
            <w:noWrap w:val="0"/>
            <w:vAlign w:val="center"/>
          </w:tcPr>
          <w:p w14:paraId="5C44603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0.36</w:t>
            </w:r>
          </w:p>
        </w:tc>
        <w:tc>
          <w:tcPr>
            <w:tcW w:w="250" w:type="pct"/>
            <w:tcBorders>
              <w:tl2br w:val="nil"/>
              <w:tr2bl w:val="nil"/>
            </w:tcBorders>
            <w:noWrap w:val="0"/>
            <w:vAlign w:val="center"/>
          </w:tcPr>
          <w:p w14:paraId="1BC8192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0.74</w:t>
            </w:r>
          </w:p>
        </w:tc>
        <w:tc>
          <w:tcPr>
            <w:tcW w:w="343" w:type="pct"/>
            <w:tcBorders>
              <w:tl2br w:val="nil"/>
              <w:tr2bl w:val="nil"/>
            </w:tcBorders>
            <w:noWrap w:val="0"/>
            <w:vAlign w:val="center"/>
          </w:tcPr>
          <w:p w14:paraId="1BB565B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0.89</w:t>
            </w:r>
          </w:p>
        </w:tc>
        <w:tc>
          <w:tcPr>
            <w:tcW w:w="225" w:type="pct"/>
            <w:tcBorders>
              <w:tl2br w:val="nil"/>
              <w:tr2bl w:val="nil"/>
            </w:tcBorders>
            <w:noWrap w:val="0"/>
            <w:vAlign w:val="center"/>
          </w:tcPr>
          <w:p w14:paraId="6C76706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1.25</w:t>
            </w:r>
          </w:p>
        </w:tc>
        <w:tc>
          <w:tcPr>
            <w:tcW w:w="360" w:type="pct"/>
            <w:tcBorders>
              <w:tl2br w:val="nil"/>
              <w:tr2bl w:val="nil"/>
            </w:tcBorders>
            <w:noWrap w:val="0"/>
            <w:vAlign w:val="center"/>
          </w:tcPr>
          <w:p w14:paraId="70E2944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1.14</w:t>
            </w:r>
          </w:p>
        </w:tc>
        <w:tc>
          <w:tcPr>
            <w:tcW w:w="266" w:type="pct"/>
            <w:tcBorders>
              <w:tl2br w:val="nil"/>
              <w:tr2bl w:val="nil"/>
            </w:tcBorders>
            <w:noWrap w:val="0"/>
            <w:vAlign w:val="center"/>
          </w:tcPr>
          <w:p w14:paraId="1CA498F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1.94</w:t>
            </w:r>
          </w:p>
        </w:tc>
        <w:tc>
          <w:tcPr>
            <w:tcW w:w="338" w:type="pct"/>
            <w:tcBorders>
              <w:tl2br w:val="nil"/>
              <w:tr2bl w:val="nil"/>
            </w:tcBorders>
            <w:noWrap w:val="0"/>
            <w:vAlign w:val="center"/>
          </w:tcPr>
          <w:p w14:paraId="2F44C9B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5.77</w:t>
            </w:r>
          </w:p>
        </w:tc>
        <w:tc>
          <w:tcPr>
            <w:tcW w:w="299" w:type="pct"/>
            <w:tcBorders>
              <w:tl2br w:val="nil"/>
              <w:tr2bl w:val="nil"/>
            </w:tcBorders>
            <w:noWrap w:val="0"/>
            <w:vAlign w:val="center"/>
          </w:tcPr>
          <w:p w14:paraId="21836EF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3.02</w:t>
            </w:r>
          </w:p>
        </w:tc>
      </w:tr>
      <w:tr w14:paraId="7E70B09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350C3E0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10月</w:t>
            </w:r>
          </w:p>
        </w:tc>
        <w:tc>
          <w:tcPr>
            <w:tcW w:w="225" w:type="pct"/>
            <w:tcBorders>
              <w:tl2br w:val="nil"/>
              <w:tr2bl w:val="nil"/>
            </w:tcBorders>
            <w:noWrap w:val="0"/>
            <w:vAlign w:val="center"/>
          </w:tcPr>
          <w:p w14:paraId="6A480DD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12.61</w:t>
            </w:r>
          </w:p>
        </w:tc>
        <w:tc>
          <w:tcPr>
            <w:tcW w:w="305" w:type="pct"/>
            <w:tcBorders>
              <w:tl2br w:val="nil"/>
              <w:tr2bl w:val="nil"/>
            </w:tcBorders>
            <w:noWrap w:val="0"/>
            <w:vAlign w:val="center"/>
          </w:tcPr>
          <w:p w14:paraId="0A5142B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6.16</w:t>
            </w:r>
          </w:p>
        </w:tc>
        <w:tc>
          <w:tcPr>
            <w:tcW w:w="233" w:type="pct"/>
            <w:tcBorders>
              <w:tl2br w:val="nil"/>
              <w:tr2bl w:val="nil"/>
            </w:tcBorders>
            <w:noWrap w:val="0"/>
            <w:vAlign w:val="center"/>
          </w:tcPr>
          <w:p w14:paraId="6AAF990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5.89</w:t>
            </w:r>
          </w:p>
        </w:tc>
        <w:tc>
          <w:tcPr>
            <w:tcW w:w="294" w:type="pct"/>
            <w:tcBorders>
              <w:tl2br w:val="nil"/>
              <w:tr2bl w:val="nil"/>
            </w:tcBorders>
            <w:noWrap w:val="0"/>
            <w:vAlign w:val="center"/>
          </w:tcPr>
          <w:p w14:paraId="6563289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2.74</w:t>
            </w:r>
          </w:p>
        </w:tc>
        <w:tc>
          <w:tcPr>
            <w:tcW w:w="225" w:type="pct"/>
            <w:tcBorders>
              <w:tl2br w:val="nil"/>
              <w:tr2bl w:val="nil"/>
            </w:tcBorders>
            <w:noWrap w:val="0"/>
            <w:vAlign w:val="center"/>
          </w:tcPr>
          <w:p w14:paraId="2BC27FC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3.62</w:t>
            </w:r>
          </w:p>
        </w:tc>
        <w:tc>
          <w:tcPr>
            <w:tcW w:w="277" w:type="pct"/>
            <w:tcBorders>
              <w:tl2br w:val="nil"/>
              <w:tr2bl w:val="nil"/>
            </w:tcBorders>
            <w:noWrap w:val="0"/>
            <w:vAlign w:val="center"/>
          </w:tcPr>
          <w:p w14:paraId="56A57CC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1.92</w:t>
            </w:r>
          </w:p>
        </w:tc>
        <w:tc>
          <w:tcPr>
            <w:tcW w:w="225" w:type="pct"/>
            <w:tcBorders>
              <w:tl2br w:val="nil"/>
              <w:tr2bl w:val="nil"/>
            </w:tcBorders>
            <w:noWrap w:val="0"/>
            <w:vAlign w:val="center"/>
          </w:tcPr>
          <w:p w14:paraId="118048B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1.30</w:t>
            </w:r>
          </w:p>
        </w:tc>
        <w:tc>
          <w:tcPr>
            <w:tcW w:w="272" w:type="pct"/>
            <w:tcBorders>
              <w:tl2br w:val="nil"/>
              <w:tr2bl w:val="nil"/>
            </w:tcBorders>
            <w:noWrap w:val="0"/>
            <w:vAlign w:val="center"/>
          </w:tcPr>
          <w:p w14:paraId="5B650D2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0.95</w:t>
            </w:r>
          </w:p>
        </w:tc>
        <w:tc>
          <w:tcPr>
            <w:tcW w:w="225" w:type="pct"/>
            <w:tcBorders>
              <w:tl2br w:val="nil"/>
              <w:tr2bl w:val="nil"/>
            </w:tcBorders>
            <w:noWrap w:val="0"/>
            <w:vAlign w:val="center"/>
          </w:tcPr>
          <w:p w14:paraId="31B1F5D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1.41</w:t>
            </w:r>
          </w:p>
        </w:tc>
        <w:tc>
          <w:tcPr>
            <w:tcW w:w="305" w:type="pct"/>
            <w:tcBorders>
              <w:tl2br w:val="nil"/>
              <w:tr2bl w:val="nil"/>
            </w:tcBorders>
            <w:noWrap w:val="0"/>
            <w:vAlign w:val="center"/>
          </w:tcPr>
          <w:p w14:paraId="5E867A2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1.25</w:t>
            </w:r>
          </w:p>
        </w:tc>
        <w:tc>
          <w:tcPr>
            <w:tcW w:w="250" w:type="pct"/>
            <w:tcBorders>
              <w:tl2br w:val="nil"/>
              <w:tr2bl w:val="nil"/>
            </w:tcBorders>
            <w:noWrap w:val="0"/>
            <w:vAlign w:val="center"/>
          </w:tcPr>
          <w:p w14:paraId="355D2F0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0.99</w:t>
            </w:r>
          </w:p>
        </w:tc>
        <w:tc>
          <w:tcPr>
            <w:tcW w:w="343" w:type="pct"/>
            <w:tcBorders>
              <w:tl2br w:val="nil"/>
              <w:tr2bl w:val="nil"/>
            </w:tcBorders>
            <w:noWrap w:val="0"/>
            <w:vAlign w:val="center"/>
          </w:tcPr>
          <w:p w14:paraId="284C805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1.10</w:t>
            </w:r>
          </w:p>
        </w:tc>
        <w:tc>
          <w:tcPr>
            <w:tcW w:w="225" w:type="pct"/>
            <w:tcBorders>
              <w:tl2br w:val="nil"/>
              <w:tr2bl w:val="nil"/>
            </w:tcBorders>
            <w:noWrap w:val="0"/>
            <w:vAlign w:val="center"/>
          </w:tcPr>
          <w:p w14:paraId="3D490E5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0.97</w:t>
            </w:r>
          </w:p>
        </w:tc>
        <w:tc>
          <w:tcPr>
            <w:tcW w:w="360" w:type="pct"/>
            <w:tcBorders>
              <w:tl2br w:val="nil"/>
              <w:tr2bl w:val="nil"/>
            </w:tcBorders>
            <w:noWrap w:val="0"/>
            <w:vAlign w:val="center"/>
          </w:tcPr>
          <w:p w14:paraId="0B0AD7D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1.53</w:t>
            </w:r>
          </w:p>
        </w:tc>
        <w:tc>
          <w:tcPr>
            <w:tcW w:w="266" w:type="pct"/>
            <w:tcBorders>
              <w:tl2br w:val="nil"/>
              <w:tr2bl w:val="nil"/>
            </w:tcBorders>
            <w:noWrap w:val="0"/>
            <w:vAlign w:val="center"/>
          </w:tcPr>
          <w:p w14:paraId="3CCE986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2.94</w:t>
            </w:r>
          </w:p>
        </w:tc>
        <w:tc>
          <w:tcPr>
            <w:tcW w:w="338" w:type="pct"/>
            <w:tcBorders>
              <w:tl2br w:val="nil"/>
              <w:tr2bl w:val="nil"/>
            </w:tcBorders>
            <w:noWrap w:val="0"/>
            <w:vAlign w:val="center"/>
          </w:tcPr>
          <w:p w14:paraId="5470FE6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10.44</w:t>
            </w:r>
          </w:p>
        </w:tc>
        <w:tc>
          <w:tcPr>
            <w:tcW w:w="299" w:type="pct"/>
            <w:tcBorders>
              <w:tl2br w:val="nil"/>
              <w:tr2bl w:val="nil"/>
            </w:tcBorders>
            <w:noWrap w:val="0"/>
            <w:vAlign w:val="center"/>
          </w:tcPr>
          <w:p w14:paraId="2E91A3A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3.49</w:t>
            </w:r>
          </w:p>
        </w:tc>
      </w:tr>
      <w:tr w14:paraId="1DEF567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1A9496A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11月</w:t>
            </w:r>
          </w:p>
        </w:tc>
        <w:tc>
          <w:tcPr>
            <w:tcW w:w="225" w:type="pct"/>
            <w:tcBorders>
              <w:tl2br w:val="nil"/>
              <w:tr2bl w:val="nil"/>
            </w:tcBorders>
            <w:noWrap w:val="0"/>
            <w:vAlign w:val="center"/>
          </w:tcPr>
          <w:p w14:paraId="46B0389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15.63</w:t>
            </w:r>
          </w:p>
        </w:tc>
        <w:tc>
          <w:tcPr>
            <w:tcW w:w="305" w:type="pct"/>
            <w:tcBorders>
              <w:tl2br w:val="nil"/>
              <w:tr2bl w:val="nil"/>
            </w:tcBorders>
            <w:noWrap w:val="0"/>
            <w:vAlign w:val="center"/>
          </w:tcPr>
          <w:p w14:paraId="3781E9C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8.25</w:t>
            </w:r>
          </w:p>
        </w:tc>
        <w:tc>
          <w:tcPr>
            <w:tcW w:w="233" w:type="pct"/>
            <w:tcBorders>
              <w:tl2br w:val="nil"/>
              <w:tr2bl w:val="nil"/>
            </w:tcBorders>
            <w:noWrap w:val="0"/>
            <w:vAlign w:val="center"/>
          </w:tcPr>
          <w:p w14:paraId="01B1220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4.97</w:t>
            </w:r>
          </w:p>
        </w:tc>
        <w:tc>
          <w:tcPr>
            <w:tcW w:w="294" w:type="pct"/>
            <w:tcBorders>
              <w:tl2br w:val="nil"/>
              <w:tr2bl w:val="nil"/>
            </w:tcBorders>
            <w:noWrap w:val="0"/>
            <w:vAlign w:val="center"/>
          </w:tcPr>
          <w:p w14:paraId="5A34732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2.35</w:t>
            </w:r>
          </w:p>
        </w:tc>
        <w:tc>
          <w:tcPr>
            <w:tcW w:w="225" w:type="pct"/>
            <w:tcBorders>
              <w:tl2br w:val="nil"/>
              <w:tr2bl w:val="nil"/>
            </w:tcBorders>
            <w:noWrap w:val="0"/>
            <w:vAlign w:val="center"/>
          </w:tcPr>
          <w:p w14:paraId="0F8C35C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4.72</w:t>
            </w:r>
          </w:p>
        </w:tc>
        <w:tc>
          <w:tcPr>
            <w:tcW w:w="277" w:type="pct"/>
            <w:tcBorders>
              <w:tl2br w:val="nil"/>
              <w:tr2bl w:val="nil"/>
            </w:tcBorders>
            <w:noWrap w:val="0"/>
            <w:vAlign w:val="center"/>
          </w:tcPr>
          <w:p w14:paraId="77C1ACA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1.98</w:t>
            </w:r>
          </w:p>
        </w:tc>
        <w:tc>
          <w:tcPr>
            <w:tcW w:w="225" w:type="pct"/>
            <w:tcBorders>
              <w:tl2br w:val="nil"/>
              <w:tr2bl w:val="nil"/>
            </w:tcBorders>
            <w:noWrap w:val="0"/>
            <w:vAlign w:val="center"/>
          </w:tcPr>
          <w:p w14:paraId="613A5FF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1.57</w:t>
            </w:r>
          </w:p>
        </w:tc>
        <w:tc>
          <w:tcPr>
            <w:tcW w:w="272" w:type="pct"/>
            <w:tcBorders>
              <w:tl2br w:val="nil"/>
              <w:tr2bl w:val="nil"/>
            </w:tcBorders>
            <w:noWrap w:val="0"/>
            <w:vAlign w:val="center"/>
          </w:tcPr>
          <w:p w14:paraId="6812C63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1.97</w:t>
            </w:r>
          </w:p>
        </w:tc>
        <w:tc>
          <w:tcPr>
            <w:tcW w:w="225" w:type="pct"/>
            <w:tcBorders>
              <w:tl2br w:val="nil"/>
              <w:tr2bl w:val="nil"/>
            </w:tcBorders>
            <w:noWrap w:val="0"/>
            <w:vAlign w:val="center"/>
          </w:tcPr>
          <w:p w14:paraId="61FBC0A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2.65</w:t>
            </w:r>
          </w:p>
        </w:tc>
        <w:tc>
          <w:tcPr>
            <w:tcW w:w="305" w:type="pct"/>
            <w:tcBorders>
              <w:tl2br w:val="nil"/>
              <w:tr2bl w:val="nil"/>
            </w:tcBorders>
            <w:noWrap w:val="0"/>
            <w:vAlign w:val="center"/>
          </w:tcPr>
          <w:p w14:paraId="7047167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1.51</w:t>
            </w:r>
          </w:p>
        </w:tc>
        <w:tc>
          <w:tcPr>
            <w:tcW w:w="250" w:type="pct"/>
            <w:tcBorders>
              <w:tl2br w:val="nil"/>
              <w:tr2bl w:val="nil"/>
            </w:tcBorders>
            <w:noWrap w:val="0"/>
            <w:vAlign w:val="center"/>
          </w:tcPr>
          <w:p w14:paraId="05896C9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1.46</w:t>
            </w:r>
          </w:p>
        </w:tc>
        <w:tc>
          <w:tcPr>
            <w:tcW w:w="343" w:type="pct"/>
            <w:tcBorders>
              <w:tl2br w:val="nil"/>
              <w:tr2bl w:val="nil"/>
            </w:tcBorders>
            <w:noWrap w:val="0"/>
            <w:vAlign w:val="center"/>
          </w:tcPr>
          <w:p w14:paraId="5648234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0.69</w:t>
            </w:r>
          </w:p>
        </w:tc>
        <w:tc>
          <w:tcPr>
            <w:tcW w:w="225" w:type="pct"/>
            <w:tcBorders>
              <w:tl2br w:val="nil"/>
              <w:tr2bl w:val="nil"/>
            </w:tcBorders>
            <w:noWrap w:val="0"/>
            <w:vAlign w:val="center"/>
          </w:tcPr>
          <w:p w14:paraId="0955AB6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1.52</w:t>
            </w:r>
          </w:p>
        </w:tc>
        <w:tc>
          <w:tcPr>
            <w:tcW w:w="360" w:type="pct"/>
            <w:tcBorders>
              <w:tl2br w:val="nil"/>
              <w:tr2bl w:val="nil"/>
            </w:tcBorders>
            <w:noWrap w:val="0"/>
            <w:vAlign w:val="center"/>
          </w:tcPr>
          <w:p w14:paraId="74C1AA5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1.45</w:t>
            </w:r>
          </w:p>
        </w:tc>
        <w:tc>
          <w:tcPr>
            <w:tcW w:w="266" w:type="pct"/>
            <w:tcBorders>
              <w:tl2br w:val="nil"/>
              <w:tr2bl w:val="nil"/>
            </w:tcBorders>
            <w:noWrap w:val="0"/>
            <w:vAlign w:val="center"/>
          </w:tcPr>
          <w:p w14:paraId="273986A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2.53</w:t>
            </w:r>
          </w:p>
        </w:tc>
        <w:tc>
          <w:tcPr>
            <w:tcW w:w="338" w:type="pct"/>
            <w:tcBorders>
              <w:tl2br w:val="nil"/>
              <w:tr2bl w:val="nil"/>
            </w:tcBorders>
            <w:noWrap w:val="0"/>
            <w:vAlign w:val="center"/>
          </w:tcPr>
          <w:p w14:paraId="40C9AE5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11.08</w:t>
            </w:r>
          </w:p>
        </w:tc>
        <w:tc>
          <w:tcPr>
            <w:tcW w:w="299" w:type="pct"/>
            <w:tcBorders>
              <w:tl2br w:val="nil"/>
              <w:tr2bl w:val="nil"/>
            </w:tcBorders>
            <w:noWrap w:val="0"/>
            <w:vAlign w:val="center"/>
          </w:tcPr>
          <w:p w14:paraId="4ECE078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4.02</w:t>
            </w:r>
          </w:p>
        </w:tc>
      </w:tr>
      <w:tr w14:paraId="7D0A727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7C13133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12月</w:t>
            </w:r>
          </w:p>
        </w:tc>
        <w:tc>
          <w:tcPr>
            <w:tcW w:w="225" w:type="pct"/>
            <w:tcBorders>
              <w:tl2br w:val="nil"/>
              <w:tr2bl w:val="nil"/>
            </w:tcBorders>
            <w:noWrap w:val="0"/>
            <w:vAlign w:val="center"/>
          </w:tcPr>
          <w:p w14:paraId="7806197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17.03</w:t>
            </w:r>
          </w:p>
        </w:tc>
        <w:tc>
          <w:tcPr>
            <w:tcW w:w="305" w:type="pct"/>
            <w:tcBorders>
              <w:tl2br w:val="nil"/>
              <w:tr2bl w:val="nil"/>
            </w:tcBorders>
            <w:noWrap w:val="0"/>
            <w:vAlign w:val="center"/>
          </w:tcPr>
          <w:p w14:paraId="09EF4BD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11.88</w:t>
            </w:r>
          </w:p>
        </w:tc>
        <w:tc>
          <w:tcPr>
            <w:tcW w:w="233" w:type="pct"/>
            <w:tcBorders>
              <w:tl2br w:val="nil"/>
              <w:tr2bl w:val="nil"/>
            </w:tcBorders>
            <w:noWrap w:val="0"/>
            <w:vAlign w:val="center"/>
          </w:tcPr>
          <w:p w14:paraId="57424A9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7.68</w:t>
            </w:r>
          </w:p>
        </w:tc>
        <w:tc>
          <w:tcPr>
            <w:tcW w:w="294" w:type="pct"/>
            <w:tcBorders>
              <w:tl2br w:val="nil"/>
              <w:tr2bl w:val="nil"/>
            </w:tcBorders>
            <w:noWrap w:val="0"/>
            <w:vAlign w:val="center"/>
          </w:tcPr>
          <w:p w14:paraId="787E50D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3.73</w:t>
            </w:r>
          </w:p>
        </w:tc>
        <w:tc>
          <w:tcPr>
            <w:tcW w:w="225" w:type="pct"/>
            <w:tcBorders>
              <w:tl2br w:val="nil"/>
              <w:tr2bl w:val="nil"/>
            </w:tcBorders>
            <w:noWrap w:val="0"/>
            <w:vAlign w:val="center"/>
          </w:tcPr>
          <w:p w14:paraId="63345CA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3.58</w:t>
            </w:r>
          </w:p>
        </w:tc>
        <w:tc>
          <w:tcPr>
            <w:tcW w:w="277" w:type="pct"/>
            <w:tcBorders>
              <w:tl2br w:val="nil"/>
              <w:tr2bl w:val="nil"/>
            </w:tcBorders>
            <w:noWrap w:val="0"/>
            <w:vAlign w:val="center"/>
          </w:tcPr>
          <w:p w14:paraId="45E7681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2.71</w:t>
            </w:r>
          </w:p>
        </w:tc>
        <w:tc>
          <w:tcPr>
            <w:tcW w:w="225" w:type="pct"/>
            <w:tcBorders>
              <w:tl2br w:val="nil"/>
              <w:tr2bl w:val="nil"/>
            </w:tcBorders>
            <w:noWrap w:val="0"/>
            <w:vAlign w:val="center"/>
          </w:tcPr>
          <w:p w14:paraId="39EDBE1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2.86</w:t>
            </w:r>
          </w:p>
        </w:tc>
        <w:tc>
          <w:tcPr>
            <w:tcW w:w="272" w:type="pct"/>
            <w:tcBorders>
              <w:tl2br w:val="nil"/>
              <w:tr2bl w:val="nil"/>
            </w:tcBorders>
            <w:noWrap w:val="0"/>
            <w:vAlign w:val="center"/>
          </w:tcPr>
          <w:p w14:paraId="2767D3B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2.96</w:t>
            </w:r>
          </w:p>
        </w:tc>
        <w:tc>
          <w:tcPr>
            <w:tcW w:w="225" w:type="pct"/>
            <w:tcBorders>
              <w:tl2br w:val="nil"/>
              <w:tr2bl w:val="nil"/>
            </w:tcBorders>
            <w:noWrap w:val="0"/>
            <w:vAlign w:val="center"/>
          </w:tcPr>
          <w:p w14:paraId="6EA84BF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4.22</w:t>
            </w:r>
          </w:p>
        </w:tc>
        <w:tc>
          <w:tcPr>
            <w:tcW w:w="305" w:type="pct"/>
            <w:tcBorders>
              <w:tl2br w:val="nil"/>
              <w:tr2bl w:val="nil"/>
            </w:tcBorders>
            <w:noWrap w:val="0"/>
            <w:vAlign w:val="center"/>
          </w:tcPr>
          <w:p w14:paraId="057E892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2.51</w:t>
            </w:r>
          </w:p>
        </w:tc>
        <w:tc>
          <w:tcPr>
            <w:tcW w:w="250" w:type="pct"/>
            <w:tcBorders>
              <w:tl2br w:val="nil"/>
              <w:tr2bl w:val="nil"/>
            </w:tcBorders>
            <w:noWrap w:val="0"/>
            <w:vAlign w:val="center"/>
          </w:tcPr>
          <w:p w14:paraId="2FE98BE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1.94</w:t>
            </w:r>
          </w:p>
        </w:tc>
        <w:tc>
          <w:tcPr>
            <w:tcW w:w="343" w:type="pct"/>
            <w:tcBorders>
              <w:tl2br w:val="nil"/>
              <w:tr2bl w:val="nil"/>
            </w:tcBorders>
            <w:noWrap w:val="0"/>
            <w:vAlign w:val="center"/>
          </w:tcPr>
          <w:p w14:paraId="7772D58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1.90</w:t>
            </w:r>
          </w:p>
        </w:tc>
        <w:tc>
          <w:tcPr>
            <w:tcW w:w="225" w:type="pct"/>
            <w:tcBorders>
              <w:tl2br w:val="nil"/>
              <w:tr2bl w:val="nil"/>
            </w:tcBorders>
            <w:noWrap w:val="0"/>
            <w:vAlign w:val="center"/>
          </w:tcPr>
          <w:p w14:paraId="593CD0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1.77</w:t>
            </w:r>
          </w:p>
        </w:tc>
        <w:tc>
          <w:tcPr>
            <w:tcW w:w="360" w:type="pct"/>
            <w:tcBorders>
              <w:tl2br w:val="nil"/>
              <w:tr2bl w:val="nil"/>
            </w:tcBorders>
            <w:noWrap w:val="0"/>
            <w:vAlign w:val="center"/>
          </w:tcPr>
          <w:p w14:paraId="31D3242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1.35</w:t>
            </w:r>
          </w:p>
        </w:tc>
        <w:tc>
          <w:tcPr>
            <w:tcW w:w="266" w:type="pct"/>
            <w:tcBorders>
              <w:tl2br w:val="nil"/>
              <w:tr2bl w:val="nil"/>
            </w:tcBorders>
            <w:noWrap w:val="0"/>
            <w:vAlign w:val="center"/>
          </w:tcPr>
          <w:p w14:paraId="36E83A1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2.47</w:t>
            </w:r>
          </w:p>
        </w:tc>
        <w:tc>
          <w:tcPr>
            <w:tcW w:w="338" w:type="pct"/>
            <w:tcBorders>
              <w:tl2br w:val="nil"/>
              <w:tr2bl w:val="nil"/>
            </w:tcBorders>
            <w:noWrap w:val="0"/>
            <w:vAlign w:val="center"/>
          </w:tcPr>
          <w:p w14:paraId="6989121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5.64</w:t>
            </w:r>
          </w:p>
        </w:tc>
        <w:tc>
          <w:tcPr>
            <w:tcW w:w="299" w:type="pct"/>
            <w:tcBorders>
              <w:tl2br w:val="nil"/>
              <w:tr2bl w:val="nil"/>
            </w:tcBorders>
            <w:noWrap w:val="0"/>
            <w:vAlign w:val="center"/>
          </w:tcPr>
          <w:p w14:paraId="52077C6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4.64</w:t>
            </w:r>
          </w:p>
        </w:tc>
      </w:tr>
      <w:tr w14:paraId="3450BF4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68DD3FD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全年</w:t>
            </w:r>
          </w:p>
        </w:tc>
        <w:tc>
          <w:tcPr>
            <w:tcW w:w="225" w:type="pct"/>
            <w:tcBorders>
              <w:tl2br w:val="nil"/>
              <w:tr2bl w:val="nil"/>
            </w:tcBorders>
            <w:noWrap w:val="0"/>
            <w:vAlign w:val="center"/>
          </w:tcPr>
          <w:p w14:paraId="27E3E3B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10.32</w:t>
            </w:r>
          </w:p>
        </w:tc>
        <w:tc>
          <w:tcPr>
            <w:tcW w:w="305" w:type="pct"/>
            <w:tcBorders>
              <w:tl2br w:val="nil"/>
              <w:tr2bl w:val="nil"/>
            </w:tcBorders>
            <w:noWrap w:val="0"/>
            <w:vAlign w:val="center"/>
          </w:tcPr>
          <w:p w14:paraId="7FA6067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6.08</w:t>
            </w:r>
          </w:p>
        </w:tc>
        <w:tc>
          <w:tcPr>
            <w:tcW w:w="233" w:type="pct"/>
            <w:tcBorders>
              <w:tl2br w:val="nil"/>
              <w:tr2bl w:val="nil"/>
            </w:tcBorders>
            <w:noWrap w:val="0"/>
            <w:vAlign w:val="center"/>
          </w:tcPr>
          <w:p w14:paraId="1154747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4.81</w:t>
            </w:r>
          </w:p>
        </w:tc>
        <w:tc>
          <w:tcPr>
            <w:tcW w:w="294" w:type="pct"/>
            <w:tcBorders>
              <w:tl2br w:val="nil"/>
              <w:tr2bl w:val="nil"/>
            </w:tcBorders>
            <w:noWrap w:val="0"/>
            <w:vAlign w:val="center"/>
          </w:tcPr>
          <w:p w14:paraId="262A611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3.27</w:t>
            </w:r>
          </w:p>
        </w:tc>
        <w:tc>
          <w:tcPr>
            <w:tcW w:w="225" w:type="pct"/>
            <w:tcBorders>
              <w:tl2br w:val="nil"/>
              <w:tr2bl w:val="nil"/>
            </w:tcBorders>
            <w:noWrap w:val="0"/>
            <w:vAlign w:val="center"/>
          </w:tcPr>
          <w:p w14:paraId="539E01F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3.49</w:t>
            </w:r>
          </w:p>
        </w:tc>
        <w:tc>
          <w:tcPr>
            <w:tcW w:w="277" w:type="pct"/>
            <w:tcBorders>
              <w:tl2br w:val="nil"/>
              <w:tr2bl w:val="nil"/>
            </w:tcBorders>
            <w:noWrap w:val="0"/>
            <w:vAlign w:val="center"/>
          </w:tcPr>
          <w:p w14:paraId="531C0BF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2.06</w:t>
            </w:r>
          </w:p>
        </w:tc>
        <w:tc>
          <w:tcPr>
            <w:tcW w:w="225" w:type="pct"/>
            <w:tcBorders>
              <w:tl2br w:val="nil"/>
              <w:tr2bl w:val="nil"/>
            </w:tcBorders>
            <w:noWrap w:val="0"/>
            <w:vAlign w:val="center"/>
          </w:tcPr>
          <w:p w14:paraId="543CC64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1.63</w:t>
            </w:r>
          </w:p>
        </w:tc>
        <w:tc>
          <w:tcPr>
            <w:tcW w:w="272" w:type="pct"/>
            <w:tcBorders>
              <w:tl2br w:val="nil"/>
              <w:tr2bl w:val="nil"/>
            </w:tcBorders>
            <w:noWrap w:val="0"/>
            <w:vAlign w:val="center"/>
          </w:tcPr>
          <w:p w14:paraId="132ECAD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1.38</w:t>
            </w:r>
          </w:p>
        </w:tc>
        <w:tc>
          <w:tcPr>
            <w:tcW w:w="225" w:type="pct"/>
            <w:tcBorders>
              <w:tl2br w:val="nil"/>
              <w:tr2bl w:val="nil"/>
            </w:tcBorders>
            <w:noWrap w:val="0"/>
            <w:vAlign w:val="center"/>
          </w:tcPr>
          <w:p w14:paraId="4F14F69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2.09</w:t>
            </w:r>
          </w:p>
        </w:tc>
        <w:tc>
          <w:tcPr>
            <w:tcW w:w="305" w:type="pct"/>
            <w:tcBorders>
              <w:tl2br w:val="nil"/>
              <w:tr2bl w:val="nil"/>
            </w:tcBorders>
            <w:noWrap w:val="0"/>
            <w:vAlign w:val="center"/>
          </w:tcPr>
          <w:p w14:paraId="43AB4EF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1.21</w:t>
            </w:r>
          </w:p>
        </w:tc>
        <w:tc>
          <w:tcPr>
            <w:tcW w:w="250" w:type="pct"/>
            <w:tcBorders>
              <w:tl2br w:val="nil"/>
              <w:tr2bl w:val="nil"/>
            </w:tcBorders>
            <w:noWrap w:val="0"/>
            <w:vAlign w:val="center"/>
          </w:tcPr>
          <w:p w14:paraId="10AEFD7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1.17</w:t>
            </w:r>
          </w:p>
        </w:tc>
        <w:tc>
          <w:tcPr>
            <w:tcW w:w="343" w:type="pct"/>
            <w:tcBorders>
              <w:tl2br w:val="nil"/>
              <w:tr2bl w:val="nil"/>
            </w:tcBorders>
            <w:noWrap w:val="0"/>
            <w:vAlign w:val="center"/>
          </w:tcPr>
          <w:p w14:paraId="15857E4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1.08</w:t>
            </w:r>
          </w:p>
        </w:tc>
        <w:tc>
          <w:tcPr>
            <w:tcW w:w="225" w:type="pct"/>
            <w:tcBorders>
              <w:tl2br w:val="nil"/>
              <w:tr2bl w:val="nil"/>
            </w:tcBorders>
            <w:noWrap w:val="0"/>
            <w:vAlign w:val="center"/>
          </w:tcPr>
          <w:p w14:paraId="5962E43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1.30</w:t>
            </w:r>
          </w:p>
        </w:tc>
        <w:tc>
          <w:tcPr>
            <w:tcW w:w="360" w:type="pct"/>
            <w:tcBorders>
              <w:tl2br w:val="nil"/>
              <w:tr2bl w:val="nil"/>
            </w:tcBorders>
            <w:noWrap w:val="0"/>
            <w:vAlign w:val="center"/>
          </w:tcPr>
          <w:p w14:paraId="22EBE9C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1.33</w:t>
            </w:r>
          </w:p>
        </w:tc>
        <w:tc>
          <w:tcPr>
            <w:tcW w:w="266" w:type="pct"/>
            <w:tcBorders>
              <w:tl2br w:val="nil"/>
              <w:tr2bl w:val="nil"/>
            </w:tcBorders>
            <w:noWrap w:val="0"/>
            <w:vAlign w:val="center"/>
          </w:tcPr>
          <w:p w14:paraId="185823A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3.04</w:t>
            </w:r>
          </w:p>
        </w:tc>
        <w:tc>
          <w:tcPr>
            <w:tcW w:w="338" w:type="pct"/>
            <w:tcBorders>
              <w:tl2br w:val="nil"/>
              <w:tr2bl w:val="nil"/>
            </w:tcBorders>
            <w:noWrap w:val="0"/>
            <w:vAlign w:val="center"/>
          </w:tcPr>
          <w:p w14:paraId="2B3C092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6.38</w:t>
            </w:r>
          </w:p>
        </w:tc>
        <w:tc>
          <w:tcPr>
            <w:tcW w:w="299" w:type="pct"/>
            <w:tcBorders>
              <w:tl2br w:val="nil"/>
              <w:tr2bl w:val="nil"/>
            </w:tcBorders>
            <w:noWrap w:val="0"/>
            <w:vAlign w:val="center"/>
          </w:tcPr>
          <w:p w14:paraId="0FD4F56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3.17</w:t>
            </w:r>
          </w:p>
        </w:tc>
      </w:tr>
      <w:tr w14:paraId="6BFB31A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66FB29D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春季</w:t>
            </w:r>
          </w:p>
        </w:tc>
        <w:tc>
          <w:tcPr>
            <w:tcW w:w="225" w:type="pct"/>
            <w:tcBorders>
              <w:tl2br w:val="nil"/>
              <w:tr2bl w:val="nil"/>
            </w:tcBorders>
            <w:noWrap w:val="0"/>
            <w:vAlign w:val="center"/>
          </w:tcPr>
          <w:p w14:paraId="697743A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7.39</w:t>
            </w:r>
          </w:p>
        </w:tc>
        <w:tc>
          <w:tcPr>
            <w:tcW w:w="305" w:type="pct"/>
            <w:tcBorders>
              <w:tl2br w:val="nil"/>
              <w:tr2bl w:val="nil"/>
            </w:tcBorders>
            <w:noWrap w:val="0"/>
            <w:vAlign w:val="center"/>
          </w:tcPr>
          <w:p w14:paraId="49E3E02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5.03</w:t>
            </w:r>
          </w:p>
        </w:tc>
        <w:tc>
          <w:tcPr>
            <w:tcW w:w="233" w:type="pct"/>
            <w:tcBorders>
              <w:tl2br w:val="nil"/>
              <w:tr2bl w:val="nil"/>
            </w:tcBorders>
            <w:noWrap w:val="0"/>
            <w:vAlign w:val="center"/>
          </w:tcPr>
          <w:p w14:paraId="1433FDA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4.97</w:t>
            </w:r>
          </w:p>
        </w:tc>
        <w:tc>
          <w:tcPr>
            <w:tcW w:w="294" w:type="pct"/>
            <w:tcBorders>
              <w:tl2br w:val="nil"/>
              <w:tr2bl w:val="nil"/>
            </w:tcBorders>
            <w:noWrap w:val="0"/>
            <w:vAlign w:val="center"/>
          </w:tcPr>
          <w:p w14:paraId="4EAEF0D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4.01</w:t>
            </w:r>
          </w:p>
        </w:tc>
        <w:tc>
          <w:tcPr>
            <w:tcW w:w="225" w:type="pct"/>
            <w:tcBorders>
              <w:tl2br w:val="nil"/>
              <w:tr2bl w:val="nil"/>
            </w:tcBorders>
            <w:noWrap w:val="0"/>
            <w:vAlign w:val="center"/>
          </w:tcPr>
          <w:p w14:paraId="3ED53A9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3.39</w:t>
            </w:r>
          </w:p>
        </w:tc>
        <w:tc>
          <w:tcPr>
            <w:tcW w:w="277" w:type="pct"/>
            <w:tcBorders>
              <w:tl2br w:val="nil"/>
              <w:tr2bl w:val="nil"/>
            </w:tcBorders>
            <w:noWrap w:val="0"/>
            <w:vAlign w:val="center"/>
          </w:tcPr>
          <w:p w14:paraId="6425DDB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1.82</w:t>
            </w:r>
          </w:p>
        </w:tc>
        <w:tc>
          <w:tcPr>
            <w:tcW w:w="225" w:type="pct"/>
            <w:tcBorders>
              <w:tl2br w:val="nil"/>
              <w:tr2bl w:val="nil"/>
            </w:tcBorders>
            <w:noWrap w:val="0"/>
            <w:vAlign w:val="center"/>
          </w:tcPr>
          <w:p w14:paraId="29F0A42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1.43</w:t>
            </w:r>
          </w:p>
        </w:tc>
        <w:tc>
          <w:tcPr>
            <w:tcW w:w="272" w:type="pct"/>
            <w:tcBorders>
              <w:tl2br w:val="nil"/>
              <w:tr2bl w:val="nil"/>
            </w:tcBorders>
            <w:noWrap w:val="0"/>
            <w:vAlign w:val="center"/>
          </w:tcPr>
          <w:p w14:paraId="1CFC796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1.03</w:t>
            </w:r>
          </w:p>
        </w:tc>
        <w:tc>
          <w:tcPr>
            <w:tcW w:w="225" w:type="pct"/>
            <w:tcBorders>
              <w:tl2br w:val="nil"/>
              <w:tr2bl w:val="nil"/>
            </w:tcBorders>
            <w:noWrap w:val="0"/>
            <w:vAlign w:val="center"/>
          </w:tcPr>
          <w:p w14:paraId="19AFD0C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2.10</w:t>
            </w:r>
          </w:p>
        </w:tc>
        <w:tc>
          <w:tcPr>
            <w:tcW w:w="305" w:type="pct"/>
            <w:tcBorders>
              <w:tl2br w:val="nil"/>
              <w:tr2bl w:val="nil"/>
            </w:tcBorders>
            <w:noWrap w:val="0"/>
            <w:vAlign w:val="center"/>
          </w:tcPr>
          <w:p w14:paraId="6931ED3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1.66</w:t>
            </w:r>
          </w:p>
        </w:tc>
        <w:tc>
          <w:tcPr>
            <w:tcW w:w="250" w:type="pct"/>
            <w:tcBorders>
              <w:tl2br w:val="nil"/>
              <w:tr2bl w:val="nil"/>
            </w:tcBorders>
            <w:noWrap w:val="0"/>
            <w:vAlign w:val="center"/>
          </w:tcPr>
          <w:p w14:paraId="33785EB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1.28</w:t>
            </w:r>
          </w:p>
        </w:tc>
        <w:tc>
          <w:tcPr>
            <w:tcW w:w="343" w:type="pct"/>
            <w:tcBorders>
              <w:tl2br w:val="nil"/>
              <w:tr2bl w:val="nil"/>
            </w:tcBorders>
            <w:noWrap w:val="0"/>
            <w:vAlign w:val="center"/>
          </w:tcPr>
          <w:p w14:paraId="2C44149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1.03</w:t>
            </w:r>
          </w:p>
        </w:tc>
        <w:tc>
          <w:tcPr>
            <w:tcW w:w="225" w:type="pct"/>
            <w:tcBorders>
              <w:tl2br w:val="nil"/>
              <w:tr2bl w:val="nil"/>
            </w:tcBorders>
            <w:noWrap w:val="0"/>
            <w:vAlign w:val="center"/>
          </w:tcPr>
          <w:p w14:paraId="413769D4">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1.21</w:t>
            </w:r>
          </w:p>
        </w:tc>
        <w:tc>
          <w:tcPr>
            <w:tcW w:w="360" w:type="pct"/>
            <w:tcBorders>
              <w:tl2br w:val="nil"/>
              <w:tr2bl w:val="nil"/>
            </w:tcBorders>
            <w:noWrap w:val="0"/>
            <w:vAlign w:val="center"/>
          </w:tcPr>
          <w:p w14:paraId="58E79BD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1.08</w:t>
            </w:r>
          </w:p>
        </w:tc>
        <w:tc>
          <w:tcPr>
            <w:tcW w:w="266" w:type="pct"/>
            <w:tcBorders>
              <w:tl2br w:val="nil"/>
              <w:tr2bl w:val="nil"/>
            </w:tcBorders>
            <w:noWrap w:val="0"/>
            <w:vAlign w:val="center"/>
          </w:tcPr>
          <w:p w14:paraId="595644E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2.56</w:t>
            </w:r>
          </w:p>
        </w:tc>
        <w:tc>
          <w:tcPr>
            <w:tcW w:w="338" w:type="pct"/>
            <w:tcBorders>
              <w:tl2br w:val="nil"/>
              <w:tr2bl w:val="nil"/>
            </w:tcBorders>
            <w:noWrap w:val="0"/>
            <w:vAlign w:val="center"/>
          </w:tcPr>
          <w:p w14:paraId="293A185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4.49</w:t>
            </w:r>
          </w:p>
        </w:tc>
        <w:tc>
          <w:tcPr>
            <w:tcW w:w="299" w:type="pct"/>
            <w:tcBorders>
              <w:tl2br w:val="nil"/>
              <w:tr2bl w:val="nil"/>
            </w:tcBorders>
            <w:noWrap w:val="0"/>
            <w:vAlign w:val="center"/>
          </w:tcPr>
          <w:p w14:paraId="0FCD6E2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2.78</w:t>
            </w:r>
          </w:p>
        </w:tc>
      </w:tr>
      <w:tr w14:paraId="46F7A74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52B48B8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夏季</w:t>
            </w:r>
          </w:p>
        </w:tc>
        <w:tc>
          <w:tcPr>
            <w:tcW w:w="225" w:type="pct"/>
            <w:tcBorders>
              <w:tl2br w:val="nil"/>
              <w:tr2bl w:val="nil"/>
            </w:tcBorders>
            <w:noWrap w:val="0"/>
            <w:vAlign w:val="center"/>
          </w:tcPr>
          <w:p w14:paraId="6D7E184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6.27</w:t>
            </w:r>
          </w:p>
        </w:tc>
        <w:tc>
          <w:tcPr>
            <w:tcW w:w="305" w:type="pct"/>
            <w:tcBorders>
              <w:tl2br w:val="nil"/>
              <w:tr2bl w:val="nil"/>
            </w:tcBorders>
            <w:noWrap w:val="0"/>
            <w:vAlign w:val="center"/>
          </w:tcPr>
          <w:p w14:paraId="34DCFDD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4.22</w:t>
            </w:r>
          </w:p>
        </w:tc>
        <w:tc>
          <w:tcPr>
            <w:tcW w:w="233" w:type="pct"/>
            <w:tcBorders>
              <w:tl2br w:val="nil"/>
              <w:tr2bl w:val="nil"/>
            </w:tcBorders>
            <w:noWrap w:val="0"/>
            <w:vAlign w:val="center"/>
          </w:tcPr>
          <w:p w14:paraId="00DC85E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3.93</w:t>
            </w:r>
          </w:p>
        </w:tc>
        <w:tc>
          <w:tcPr>
            <w:tcW w:w="294" w:type="pct"/>
            <w:tcBorders>
              <w:tl2br w:val="nil"/>
              <w:tr2bl w:val="nil"/>
            </w:tcBorders>
            <w:noWrap w:val="0"/>
            <w:vAlign w:val="center"/>
          </w:tcPr>
          <w:p w14:paraId="07E7AE6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3.10</w:t>
            </w:r>
          </w:p>
        </w:tc>
        <w:tc>
          <w:tcPr>
            <w:tcW w:w="225" w:type="pct"/>
            <w:tcBorders>
              <w:tl2br w:val="nil"/>
              <w:tr2bl w:val="nil"/>
            </w:tcBorders>
            <w:noWrap w:val="0"/>
            <w:vAlign w:val="center"/>
          </w:tcPr>
          <w:p w14:paraId="5D43164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3.79</w:t>
            </w:r>
          </w:p>
        </w:tc>
        <w:tc>
          <w:tcPr>
            <w:tcW w:w="277" w:type="pct"/>
            <w:tcBorders>
              <w:tl2br w:val="nil"/>
              <w:tr2bl w:val="nil"/>
            </w:tcBorders>
            <w:noWrap w:val="0"/>
            <w:vAlign w:val="center"/>
          </w:tcPr>
          <w:p w14:paraId="5C57162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2.15</w:t>
            </w:r>
          </w:p>
        </w:tc>
        <w:tc>
          <w:tcPr>
            <w:tcW w:w="225" w:type="pct"/>
            <w:tcBorders>
              <w:tl2br w:val="nil"/>
              <w:tr2bl w:val="nil"/>
            </w:tcBorders>
            <w:noWrap w:val="0"/>
            <w:vAlign w:val="center"/>
          </w:tcPr>
          <w:p w14:paraId="693D234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1.55</w:t>
            </w:r>
          </w:p>
        </w:tc>
        <w:tc>
          <w:tcPr>
            <w:tcW w:w="272" w:type="pct"/>
            <w:tcBorders>
              <w:tl2br w:val="nil"/>
              <w:tr2bl w:val="nil"/>
            </w:tcBorders>
            <w:noWrap w:val="0"/>
            <w:vAlign w:val="center"/>
          </w:tcPr>
          <w:p w14:paraId="7377EE7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0.72</w:t>
            </w:r>
          </w:p>
        </w:tc>
        <w:tc>
          <w:tcPr>
            <w:tcW w:w="225" w:type="pct"/>
            <w:tcBorders>
              <w:tl2br w:val="nil"/>
              <w:tr2bl w:val="nil"/>
            </w:tcBorders>
            <w:noWrap w:val="0"/>
            <w:vAlign w:val="center"/>
          </w:tcPr>
          <w:p w14:paraId="3EE0B84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1.72</w:t>
            </w:r>
          </w:p>
        </w:tc>
        <w:tc>
          <w:tcPr>
            <w:tcW w:w="305" w:type="pct"/>
            <w:tcBorders>
              <w:tl2br w:val="nil"/>
              <w:tr2bl w:val="nil"/>
            </w:tcBorders>
            <w:noWrap w:val="0"/>
            <w:vAlign w:val="center"/>
          </w:tcPr>
          <w:p w14:paraId="598C334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0.96</w:t>
            </w:r>
          </w:p>
        </w:tc>
        <w:tc>
          <w:tcPr>
            <w:tcW w:w="250" w:type="pct"/>
            <w:tcBorders>
              <w:tl2br w:val="nil"/>
              <w:tr2bl w:val="nil"/>
            </w:tcBorders>
            <w:noWrap w:val="0"/>
            <w:vAlign w:val="center"/>
          </w:tcPr>
          <w:p w14:paraId="680BAC7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0.99</w:t>
            </w:r>
          </w:p>
        </w:tc>
        <w:tc>
          <w:tcPr>
            <w:tcW w:w="343" w:type="pct"/>
            <w:tcBorders>
              <w:tl2br w:val="nil"/>
              <w:tr2bl w:val="nil"/>
            </w:tcBorders>
            <w:noWrap w:val="0"/>
            <w:vAlign w:val="center"/>
          </w:tcPr>
          <w:p w14:paraId="72F02D5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0.96</w:t>
            </w:r>
          </w:p>
        </w:tc>
        <w:tc>
          <w:tcPr>
            <w:tcW w:w="225" w:type="pct"/>
            <w:tcBorders>
              <w:tl2br w:val="nil"/>
              <w:tr2bl w:val="nil"/>
            </w:tcBorders>
            <w:noWrap w:val="0"/>
            <w:vAlign w:val="center"/>
          </w:tcPr>
          <w:p w14:paraId="0F1C070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1.59</w:t>
            </w:r>
          </w:p>
        </w:tc>
        <w:tc>
          <w:tcPr>
            <w:tcW w:w="360" w:type="pct"/>
            <w:tcBorders>
              <w:tl2br w:val="nil"/>
              <w:tr2bl w:val="nil"/>
            </w:tcBorders>
            <w:noWrap w:val="0"/>
            <w:vAlign w:val="center"/>
          </w:tcPr>
          <w:p w14:paraId="71CAAB4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2.11</w:t>
            </w:r>
          </w:p>
        </w:tc>
        <w:tc>
          <w:tcPr>
            <w:tcW w:w="266" w:type="pct"/>
            <w:tcBorders>
              <w:tl2br w:val="nil"/>
              <w:tr2bl w:val="nil"/>
            </w:tcBorders>
            <w:noWrap w:val="0"/>
            <w:vAlign w:val="center"/>
          </w:tcPr>
          <w:p w14:paraId="7A4A548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4.19</w:t>
            </w:r>
          </w:p>
        </w:tc>
        <w:tc>
          <w:tcPr>
            <w:tcW w:w="338" w:type="pct"/>
            <w:tcBorders>
              <w:tl2br w:val="nil"/>
              <w:tr2bl w:val="nil"/>
            </w:tcBorders>
            <w:noWrap w:val="0"/>
            <w:vAlign w:val="center"/>
          </w:tcPr>
          <w:p w14:paraId="43A3667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4.29</w:t>
            </w:r>
          </w:p>
        </w:tc>
        <w:tc>
          <w:tcPr>
            <w:tcW w:w="299" w:type="pct"/>
            <w:tcBorders>
              <w:tl2br w:val="nil"/>
              <w:tr2bl w:val="nil"/>
            </w:tcBorders>
            <w:noWrap w:val="0"/>
            <w:vAlign w:val="center"/>
          </w:tcPr>
          <w:p w14:paraId="65916F2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2.66</w:t>
            </w:r>
          </w:p>
        </w:tc>
      </w:tr>
      <w:tr w14:paraId="1351DCB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24FC3FB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秋季</w:t>
            </w:r>
          </w:p>
        </w:tc>
        <w:tc>
          <w:tcPr>
            <w:tcW w:w="225" w:type="pct"/>
            <w:tcBorders>
              <w:tl2br w:val="nil"/>
              <w:tr2bl w:val="nil"/>
            </w:tcBorders>
            <w:noWrap w:val="0"/>
            <w:vAlign w:val="center"/>
          </w:tcPr>
          <w:p w14:paraId="4406CD8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12.71</w:t>
            </w:r>
          </w:p>
        </w:tc>
        <w:tc>
          <w:tcPr>
            <w:tcW w:w="305" w:type="pct"/>
            <w:tcBorders>
              <w:tl2br w:val="nil"/>
              <w:tr2bl w:val="nil"/>
            </w:tcBorders>
            <w:noWrap w:val="0"/>
            <w:vAlign w:val="center"/>
          </w:tcPr>
          <w:p w14:paraId="28791EC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7.10</w:t>
            </w:r>
          </w:p>
        </w:tc>
        <w:tc>
          <w:tcPr>
            <w:tcW w:w="233" w:type="pct"/>
            <w:tcBorders>
              <w:tl2br w:val="nil"/>
              <w:tr2bl w:val="nil"/>
            </w:tcBorders>
            <w:noWrap w:val="0"/>
            <w:vAlign w:val="center"/>
          </w:tcPr>
          <w:p w14:paraId="44152CA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5.23</w:t>
            </w:r>
          </w:p>
        </w:tc>
        <w:tc>
          <w:tcPr>
            <w:tcW w:w="294" w:type="pct"/>
            <w:tcBorders>
              <w:tl2br w:val="nil"/>
              <w:tr2bl w:val="nil"/>
            </w:tcBorders>
            <w:noWrap w:val="0"/>
            <w:vAlign w:val="center"/>
          </w:tcPr>
          <w:p w14:paraId="12DE982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2.97</w:t>
            </w:r>
          </w:p>
        </w:tc>
        <w:tc>
          <w:tcPr>
            <w:tcW w:w="225" w:type="pct"/>
            <w:tcBorders>
              <w:tl2br w:val="nil"/>
              <w:tr2bl w:val="nil"/>
            </w:tcBorders>
            <w:noWrap w:val="0"/>
            <w:vAlign w:val="center"/>
          </w:tcPr>
          <w:p w14:paraId="04C3363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4.21</w:t>
            </w:r>
          </w:p>
        </w:tc>
        <w:tc>
          <w:tcPr>
            <w:tcW w:w="277" w:type="pct"/>
            <w:tcBorders>
              <w:tl2br w:val="nil"/>
              <w:tr2bl w:val="nil"/>
            </w:tcBorders>
            <w:noWrap w:val="0"/>
            <w:vAlign w:val="center"/>
          </w:tcPr>
          <w:p w14:paraId="691935F1">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2.09</w:t>
            </w:r>
          </w:p>
        </w:tc>
        <w:tc>
          <w:tcPr>
            <w:tcW w:w="225" w:type="pct"/>
            <w:tcBorders>
              <w:tl2br w:val="nil"/>
              <w:tr2bl w:val="nil"/>
            </w:tcBorders>
            <w:noWrap w:val="0"/>
            <w:vAlign w:val="center"/>
          </w:tcPr>
          <w:p w14:paraId="4CE34AD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1.43</w:t>
            </w:r>
          </w:p>
        </w:tc>
        <w:tc>
          <w:tcPr>
            <w:tcW w:w="272" w:type="pct"/>
            <w:tcBorders>
              <w:tl2br w:val="nil"/>
              <w:tr2bl w:val="nil"/>
            </w:tcBorders>
            <w:noWrap w:val="0"/>
            <w:vAlign w:val="center"/>
          </w:tcPr>
          <w:p w14:paraId="5BF9876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1.14</w:t>
            </w:r>
          </w:p>
        </w:tc>
        <w:tc>
          <w:tcPr>
            <w:tcW w:w="225" w:type="pct"/>
            <w:tcBorders>
              <w:tl2br w:val="nil"/>
              <w:tr2bl w:val="nil"/>
            </w:tcBorders>
            <w:noWrap w:val="0"/>
            <w:vAlign w:val="center"/>
          </w:tcPr>
          <w:p w14:paraId="5DAEF2B6">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1.55</w:t>
            </w:r>
          </w:p>
        </w:tc>
        <w:tc>
          <w:tcPr>
            <w:tcW w:w="305" w:type="pct"/>
            <w:tcBorders>
              <w:tl2br w:val="nil"/>
              <w:tr2bl w:val="nil"/>
            </w:tcBorders>
            <w:noWrap w:val="0"/>
            <w:vAlign w:val="center"/>
          </w:tcPr>
          <w:p w14:paraId="5C76465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1.03</w:t>
            </w:r>
          </w:p>
        </w:tc>
        <w:tc>
          <w:tcPr>
            <w:tcW w:w="250" w:type="pct"/>
            <w:tcBorders>
              <w:tl2br w:val="nil"/>
              <w:tr2bl w:val="nil"/>
            </w:tcBorders>
            <w:noWrap w:val="0"/>
            <w:vAlign w:val="center"/>
          </w:tcPr>
          <w:p w14:paraId="3B3CF435">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0.97</w:t>
            </w:r>
          </w:p>
        </w:tc>
        <w:tc>
          <w:tcPr>
            <w:tcW w:w="343" w:type="pct"/>
            <w:tcBorders>
              <w:tl2br w:val="nil"/>
              <w:tr2bl w:val="nil"/>
            </w:tcBorders>
            <w:noWrap w:val="0"/>
            <w:vAlign w:val="center"/>
          </w:tcPr>
          <w:p w14:paraId="73193A1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0.87</w:t>
            </w:r>
          </w:p>
        </w:tc>
        <w:tc>
          <w:tcPr>
            <w:tcW w:w="225" w:type="pct"/>
            <w:tcBorders>
              <w:tl2br w:val="nil"/>
              <w:tr2bl w:val="nil"/>
            </w:tcBorders>
            <w:noWrap w:val="0"/>
            <w:vAlign w:val="center"/>
          </w:tcPr>
          <w:p w14:paraId="6C383222">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0.98</w:t>
            </w:r>
          </w:p>
        </w:tc>
        <w:tc>
          <w:tcPr>
            <w:tcW w:w="360" w:type="pct"/>
            <w:tcBorders>
              <w:tl2br w:val="nil"/>
              <w:tr2bl w:val="nil"/>
            </w:tcBorders>
            <w:noWrap w:val="0"/>
            <w:vAlign w:val="center"/>
          </w:tcPr>
          <w:p w14:paraId="0864C76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1.11</w:t>
            </w:r>
          </w:p>
        </w:tc>
        <w:tc>
          <w:tcPr>
            <w:tcW w:w="266" w:type="pct"/>
            <w:tcBorders>
              <w:tl2br w:val="nil"/>
              <w:tr2bl w:val="nil"/>
            </w:tcBorders>
            <w:noWrap w:val="0"/>
            <w:vAlign w:val="center"/>
          </w:tcPr>
          <w:p w14:paraId="652BFEE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2.35</w:t>
            </w:r>
          </w:p>
        </w:tc>
        <w:tc>
          <w:tcPr>
            <w:tcW w:w="338" w:type="pct"/>
            <w:tcBorders>
              <w:tl2br w:val="nil"/>
              <w:tr2bl w:val="nil"/>
            </w:tcBorders>
            <w:noWrap w:val="0"/>
            <w:vAlign w:val="center"/>
          </w:tcPr>
          <w:p w14:paraId="3554B96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9.02</w:t>
            </w:r>
          </w:p>
        </w:tc>
        <w:tc>
          <w:tcPr>
            <w:tcW w:w="299" w:type="pct"/>
            <w:tcBorders>
              <w:tl2br w:val="nil"/>
              <w:tr2bl w:val="nil"/>
            </w:tcBorders>
            <w:noWrap w:val="0"/>
            <w:vAlign w:val="center"/>
          </w:tcPr>
          <w:p w14:paraId="1212EE8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3.42</w:t>
            </w:r>
          </w:p>
        </w:tc>
      </w:tr>
      <w:tr w14:paraId="484054D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4" w:type="pct"/>
            <w:tcBorders>
              <w:tl2br w:val="nil"/>
              <w:tr2bl w:val="nil"/>
            </w:tcBorders>
            <w:noWrap w:val="0"/>
            <w:vAlign w:val="center"/>
          </w:tcPr>
          <w:p w14:paraId="36046C57">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冬季</w:t>
            </w:r>
          </w:p>
        </w:tc>
        <w:tc>
          <w:tcPr>
            <w:tcW w:w="225" w:type="pct"/>
            <w:tcBorders>
              <w:tl2br w:val="nil"/>
              <w:tr2bl w:val="nil"/>
            </w:tcBorders>
            <w:noWrap w:val="0"/>
            <w:vAlign w:val="center"/>
          </w:tcPr>
          <w:p w14:paraId="0874CB4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15.76</w:t>
            </w:r>
          </w:p>
        </w:tc>
        <w:tc>
          <w:tcPr>
            <w:tcW w:w="305" w:type="pct"/>
            <w:tcBorders>
              <w:tl2br w:val="nil"/>
              <w:tr2bl w:val="nil"/>
            </w:tcBorders>
            <w:noWrap w:val="0"/>
            <w:vAlign w:val="center"/>
          </w:tcPr>
          <w:p w14:paraId="6FA8252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8.41</w:t>
            </w:r>
          </w:p>
        </w:tc>
        <w:tc>
          <w:tcPr>
            <w:tcW w:w="233" w:type="pct"/>
            <w:tcBorders>
              <w:tl2br w:val="nil"/>
              <w:tr2bl w:val="nil"/>
            </w:tcBorders>
            <w:noWrap w:val="0"/>
            <w:vAlign w:val="center"/>
          </w:tcPr>
          <w:p w14:paraId="091D2D5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5.55</w:t>
            </w:r>
          </w:p>
        </w:tc>
        <w:tc>
          <w:tcPr>
            <w:tcW w:w="294" w:type="pct"/>
            <w:tcBorders>
              <w:tl2br w:val="nil"/>
              <w:tr2bl w:val="nil"/>
            </w:tcBorders>
            <w:noWrap w:val="0"/>
            <w:vAlign w:val="center"/>
          </w:tcPr>
          <w:p w14:paraId="0CB5E528">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3.17</w:t>
            </w:r>
          </w:p>
        </w:tc>
        <w:tc>
          <w:tcPr>
            <w:tcW w:w="225" w:type="pct"/>
            <w:tcBorders>
              <w:tl2br w:val="nil"/>
              <w:tr2bl w:val="nil"/>
            </w:tcBorders>
            <w:noWrap w:val="0"/>
            <w:vAlign w:val="center"/>
          </w:tcPr>
          <w:p w14:paraId="3C17079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3.09</w:t>
            </w:r>
          </w:p>
        </w:tc>
        <w:tc>
          <w:tcPr>
            <w:tcW w:w="277" w:type="pct"/>
            <w:tcBorders>
              <w:tl2br w:val="nil"/>
              <w:tr2bl w:val="nil"/>
            </w:tcBorders>
            <w:noWrap w:val="0"/>
            <w:vAlign w:val="center"/>
          </w:tcPr>
          <w:p w14:paraId="5FE7D86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2.74</w:t>
            </w:r>
          </w:p>
        </w:tc>
        <w:tc>
          <w:tcPr>
            <w:tcW w:w="225" w:type="pct"/>
            <w:tcBorders>
              <w:tl2br w:val="nil"/>
              <w:tr2bl w:val="nil"/>
            </w:tcBorders>
            <w:noWrap w:val="0"/>
            <w:vAlign w:val="center"/>
          </w:tcPr>
          <w:p w14:paraId="0A061AAE">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2.62</w:t>
            </w:r>
          </w:p>
        </w:tc>
        <w:tc>
          <w:tcPr>
            <w:tcW w:w="272" w:type="pct"/>
            <w:tcBorders>
              <w:tl2br w:val="nil"/>
              <w:tr2bl w:val="nil"/>
            </w:tcBorders>
            <w:noWrap w:val="0"/>
            <w:vAlign w:val="center"/>
          </w:tcPr>
          <w:p w14:paraId="18D3D62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3.01</w:t>
            </w:r>
          </w:p>
        </w:tc>
        <w:tc>
          <w:tcPr>
            <w:tcW w:w="225" w:type="pct"/>
            <w:tcBorders>
              <w:tl2br w:val="nil"/>
              <w:tr2bl w:val="nil"/>
            </w:tcBorders>
            <w:noWrap w:val="0"/>
            <w:vAlign w:val="center"/>
          </w:tcPr>
          <w:p w14:paraId="55D881BA">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4.04</w:t>
            </w:r>
          </w:p>
        </w:tc>
        <w:tc>
          <w:tcPr>
            <w:tcW w:w="305" w:type="pct"/>
            <w:tcBorders>
              <w:tl2br w:val="nil"/>
              <w:tr2bl w:val="nil"/>
            </w:tcBorders>
            <w:noWrap w:val="0"/>
            <w:vAlign w:val="center"/>
          </w:tcPr>
          <w:p w14:paraId="2521CDCF">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1.80</w:t>
            </w:r>
          </w:p>
        </w:tc>
        <w:tc>
          <w:tcPr>
            <w:tcW w:w="250" w:type="pct"/>
            <w:tcBorders>
              <w:tl2br w:val="nil"/>
              <w:tr2bl w:val="nil"/>
            </w:tcBorders>
            <w:noWrap w:val="0"/>
            <w:vAlign w:val="center"/>
          </w:tcPr>
          <w:p w14:paraId="108FC6DC">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1.80</w:t>
            </w:r>
          </w:p>
        </w:tc>
        <w:tc>
          <w:tcPr>
            <w:tcW w:w="343" w:type="pct"/>
            <w:tcBorders>
              <w:tl2br w:val="nil"/>
              <w:tr2bl w:val="nil"/>
            </w:tcBorders>
            <w:noWrap w:val="0"/>
            <w:vAlign w:val="center"/>
          </w:tcPr>
          <w:p w14:paraId="1BAE6B39">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1.86</w:t>
            </w:r>
          </w:p>
        </w:tc>
        <w:tc>
          <w:tcPr>
            <w:tcW w:w="225" w:type="pct"/>
            <w:tcBorders>
              <w:tl2br w:val="nil"/>
              <w:tr2bl w:val="nil"/>
            </w:tcBorders>
            <w:noWrap w:val="0"/>
            <w:vAlign w:val="center"/>
          </w:tcPr>
          <w:p w14:paraId="4572ACA3">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2.31</w:t>
            </w:r>
          </w:p>
        </w:tc>
        <w:tc>
          <w:tcPr>
            <w:tcW w:w="360" w:type="pct"/>
            <w:tcBorders>
              <w:tl2br w:val="nil"/>
              <w:tr2bl w:val="nil"/>
            </w:tcBorders>
            <w:noWrap w:val="0"/>
            <w:vAlign w:val="center"/>
          </w:tcPr>
          <w:p w14:paraId="3D8346D0">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1.66</w:t>
            </w:r>
          </w:p>
        </w:tc>
        <w:tc>
          <w:tcPr>
            <w:tcW w:w="266" w:type="pct"/>
            <w:tcBorders>
              <w:tl2br w:val="nil"/>
              <w:tr2bl w:val="nil"/>
            </w:tcBorders>
            <w:noWrap w:val="0"/>
            <w:vAlign w:val="center"/>
          </w:tcPr>
          <w:p w14:paraId="3FDF44F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3.61</w:t>
            </w:r>
          </w:p>
        </w:tc>
        <w:tc>
          <w:tcPr>
            <w:tcW w:w="338" w:type="pct"/>
            <w:tcBorders>
              <w:tl2br w:val="nil"/>
              <w:tr2bl w:val="nil"/>
            </w:tcBorders>
            <w:noWrap w:val="0"/>
            <w:vAlign w:val="center"/>
          </w:tcPr>
          <w:p w14:paraId="0CF985DD">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8.07</w:t>
            </w:r>
          </w:p>
        </w:tc>
        <w:tc>
          <w:tcPr>
            <w:tcW w:w="299" w:type="pct"/>
            <w:tcBorders>
              <w:tl2br w:val="nil"/>
              <w:tr2bl w:val="nil"/>
            </w:tcBorders>
            <w:noWrap w:val="0"/>
            <w:vAlign w:val="center"/>
          </w:tcPr>
          <w:p w14:paraId="6475B84B">
            <w:pPr>
              <w:keepNext w:val="0"/>
              <w:keepLines w:val="0"/>
              <w:pageBreakBefore w:val="0"/>
              <w:widowControl w:val="0"/>
              <w:kinsoku/>
              <w:wordWrap/>
              <w:overflowPunct/>
              <w:topLinePunct w:val="0"/>
              <w:autoSpaceDE/>
              <w:autoSpaceDN/>
              <w:bidi w:val="0"/>
              <w:adjustRightInd/>
              <w:snapToGrid/>
              <w:spacing w:before="0" w:after="0" w:line="240" w:lineRule="auto"/>
              <w:ind w:left="-120" w:leftChars="-50" w:right="-120" w:rightChars="-50" w:firstLine="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4.34</w:t>
            </w:r>
          </w:p>
        </w:tc>
      </w:tr>
    </w:tbl>
    <w:p w14:paraId="03C4A920">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5.2.</w:t>
      </w:r>
      <w:r>
        <w:rPr>
          <w:rFonts w:hint="default" w:ascii="Times New Roman" w:hAnsi="Times New Roman" w:eastAsia="宋体" w:cs="Times New Roman"/>
          <w:b/>
          <w:bCs/>
          <w:sz w:val="24"/>
          <w:szCs w:val="16"/>
          <w:highlight w:val="none"/>
          <w:lang w:val="en-US" w:eastAsia="zh-CN"/>
        </w:rPr>
        <w:t>1.9</w:t>
      </w:r>
      <w:r>
        <w:rPr>
          <w:rFonts w:hint="default" w:ascii="Times New Roman" w:hAnsi="Times New Roman" w:eastAsia="宋体" w:cs="Times New Roman"/>
          <w:b/>
          <w:bCs/>
          <w:sz w:val="24"/>
          <w:szCs w:val="16"/>
          <w:highlight w:val="none"/>
        </w:rPr>
        <w:t>预测与评价</w:t>
      </w:r>
      <w:bookmarkEnd w:id="205"/>
      <w:bookmarkEnd w:id="206"/>
    </w:p>
    <w:p w14:paraId="2FFB3BDC">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b/>
          <w:bCs/>
          <w:highlight w:val="none"/>
          <w:u w:val="none"/>
        </w:rPr>
      </w:pPr>
      <w:r>
        <w:rPr>
          <w:rFonts w:hint="default" w:ascii="Times New Roman" w:hAnsi="Times New Roman" w:cs="Times New Roman"/>
          <w:b w:val="0"/>
          <w:bCs w:val="0"/>
          <w:sz w:val="24"/>
          <w:szCs w:val="24"/>
          <w:highlight w:val="none"/>
          <w:u w:val="none"/>
          <w:lang w:eastAsia="zh-CN"/>
        </w:rPr>
        <w:t>本</w:t>
      </w:r>
      <w:r>
        <w:rPr>
          <w:rFonts w:hint="default" w:ascii="Times New Roman" w:hAnsi="Times New Roman" w:eastAsia="宋体" w:cs="Times New Roman"/>
          <w:b w:val="0"/>
          <w:bCs w:val="0"/>
          <w:sz w:val="24"/>
          <w:szCs w:val="24"/>
          <w:highlight w:val="none"/>
          <w:u w:val="none"/>
          <w:lang w:eastAsia="zh-CN"/>
        </w:rPr>
        <w:t>项目</w:t>
      </w:r>
      <w:r>
        <w:rPr>
          <w:rFonts w:hint="default" w:ascii="Times New Roman" w:hAnsi="Times New Roman" w:cs="Times New Roman"/>
          <w:b w:val="0"/>
          <w:bCs w:val="0"/>
          <w:sz w:val="24"/>
          <w:szCs w:val="24"/>
          <w:highlight w:val="none"/>
          <w:u w:val="none"/>
          <w:lang w:eastAsia="zh-CN"/>
        </w:rPr>
        <w:t>大气环境影响评价等级为二级，根据《环境影响评价技术导则大气环境》（HJ2.2-2018）的相关规定，二级评价项目不进行进一步预测与评价，本次评价采用导则中推荐的估算模型AERSCREEN进行估算，以AERSCREEN估算模式的计算结果作为预测与分析的依据。</w:t>
      </w:r>
    </w:p>
    <w:p w14:paraId="21DE9FD2">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lang w:val="en-US" w:eastAsia="zh-CN"/>
        </w:rPr>
      </w:pPr>
      <w:r>
        <w:rPr>
          <w:rFonts w:hint="default" w:ascii="Times New Roman" w:hAnsi="Times New Roman" w:eastAsia="宋体" w:cs="Times New Roman"/>
          <w:b/>
          <w:bCs/>
          <w:sz w:val="24"/>
          <w:szCs w:val="16"/>
          <w:highlight w:val="none"/>
          <w:lang w:val="en-US" w:eastAsia="zh-CN"/>
        </w:rPr>
        <w:t>5.2</w:t>
      </w:r>
      <w:r>
        <w:rPr>
          <w:rFonts w:hint="default" w:ascii="Times New Roman" w:hAnsi="Times New Roman" w:cs="Times New Roman"/>
          <w:b/>
          <w:bCs/>
          <w:sz w:val="24"/>
          <w:szCs w:val="16"/>
          <w:highlight w:val="none"/>
          <w:lang w:val="en-US" w:eastAsia="zh-CN"/>
        </w:rPr>
        <w:t>.1.10</w:t>
      </w:r>
      <w:r>
        <w:rPr>
          <w:rFonts w:hint="default" w:ascii="Times New Roman" w:hAnsi="Times New Roman" w:eastAsia="宋体" w:cs="Times New Roman"/>
          <w:b/>
          <w:bCs/>
          <w:sz w:val="24"/>
          <w:szCs w:val="16"/>
          <w:highlight w:val="none"/>
          <w:lang w:val="en-US" w:eastAsia="zh-CN"/>
        </w:rPr>
        <w:t>大气环境防护距离确定</w:t>
      </w:r>
    </w:p>
    <w:p w14:paraId="68D6B3B5">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对于项目厂界浓度满足大气污染物厂界浓度限值，但厂界外大气污染物短期贡献浓度超过环境质量浓度限值的，可以自厂界向外设置一定范围的大气环境防护区域，以确保大气环境防护区域外的污染物贡献浓度满足环境质量标准。</w:t>
      </w:r>
    </w:p>
    <w:p w14:paraId="12C4390D">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根据预测结果，主要污染</w:t>
      </w:r>
      <w:r>
        <w:rPr>
          <w:rFonts w:hint="default" w:ascii="Times New Roman" w:hAnsi="Times New Roman" w:cs="Times New Roman"/>
          <w:sz w:val="24"/>
          <w:szCs w:val="24"/>
          <w:highlight w:val="none"/>
        </w:rPr>
        <w:t>物</w:t>
      </w:r>
      <w:r>
        <w:rPr>
          <w:rFonts w:hint="default" w:ascii="Times New Roman" w:hAnsi="Times New Roman" w:cs="Times New Roman"/>
          <w:sz w:val="24"/>
          <w:szCs w:val="24"/>
          <w:highlight w:val="none"/>
          <w:vertAlign w:val="baseline"/>
          <w:lang w:val="en-US" w:eastAsia="zh-CN"/>
        </w:rPr>
        <w:t>TSP</w:t>
      </w:r>
      <w:r>
        <w:rPr>
          <w:rFonts w:hint="default" w:ascii="Times New Roman" w:hAnsi="Times New Roman" w:cs="Times New Roman"/>
          <w:sz w:val="24"/>
          <w:szCs w:val="24"/>
          <w:highlight w:val="none"/>
        </w:rPr>
        <w:t>的</w:t>
      </w:r>
      <w:r>
        <w:rPr>
          <w:rFonts w:hint="default" w:ascii="Times New Roman" w:hAnsi="Times New Roman" w:cs="Times New Roman"/>
          <w:sz w:val="24"/>
          <w:szCs w:val="24"/>
        </w:rPr>
        <w:t>短期贡献浓度均未超过环境质量浓度限值，在厂界附近短期落地浓度贡献值</w:t>
      </w:r>
      <w:r>
        <w:rPr>
          <w:rFonts w:hint="default" w:ascii="Times New Roman" w:hAnsi="Times New Roman" w:cs="Times New Roman"/>
          <w:sz w:val="24"/>
          <w:szCs w:val="24"/>
          <w:lang w:eastAsia="zh-CN"/>
        </w:rPr>
        <w:t>小于</w:t>
      </w:r>
      <w:r>
        <w:rPr>
          <w:rFonts w:hint="default" w:ascii="Times New Roman" w:hAnsi="Times New Roman" w:cs="Times New Roman"/>
          <w:sz w:val="24"/>
          <w:szCs w:val="24"/>
        </w:rPr>
        <w:t>环境质量短期浓度值，大气环境防护距离计算为0m，即不设置大气环境防护距离。</w:t>
      </w:r>
    </w:p>
    <w:p w14:paraId="1BC9939D">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lang w:val="en-US" w:eastAsia="zh-CN"/>
        </w:rPr>
      </w:pPr>
      <w:r>
        <w:rPr>
          <w:rFonts w:hint="default" w:ascii="Times New Roman" w:hAnsi="Times New Roman" w:eastAsia="宋体" w:cs="Times New Roman"/>
          <w:b/>
          <w:bCs/>
          <w:sz w:val="24"/>
          <w:szCs w:val="16"/>
          <w:highlight w:val="none"/>
          <w:lang w:val="en-US" w:eastAsia="zh-CN"/>
        </w:rPr>
        <w:t>5.2.</w:t>
      </w:r>
      <w:r>
        <w:rPr>
          <w:rFonts w:hint="default" w:ascii="Times New Roman" w:hAnsi="Times New Roman" w:cs="Times New Roman"/>
          <w:b/>
          <w:bCs/>
          <w:sz w:val="24"/>
          <w:szCs w:val="16"/>
          <w:highlight w:val="none"/>
          <w:lang w:val="en-US" w:eastAsia="zh-CN"/>
        </w:rPr>
        <w:t>1.11</w:t>
      </w:r>
      <w:r>
        <w:rPr>
          <w:rFonts w:hint="default" w:ascii="Times New Roman" w:hAnsi="Times New Roman" w:eastAsia="宋体" w:cs="Times New Roman"/>
          <w:b/>
          <w:bCs/>
          <w:sz w:val="24"/>
          <w:szCs w:val="16"/>
          <w:highlight w:val="none"/>
          <w:lang w:val="en-US" w:eastAsia="zh-CN"/>
        </w:rPr>
        <w:t>卫生防护距离</w:t>
      </w:r>
    </w:p>
    <w:p w14:paraId="3AA216B7">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b w:val="0"/>
          <w:bCs/>
          <w:color w:val="auto"/>
          <w:sz w:val="24"/>
          <w:u w:val="none"/>
        </w:rPr>
      </w:pPr>
      <w:r>
        <w:rPr>
          <w:rFonts w:hint="default" w:ascii="Times New Roman" w:hAnsi="Times New Roman" w:cs="Times New Roman"/>
          <w:color w:val="auto"/>
          <w:sz w:val="24"/>
          <w:szCs w:val="24"/>
          <w:lang w:val="en-US" w:eastAsia="zh-CN"/>
        </w:rPr>
        <w:t>根据</w:t>
      </w:r>
      <w:r>
        <w:rPr>
          <w:rFonts w:hint="default" w:ascii="Times New Roman" w:hAnsi="Times New Roman" w:cs="Times New Roman"/>
          <w:b w:val="0"/>
          <w:bCs/>
          <w:color w:val="auto"/>
          <w:sz w:val="24"/>
          <w:u w:val="none"/>
        </w:rPr>
        <w:t>《大气有害物质无组织排放卫生防护距离推导技术导则》（</w:t>
      </w:r>
      <w:r>
        <w:rPr>
          <w:rFonts w:hint="default" w:ascii="Times New Roman" w:hAnsi="Times New Roman" w:cs="Times New Roman"/>
          <w:b w:val="0"/>
          <w:bCs/>
          <w:color w:val="auto"/>
          <w:sz w:val="24"/>
          <w:u w:val="none"/>
          <w:lang w:eastAsia="zh-CN"/>
        </w:rPr>
        <w:t>GB/T39499-2020</w:t>
      </w:r>
      <w:r>
        <w:rPr>
          <w:rFonts w:hint="default" w:ascii="Times New Roman" w:hAnsi="Times New Roman" w:cs="Times New Roman"/>
          <w:b w:val="0"/>
          <w:bCs/>
          <w:color w:val="auto"/>
          <w:sz w:val="24"/>
          <w:u w:val="none"/>
        </w:rPr>
        <w:t>），无组织大气有害物质的生产单元与敏感区之间应设置卫生防护距离，其计算公式为：</w:t>
      </w:r>
    </w:p>
    <w:p w14:paraId="7853BA2A">
      <w:pPr>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rPr>
          <w:rFonts w:hint="default" w:ascii="Times New Roman" w:hAnsi="Times New Roman" w:cs="Times New Roman"/>
          <w:b w:val="0"/>
          <w:bCs/>
          <w:color w:val="auto"/>
          <w:sz w:val="24"/>
          <w:u w:val="none"/>
        </w:rPr>
      </w:pPr>
      <w:r>
        <w:rPr>
          <w:rFonts w:hint="default" w:ascii="Times New Roman" w:hAnsi="Times New Roman" w:cs="Times New Roman"/>
          <w:b w:val="0"/>
          <w:bCs/>
          <w:color w:val="auto"/>
          <w:sz w:val="24"/>
          <w:u w:val="none"/>
        </w:rPr>
        <w:object>
          <v:shape id="_x0000_i1035" o:spt="75" type="#_x0000_t75" style="height:33.75pt;width:137.95pt;" o:ole="t" filled="f" o:preferrelative="t" stroked="f" coordsize="21600,21600">
            <v:path/>
            <v:fill on="f" focussize="0,0"/>
            <v:stroke on="f"/>
            <v:imagedata r:id="rId52" o:title=""/>
            <o:lock v:ext="edit" aspectratio="t"/>
            <w10:wrap type="none"/>
            <w10:anchorlock/>
          </v:shape>
          <o:OLEObject Type="Embed" ProgID="Equation.3" ShapeID="_x0000_i1035" DrawAspect="Content" ObjectID="_1468075735" r:id="rId51">
            <o:LockedField>false</o:LockedField>
          </o:OLEObject>
        </w:object>
      </w:r>
    </w:p>
    <w:p w14:paraId="772954A9">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Times New Roman" w:hAnsi="Times New Roman" w:cs="Times New Roman"/>
          <w:b w:val="0"/>
          <w:bCs/>
          <w:color w:val="auto"/>
          <w:sz w:val="24"/>
          <w:highlight w:val="none"/>
          <w:u w:val="none"/>
          <w:lang w:eastAsia="zh-CN"/>
        </w:rPr>
      </w:pPr>
      <w:r>
        <w:rPr>
          <w:rFonts w:hint="default" w:ascii="Times New Roman" w:hAnsi="Times New Roman" w:cs="Times New Roman"/>
          <w:b w:val="0"/>
          <w:bCs/>
          <w:color w:val="auto"/>
          <w:sz w:val="24"/>
          <w:highlight w:val="none"/>
          <w:u w:val="none"/>
        </w:rPr>
        <w:t>式中，Q</w:t>
      </w:r>
      <w:r>
        <w:rPr>
          <w:rFonts w:hint="default" w:ascii="Times New Roman" w:hAnsi="Times New Roman" w:cs="Times New Roman"/>
          <w:b w:val="0"/>
          <w:bCs/>
          <w:color w:val="auto"/>
          <w:sz w:val="24"/>
          <w:highlight w:val="none"/>
          <w:u w:val="none"/>
          <w:vertAlign w:val="subscript"/>
        </w:rPr>
        <w:t>c</w:t>
      </w:r>
      <w:r>
        <w:rPr>
          <w:rFonts w:hint="default" w:ascii="Times New Roman" w:hAnsi="Times New Roman" w:cs="Times New Roman"/>
          <w:b w:val="0"/>
          <w:bCs/>
          <w:color w:val="auto"/>
          <w:sz w:val="24"/>
          <w:highlight w:val="none"/>
          <w:u w:val="none"/>
        </w:rPr>
        <w:t>——大气有害物质的无组织排放量，单位为千克每小时(kg/h)</w:t>
      </w:r>
      <w:r>
        <w:rPr>
          <w:rFonts w:hint="eastAsia" w:ascii="Times New Roman" w:hAnsi="Times New Roman" w:cs="Times New Roman"/>
          <w:b w:val="0"/>
          <w:bCs/>
          <w:color w:val="auto"/>
          <w:sz w:val="24"/>
          <w:highlight w:val="none"/>
          <w:u w:val="none"/>
          <w:lang w:eastAsia="zh-CN"/>
        </w:rPr>
        <w:t>；</w:t>
      </w:r>
    </w:p>
    <w:p w14:paraId="4F4299C6">
      <w:pPr>
        <w:pageBreakBefore w:val="0"/>
        <w:widowControl/>
        <w:kinsoku/>
        <w:wordWrap/>
        <w:overflowPunct/>
        <w:topLinePunct w:val="0"/>
        <w:autoSpaceDE/>
        <w:autoSpaceDN/>
        <w:bidi w:val="0"/>
        <w:adjustRightInd/>
        <w:snapToGrid w:val="0"/>
        <w:spacing w:line="360" w:lineRule="auto"/>
        <w:ind w:firstLine="1200" w:firstLineChars="500"/>
        <w:jc w:val="left"/>
        <w:textAlignment w:val="auto"/>
        <w:rPr>
          <w:rFonts w:hint="default" w:ascii="Times New Roman" w:hAnsi="Times New Roman" w:cs="Times New Roman"/>
          <w:b w:val="0"/>
          <w:bCs/>
          <w:color w:val="auto"/>
          <w:sz w:val="24"/>
          <w:highlight w:val="none"/>
          <w:u w:val="none"/>
        </w:rPr>
      </w:pPr>
      <w:r>
        <w:rPr>
          <w:rFonts w:hint="default" w:ascii="Times New Roman" w:hAnsi="Times New Roman" w:cs="Times New Roman"/>
          <w:b w:val="0"/>
          <w:bCs/>
          <w:color w:val="auto"/>
          <w:sz w:val="24"/>
          <w:highlight w:val="none"/>
          <w:u w:val="none"/>
        </w:rPr>
        <w:t>C</w:t>
      </w:r>
      <w:r>
        <w:rPr>
          <w:rFonts w:hint="default" w:ascii="Times New Roman" w:hAnsi="Times New Roman" w:cs="Times New Roman"/>
          <w:b w:val="0"/>
          <w:bCs/>
          <w:color w:val="auto"/>
          <w:sz w:val="24"/>
          <w:highlight w:val="none"/>
          <w:u w:val="none"/>
          <w:vertAlign w:val="subscript"/>
        </w:rPr>
        <w:t>m</w:t>
      </w:r>
      <w:r>
        <w:rPr>
          <w:rFonts w:hint="default" w:ascii="Times New Roman" w:hAnsi="Times New Roman" w:cs="Times New Roman"/>
          <w:b w:val="0"/>
          <w:bCs/>
          <w:color w:val="auto"/>
          <w:sz w:val="24"/>
          <w:highlight w:val="none"/>
          <w:u w:val="none"/>
        </w:rPr>
        <w:t>——大气有害物质环境空气质量的标准限值，单位为毫克每立方米</w:t>
      </w:r>
      <w:r>
        <w:rPr>
          <w:rFonts w:hint="default" w:ascii="Times New Roman" w:hAnsi="Times New Roman" w:cs="Times New Roman"/>
          <w:b w:val="0"/>
          <w:bCs/>
          <w:color w:val="auto"/>
          <w:sz w:val="24"/>
          <w:highlight w:val="none"/>
          <w:u w:val="none"/>
          <w:lang w:val="en-US" w:eastAsia="zh-CN"/>
        </w:rPr>
        <w:t>(</w:t>
      </w:r>
      <w:r>
        <w:rPr>
          <w:rFonts w:hint="default" w:ascii="Times New Roman" w:hAnsi="Times New Roman" w:cs="Times New Roman"/>
          <w:b w:val="0"/>
          <w:bCs/>
          <w:color w:val="auto"/>
          <w:sz w:val="24"/>
          <w:highlight w:val="none"/>
          <w:u w:val="none"/>
        </w:rPr>
        <w:t>mg/m</w:t>
      </w:r>
      <w:r>
        <w:rPr>
          <w:rFonts w:hint="default" w:ascii="Times New Roman" w:hAnsi="Times New Roman" w:cs="Times New Roman"/>
          <w:b w:val="0"/>
          <w:bCs/>
          <w:color w:val="auto"/>
          <w:sz w:val="24"/>
          <w:highlight w:val="none"/>
          <w:u w:val="none"/>
          <w:vertAlign w:val="superscript"/>
        </w:rPr>
        <w:t>3</w:t>
      </w:r>
      <w:r>
        <w:rPr>
          <w:rFonts w:hint="default" w:ascii="Times New Roman" w:hAnsi="Times New Roman" w:cs="Times New Roman"/>
          <w:b w:val="0"/>
          <w:bCs/>
          <w:color w:val="auto"/>
          <w:sz w:val="24"/>
          <w:highlight w:val="none"/>
          <w:u w:val="none"/>
          <w:vertAlign w:val="baseline"/>
          <w:lang w:val="en-US" w:eastAsia="zh-CN"/>
        </w:rPr>
        <w:t>)</w:t>
      </w:r>
      <w:r>
        <w:rPr>
          <w:rFonts w:hint="default" w:ascii="Times New Roman" w:hAnsi="Times New Roman" w:cs="Times New Roman"/>
          <w:b w:val="0"/>
          <w:bCs/>
          <w:color w:val="auto"/>
          <w:sz w:val="24"/>
          <w:highlight w:val="none"/>
          <w:u w:val="none"/>
        </w:rPr>
        <w:t>；</w:t>
      </w:r>
    </w:p>
    <w:p w14:paraId="1F9844BB">
      <w:pPr>
        <w:pageBreakBefore w:val="0"/>
        <w:widowControl/>
        <w:kinsoku/>
        <w:wordWrap/>
        <w:overflowPunct/>
        <w:topLinePunct w:val="0"/>
        <w:autoSpaceDE/>
        <w:autoSpaceDN/>
        <w:bidi w:val="0"/>
        <w:adjustRightInd/>
        <w:snapToGrid w:val="0"/>
        <w:spacing w:line="360" w:lineRule="auto"/>
        <w:ind w:firstLine="1200" w:firstLineChars="500"/>
        <w:jc w:val="left"/>
        <w:textAlignment w:val="auto"/>
        <w:rPr>
          <w:rFonts w:hint="default" w:ascii="Times New Roman" w:hAnsi="Times New Roman" w:cs="Times New Roman"/>
          <w:b w:val="0"/>
          <w:bCs/>
          <w:color w:val="auto"/>
          <w:sz w:val="24"/>
          <w:highlight w:val="none"/>
          <w:u w:val="none"/>
        </w:rPr>
      </w:pPr>
      <w:r>
        <w:rPr>
          <w:rFonts w:hint="default" w:ascii="Times New Roman" w:hAnsi="Times New Roman" w:cs="Times New Roman"/>
          <w:b w:val="0"/>
          <w:bCs/>
          <w:color w:val="auto"/>
          <w:sz w:val="24"/>
          <w:highlight w:val="none"/>
          <w:u w:val="none"/>
        </w:rPr>
        <w:t>L——大气有害物质卫生防护距离初值，m；</w:t>
      </w:r>
    </w:p>
    <w:p w14:paraId="04D856E0">
      <w:pPr>
        <w:pageBreakBefore w:val="0"/>
        <w:widowControl/>
        <w:kinsoku/>
        <w:wordWrap/>
        <w:overflowPunct/>
        <w:topLinePunct w:val="0"/>
        <w:autoSpaceDE/>
        <w:autoSpaceDN/>
        <w:bidi w:val="0"/>
        <w:adjustRightInd/>
        <w:snapToGrid w:val="0"/>
        <w:spacing w:line="360" w:lineRule="auto"/>
        <w:ind w:firstLine="1200" w:firstLineChars="500"/>
        <w:jc w:val="left"/>
        <w:textAlignment w:val="auto"/>
        <w:rPr>
          <w:rFonts w:hint="default" w:ascii="Times New Roman" w:hAnsi="Times New Roman" w:cs="Times New Roman"/>
          <w:b w:val="0"/>
          <w:bCs/>
          <w:color w:val="auto"/>
          <w:sz w:val="24"/>
          <w:highlight w:val="none"/>
          <w:u w:val="none"/>
        </w:rPr>
      </w:pPr>
      <w:r>
        <w:rPr>
          <w:rFonts w:hint="default" w:ascii="Times New Roman" w:hAnsi="Times New Roman" w:cs="Times New Roman"/>
          <w:b w:val="0"/>
          <w:bCs/>
          <w:color w:val="auto"/>
          <w:sz w:val="24"/>
          <w:highlight w:val="none"/>
          <w:u w:val="none"/>
        </w:rPr>
        <w:t>r——有害气体无组织排放源所在生产单元的等效半径，m。根据该生产单元占地面积S（m</w:t>
      </w:r>
      <w:r>
        <w:rPr>
          <w:rFonts w:hint="default" w:ascii="Times New Roman" w:hAnsi="Times New Roman" w:cs="Times New Roman"/>
          <w:b w:val="0"/>
          <w:bCs/>
          <w:color w:val="auto"/>
          <w:sz w:val="24"/>
          <w:highlight w:val="none"/>
          <w:u w:val="none"/>
          <w:vertAlign w:val="superscript"/>
        </w:rPr>
        <w:t>2</w:t>
      </w:r>
      <w:r>
        <w:rPr>
          <w:rFonts w:hint="default" w:ascii="Times New Roman" w:hAnsi="Times New Roman" w:cs="Times New Roman"/>
          <w:b w:val="0"/>
          <w:bCs/>
          <w:color w:val="auto"/>
          <w:sz w:val="24"/>
          <w:highlight w:val="none"/>
          <w:u w:val="none"/>
        </w:rPr>
        <w:t>）计算，r=(S/π)</w:t>
      </w:r>
      <w:r>
        <w:rPr>
          <w:rFonts w:hint="default" w:ascii="Times New Roman" w:hAnsi="Times New Roman" w:cs="Times New Roman"/>
          <w:b w:val="0"/>
          <w:bCs/>
          <w:color w:val="auto"/>
          <w:sz w:val="24"/>
          <w:highlight w:val="none"/>
          <w:u w:val="none"/>
          <w:vertAlign w:val="superscript"/>
        </w:rPr>
        <w:t>0.5</w:t>
      </w:r>
      <w:r>
        <w:rPr>
          <w:rFonts w:hint="default" w:ascii="Times New Roman" w:hAnsi="Times New Roman" w:cs="Times New Roman"/>
          <w:b w:val="0"/>
          <w:bCs/>
          <w:color w:val="auto"/>
          <w:sz w:val="24"/>
          <w:highlight w:val="none"/>
          <w:u w:val="none"/>
        </w:rPr>
        <w:t>；</w:t>
      </w:r>
    </w:p>
    <w:p w14:paraId="73C9F1F5">
      <w:pPr>
        <w:pageBreakBefore w:val="0"/>
        <w:widowControl/>
        <w:kinsoku/>
        <w:wordWrap/>
        <w:overflowPunct/>
        <w:topLinePunct w:val="0"/>
        <w:autoSpaceDE/>
        <w:autoSpaceDN/>
        <w:bidi w:val="0"/>
        <w:adjustRightInd/>
        <w:snapToGrid w:val="0"/>
        <w:spacing w:line="360" w:lineRule="auto"/>
        <w:ind w:firstLine="1200" w:firstLineChars="500"/>
        <w:jc w:val="left"/>
        <w:textAlignment w:val="auto"/>
        <w:rPr>
          <w:rFonts w:hint="default" w:ascii="Times New Roman" w:hAnsi="Times New Roman" w:cs="Times New Roman"/>
          <w:b w:val="0"/>
          <w:bCs/>
          <w:color w:val="auto"/>
          <w:sz w:val="24"/>
          <w:highlight w:val="none"/>
          <w:u w:val="none"/>
          <w:lang w:eastAsia="zh-CN"/>
        </w:rPr>
      </w:pPr>
      <w:r>
        <w:rPr>
          <w:rFonts w:hint="default" w:ascii="Times New Roman" w:hAnsi="Times New Roman" w:cs="Times New Roman"/>
          <w:b w:val="0"/>
          <w:bCs/>
          <w:color w:val="auto"/>
          <w:sz w:val="24"/>
          <w:highlight w:val="none"/>
          <w:u w:val="none"/>
        </w:rPr>
        <w:t>A、B、C、D——卫生防护距离计算系数，无因次，根据工业企业所在地区近</w:t>
      </w:r>
      <w:r>
        <w:rPr>
          <w:rFonts w:hint="default" w:ascii="Times New Roman" w:hAnsi="Times New Roman" w:cs="Times New Roman"/>
          <w:b w:val="0"/>
          <w:bCs/>
          <w:color w:val="auto"/>
          <w:sz w:val="24"/>
          <w:highlight w:val="none"/>
          <w:u w:val="none"/>
          <w:lang w:val="en-US" w:eastAsia="zh-CN"/>
        </w:rPr>
        <w:t>5</w:t>
      </w:r>
      <w:r>
        <w:rPr>
          <w:rFonts w:hint="default" w:ascii="Times New Roman" w:hAnsi="Times New Roman" w:cs="Times New Roman"/>
          <w:b w:val="0"/>
          <w:bCs/>
          <w:color w:val="auto"/>
          <w:sz w:val="24"/>
          <w:highlight w:val="none"/>
          <w:u w:val="none"/>
        </w:rPr>
        <w:t>年平均风速及工业企业大气污染源构成类别确定</w:t>
      </w:r>
      <w:r>
        <w:rPr>
          <w:rFonts w:hint="default" w:ascii="Times New Roman" w:hAnsi="Times New Roman" w:cs="Times New Roman"/>
          <w:b w:val="0"/>
          <w:bCs/>
          <w:color w:val="auto"/>
          <w:sz w:val="24"/>
          <w:highlight w:val="none"/>
          <w:u w:val="none"/>
          <w:lang w:eastAsia="zh-CN"/>
        </w:rPr>
        <w:t>。</w:t>
      </w:r>
    </w:p>
    <w:p w14:paraId="42FD67E1">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b w:val="0"/>
          <w:bCs/>
          <w:color w:val="auto"/>
          <w:sz w:val="24"/>
          <w:u w:val="none"/>
        </w:rPr>
      </w:pPr>
      <w:r>
        <w:rPr>
          <w:rFonts w:hint="default" w:ascii="Times New Roman" w:hAnsi="Times New Roman" w:cs="Times New Roman"/>
          <w:b w:val="0"/>
          <w:bCs/>
          <w:color w:val="auto"/>
          <w:sz w:val="24"/>
          <w:u w:val="none"/>
        </w:rPr>
        <w:t>根据工程分析</w:t>
      </w:r>
      <w:r>
        <w:rPr>
          <w:rFonts w:hint="eastAsia" w:cs="Times New Roman"/>
          <w:b w:val="0"/>
          <w:bCs/>
          <w:color w:val="auto"/>
          <w:sz w:val="24"/>
          <w:u w:val="none"/>
          <w:lang w:eastAsia="zh-CN"/>
        </w:rPr>
        <w:t>，</w:t>
      </w:r>
      <w:r>
        <w:rPr>
          <w:rFonts w:hint="eastAsia" w:cs="Times New Roman"/>
          <w:b w:val="0"/>
          <w:bCs/>
          <w:color w:val="auto"/>
          <w:sz w:val="24"/>
          <w:u w:val="none"/>
          <w:lang w:val="en-US" w:eastAsia="zh-CN"/>
        </w:rPr>
        <w:t>本项目厂区不设置危险废物贮存库，开停窑检修期间不进行预处理，故项目没有无组织排放废气，因此不在设置</w:t>
      </w:r>
      <w:r>
        <w:rPr>
          <w:rFonts w:hint="default" w:ascii="Times New Roman" w:hAnsi="Times New Roman" w:cs="Times New Roman"/>
          <w:b w:val="0"/>
          <w:bCs/>
          <w:color w:val="auto"/>
          <w:sz w:val="24"/>
          <w:u w:val="none"/>
        </w:rPr>
        <w:t>大气环境防护距离和卫生防护距离。</w:t>
      </w:r>
    </w:p>
    <w:p w14:paraId="2DDE6B19">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color w:val="auto"/>
          <w:sz w:val="24"/>
          <w:szCs w:val="16"/>
          <w:highlight w:val="none"/>
          <w:lang w:val="en-US" w:eastAsia="zh-CN"/>
        </w:rPr>
      </w:pPr>
      <w:r>
        <w:rPr>
          <w:rFonts w:hint="default" w:ascii="Times New Roman" w:hAnsi="Times New Roman" w:eastAsia="宋体" w:cs="Times New Roman"/>
          <w:b/>
          <w:bCs/>
          <w:color w:val="auto"/>
          <w:sz w:val="24"/>
          <w:szCs w:val="16"/>
          <w:highlight w:val="none"/>
          <w:lang w:val="en-US" w:eastAsia="zh-CN"/>
        </w:rPr>
        <w:t>5.2.</w:t>
      </w:r>
      <w:r>
        <w:rPr>
          <w:rFonts w:hint="default" w:ascii="Times New Roman" w:hAnsi="Times New Roman" w:cs="Times New Roman"/>
          <w:b/>
          <w:bCs/>
          <w:color w:val="auto"/>
          <w:sz w:val="24"/>
          <w:szCs w:val="16"/>
          <w:highlight w:val="none"/>
          <w:lang w:val="en-US" w:eastAsia="zh-CN"/>
        </w:rPr>
        <w:t>1.12</w:t>
      </w:r>
      <w:r>
        <w:rPr>
          <w:rFonts w:hint="default" w:ascii="Times New Roman" w:hAnsi="Times New Roman" w:eastAsia="宋体" w:cs="Times New Roman"/>
          <w:b/>
          <w:bCs/>
          <w:color w:val="auto"/>
          <w:sz w:val="24"/>
          <w:szCs w:val="16"/>
          <w:highlight w:val="none"/>
          <w:lang w:val="en-US" w:eastAsia="zh-CN"/>
        </w:rPr>
        <w:t>废气污染物排放量核算</w:t>
      </w:r>
    </w:p>
    <w:p w14:paraId="2CAFA54F">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color w:val="auto"/>
        </w:rPr>
      </w:pPr>
      <w:r>
        <w:rPr>
          <w:rFonts w:hint="default" w:ascii="Times New Roman" w:hAnsi="Times New Roman" w:cs="Times New Roman"/>
          <w:color w:val="auto"/>
        </w:rPr>
        <w:t>由类比项目监测数据可知，窑尾采用低氮燃烧+SNCR+增湿塔（急冷）+电除尘+布袋除尘处理措施后，协同处置危废前后排放常规的污染物颗粒物、SO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x</w:t>
      </w:r>
      <w:r>
        <w:rPr>
          <w:rFonts w:hint="default" w:ascii="Times New Roman" w:hAnsi="Times New Roman" w:cs="Times New Roman"/>
          <w:color w:val="auto"/>
        </w:rPr>
        <w:t>、氨</w:t>
      </w:r>
      <w:r>
        <w:rPr>
          <w:rFonts w:hint="default" w:ascii="Times New Roman" w:hAnsi="Times New Roman" w:cs="Times New Roman"/>
          <w:b w:val="0"/>
          <w:bCs w:val="0"/>
          <w:color w:val="auto"/>
        </w:rPr>
        <w:t>浓度变化不大</w:t>
      </w:r>
      <w:r>
        <w:rPr>
          <w:rFonts w:hint="default" w:ascii="Times New Roman" w:hAnsi="Times New Roman" w:cs="Times New Roman"/>
          <w:color w:val="auto"/>
        </w:rPr>
        <w:t>，属于正常波动范围，从而说明处置固体废物对于水泥窑排放烟尘、SO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x</w:t>
      </w:r>
      <w:r>
        <w:rPr>
          <w:rFonts w:hint="default" w:ascii="Times New Roman" w:hAnsi="Times New Roman" w:cs="Times New Roman"/>
          <w:color w:val="auto"/>
        </w:rPr>
        <w:t>、氨影响不大</w:t>
      </w:r>
      <w:r>
        <w:rPr>
          <w:rFonts w:hint="default" w:ascii="Times New Roman" w:hAnsi="Times New Roman" w:cs="Times New Roman"/>
          <w:color w:val="auto"/>
          <w:lang w:eastAsia="zh-CN"/>
        </w:rPr>
        <w:t>，</w:t>
      </w:r>
      <w:r>
        <w:rPr>
          <w:rFonts w:hint="default" w:ascii="Times New Roman" w:hAnsi="Times New Roman" w:cs="Times New Roman"/>
          <w:color w:val="auto"/>
        </w:rPr>
        <w:t>拟建项目建成后</w:t>
      </w:r>
      <w:r>
        <w:rPr>
          <w:rFonts w:hint="default" w:ascii="Times New Roman" w:hAnsi="Times New Roman" w:cs="Times New Roman"/>
          <w:color w:val="auto"/>
          <w:lang w:val="en-US" w:eastAsia="zh-CN"/>
        </w:rPr>
        <w:t>固态废物</w:t>
      </w:r>
      <w:r>
        <w:rPr>
          <w:rFonts w:hint="eastAsia" w:cs="Times New Roman"/>
          <w:color w:val="auto"/>
          <w:lang w:val="en-US" w:eastAsia="zh-CN"/>
        </w:rPr>
        <w:t>甲磺酸钠</w:t>
      </w:r>
      <w:r>
        <w:rPr>
          <w:rFonts w:hint="default" w:ascii="Times New Roman" w:hAnsi="Times New Roman" w:cs="Times New Roman"/>
          <w:color w:val="auto"/>
          <w:lang w:val="en-US" w:eastAsia="zh-CN"/>
        </w:rPr>
        <w:t>及液态废物二甲基硫醚热分解后产生的污染物主要为</w:t>
      </w:r>
      <w:r>
        <w:rPr>
          <w:rFonts w:hint="default" w:ascii="Times New Roman" w:hAnsi="Times New Roman" w:cs="Times New Roman"/>
          <w:color w:val="auto"/>
        </w:rPr>
        <w:t>SO</w:t>
      </w:r>
      <w:r>
        <w:rPr>
          <w:rFonts w:hint="default" w:ascii="Times New Roman" w:hAnsi="Times New Roman" w:cs="Times New Roman"/>
          <w:color w:val="auto"/>
          <w:vertAlign w:val="subscript"/>
        </w:rPr>
        <w:t>2</w:t>
      </w:r>
      <w:r>
        <w:rPr>
          <w:rFonts w:hint="default" w:ascii="Times New Roman" w:hAnsi="Times New Roman" w:cs="Times New Roman"/>
          <w:color w:val="auto"/>
        </w:rPr>
        <w:t>、NO</w:t>
      </w:r>
      <w:r>
        <w:rPr>
          <w:rFonts w:hint="default" w:ascii="Times New Roman" w:hAnsi="Times New Roman" w:cs="Times New Roman"/>
          <w:color w:val="auto"/>
          <w:vertAlign w:val="subscript"/>
        </w:rPr>
        <w:t>x</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水蒸气等</w:t>
      </w:r>
      <w:r>
        <w:rPr>
          <w:rFonts w:hint="default" w:ascii="Times New Roman" w:hAnsi="Times New Roman" w:cs="Times New Roman"/>
          <w:color w:val="auto"/>
        </w:rPr>
        <w:t>，</w:t>
      </w:r>
      <w:r>
        <w:rPr>
          <w:rFonts w:hint="default" w:ascii="Times New Roman" w:hAnsi="Times New Roman" w:cs="Times New Roman"/>
          <w:color w:val="auto"/>
          <w:lang w:val="en-US" w:eastAsia="zh-CN"/>
        </w:rPr>
        <w:t>因此</w:t>
      </w:r>
      <w:r>
        <w:rPr>
          <w:rFonts w:hint="default" w:ascii="Times New Roman" w:hAnsi="Times New Roman" w:cs="Times New Roman"/>
          <w:color w:val="auto"/>
        </w:rPr>
        <w:t>回转窑排放的常规污染因子情况以依托工程现有监测数据为依据。</w:t>
      </w:r>
    </w:p>
    <w:p w14:paraId="48C8E816">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b w:val="0"/>
          <w:bCs/>
          <w:color w:val="auto"/>
          <w:sz w:val="24"/>
          <w:u w:val="none"/>
        </w:rPr>
      </w:pPr>
      <w:r>
        <w:rPr>
          <w:rFonts w:hint="default" w:ascii="Times New Roman" w:hAnsi="Times New Roman" w:cs="Times New Roman"/>
          <w:b w:val="0"/>
          <w:bCs/>
          <w:color w:val="auto"/>
          <w:sz w:val="24"/>
          <w:u w:val="none"/>
        </w:rPr>
        <w:t>本项目大气污染物</w:t>
      </w:r>
      <w:r>
        <w:rPr>
          <w:rFonts w:hint="default" w:ascii="Times New Roman" w:hAnsi="Times New Roman" w:cs="Times New Roman"/>
          <w:b w:val="0"/>
          <w:bCs/>
          <w:color w:val="auto"/>
          <w:sz w:val="24"/>
          <w:u w:val="none"/>
          <w:lang w:val="en-US" w:eastAsia="zh-CN"/>
        </w:rPr>
        <w:t>主要为</w:t>
      </w:r>
      <w:r>
        <w:rPr>
          <w:rFonts w:hint="eastAsia" w:cs="Times New Roman"/>
          <w:b w:val="0"/>
          <w:bCs/>
          <w:color w:val="auto"/>
          <w:sz w:val="24"/>
          <w:u w:val="none"/>
          <w:lang w:val="en-US" w:eastAsia="zh-CN"/>
        </w:rPr>
        <w:t>预处理过程和输送过程有</w:t>
      </w:r>
      <w:r>
        <w:rPr>
          <w:rFonts w:hint="default" w:ascii="Times New Roman" w:hAnsi="Times New Roman" w:cs="Times New Roman"/>
          <w:b w:val="0"/>
          <w:bCs/>
          <w:color w:val="auto"/>
          <w:sz w:val="24"/>
          <w:u w:val="none"/>
        </w:rPr>
        <w:t>组织排放</w:t>
      </w:r>
      <w:r>
        <w:rPr>
          <w:rFonts w:hint="eastAsia" w:ascii="Times New Roman" w:hAnsi="Times New Roman" w:cs="Times New Roman"/>
          <w:b w:val="0"/>
          <w:bCs/>
          <w:color w:val="auto"/>
          <w:sz w:val="24"/>
          <w:u w:val="none"/>
          <w:lang w:val="en-US" w:eastAsia="zh-CN"/>
        </w:rPr>
        <w:t>的</w:t>
      </w:r>
      <w:r>
        <w:rPr>
          <w:rFonts w:hint="default" w:ascii="Times New Roman" w:hAnsi="Times New Roman" w:cs="Times New Roman"/>
          <w:b w:val="0"/>
          <w:bCs/>
          <w:color w:val="auto"/>
          <w:sz w:val="24"/>
          <w:u w:val="none"/>
          <w:lang w:val="en-US" w:eastAsia="zh-CN"/>
        </w:rPr>
        <w:t>颗粒物，</w:t>
      </w:r>
      <w:r>
        <w:rPr>
          <w:rFonts w:hint="eastAsia" w:ascii="Times New Roman" w:hAnsi="Times New Roman" w:cs="Times New Roman"/>
          <w:b w:val="0"/>
          <w:bCs/>
          <w:color w:val="auto"/>
          <w:sz w:val="24"/>
          <w:u w:val="none"/>
          <w:lang w:val="en-US" w:eastAsia="zh-CN"/>
        </w:rPr>
        <w:t>大气污染物</w:t>
      </w:r>
      <w:r>
        <w:rPr>
          <w:rFonts w:hint="default" w:ascii="Times New Roman" w:hAnsi="Times New Roman" w:cs="Times New Roman"/>
          <w:b w:val="0"/>
          <w:bCs/>
          <w:color w:val="auto"/>
          <w:sz w:val="24"/>
          <w:u w:val="none"/>
        </w:rPr>
        <w:t>核算情况见表5</w:t>
      </w:r>
      <w:r>
        <w:rPr>
          <w:rFonts w:hint="default" w:ascii="Times New Roman" w:hAnsi="Times New Roman" w:cs="Times New Roman"/>
          <w:b w:val="0"/>
          <w:bCs/>
          <w:color w:val="auto"/>
          <w:sz w:val="24"/>
          <w:u w:val="none"/>
          <w:lang w:val="en-US" w:eastAsia="zh-CN"/>
        </w:rPr>
        <w:t>.2-1</w:t>
      </w:r>
      <w:r>
        <w:rPr>
          <w:rFonts w:hint="eastAsia" w:cs="Times New Roman"/>
          <w:b w:val="0"/>
          <w:bCs/>
          <w:color w:val="auto"/>
          <w:sz w:val="24"/>
          <w:u w:val="none"/>
          <w:lang w:val="en-US" w:eastAsia="zh-CN"/>
        </w:rPr>
        <w:t>3</w:t>
      </w:r>
      <w:r>
        <w:rPr>
          <w:rFonts w:hint="default" w:ascii="Times New Roman" w:hAnsi="Times New Roman" w:cs="Times New Roman"/>
          <w:b w:val="0"/>
          <w:bCs/>
          <w:color w:val="auto"/>
          <w:sz w:val="24"/>
          <w:u w:val="none"/>
        </w:rPr>
        <w:t>。</w:t>
      </w:r>
    </w:p>
    <w:p w14:paraId="38BF6383">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bCs w:val="0"/>
          <w:color w:val="auto"/>
          <w:sz w:val="24"/>
          <w:szCs w:val="24"/>
          <w:u w:val="none"/>
        </w:rPr>
      </w:pPr>
      <w:r>
        <w:rPr>
          <w:rFonts w:hint="default" w:ascii="Times New Roman" w:hAnsi="Times New Roman" w:cs="Times New Roman"/>
          <w:b/>
          <w:bCs w:val="0"/>
          <w:color w:val="auto"/>
          <w:sz w:val="24"/>
          <w:szCs w:val="24"/>
          <w:u w:val="none"/>
        </w:rPr>
        <w:t>表5</w:t>
      </w:r>
      <w:r>
        <w:rPr>
          <w:rFonts w:hint="default" w:ascii="Times New Roman" w:hAnsi="Times New Roman" w:cs="Times New Roman"/>
          <w:b/>
          <w:bCs w:val="0"/>
          <w:color w:val="auto"/>
          <w:sz w:val="24"/>
          <w:szCs w:val="24"/>
          <w:u w:val="none"/>
          <w:lang w:val="en-US" w:eastAsia="zh-CN"/>
        </w:rPr>
        <w:t>.2-1</w:t>
      </w:r>
      <w:r>
        <w:rPr>
          <w:rFonts w:hint="eastAsia" w:cs="Times New Roman"/>
          <w:b/>
          <w:bCs w:val="0"/>
          <w:color w:val="auto"/>
          <w:sz w:val="24"/>
          <w:szCs w:val="24"/>
          <w:u w:val="none"/>
          <w:lang w:val="en-US" w:eastAsia="zh-CN"/>
        </w:rPr>
        <w:t>3</w:t>
      </w:r>
      <w:r>
        <w:rPr>
          <w:rFonts w:hint="default" w:ascii="Times New Roman" w:hAnsi="Times New Roman" w:cs="Times New Roman"/>
          <w:b/>
          <w:bCs w:val="0"/>
          <w:color w:val="auto"/>
          <w:sz w:val="24"/>
          <w:szCs w:val="24"/>
          <w:u w:val="none"/>
        </w:rPr>
        <w:t xml:space="preserve"> 大气污染物</w:t>
      </w:r>
      <w:r>
        <w:rPr>
          <w:rFonts w:hint="eastAsia" w:cs="Times New Roman"/>
          <w:b/>
          <w:bCs w:val="0"/>
          <w:color w:val="auto"/>
          <w:sz w:val="24"/>
          <w:szCs w:val="24"/>
          <w:u w:val="none"/>
          <w:lang w:val="en-US" w:eastAsia="zh-CN"/>
        </w:rPr>
        <w:t>有</w:t>
      </w:r>
      <w:r>
        <w:rPr>
          <w:rFonts w:hint="default" w:ascii="Times New Roman" w:hAnsi="Times New Roman" w:cs="Times New Roman"/>
          <w:b/>
          <w:bCs w:val="0"/>
          <w:color w:val="auto"/>
          <w:sz w:val="24"/>
          <w:szCs w:val="24"/>
          <w:u w:val="none"/>
        </w:rPr>
        <w:t>组织排放量核算表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99"/>
        <w:gridCol w:w="926"/>
        <w:gridCol w:w="736"/>
        <w:gridCol w:w="668"/>
        <w:gridCol w:w="1159"/>
        <w:gridCol w:w="2565"/>
        <w:gridCol w:w="1128"/>
        <w:gridCol w:w="841"/>
      </w:tblGrid>
      <w:tr w14:paraId="3D597D26">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92" w:type="pct"/>
            <w:vMerge w:val="restart"/>
            <w:tcBorders>
              <w:tl2br w:val="nil"/>
              <w:tr2bl w:val="nil"/>
            </w:tcBorders>
            <w:noWrap/>
            <w:vAlign w:val="center"/>
          </w:tcPr>
          <w:p w14:paraId="2040AB4E">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序号</w:t>
            </w:r>
          </w:p>
        </w:tc>
        <w:tc>
          <w:tcPr>
            <w:tcW w:w="543" w:type="pct"/>
            <w:vMerge w:val="restart"/>
            <w:tcBorders>
              <w:tl2br w:val="nil"/>
              <w:tr2bl w:val="nil"/>
            </w:tcBorders>
            <w:noWrap/>
            <w:vAlign w:val="center"/>
          </w:tcPr>
          <w:p w14:paraId="3CE8D291">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排放口编号</w:t>
            </w:r>
          </w:p>
        </w:tc>
        <w:tc>
          <w:tcPr>
            <w:tcW w:w="431" w:type="pct"/>
            <w:vMerge w:val="restart"/>
            <w:tcBorders>
              <w:tl2br w:val="nil"/>
              <w:tr2bl w:val="nil"/>
            </w:tcBorders>
            <w:noWrap/>
            <w:vAlign w:val="center"/>
          </w:tcPr>
          <w:p w14:paraId="02BD6E52">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产污环节</w:t>
            </w:r>
          </w:p>
        </w:tc>
        <w:tc>
          <w:tcPr>
            <w:tcW w:w="391" w:type="pct"/>
            <w:vMerge w:val="restart"/>
            <w:tcBorders>
              <w:tl2br w:val="nil"/>
              <w:tr2bl w:val="nil"/>
            </w:tcBorders>
            <w:noWrap/>
            <w:vAlign w:val="center"/>
          </w:tcPr>
          <w:p w14:paraId="17183766">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污染物</w:t>
            </w:r>
          </w:p>
        </w:tc>
        <w:tc>
          <w:tcPr>
            <w:tcW w:w="680" w:type="pct"/>
            <w:vMerge w:val="restart"/>
            <w:tcBorders>
              <w:tl2br w:val="nil"/>
              <w:tr2bl w:val="nil"/>
            </w:tcBorders>
            <w:noWrap/>
            <w:vAlign w:val="center"/>
          </w:tcPr>
          <w:p w14:paraId="6A74B443">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主要污染防治措施</w:t>
            </w:r>
          </w:p>
        </w:tc>
        <w:tc>
          <w:tcPr>
            <w:tcW w:w="2166" w:type="pct"/>
            <w:gridSpan w:val="2"/>
            <w:tcBorders>
              <w:tl2br w:val="nil"/>
              <w:tr2bl w:val="nil"/>
            </w:tcBorders>
            <w:noWrap/>
            <w:vAlign w:val="center"/>
          </w:tcPr>
          <w:p w14:paraId="24A00EB6">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国家或地方污染物排放标准</w:t>
            </w:r>
          </w:p>
        </w:tc>
        <w:tc>
          <w:tcPr>
            <w:tcW w:w="493" w:type="pct"/>
            <w:vMerge w:val="restart"/>
            <w:tcBorders>
              <w:tl2br w:val="nil"/>
              <w:tr2bl w:val="nil"/>
            </w:tcBorders>
            <w:noWrap/>
            <w:vAlign w:val="center"/>
          </w:tcPr>
          <w:p w14:paraId="4A36914D">
            <w:pPr>
              <w:autoSpaceDE/>
              <w:autoSpaceDN/>
              <w:spacing w:before="0" w:after="0" w:line="240" w:lineRule="auto"/>
              <w:ind w:left="0" w:firstLine="0"/>
              <w:jc w:val="center"/>
              <w:rPr>
                <w:rFonts w:hint="default" w:ascii="Times New Roman" w:hAnsi="Times New Roman" w:cs="Times New Roman"/>
                <w:b/>
                <w:bCs w:val="0"/>
                <w:color w:val="auto"/>
                <w:sz w:val="21"/>
                <w:szCs w:val="18"/>
                <w:highlight w:val="yellow"/>
                <w:u w:val="none"/>
              </w:rPr>
            </w:pPr>
            <w:r>
              <w:rPr>
                <w:rFonts w:hint="default" w:ascii="Times New Roman" w:hAnsi="Times New Roman" w:cs="Times New Roman"/>
                <w:b/>
                <w:bCs w:val="0"/>
                <w:color w:val="auto"/>
                <w:sz w:val="21"/>
                <w:szCs w:val="18"/>
                <w:highlight w:val="none"/>
                <w:u w:val="none"/>
              </w:rPr>
              <w:t>年排放量（t/a）</w:t>
            </w:r>
          </w:p>
        </w:tc>
      </w:tr>
      <w:tr w14:paraId="064095CF">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92" w:type="pct"/>
            <w:vMerge w:val="continue"/>
            <w:tcBorders>
              <w:tl2br w:val="nil"/>
              <w:tr2bl w:val="nil"/>
            </w:tcBorders>
            <w:noWrap/>
            <w:vAlign w:val="center"/>
          </w:tcPr>
          <w:p w14:paraId="0CBE5273">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p>
        </w:tc>
        <w:tc>
          <w:tcPr>
            <w:tcW w:w="543" w:type="pct"/>
            <w:vMerge w:val="continue"/>
            <w:tcBorders>
              <w:tl2br w:val="nil"/>
              <w:tr2bl w:val="nil"/>
            </w:tcBorders>
            <w:noWrap/>
            <w:vAlign w:val="center"/>
          </w:tcPr>
          <w:p w14:paraId="58922779">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p>
        </w:tc>
        <w:tc>
          <w:tcPr>
            <w:tcW w:w="431" w:type="pct"/>
            <w:vMerge w:val="continue"/>
            <w:tcBorders>
              <w:tl2br w:val="nil"/>
              <w:tr2bl w:val="nil"/>
            </w:tcBorders>
            <w:noWrap/>
            <w:vAlign w:val="center"/>
          </w:tcPr>
          <w:p w14:paraId="24E2EE6B">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p>
        </w:tc>
        <w:tc>
          <w:tcPr>
            <w:tcW w:w="391" w:type="pct"/>
            <w:vMerge w:val="continue"/>
            <w:tcBorders>
              <w:tl2br w:val="nil"/>
              <w:tr2bl w:val="nil"/>
            </w:tcBorders>
            <w:noWrap/>
            <w:vAlign w:val="center"/>
          </w:tcPr>
          <w:p w14:paraId="6F012E59">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p>
        </w:tc>
        <w:tc>
          <w:tcPr>
            <w:tcW w:w="680" w:type="pct"/>
            <w:vMerge w:val="continue"/>
            <w:tcBorders>
              <w:tl2br w:val="nil"/>
              <w:tr2bl w:val="nil"/>
            </w:tcBorders>
            <w:noWrap/>
            <w:vAlign w:val="center"/>
          </w:tcPr>
          <w:p w14:paraId="1BC4A2A3">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p>
        </w:tc>
        <w:tc>
          <w:tcPr>
            <w:tcW w:w="1504" w:type="pct"/>
            <w:tcBorders>
              <w:tl2br w:val="nil"/>
              <w:tr2bl w:val="nil"/>
            </w:tcBorders>
            <w:noWrap/>
            <w:vAlign w:val="center"/>
          </w:tcPr>
          <w:p w14:paraId="495ADB89">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标准名称</w:t>
            </w:r>
          </w:p>
        </w:tc>
        <w:tc>
          <w:tcPr>
            <w:tcW w:w="661" w:type="pct"/>
            <w:tcBorders>
              <w:tl2br w:val="nil"/>
              <w:tr2bl w:val="nil"/>
            </w:tcBorders>
            <w:noWrap/>
            <w:vAlign w:val="center"/>
          </w:tcPr>
          <w:p w14:paraId="3061913B">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浓度限值（mg/m</w:t>
            </w:r>
            <w:r>
              <w:rPr>
                <w:rFonts w:hint="default" w:ascii="Times New Roman" w:hAnsi="Times New Roman" w:cs="Times New Roman"/>
                <w:b/>
                <w:bCs w:val="0"/>
                <w:color w:val="auto"/>
                <w:sz w:val="21"/>
                <w:szCs w:val="18"/>
                <w:highlight w:val="none"/>
                <w:u w:val="none"/>
                <w:vertAlign w:val="superscript"/>
              </w:rPr>
              <w:t>3</w:t>
            </w:r>
            <w:r>
              <w:rPr>
                <w:rFonts w:hint="default" w:ascii="Times New Roman" w:hAnsi="Times New Roman" w:cs="Times New Roman"/>
                <w:b/>
                <w:bCs w:val="0"/>
                <w:color w:val="auto"/>
                <w:sz w:val="21"/>
                <w:szCs w:val="18"/>
                <w:highlight w:val="none"/>
                <w:u w:val="none"/>
              </w:rPr>
              <w:t>）</w:t>
            </w:r>
          </w:p>
        </w:tc>
        <w:tc>
          <w:tcPr>
            <w:tcW w:w="493" w:type="pct"/>
            <w:vMerge w:val="continue"/>
            <w:tcBorders>
              <w:tl2br w:val="nil"/>
              <w:tr2bl w:val="nil"/>
            </w:tcBorders>
            <w:noWrap/>
            <w:vAlign w:val="center"/>
          </w:tcPr>
          <w:p w14:paraId="21C5D3B6">
            <w:pPr>
              <w:autoSpaceDE/>
              <w:autoSpaceDN/>
              <w:spacing w:before="0" w:after="0" w:line="240" w:lineRule="auto"/>
              <w:ind w:left="0" w:firstLine="0"/>
              <w:jc w:val="center"/>
              <w:rPr>
                <w:rFonts w:hint="default" w:ascii="Times New Roman" w:hAnsi="Times New Roman" w:cs="Times New Roman"/>
                <w:b/>
                <w:bCs w:val="0"/>
                <w:color w:val="auto"/>
                <w:sz w:val="21"/>
                <w:szCs w:val="18"/>
                <w:highlight w:val="yellow"/>
                <w:u w:val="none"/>
              </w:rPr>
            </w:pPr>
          </w:p>
        </w:tc>
      </w:tr>
      <w:tr w14:paraId="454D7653">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92" w:type="pct"/>
            <w:tcBorders>
              <w:tl2br w:val="nil"/>
              <w:tr2bl w:val="nil"/>
            </w:tcBorders>
            <w:noWrap/>
            <w:vAlign w:val="center"/>
          </w:tcPr>
          <w:p w14:paraId="6F66C559">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default" w:ascii="Times New Roman" w:hAnsi="Times New Roman" w:cs="Times New Roman"/>
                <w:b w:val="0"/>
                <w:bCs/>
                <w:color w:val="auto"/>
                <w:sz w:val="21"/>
                <w:szCs w:val="18"/>
                <w:highlight w:val="none"/>
                <w:u w:val="none"/>
                <w:lang w:val="en-US" w:eastAsia="zh-CN"/>
              </w:rPr>
              <w:t>1</w:t>
            </w:r>
          </w:p>
        </w:tc>
        <w:tc>
          <w:tcPr>
            <w:tcW w:w="543" w:type="pct"/>
            <w:tcBorders>
              <w:tl2br w:val="nil"/>
              <w:tr2bl w:val="nil"/>
            </w:tcBorders>
            <w:noWrap/>
            <w:vAlign w:val="center"/>
          </w:tcPr>
          <w:p w14:paraId="2EE2B399">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eastAsia" w:cs="Times New Roman"/>
                <w:b w:val="0"/>
                <w:bCs/>
                <w:color w:val="auto"/>
                <w:sz w:val="21"/>
                <w:szCs w:val="18"/>
                <w:highlight w:val="none"/>
                <w:u w:val="none"/>
                <w:lang w:val="en-US" w:eastAsia="zh-CN"/>
              </w:rPr>
              <w:t>DA002</w:t>
            </w:r>
          </w:p>
        </w:tc>
        <w:tc>
          <w:tcPr>
            <w:tcW w:w="431" w:type="pct"/>
            <w:tcBorders>
              <w:tl2br w:val="nil"/>
              <w:tr2bl w:val="nil"/>
            </w:tcBorders>
            <w:noWrap/>
            <w:vAlign w:val="center"/>
          </w:tcPr>
          <w:p w14:paraId="59A66064">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eastAsia" w:cs="Times New Roman"/>
                <w:b w:val="0"/>
                <w:bCs/>
                <w:color w:val="auto"/>
                <w:sz w:val="21"/>
                <w:szCs w:val="18"/>
                <w:highlight w:val="none"/>
                <w:u w:val="none"/>
                <w:lang w:val="en-US" w:eastAsia="zh-CN"/>
              </w:rPr>
              <w:t>打散破碎</w:t>
            </w:r>
          </w:p>
        </w:tc>
        <w:tc>
          <w:tcPr>
            <w:tcW w:w="391" w:type="pct"/>
            <w:tcBorders>
              <w:tl2br w:val="nil"/>
              <w:tr2bl w:val="nil"/>
            </w:tcBorders>
            <w:noWrap/>
            <w:vAlign w:val="center"/>
          </w:tcPr>
          <w:p w14:paraId="6737174C">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default" w:ascii="Times New Roman" w:hAnsi="Times New Roman" w:cs="Times New Roman"/>
                <w:b w:val="0"/>
                <w:bCs/>
                <w:color w:val="auto"/>
                <w:sz w:val="21"/>
                <w:szCs w:val="18"/>
                <w:highlight w:val="none"/>
                <w:u w:val="none"/>
                <w:lang w:val="en-US" w:eastAsia="zh-CN"/>
              </w:rPr>
              <w:t>TSP</w:t>
            </w:r>
          </w:p>
        </w:tc>
        <w:tc>
          <w:tcPr>
            <w:tcW w:w="680" w:type="pct"/>
            <w:tcBorders>
              <w:tl2br w:val="nil"/>
              <w:tr2bl w:val="nil"/>
            </w:tcBorders>
            <w:noWrap/>
            <w:vAlign w:val="center"/>
          </w:tcPr>
          <w:p w14:paraId="029CCB7D">
            <w:pPr>
              <w:autoSpaceDE/>
              <w:autoSpaceDN/>
              <w:spacing w:before="0" w:after="0" w:line="240" w:lineRule="auto"/>
              <w:ind w:left="0" w:firstLine="0"/>
              <w:jc w:val="center"/>
              <w:rPr>
                <w:rFonts w:hint="default" w:ascii="Times New Roman" w:hAnsi="Times New Roman" w:cs="Times New Roman"/>
                <w:b w:val="0"/>
                <w:bCs/>
                <w:color w:val="auto"/>
                <w:kern w:val="0"/>
                <w:sz w:val="21"/>
                <w:szCs w:val="18"/>
                <w:highlight w:val="none"/>
                <w:u w:val="none"/>
                <w:lang w:val="en-US" w:eastAsia="zh-CN"/>
              </w:rPr>
            </w:pPr>
            <w:r>
              <w:rPr>
                <w:rFonts w:hint="eastAsia" w:cs="Times New Roman"/>
                <w:b w:val="0"/>
                <w:bCs/>
                <w:color w:val="auto"/>
                <w:kern w:val="0"/>
                <w:sz w:val="21"/>
                <w:szCs w:val="18"/>
                <w:highlight w:val="none"/>
                <w:u w:val="none"/>
                <w:lang w:val="en-US" w:eastAsia="zh-CN"/>
              </w:rPr>
              <w:t>布袋除尘器</w:t>
            </w:r>
          </w:p>
        </w:tc>
        <w:tc>
          <w:tcPr>
            <w:tcW w:w="1504" w:type="pct"/>
            <w:vMerge w:val="restart"/>
            <w:tcBorders>
              <w:tl2br w:val="nil"/>
              <w:tr2bl w:val="nil"/>
            </w:tcBorders>
            <w:noWrap/>
            <w:vAlign w:val="center"/>
          </w:tcPr>
          <w:p w14:paraId="5E25FDE3">
            <w:pPr>
              <w:autoSpaceDE/>
              <w:autoSpaceDN/>
              <w:spacing w:before="0" w:after="0" w:line="240" w:lineRule="auto"/>
              <w:ind w:left="0" w:firstLine="0"/>
              <w:jc w:val="center"/>
              <w:rPr>
                <w:rFonts w:hint="eastAsia" w:ascii="Times New Roman" w:hAnsi="Times New Roman" w:eastAsia="宋体" w:cs="Times New Roman"/>
                <w:b w:val="0"/>
                <w:bCs/>
                <w:color w:val="auto"/>
                <w:sz w:val="21"/>
                <w:szCs w:val="18"/>
                <w:highlight w:val="none"/>
                <w:u w:val="none"/>
                <w:lang w:eastAsia="zh-CN"/>
              </w:rPr>
            </w:pPr>
            <w:r>
              <w:rPr>
                <w:rFonts w:hint="default" w:ascii="Times New Roman" w:hAnsi="Times New Roman" w:cs="Times New Roman"/>
                <w:b w:val="0"/>
                <w:bCs/>
                <w:color w:val="auto"/>
                <w:sz w:val="21"/>
                <w:szCs w:val="18"/>
                <w:highlight w:val="none"/>
                <w:u w:val="none"/>
              </w:rPr>
              <w:t>《水泥工业大气污染物排放标准》（GB4915-2013）（含2025年修改单）中表</w:t>
            </w:r>
            <w:r>
              <w:rPr>
                <w:rFonts w:hint="eastAsia" w:cs="Times New Roman"/>
                <w:b w:val="0"/>
                <w:bCs/>
                <w:color w:val="auto"/>
                <w:sz w:val="21"/>
                <w:szCs w:val="18"/>
                <w:highlight w:val="none"/>
                <w:u w:val="none"/>
                <w:lang w:val="en-US" w:eastAsia="zh-CN"/>
              </w:rPr>
              <w:t>1</w:t>
            </w:r>
          </w:p>
        </w:tc>
        <w:tc>
          <w:tcPr>
            <w:tcW w:w="661" w:type="pct"/>
            <w:tcBorders>
              <w:tl2br w:val="nil"/>
              <w:tr2bl w:val="nil"/>
            </w:tcBorders>
            <w:noWrap/>
            <w:vAlign w:val="center"/>
          </w:tcPr>
          <w:p w14:paraId="3902EC29">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eastAsia" w:cs="Times New Roman"/>
                <w:b w:val="0"/>
                <w:bCs/>
                <w:color w:val="auto"/>
                <w:sz w:val="21"/>
                <w:szCs w:val="18"/>
                <w:highlight w:val="none"/>
                <w:u w:val="none"/>
                <w:lang w:val="en-US" w:eastAsia="zh-CN"/>
              </w:rPr>
              <w:t>20</w:t>
            </w:r>
          </w:p>
        </w:tc>
        <w:tc>
          <w:tcPr>
            <w:tcW w:w="493" w:type="pct"/>
            <w:tcBorders>
              <w:tl2br w:val="nil"/>
              <w:tr2bl w:val="nil"/>
            </w:tcBorders>
            <w:noWrap/>
            <w:vAlign w:val="center"/>
          </w:tcPr>
          <w:p w14:paraId="2F7E4EB2">
            <w:pPr>
              <w:autoSpaceDE/>
              <w:autoSpaceDN/>
              <w:spacing w:before="0" w:after="0" w:line="240" w:lineRule="auto"/>
              <w:ind w:left="0" w:firstLine="0"/>
              <w:jc w:val="center"/>
              <w:rPr>
                <w:rFonts w:hint="default" w:ascii="Times New Roman" w:hAnsi="Times New Roman" w:cs="Times New Roman"/>
                <w:b w:val="0"/>
                <w:bCs/>
                <w:color w:val="auto"/>
                <w:kern w:val="0"/>
                <w:sz w:val="21"/>
                <w:szCs w:val="18"/>
                <w:highlight w:val="none"/>
                <w:u w:val="none"/>
                <w:lang w:val="en-US" w:eastAsia="zh-CN"/>
              </w:rPr>
            </w:pPr>
            <w:r>
              <w:rPr>
                <w:rFonts w:hint="eastAsia" w:cs="Times New Roman"/>
                <w:b w:val="0"/>
                <w:bCs/>
                <w:color w:val="auto"/>
                <w:kern w:val="0"/>
                <w:sz w:val="21"/>
                <w:szCs w:val="18"/>
                <w:highlight w:val="none"/>
                <w:u w:val="none"/>
                <w:lang w:val="en-US" w:eastAsia="zh-CN"/>
              </w:rPr>
              <w:t>0.162</w:t>
            </w:r>
          </w:p>
        </w:tc>
      </w:tr>
      <w:tr w14:paraId="73A35CB2">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92" w:type="pct"/>
            <w:tcBorders>
              <w:tl2br w:val="nil"/>
              <w:tr2bl w:val="nil"/>
            </w:tcBorders>
            <w:noWrap/>
            <w:vAlign w:val="center"/>
          </w:tcPr>
          <w:p w14:paraId="7E497A29">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eastAsia" w:cs="Times New Roman"/>
                <w:b w:val="0"/>
                <w:bCs/>
                <w:color w:val="auto"/>
                <w:sz w:val="21"/>
                <w:szCs w:val="18"/>
                <w:highlight w:val="none"/>
                <w:u w:val="none"/>
                <w:lang w:val="en-US" w:eastAsia="zh-CN"/>
              </w:rPr>
              <w:t>2</w:t>
            </w:r>
          </w:p>
        </w:tc>
        <w:tc>
          <w:tcPr>
            <w:tcW w:w="543" w:type="pct"/>
            <w:tcBorders>
              <w:tl2br w:val="nil"/>
              <w:tr2bl w:val="nil"/>
            </w:tcBorders>
            <w:noWrap/>
            <w:vAlign w:val="center"/>
          </w:tcPr>
          <w:p w14:paraId="160C8D1E">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eastAsia" w:cs="Times New Roman"/>
                <w:b w:val="0"/>
                <w:bCs/>
                <w:color w:val="auto"/>
                <w:sz w:val="21"/>
                <w:szCs w:val="18"/>
                <w:highlight w:val="none"/>
                <w:u w:val="none"/>
                <w:lang w:val="en-US" w:eastAsia="zh-CN"/>
              </w:rPr>
              <w:t>DA003</w:t>
            </w:r>
          </w:p>
        </w:tc>
        <w:tc>
          <w:tcPr>
            <w:tcW w:w="431" w:type="pct"/>
            <w:tcBorders>
              <w:tl2br w:val="nil"/>
              <w:tr2bl w:val="nil"/>
            </w:tcBorders>
            <w:noWrap/>
            <w:vAlign w:val="center"/>
          </w:tcPr>
          <w:p w14:paraId="69CD9D3D">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eastAsia" w:cs="Times New Roman"/>
                <w:b w:val="0"/>
                <w:bCs/>
                <w:color w:val="auto"/>
                <w:sz w:val="21"/>
                <w:szCs w:val="18"/>
                <w:highlight w:val="none"/>
                <w:u w:val="none"/>
                <w:lang w:val="en-US" w:eastAsia="zh-CN"/>
              </w:rPr>
              <w:t>输送</w:t>
            </w:r>
          </w:p>
        </w:tc>
        <w:tc>
          <w:tcPr>
            <w:tcW w:w="391" w:type="pct"/>
            <w:tcBorders>
              <w:tl2br w:val="nil"/>
              <w:tr2bl w:val="nil"/>
            </w:tcBorders>
            <w:noWrap/>
            <w:vAlign w:val="center"/>
          </w:tcPr>
          <w:p w14:paraId="568078F3">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eastAsia" w:cs="Times New Roman"/>
                <w:b w:val="0"/>
                <w:bCs/>
                <w:color w:val="auto"/>
                <w:sz w:val="21"/>
                <w:szCs w:val="18"/>
                <w:highlight w:val="none"/>
                <w:u w:val="none"/>
                <w:lang w:val="en-US" w:eastAsia="zh-CN"/>
              </w:rPr>
              <w:t>TSP</w:t>
            </w:r>
          </w:p>
        </w:tc>
        <w:tc>
          <w:tcPr>
            <w:tcW w:w="680" w:type="pct"/>
            <w:tcBorders>
              <w:tl2br w:val="nil"/>
              <w:tr2bl w:val="nil"/>
            </w:tcBorders>
            <w:noWrap/>
            <w:vAlign w:val="center"/>
          </w:tcPr>
          <w:p w14:paraId="0B700BD1">
            <w:pPr>
              <w:autoSpaceDE/>
              <w:autoSpaceDN/>
              <w:spacing w:before="0" w:after="0" w:line="240" w:lineRule="auto"/>
              <w:ind w:left="0" w:firstLine="0"/>
              <w:jc w:val="center"/>
              <w:rPr>
                <w:rFonts w:hint="default" w:ascii="Times New Roman" w:hAnsi="Times New Roman" w:cs="Times New Roman"/>
                <w:b w:val="0"/>
                <w:bCs/>
                <w:color w:val="auto"/>
                <w:kern w:val="0"/>
                <w:sz w:val="21"/>
                <w:szCs w:val="18"/>
                <w:highlight w:val="none"/>
                <w:u w:val="none"/>
                <w:lang w:val="en-US" w:eastAsia="zh-CN"/>
              </w:rPr>
            </w:pPr>
            <w:r>
              <w:rPr>
                <w:rFonts w:hint="eastAsia" w:cs="Times New Roman"/>
                <w:b w:val="0"/>
                <w:bCs/>
                <w:color w:val="auto"/>
                <w:kern w:val="0"/>
                <w:sz w:val="21"/>
                <w:szCs w:val="18"/>
                <w:highlight w:val="none"/>
                <w:u w:val="none"/>
                <w:lang w:val="en-US" w:eastAsia="zh-CN"/>
              </w:rPr>
              <w:t>布袋除尘器</w:t>
            </w:r>
          </w:p>
        </w:tc>
        <w:tc>
          <w:tcPr>
            <w:tcW w:w="1504" w:type="pct"/>
            <w:vMerge w:val="continue"/>
            <w:tcBorders>
              <w:tl2br w:val="nil"/>
              <w:tr2bl w:val="nil"/>
            </w:tcBorders>
            <w:noWrap/>
            <w:vAlign w:val="center"/>
          </w:tcPr>
          <w:p w14:paraId="5FC593DF">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rPr>
            </w:pPr>
          </w:p>
        </w:tc>
        <w:tc>
          <w:tcPr>
            <w:tcW w:w="661" w:type="pct"/>
            <w:tcBorders>
              <w:tl2br w:val="nil"/>
              <w:tr2bl w:val="nil"/>
            </w:tcBorders>
            <w:noWrap/>
            <w:vAlign w:val="center"/>
          </w:tcPr>
          <w:p w14:paraId="723BADC7">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eastAsia" w:cs="Times New Roman"/>
                <w:b w:val="0"/>
                <w:bCs/>
                <w:color w:val="auto"/>
                <w:sz w:val="21"/>
                <w:szCs w:val="18"/>
                <w:highlight w:val="none"/>
                <w:u w:val="none"/>
                <w:lang w:val="en-US" w:eastAsia="zh-CN"/>
              </w:rPr>
              <w:t>20</w:t>
            </w:r>
          </w:p>
        </w:tc>
        <w:tc>
          <w:tcPr>
            <w:tcW w:w="493" w:type="pct"/>
            <w:tcBorders>
              <w:tl2br w:val="nil"/>
              <w:tr2bl w:val="nil"/>
            </w:tcBorders>
            <w:noWrap/>
            <w:vAlign w:val="center"/>
          </w:tcPr>
          <w:p w14:paraId="1A89B15D">
            <w:pPr>
              <w:autoSpaceDE/>
              <w:autoSpaceDN/>
              <w:spacing w:before="0" w:after="0" w:line="240" w:lineRule="auto"/>
              <w:ind w:left="0" w:firstLine="0"/>
              <w:jc w:val="center"/>
              <w:rPr>
                <w:rFonts w:hint="default" w:ascii="Times New Roman" w:hAnsi="Times New Roman" w:cs="Times New Roman"/>
                <w:b w:val="0"/>
                <w:bCs/>
                <w:color w:val="auto"/>
                <w:kern w:val="0"/>
                <w:sz w:val="21"/>
                <w:szCs w:val="18"/>
                <w:highlight w:val="none"/>
                <w:u w:val="none"/>
                <w:lang w:val="en-US" w:eastAsia="zh-CN"/>
              </w:rPr>
            </w:pPr>
            <w:r>
              <w:rPr>
                <w:rFonts w:hint="eastAsia" w:cs="Times New Roman"/>
                <w:b w:val="0"/>
                <w:bCs/>
                <w:color w:val="auto"/>
                <w:kern w:val="0"/>
                <w:sz w:val="21"/>
                <w:szCs w:val="18"/>
                <w:highlight w:val="none"/>
                <w:u w:val="none"/>
                <w:lang w:val="en-US" w:eastAsia="zh-CN"/>
              </w:rPr>
              <w:t>0.0003</w:t>
            </w:r>
          </w:p>
        </w:tc>
      </w:tr>
      <w:tr w14:paraId="3284222A">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267" w:type="pct"/>
            <w:gridSpan w:val="3"/>
            <w:tcBorders>
              <w:tl2br w:val="nil"/>
              <w:tr2bl w:val="nil"/>
            </w:tcBorders>
            <w:noWrap/>
            <w:vAlign w:val="center"/>
          </w:tcPr>
          <w:p w14:paraId="218A7E5E">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rPr>
            </w:pPr>
            <w:r>
              <w:rPr>
                <w:rFonts w:hint="eastAsia" w:cs="Times New Roman"/>
                <w:b w:val="0"/>
                <w:bCs/>
                <w:color w:val="auto"/>
                <w:sz w:val="21"/>
                <w:szCs w:val="18"/>
                <w:highlight w:val="none"/>
                <w:u w:val="none"/>
                <w:lang w:val="en-US" w:eastAsia="zh-CN"/>
              </w:rPr>
              <w:t>有组织</w:t>
            </w:r>
            <w:r>
              <w:rPr>
                <w:rFonts w:hint="default" w:ascii="Times New Roman" w:hAnsi="Times New Roman" w:cs="Times New Roman"/>
                <w:b w:val="0"/>
                <w:bCs/>
                <w:color w:val="auto"/>
                <w:sz w:val="21"/>
                <w:szCs w:val="18"/>
                <w:highlight w:val="none"/>
                <w:u w:val="none"/>
              </w:rPr>
              <w:t>排放总计</w:t>
            </w:r>
          </w:p>
        </w:tc>
        <w:tc>
          <w:tcPr>
            <w:tcW w:w="3238" w:type="pct"/>
            <w:gridSpan w:val="4"/>
            <w:tcBorders>
              <w:tl2br w:val="nil"/>
              <w:tr2bl w:val="nil"/>
            </w:tcBorders>
            <w:shd w:val="clear" w:color="auto" w:fill="auto"/>
            <w:noWrap/>
            <w:vAlign w:val="center"/>
          </w:tcPr>
          <w:p w14:paraId="0622F0EE">
            <w:pPr>
              <w:autoSpaceDE/>
              <w:autoSpaceDN/>
              <w:spacing w:before="0" w:after="0" w:line="240" w:lineRule="auto"/>
              <w:ind w:left="0" w:leftChars="0" w:firstLine="0" w:firstLineChars="0"/>
              <w:jc w:val="center"/>
              <w:rPr>
                <w:rFonts w:hint="default" w:ascii="Times New Roman" w:hAnsi="Times New Roman" w:eastAsia="宋体" w:cs="Times New Roman"/>
                <w:b w:val="0"/>
                <w:bCs/>
                <w:color w:val="auto"/>
                <w:sz w:val="21"/>
                <w:szCs w:val="18"/>
                <w:highlight w:val="none"/>
                <w:u w:val="none"/>
                <w:lang w:val="en-US" w:eastAsia="zh-CN" w:bidi="ar-SA"/>
              </w:rPr>
            </w:pPr>
            <w:r>
              <w:rPr>
                <w:rFonts w:hint="default" w:ascii="Times New Roman" w:hAnsi="Times New Roman" w:cs="Times New Roman"/>
                <w:b w:val="0"/>
                <w:bCs/>
                <w:color w:val="auto"/>
                <w:sz w:val="21"/>
                <w:szCs w:val="18"/>
                <w:highlight w:val="none"/>
                <w:u w:val="none"/>
                <w:lang w:val="en-US" w:eastAsia="zh-CN"/>
              </w:rPr>
              <w:t>TSP</w:t>
            </w:r>
          </w:p>
        </w:tc>
        <w:tc>
          <w:tcPr>
            <w:tcW w:w="493" w:type="pct"/>
            <w:tcBorders>
              <w:tl2br w:val="nil"/>
              <w:tr2bl w:val="nil"/>
            </w:tcBorders>
            <w:shd w:val="clear" w:color="auto" w:fill="auto"/>
            <w:noWrap/>
            <w:vAlign w:val="center"/>
          </w:tcPr>
          <w:p w14:paraId="6C839D6F">
            <w:pPr>
              <w:autoSpaceDE/>
              <w:autoSpaceDN/>
              <w:spacing w:before="0" w:after="0" w:line="240" w:lineRule="auto"/>
              <w:ind w:left="0" w:leftChars="0" w:firstLine="0" w:firstLineChars="0"/>
              <w:jc w:val="center"/>
              <w:rPr>
                <w:rFonts w:hint="default" w:ascii="Times New Roman" w:hAnsi="Times New Roman" w:eastAsia="宋体" w:cs="Times New Roman"/>
                <w:b w:val="0"/>
                <w:bCs/>
                <w:color w:val="auto"/>
                <w:kern w:val="0"/>
                <w:sz w:val="21"/>
                <w:szCs w:val="18"/>
                <w:highlight w:val="none"/>
                <w:u w:val="none"/>
                <w:lang w:val="en-US" w:eastAsia="zh-CN" w:bidi="ar-SA"/>
              </w:rPr>
            </w:pPr>
            <w:r>
              <w:rPr>
                <w:rFonts w:hint="default" w:ascii="Times New Roman" w:hAnsi="Times New Roman" w:cs="Times New Roman"/>
                <w:b w:val="0"/>
                <w:bCs/>
                <w:color w:val="auto"/>
                <w:kern w:val="0"/>
                <w:sz w:val="21"/>
                <w:szCs w:val="18"/>
                <w:highlight w:val="none"/>
                <w:u w:val="none"/>
                <w:lang w:val="en-US" w:eastAsia="zh-CN"/>
              </w:rPr>
              <w:t>0.</w:t>
            </w:r>
            <w:r>
              <w:rPr>
                <w:rFonts w:hint="eastAsia" w:cs="Times New Roman"/>
                <w:b w:val="0"/>
                <w:bCs/>
                <w:color w:val="auto"/>
                <w:kern w:val="0"/>
                <w:sz w:val="21"/>
                <w:szCs w:val="18"/>
                <w:highlight w:val="none"/>
                <w:u w:val="none"/>
                <w:lang w:val="en-US" w:eastAsia="zh-CN"/>
              </w:rPr>
              <w:t>1623</w:t>
            </w:r>
          </w:p>
        </w:tc>
      </w:tr>
    </w:tbl>
    <w:p w14:paraId="1F9E6822">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bCs w:val="0"/>
          <w:color w:val="auto"/>
          <w:sz w:val="24"/>
          <w:szCs w:val="24"/>
          <w:u w:val="none"/>
        </w:rPr>
      </w:pPr>
      <w:r>
        <w:rPr>
          <w:rFonts w:hint="default" w:ascii="Times New Roman" w:hAnsi="Times New Roman" w:cs="Times New Roman"/>
          <w:b/>
          <w:bCs w:val="0"/>
          <w:color w:val="auto"/>
          <w:sz w:val="24"/>
          <w:szCs w:val="24"/>
          <w:u w:val="none"/>
        </w:rPr>
        <w:t>表5</w:t>
      </w:r>
      <w:r>
        <w:rPr>
          <w:rFonts w:hint="default" w:ascii="Times New Roman" w:hAnsi="Times New Roman" w:cs="Times New Roman"/>
          <w:b/>
          <w:bCs w:val="0"/>
          <w:color w:val="auto"/>
          <w:sz w:val="24"/>
          <w:szCs w:val="24"/>
          <w:u w:val="none"/>
          <w:lang w:val="en-US" w:eastAsia="zh-CN"/>
        </w:rPr>
        <w:t>.2-1</w:t>
      </w:r>
      <w:r>
        <w:rPr>
          <w:rFonts w:hint="eastAsia" w:cs="Times New Roman"/>
          <w:b/>
          <w:bCs w:val="0"/>
          <w:color w:val="auto"/>
          <w:sz w:val="24"/>
          <w:szCs w:val="24"/>
          <w:u w:val="none"/>
          <w:lang w:val="en-US" w:eastAsia="zh-CN"/>
        </w:rPr>
        <w:t>4</w:t>
      </w:r>
      <w:r>
        <w:rPr>
          <w:rFonts w:hint="default" w:ascii="Times New Roman" w:hAnsi="Times New Roman" w:cs="Times New Roman"/>
          <w:b/>
          <w:bCs w:val="0"/>
          <w:color w:val="auto"/>
          <w:sz w:val="24"/>
          <w:szCs w:val="24"/>
          <w:u w:val="none"/>
        </w:rPr>
        <w:t xml:space="preserve"> 大气污染物年排放量核算表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839"/>
        <w:gridCol w:w="2842"/>
        <w:gridCol w:w="2841"/>
      </w:tblGrid>
      <w:tr w14:paraId="4F0D4C1F">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665" w:type="pct"/>
            <w:tcBorders>
              <w:tl2br w:val="nil"/>
              <w:tr2bl w:val="nil"/>
            </w:tcBorders>
            <w:noWrap/>
            <w:vAlign w:val="center"/>
          </w:tcPr>
          <w:p w14:paraId="783958EF">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序号</w:t>
            </w:r>
          </w:p>
        </w:tc>
        <w:tc>
          <w:tcPr>
            <w:tcW w:w="1667" w:type="pct"/>
            <w:tcBorders>
              <w:tl2br w:val="nil"/>
              <w:tr2bl w:val="nil"/>
            </w:tcBorders>
            <w:noWrap/>
            <w:vAlign w:val="center"/>
          </w:tcPr>
          <w:p w14:paraId="1AC09D2D">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污染物</w:t>
            </w:r>
          </w:p>
        </w:tc>
        <w:tc>
          <w:tcPr>
            <w:tcW w:w="1666" w:type="pct"/>
            <w:tcBorders>
              <w:tl2br w:val="nil"/>
              <w:tr2bl w:val="nil"/>
            </w:tcBorders>
            <w:noWrap/>
            <w:vAlign w:val="center"/>
          </w:tcPr>
          <w:p w14:paraId="19BDB707">
            <w:pPr>
              <w:autoSpaceDE/>
              <w:autoSpaceDN/>
              <w:spacing w:before="0" w:after="0" w:line="240" w:lineRule="auto"/>
              <w:ind w:left="0" w:firstLine="0"/>
              <w:jc w:val="center"/>
              <w:rPr>
                <w:rFonts w:hint="default" w:ascii="Times New Roman" w:hAnsi="Times New Roman" w:cs="Times New Roman"/>
                <w:b/>
                <w:bCs w:val="0"/>
                <w:color w:val="auto"/>
                <w:sz w:val="21"/>
                <w:szCs w:val="18"/>
                <w:highlight w:val="none"/>
                <w:u w:val="none"/>
              </w:rPr>
            </w:pPr>
            <w:r>
              <w:rPr>
                <w:rFonts w:hint="default" w:ascii="Times New Roman" w:hAnsi="Times New Roman" w:cs="Times New Roman"/>
                <w:b/>
                <w:bCs w:val="0"/>
                <w:color w:val="auto"/>
                <w:sz w:val="21"/>
                <w:szCs w:val="18"/>
                <w:highlight w:val="none"/>
                <w:u w:val="none"/>
              </w:rPr>
              <w:t>年排放量（t/a）</w:t>
            </w:r>
          </w:p>
        </w:tc>
      </w:tr>
      <w:tr w14:paraId="4F1D045B">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665" w:type="pct"/>
            <w:tcBorders>
              <w:tl2br w:val="nil"/>
              <w:tr2bl w:val="nil"/>
            </w:tcBorders>
            <w:noWrap/>
            <w:vAlign w:val="center"/>
          </w:tcPr>
          <w:p w14:paraId="6E5F0C3E">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default" w:ascii="Times New Roman" w:hAnsi="Times New Roman" w:cs="Times New Roman"/>
                <w:b w:val="0"/>
                <w:bCs/>
                <w:color w:val="auto"/>
                <w:sz w:val="21"/>
                <w:szCs w:val="18"/>
                <w:highlight w:val="none"/>
                <w:u w:val="none"/>
                <w:lang w:val="en-US" w:eastAsia="zh-CN"/>
              </w:rPr>
              <w:t>1</w:t>
            </w:r>
          </w:p>
        </w:tc>
        <w:tc>
          <w:tcPr>
            <w:tcW w:w="1667" w:type="pct"/>
            <w:tcBorders>
              <w:tl2br w:val="nil"/>
              <w:tr2bl w:val="nil"/>
            </w:tcBorders>
            <w:noWrap/>
            <w:vAlign w:val="center"/>
          </w:tcPr>
          <w:p w14:paraId="1CA98A73">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default" w:ascii="Times New Roman" w:hAnsi="Times New Roman" w:cs="Times New Roman"/>
                <w:b w:val="0"/>
                <w:bCs/>
                <w:color w:val="auto"/>
                <w:sz w:val="21"/>
                <w:szCs w:val="18"/>
                <w:highlight w:val="none"/>
                <w:u w:val="none"/>
                <w:lang w:val="en-US" w:eastAsia="zh-CN"/>
              </w:rPr>
              <w:t>TSP</w:t>
            </w:r>
          </w:p>
        </w:tc>
        <w:tc>
          <w:tcPr>
            <w:tcW w:w="1666" w:type="pct"/>
            <w:tcBorders>
              <w:tl2br w:val="nil"/>
              <w:tr2bl w:val="nil"/>
            </w:tcBorders>
            <w:noWrap/>
            <w:vAlign w:val="center"/>
          </w:tcPr>
          <w:p w14:paraId="65AF3C5D">
            <w:pPr>
              <w:autoSpaceDE/>
              <w:autoSpaceDN/>
              <w:spacing w:before="0" w:after="0" w:line="240" w:lineRule="auto"/>
              <w:ind w:left="0" w:firstLine="0"/>
              <w:jc w:val="center"/>
              <w:rPr>
                <w:rFonts w:hint="default" w:ascii="Times New Roman" w:hAnsi="Times New Roman" w:cs="Times New Roman"/>
                <w:b w:val="0"/>
                <w:bCs/>
                <w:color w:val="auto"/>
                <w:sz w:val="21"/>
                <w:szCs w:val="18"/>
                <w:highlight w:val="none"/>
                <w:u w:val="none"/>
                <w:lang w:val="en-US" w:eastAsia="zh-CN"/>
              </w:rPr>
            </w:pPr>
            <w:r>
              <w:rPr>
                <w:rFonts w:hint="default" w:ascii="Times New Roman" w:hAnsi="Times New Roman" w:cs="Times New Roman"/>
                <w:b w:val="0"/>
                <w:bCs/>
                <w:color w:val="auto"/>
                <w:sz w:val="21"/>
                <w:szCs w:val="18"/>
                <w:highlight w:val="none"/>
                <w:u w:val="none"/>
                <w:lang w:val="en-US" w:eastAsia="zh-CN"/>
              </w:rPr>
              <w:t>0.</w:t>
            </w:r>
            <w:r>
              <w:rPr>
                <w:rFonts w:hint="eastAsia" w:cs="Times New Roman"/>
                <w:b w:val="0"/>
                <w:bCs/>
                <w:color w:val="auto"/>
                <w:sz w:val="21"/>
                <w:szCs w:val="18"/>
                <w:highlight w:val="none"/>
                <w:u w:val="none"/>
                <w:lang w:val="en-US" w:eastAsia="zh-CN"/>
              </w:rPr>
              <w:t>1623</w:t>
            </w:r>
          </w:p>
        </w:tc>
      </w:tr>
    </w:tbl>
    <w:p w14:paraId="1610606F">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lang w:val="en-US" w:eastAsia="zh-CN"/>
        </w:rPr>
      </w:pPr>
      <w:r>
        <w:rPr>
          <w:rFonts w:hint="default" w:ascii="Times New Roman" w:hAnsi="Times New Roman" w:eastAsia="宋体" w:cs="Times New Roman"/>
          <w:b/>
          <w:bCs/>
          <w:sz w:val="24"/>
          <w:szCs w:val="16"/>
          <w:highlight w:val="none"/>
          <w:lang w:val="en-US" w:eastAsia="zh-CN"/>
        </w:rPr>
        <w:t>5.2.</w:t>
      </w:r>
      <w:r>
        <w:rPr>
          <w:rFonts w:hint="default" w:ascii="Times New Roman" w:hAnsi="Times New Roman" w:cs="Times New Roman"/>
          <w:b/>
          <w:bCs/>
          <w:sz w:val="24"/>
          <w:szCs w:val="16"/>
          <w:highlight w:val="none"/>
          <w:lang w:val="en-US" w:eastAsia="zh-CN"/>
        </w:rPr>
        <w:t>1.13</w:t>
      </w:r>
      <w:r>
        <w:rPr>
          <w:rFonts w:hint="eastAsia" w:cs="Times New Roman"/>
          <w:b/>
          <w:bCs/>
          <w:sz w:val="24"/>
          <w:szCs w:val="16"/>
          <w:highlight w:val="none"/>
          <w:lang w:val="en-US" w:eastAsia="zh-CN"/>
        </w:rPr>
        <w:t>评价小结</w:t>
      </w:r>
    </w:p>
    <w:p w14:paraId="71E134CF">
      <w:pPr>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default" w:ascii="Times New Roman" w:hAnsi="Times New Roman" w:cs="Times New Roman"/>
          <w:b w:val="0"/>
          <w:bCs w:val="0"/>
          <w:sz w:val="24"/>
          <w:u w:val="none"/>
        </w:rPr>
      </w:pPr>
      <w:r>
        <w:rPr>
          <w:rFonts w:hint="default" w:ascii="Times New Roman" w:hAnsi="Times New Roman" w:cs="Times New Roman"/>
          <w:b w:val="0"/>
          <w:bCs w:val="0"/>
          <w:sz w:val="24"/>
          <w:u w:val="none"/>
        </w:rPr>
        <w:t>环境影响预测与评价结果表明，在叠加现状浓度的环境影响后，</w:t>
      </w:r>
      <w:r>
        <w:rPr>
          <w:rFonts w:hint="eastAsia" w:cs="Times New Roman"/>
          <w:b w:val="0"/>
          <w:bCs w:val="0"/>
          <w:sz w:val="24"/>
          <w:u w:val="none"/>
          <w:lang w:val="en-US" w:eastAsia="zh-CN"/>
        </w:rPr>
        <w:t>本项目</w:t>
      </w:r>
      <w:r>
        <w:rPr>
          <w:rFonts w:hint="default" w:ascii="Times New Roman" w:hAnsi="Times New Roman" w:cs="Times New Roman"/>
          <w:b w:val="0"/>
          <w:bCs w:val="0"/>
          <w:sz w:val="24"/>
          <w:u w:val="none"/>
        </w:rPr>
        <w:t>主要污染物未超过环境质量浓度限值</w:t>
      </w:r>
      <w:r>
        <w:rPr>
          <w:rFonts w:hint="eastAsia" w:cs="Times New Roman"/>
          <w:b w:val="0"/>
          <w:bCs w:val="0"/>
          <w:sz w:val="24"/>
          <w:u w:val="none"/>
          <w:lang w:eastAsia="zh-CN"/>
        </w:rPr>
        <w:t>，</w:t>
      </w:r>
      <w:r>
        <w:rPr>
          <w:rFonts w:hint="default" w:ascii="Times New Roman" w:hAnsi="Times New Roman" w:cs="Times New Roman"/>
          <w:b w:val="0"/>
          <w:bCs w:val="0"/>
          <w:sz w:val="24"/>
          <w:u w:val="none"/>
        </w:rPr>
        <w:t>符合环境质量标准</w:t>
      </w:r>
      <w:r>
        <w:rPr>
          <w:rFonts w:hint="eastAsia" w:cs="Times New Roman"/>
          <w:b w:val="0"/>
          <w:bCs w:val="0"/>
          <w:sz w:val="24"/>
          <w:u w:val="none"/>
          <w:lang w:val="en-US" w:eastAsia="zh-CN"/>
        </w:rPr>
        <w:t>要求</w:t>
      </w:r>
      <w:r>
        <w:rPr>
          <w:rFonts w:hint="default" w:ascii="Times New Roman" w:hAnsi="Times New Roman" w:cs="Times New Roman"/>
          <w:b w:val="0"/>
          <w:bCs w:val="0"/>
          <w:sz w:val="24"/>
          <w:u w:val="none"/>
        </w:rPr>
        <w:t>，本项目的建设不会对周围环境空气造成明显影响。本项目大气环境影响评价自查表见表5</w:t>
      </w:r>
      <w:r>
        <w:rPr>
          <w:rFonts w:hint="default" w:ascii="Times New Roman" w:hAnsi="Times New Roman" w:cs="Times New Roman"/>
          <w:b w:val="0"/>
          <w:bCs w:val="0"/>
          <w:sz w:val="24"/>
          <w:u w:val="none"/>
          <w:lang w:val="en-US" w:eastAsia="zh-CN"/>
        </w:rPr>
        <w:t>.2-1</w:t>
      </w:r>
      <w:r>
        <w:rPr>
          <w:rFonts w:hint="eastAsia" w:cs="Times New Roman"/>
          <w:b w:val="0"/>
          <w:bCs w:val="0"/>
          <w:sz w:val="24"/>
          <w:u w:val="none"/>
          <w:lang w:val="en-US" w:eastAsia="zh-CN"/>
        </w:rPr>
        <w:t>5</w:t>
      </w:r>
      <w:r>
        <w:rPr>
          <w:rFonts w:hint="default" w:ascii="Times New Roman" w:hAnsi="Times New Roman" w:cs="Times New Roman"/>
          <w:b w:val="0"/>
          <w:bCs w:val="0"/>
          <w:sz w:val="24"/>
          <w:u w:val="none"/>
        </w:rPr>
        <w:t>。</w:t>
      </w:r>
    </w:p>
    <w:p w14:paraId="1EE521AD">
      <w:pPr>
        <w:jc w:val="center"/>
        <w:rPr>
          <w:rFonts w:hint="default" w:ascii="Times New Roman" w:hAnsi="Times New Roman" w:cs="Times New Roman"/>
          <w:b/>
          <w:bCs/>
          <w:sz w:val="24"/>
          <w:szCs w:val="24"/>
          <w:u w:val="none"/>
        </w:rPr>
      </w:pPr>
      <w:r>
        <w:rPr>
          <w:rFonts w:hint="default" w:ascii="Times New Roman" w:hAnsi="Times New Roman" w:cs="Times New Roman"/>
          <w:b/>
          <w:bCs/>
          <w:sz w:val="24"/>
          <w:szCs w:val="24"/>
          <w:u w:val="none"/>
        </w:rPr>
        <w:t>表5</w:t>
      </w:r>
      <w:r>
        <w:rPr>
          <w:rFonts w:hint="default" w:ascii="Times New Roman" w:hAnsi="Times New Roman" w:cs="Times New Roman"/>
          <w:b/>
          <w:bCs/>
          <w:sz w:val="24"/>
          <w:szCs w:val="24"/>
          <w:u w:val="none"/>
          <w:lang w:val="en-US" w:eastAsia="zh-CN"/>
        </w:rPr>
        <w:t>.2-1</w:t>
      </w:r>
      <w:r>
        <w:rPr>
          <w:rFonts w:hint="eastAsia" w:cs="Times New Roman"/>
          <w:b/>
          <w:bCs/>
          <w:sz w:val="24"/>
          <w:szCs w:val="24"/>
          <w:u w:val="none"/>
          <w:lang w:val="en-US" w:eastAsia="zh-CN"/>
        </w:rPr>
        <w:t>5</w:t>
      </w:r>
      <w:r>
        <w:rPr>
          <w:rFonts w:hint="default" w:ascii="Times New Roman" w:hAnsi="Times New Roman" w:cs="Times New Roman"/>
          <w:b/>
          <w:bCs/>
          <w:sz w:val="24"/>
          <w:szCs w:val="24"/>
          <w:u w:val="none"/>
        </w:rPr>
        <w:t xml:space="preserve"> 建设项目大气环境影响评价自查表</w:t>
      </w:r>
    </w:p>
    <w:tbl>
      <w:tblPr>
        <w:tblStyle w:val="39"/>
        <w:tblW w:w="4991"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6"/>
        <w:gridCol w:w="1601"/>
        <w:gridCol w:w="729"/>
        <w:gridCol w:w="347"/>
        <w:gridCol w:w="323"/>
        <w:gridCol w:w="783"/>
        <w:gridCol w:w="19"/>
        <w:gridCol w:w="61"/>
        <w:gridCol w:w="257"/>
        <w:gridCol w:w="489"/>
        <w:gridCol w:w="441"/>
        <w:gridCol w:w="245"/>
        <w:gridCol w:w="33"/>
        <w:gridCol w:w="12"/>
        <w:gridCol w:w="748"/>
        <w:gridCol w:w="147"/>
        <w:gridCol w:w="1"/>
        <w:gridCol w:w="155"/>
        <w:gridCol w:w="657"/>
        <w:gridCol w:w="774"/>
      </w:tblGrid>
      <w:tr w14:paraId="0A04A0C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1344" w:type="pct"/>
            <w:gridSpan w:val="2"/>
            <w:tcBorders>
              <w:tl2br w:val="nil"/>
              <w:tr2bl w:val="nil"/>
            </w:tcBorders>
            <w:noWrap/>
            <w:vAlign w:val="center"/>
          </w:tcPr>
          <w:p w14:paraId="78B3E208">
            <w:pPr>
              <w:autoSpaceDE/>
              <w:autoSpaceDN/>
              <w:adjustRightInd w:val="0"/>
              <w:snapToGrid w:val="0"/>
              <w:spacing w:before="0" w:after="0" w:line="240" w:lineRule="auto"/>
              <w:ind w:left="0" w:firstLine="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工作内容</w:t>
            </w:r>
          </w:p>
        </w:tc>
        <w:tc>
          <w:tcPr>
            <w:tcW w:w="3655" w:type="pct"/>
            <w:gridSpan w:val="18"/>
            <w:tcBorders>
              <w:tl2br w:val="nil"/>
              <w:tr2bl w:val="nil"/>
            </w:tcBorders>
            <w:noWrap/>
            <w:vAlign w:val="center"/>
          </w:tcPr>
          <w:p w14:paraId="36552F55">
            <w:pPr>
              <w:autoSpaceDE/>
              <w:autoSpaceDN/>
              <w:adjustRightInd w:val="0"/>
              <w:snapToGrid w:val="0"/>
              <w:spacing w:before="0" w:after="0" w:line="240" w:lineRule="auto"/>
              <w:ind w:left="0" w:firstLine="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自查项目</w:t>
            </w:r>
          </w:p>
        </w:tc>
      </w:tr>
      <w:tr w14:paraId="78072BD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restart"/>
            <w:tcBorders>
              <w:tl2br w:val="nil"/>
              <w:tr2bl w:val="nil"/>
            </w:tcBorders>
            <w:noWrap/>
            <w:vAlign w:val="center"/>
          </w:tcPr>
          <w:p w14:paraId="50EB153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评价等级与范围</w:t>
            </w:r>
          </w:p>
        </w:tc>
        <w:tc>
          <w:tcPr>
            <w:tcW w:w="940" w:type="pct"/>
            <w:tcBorders>
              <w:tl2br w:val="nil"/>
              <w:tr2bl w:val="nil"/>
            </w:tcBorders>
            <w:noWrap/>
            <w:vAlign w:val="center"/>
          </w:tcPr>
          <w:p w14:paraId="1372FCD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评价等级</w:t>
            </w:r>
          </w:p>
        </w:tc>
        <w:tc>
          <w:tcPr>
            <w:tcW w:w="1293" w:type="pct"/>
            <w:gridSpan w:val="5"/>
            <w:tcBorders>
              <w:tl2br w:val="nil"/>
              <w:tr2bl w:val="nil"/>
            </w:tcBorders>
            <w:noWrap/>
            <w:vAlign w:val="center"/>
          </w:tcPr>
          <w:p w14:paraId="539988B0">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一级</w:t>
            </w:r>
            <w:r>
              <w:rPr>
                <w:rFonts w:hint="default" w:ascii="Times New Roman" w:hAnsi="Times New Roman" w:cs="Times New Roman"/>
                <w:b w:val="0"/>
                <w:bCs w:val="0"/>
                <w:sz w:val="21"/>
                <w:szCs w:val="21"/>
                <w:u w:val="none"/>
              </w:rPr>
              <w:sym w:font="Wingdings 2" w:char="00A3"/>
            </w:r>
          </w:p>
        </w:tc>
        <w:tc>
          <w:tcPr>
            <w:tcW w:w="1343" w:type="pct"/>
            <w:gridSpan w:val="8"/>
            <w:tcBorders>
              <w:tl2br w:val="nil"/>
              <w:tr2bl w:val="nil"/>
            </w:tcBorders>
            <w:noWrap/>
            <w:vAlign w:val="center"/>
          </w:tcPr>
          <w:p w14:paraId="69F14DFE">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二级</w:t>
            </w:r>
            <w:r>
              <w:rPr>
                <w:rFonts w:hint="default" w:ascii="Times New Roman" w:hAnsi="Times New Roman" w:cs="Times New Roman"/>
                <w:b w:val="0"/>
                <w:bCs w:val="0"/>
                <w:sz w:val="21"/>
                <w:szCs w:val="21"/>
                <w:u w:val="none"/>
                <w:lang w:eastAsia="zh-CN"/>
              </w:rPr>
              <w:t>☑</w:t>
            </w:r>
          </w:p>
        </w:tc>
        <w:tc>
          <w:tcPr>
            <w:tcW w:w="1019" w:type="pct"/>
            <w:gridSpan w:val="5"/>
            <w:tcBorders>
              <w:tl2br w:val="nil"/>
              <w:tr2bl w:val="nil"/>
            </w:tcBorders>
            <w:noWrap/>
            <w:vAlign w:val="center"/>
          </w:tcPr>
          <w:p w14:paraId="33DEF2D7">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三级</w:t>
            </w:r>
            <w:r>
              <w:rPr>
                <w:rFonts w:hint="default" w:ascii="Times New Roman" w:hAnsi="Times New Roman" w:cs="Times New Roman"/>
                <w:b w:val="0"/>
                <w:bCs w:val="0"/>
                <w:sz w:val="21"/>
                <w:szCs w:val="21"/>
                <w:u w:val="none"/>
              </w:rPr>
              <w:fldChar w:fldCharType="begin"/>
            </w:r>
            <w:r>
              <w:rPr>
                <w:rFonts w:hint="default" w:ascii="Times New Roman" w:hAnsi="Times New Roman" w:cs="Times New Roman"/>
                <w:b w:val="0"/>
                <w:bCs w:val="0"/>
                <w:sz w:val="21"/>
                <w:szCs w:val="21"/>
                <w:u w:val="none"/>
              </w:rPr>
              <w:instrText xml:space="preserve"> eq \o\ac(</w:instrText>
            </w:r>
            <w:r>
              <w:rPr>
                <w:rFonts w:hint="default" w:ascii="Times New Roman" w:hAnsi="Times New Roman" w:cs="Times New Roman"/>
                <w:b w:val="0"/>
                <w:bCs w:val="0"/>
                <w:position w:val="-4"/>
                <w:sz w:val="31"/>
                <w:szCs w:val="21"/>
                <w:u w:val="none"/>
              </w:rPr>
              <w:instrText xml:space="preserve">□</w:instrText>
            </w:r>
            <w:r>
              <w:rPr>
                <w:rFonts w:hint="default" w:ascii="Times New Roman" w:hAnsi="Times New Roman" w:cs="Times New Roman"/>
                <w:b w:val="0"/>
                <w:bCs w:val="0"/>
                <w:position w:val="0"/>
                <w:sz w:val="21"/>
                <w:szCs w:val="21"/>
                <w:u w:val="none"/>
              </w:rPr>
              <w:instrText xml:space="preserve">)</w:instrText>
            </w:r>
            <w:r>
              <w:rPr>
                <w:rFonts w:hint="default" w:ascii="Times New Roman" w:hAnsi="Times New Roman" w:cs="Times New Roman"/>
                <w:b w:val="0"/>
                <w:bCs w:val="0"/>
                <w:sz w:val="21"/>
                <w:szCs w:val="21"/>
                <w:u w:val="none"/>
              </w:rPr>
              <w:fldChar w:fldCharType="end"/>
            </w:r>
          </w:p>
        </w:tc>
      </w:tr>
      <w:tr w14:paraId="12AB2B5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403" w:type="pct"/>
            <w:vMerge w:val="continue"/>
            <w:tcBorders>
              <w:tl2br w:val="nil"/>
              <w:tr2bl w:val="nil"/>
            </w:tcBorders>
            <w:noWrap/>
            <w:vAlign w:val="center"/>
          </w:tcPr>
          <w:p w14:paraId="4C053354">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16B44DFF">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评价范围</w:t>
            </w:r>
          </w:p>
        </w:tc>
        <w:tc>
          <w:tcPr>
            <w:tcW w:w="1293" w:type="pct"/>
            <w:gridSpan w:val="5"/>
            <w:tcBorders>
              <w:tl2br w:val="nil"/>
              <w:tr2bl w:val="nil"/>
            </w:tcBorders>
            <w:noWrap/>
            <w:vAlign w:val="center"/>
          </w:tcPr>
          <w:p w14:paraId="43946BA5">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边长=50km</w:t>
            </w:r>
            <w:r>
              <w:rPr>
                <w:rFonts w:hint="default" w:ascii="Times New Roman" w:hAnsi="Times New Roman" w:cs="Times New Roman"/>
                <w:b w:val="0"/>
                <w:bCs w:val="0"/>
                <w:sz w:val="21"/>
                <w:szCs w:val="21"/>
                <w:u w:val="none"/>
                <w:lang w:eastAsia="zh-CN"/>
              </w:rPr>
              <w:t>□</w:t>
            </w:r>
          </w:p>
        </w:tc>
        <w:tc>
          <w:tcPr>
            <w:tcW w:w="1343" w:type="pct"/>
            <w:gridSpan w:val="8"/>
            <w:tcBorders>
              <w:tl2br w:val="nil"/>
              <w:tr2bl w:val="nil"/>
            </w:tcBorders>
            <w:noWrap/>
            <w:vAlign w:val="center"/>
          </w:tcPr>
          <w:p w14:paraId="01EB2618">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边长5~50km□</w:t>
            </w:r>
          </w:p>
        </w:tc>
        <w:tc>
          <w:tcPr>
            <w:tcW w:w="1019" w:type="pct"/>
            <w:gridSpan w:val="5"/>
            <w:tcBorders>
              <w:tl2br w:val="nil"/>
              <w:tr2bl w:val="nil"/>
            </w:tcBorders>
            <w:noWrap/>
            <w:vAlign w:val="center"/>
          </w:tcPr>
          <w:p w14:paraId="6BD23992">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边长=5km</w:t>
            </w:r>
            <w:r>
              <w:rPr>
                <w:rFonts w:hint="default" w:ascii="Times New Roman" w:hAnsi="Times New Roman" w:cs="Times New Roman"/>
                <w:b w:val="0"/>
                <w:bCs w:val="0"/>
                <w:sz w:val="21"/>
                <w:szCs w:val="21"/>
                <w:u w:val="none"/>
                <w:lang w:eastAsia="zh-CN"/>
              </w:rPr>
              <w:t>☑</w:t>
            </w:r>
          </w:p>
        </w:tc>
      </w:tr>
      <w:tr w14:paraId="7691049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restart"/>
            <w:tcBorders>
              <w:tl2br w:val="nil"/>
              <w:tr2bl w:val="nil"/>
            </w:tcBorders>
            <w:noWrap/>
            <w:vAlign w:val="center"/>
          </w:tcPr>
          <w:p w14:paraId="6E5CA83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w:t>
            </w:r>
          </w:p>
          <w:p w14:paraId="08D7C00F">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因子</w:t>
            </w:r>
          </w:p>
        </w:tc>
        <w:tc>
          <w:tcPr>
            <w:tcW w:w="940" w:type="pct"/>
            <w:tcBorders>
              <w:tl2br w:val="nil"/>
              <w:tr2bl w:val="nil"/>
            </w:tcBorders>
            <w:noWrap/>
            <w:vAlign w:val="center"/>
          </w:tcPr>
          <w:p w14:paraId="52A69DD2">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SO</w:t>
            </w:r>
            <w:r>
              <w:rPr>
                <w:rFonts w:hint="default" w:ascii="Times New Roman" w:hAnsi="Times New Roman" w:cs="Times New Roman"/>
                <w:b w:val="0"/>
                <w:bCs w:val="0"/>
                <w:sz w:val="21"/>
                <w:szCs w:val="21"/>
                <w:u w:val="none"/>
                <w:vertAlign w:val="subscript"/>
              </w:rPr>
              <w:t>2</w:t>
            </w:r>
            <w:r>
              <w:rPr>
                <w:rFonts w:hint="default" w:ascii="Times New Roman" w:hAnsi="Times New Roman" w:cs="Times New Roman"/>
                <w:b w:val="0"/>
                <w:bCs w:val="0"/>
                <w:sz w:val="21"/>
                <w:szCs w:val="21"/>
                <w:u w:val="none"/>
              </w:rPr>
              <w:t>+NO</w:t>
            </w:r>
            <w:r>
              <w:rPr>
                <w:rFonts w:hint="default" w:ascii="Times New Roman" w:hAnsi="Times New Roman" w:cs="Times New Roman"/>
                <w:b w:val="0"/>
                <w:bCs w:val="0"/>
                <w:sz w:val="21"/>
                <w:szCs w:val="21"/>
                <w:u w:val="none"/>
                <w:vertAlign w:val="subscript"/>
              </w:rPr>
              <w:t>X</w:t>
            </w:r>
            <w:r>
              <w:rPr>
                <w:rFonts w:hint="default" w:ascii="Times New Roman" w:hAnsi="Times New Roman" w:cs="Times New Roman"/>
                <w:b w:val="0"/>
                <w:bCs w:val="0"/>
                <w:sz w:val="21"/>
                <w:szCs w:val="21"/>
                <w:u w:val="none"/>
              </w:rPr>
              <w:t>排放量</w:t>
            </w:r>
          </w:p>
        </w:tc>
        <w:tc>
          <w:tcPr>
            <w:tcW w:w="1293" w:type="pct"/>
            <w:gridSpan w:val="5"/>
            <w:tcBorders>
              <w:tl2br w:val="nil"/>
              <w:tr2bl w:val="nil"/>
            </w:tcBorders>
            <w:noWrap/>
            <w:vAlign w:val="center"/>
          </w:tcPr>
          <w:p w14:paraId="5CA5A0B7">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≥2000t/a□</w:t>
            </w:r>
          </w:p>
        </w:tc>
        <w:tc>
          <w:tcPr>
            <w:tcW w:w="1343" w:type="pct"/>
            <w:gridSpan w:val="8"/>
            <w:tcBorders>
              <w:tl2br w:val="nil"/>
              <w:tr2bl w:val="nil"/>
            </w:tcBorders>
            <w:noWrap/>
            <w:vAlign w:val="center"/>
          </w:tcPr>
          <w:p w14:paraId="3C253BC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500~2000t/a□</w:t>
            </w:r>
          </w:p>
        </w:tc>
        <w:tc>
          <w:tcPr>
            <w:tcW w:w="1019" w:type="pct"/>
            <w:gridSpan w:val="5"/>
            <w:tcBorders>
              <w:tl2br w:val="nil"/>
              <w:tr2bl w:val="nil"/>
            </w:tcBorders>
            <w:noWrap/>
            <w:vAlign w:val="center"/>
          </w:tcPr>
          <w:p w14:paraId="24706CA5">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＜500t/a</w:t>
            </w:r>
            <w:r>
              <w:rPr>
                <w:rFonts w:hint="default" w:ascii="Times New Roman" w:hAnsi="Times New Roman" w:cs="Times New Roman"/>
                <w:b w:val="0"/>
                <w:bCs w:val="0"/>
                <w:sz w:val="21"/>
                <w:szCs w:val="21"/>
                <w:u w:val="none"/>
                <w:lang w:eastAsia="zh-CN"/>
              </w:rPr>
              <w:t>☑</w:t>
            </w:r>
          </w:p>
        </w:tc>
      </w:tr>
      <w:tr w14:paraId="2C92707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23" w:hRule="atLeast"/>
        </w:trPr>
        <w:tc>
          <w:tcPr>
            <w:tcW w:w="403" w:type="pct"/>
            <w:vMerge w:val="continue"/>
            <w:tcBorders>
              <w:tl2br w:val="nil"/>
              <w:tr2bl w:val="nil"/>
            </w:tcBorders>
            <w:noWrap/>
            <w:vAlign w:val="center"/>
          </w:tcPr>
          <w:p w14:paraId="18194670">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6F6CC330">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评价因子</w:t>
            </w:r>
          </w:p>
        </w:tc>
        <w:tc>
          <w:tcPr>
            <w:tcW w:w="2170" w:type="pct"/>
            <w:gridSpan w:val="10"/>
            <w:tcBorders>
              <w:tl2br w:val="nil"/>
              <w:tr2bl w:val="nil"/>
            </w:tcBorders>
            <w:noWrap/>
            <w:vAlign w:val="center"/>
          </w:tcPr>
          <w:p w14:paraId="7986D52C">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highlight w:val="none"/>
                <w:u w:val="none"/>
              </w:rPr>
            </w:pPr>
            <w:r>
              <w:rPr>
                <w:rFonts w:hint="default" w:ascii="Times New Roman" w:hAnsi="Times New Roman" w:cs="Times New Roman"/>
                <w:b w:val="0"/>
                <w:bCs w:val="0"/>
                <w:sz w:val="21"/>
                <w:szCs w:val="21"/>
                <w:highlight w:val="none"/>
                <w:u w:val="none"/>
              </w:rPr>
              <w:t>基本污染物</w:t>
            </w:r>
            <w:r>
              <w:rPr>
                <w:rFonts w:hint="default" w:ascii="Times New Roman" w:hAnsi="Times New Roman" w:cs="Times New Roman"/>
                <w:b w:val="0"/>
                <w:bCs w:val="0"/>
                <w:spacing w:val="-10"/>
                <w:sz w:val="21"/>
                <w:szCs w:val="21"/>
                <w:highlight w:val="none"/>
                <w:u w:val="none"/>
              </w:rPr>
              <w:t>（SO</w:t>
            </w:r>
            <w:r>
              <w:rPr>
                <w:rFonts w:hint="default" w:ascii="Times New Roman" w:hAnsi="Times New Roman" w:cs="Times New Roman"/>
                <w:b w:val="0"/>
                <w:bCs w:val="0"/>
                <w:spacing w:val="-10"/>
                <w:sz w:val="21"/>
                <w:szCs w:val="21"/>
                <w:highlight w:val="none"/>
                <w:u w:val="none"/>
                <w:vertAlign w:val="subscript"/>
              </w:rPr>
              <w:t>2</w:t>
            </w:r>
            <w:r>
              <w:rPr>
                <w:rFonts w:hint="default" w:ascii="Times New Roman" w:hAnsi="Times New Roman" w:cs="Times New Roman"/>
                <w:b w:val="0"/>
                <w:bCs w:val="0"/>
                <w:spacing w:val="-10"/>
                <w:sz w:val="21"/>
                <w:szCs w:val="21"/>
                <w:highlight w:val="none"/>
                <w:u w:val="none"/>
              </w:rPr>
              <w:t>、NO</w:t>
            </w:r>
            <w:r>
              <w:rPr>
                <w:rFonts w:hint="default" w:ascii="Times New Roman" w:hAnsi="Times New Roman" w:cs="Times New Roman"/>
                <w:b w:val="0"/>
                <w:bCs w:val="0"/>
                <w:spacing w:val="-10"/>
                <w:sz w:val="21"/>
                <w:szCs w:val="21"/>
                <w:highlight w:val="none"/>
                <w:u w:val="none"/>
                <w:vertAlign w:val="subscript"/>
              </w:rPr>
              <w:t>2</w:t>
            </w:r>
            <w:r>
              <w:rPr>
                <w:rFonts w:hint="default" w:ascii="Times New Roman" w:hAnsi="Times New Roman" w:cs="Times New Roman"/>
                <w:b w:val="0"/>
                <w:bCs w:val="0"/>
                <w:spacing w:val="-10"/>
                <w:sz w:val="21"/>
                <w:szCs w:val="21"/>
                <w:highlight w:val="none"/>
                <w:u w:val="none"/>
              </w:rPr>
              <w:t>、PM</w:t>
            </w:r>
            <w:r>
              <w:rPr>
                <w:rFonts w:hint="default" w:ascii="Times New Roman" w:hAnsi="Times New Roman" w:cs="Times New Roman"/>
                <w:b w:val="0"/>
                <w:bCs w:val="0"/>
                <w:spacing w:val="-10"/>
                <w:sz w:val="21"/>
                <w:szCs w:val="21"/>
                <w:highlight w:val="none"/>
                <w:u w:val="none"/>
                <w:vertAlign w:val="subscript"/>
              </w:rPr>
              <w:t>10</w:t>
            </w:r>
            <w:r>
              <w:rPr>
                <w:rFonts w:hint="default" w:ascii="Times New Roman" w:hAnsi="Times New Roman" w:cs="Times New Roman"/>
                <w:b w:val="0"/>
                <w:bCs w:val="0"/>
                <w:spacing w:val="-10"/>
                <w:sz w:val="21"/>
                <w:szCs w:val="21"/>
                <w:highlight w:val="none"/>
                <w:u w:val="none"/>
              </w:rPr>
              <w:t>、PM</w:t>
            </w:r>
            <w:r>
              <w:rPr>
                <w:rFonts w:hint="default" w:ascii="Times New Roman" w:hAnsi="Times New Roman" w:cs="Times New Roman"/>
                <w:b w:val="0"/>
                <w:bCs w:val="0"/>
                <w:spacing w:val="-10"/>
                <w:sz w:val="21"/>
                <w:szCs w:val="21"/>
                <w:highlight w:val="none"/>
                <w:u w:val="none"/>
                <w:vertAlign w:val="subscript"/>
              </w:rPr>
              <w:t>2.5</w:t>
            </w:r>
            <w:r>
              <w:rPr>
                <w:rFonts w:hint="default" w:ascii="Times New Roman" w:hAnsi="Times New Roman" w:cs="Times New Roman"/>
                <w:b w:val="0"/>
                <w:bCs w:val="0"/>
                <w:spacing w:val="-10"/>
                <w:sz w:val="21"/>
                <w:szCs w:val="21"/>
                <w:highlight w:val="none"/>
                <w:u w:val="none"/>
              </w:rPr>
              <w:t>、CO、O</w:t>
            </w:r>
            <w:r>
              <w:rPr>
                <w:rFonts w:hint="default" w:ascii="Times New Roman" w:hAnsi="Times New Roman" w:cs="Times New Roman"/>
                <w:b w:val="0"/>
                <w:bCs w:val="0"/>
                <w:spacing w:val="-10"/>
                <w:sz w:val="21"/>
                <w:szCs w:val="21"/>
                <w:highlight w:val="none"/>
                <w:u w:val="none"/>
                <w:vertAlign w:val="subscript"/>
              </w:rPr>
              <w:t>3</w:t>
            </w:r>
            <w:r>
              <w:rPr>
                <w:rFonts w:hint="default" w:ascii="Times New Roman" w:hAnsi="Times New Roman" w:cs="Times New Roman"/>
                <w:b w:val="0"/>
                <w:bCs w:val="0"/>
                <w:spacing w:val="-10"/>
                <w:sz w:val="21"/>
                <w:szCs w:val="21"/>
                <w:highlight w:val="none"/>
                <w:u w:val="none"/>
              </w:rPr>
              <w:t>）</w:t>
            </w:r>
          </w:p>
          <w:p w14:paraId="4C78A71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highlight w:val="none"/>
                <w:u w:val="none"/>
              </w:rPr>
              <w:t>其他污染物（</w:t>
            </w:r>
            <w:r>
              <w:rPr>
                <w:rFonts w:hint="default" w:ascii="Times New Roman" w:hAnsi="Times New Roman" w:cs="Times New Roman"/>
                <w:b w:val="0"/>
                <w:bCs w:val="0"/>
                <w:sz w:val="21"/>
                <w:szCs w:val="21"/>
                <w:highlight w:val="none"/>
                <w:u w:val="none"/>
                <w:vertAlign w:val="baseline"/>
                <w:lang w:val="en-US" w:eastAsia="zh-CN"/>
              </w:rPr>
              <w:t>TSP</w:t>
            </w:r>
            <w:r>
              <w:rPr>
                <w:rFonts w:hint="default" w:ascii="Times New Roman" w:hAnsi="Times New Roman" w:cs="Times New Roman"/>
                <w:b w:val="0"/>
                <w:bCs w:val="0"/>
                <w:sz w:val="21"/>
                <w:szCs w:val="21"/>
                <w:highlight w:val="none"/>
                <w:u w:val="none"/>
              </w:rPr>
              <w:t>）</w:t>
            </w:r>
          </w:p>
        </w:tc>
        <w:tc>
          <w:tcPr>
            <w:tcW w:w="1485" w:type="pct"/>
            <w:gridSpan w:val="8"/>
            <w:tcBorders>
              <w:tl2br w:val="nil"/>
              <w:tr2bl w:val="nil"/>
            </w:tcBorders>
            <w:noWrap/>
            <w:vAlign w:val="center"/>
          </w:tcPr>
          <w:p w14:paraId="30304337">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包括二次PM</w:t>
            </w:r>
            <w:r>
              <w:rPr>
                <w:rFonts w:hint="default" w:ascii="Times New Roman" w:hAnsi="Times New Roman" w:cs="Times New Roman"/>
                <w:b w:val="0"/>
                <w:bCs w:val="0"/>
                <w:sz w:val="21"/>
                <w:szCs w:val="21"/>
                <w:u w:val="none"/>
                <w:vertAlign w:val="subscript"/>
              </w:rPr>
              <w:t>2.5</w:t>
            </w:r>
            <w:r>
              <w:rPr>
                <w:rFonts w:hint="default" w:ascii="Times New Roman" w:hAnsi="Times New Roman" w:cs="Times New Roman"/>
                <w:b w:val="0"/>
                <w:bCs w:val="0"/>
                <w:sz w:val="21"/>
                <w:szCs w:val="21"/>
                <w:u w:val="none"/>
              </w:rPr>
              <w:t>□</w:t>
            </w:r>
          </w:p>
          <w:p w14:paraId="095B69AF">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不包括二次PM</w:t>
            </w:r>
            <w:r>
              <w:rPr>
                <w:rFonts w:hint="default" w:ascii="Times New Roman" w:hAnsi="Times New Roman" w:cs="Times New Roman"/>
                <w:b w:val="0"/>
                <w:bCs w:val="0"/>
                <w:sz w:val="21"/>
                <w:szCs w:val="21"/>
                <w:u w:val="none"/>
                <w:vertAlign w:val="subscript"/>
              </w:rPr>
              <w:t>2.5</w:t>
            </w:r>
            <w:r>
              <w:rPr>
                <w:rFonts w:hint="default" w:ascii="Times New Roman" w:hAnsi="Times New Roman" w:cs="Times New Roman"/>
                <w:b w:val="0"/>
                <w:bCs w:val="0"/>
                <w:sz w:val="21"/>
                <w:szCs w:val="21"/>
                <w:u w:val="none"/>
                <w:lang w:eastAsia="zh-CN"/>
              </w:rPr>
              <w:t>☑</w:t>
            </w:r>
          </w:p>
        </w:tc>
      </w:tr>
      <w:tr w14:paraId="3181B3D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tcBorders>
              <w:tl2br w:val="nil"/>
              <w:tr2bl w:val="nil"/>
            </w:tcBorders>
            <w:noWrap/>
            <w:vAlign w:val="center"/>
          </w:tcPr>
          <w:p w14:paraId="0BAE9EC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评价标准</w:t>
            </w:r>
          </w:p>
        </w:tc>
        <w:tc>
          <w:tcPr>
            <w:tcW w:w="940" w:type="pct"/>
            <w:tcBorders>
              <w:tl2br w:val="nil"/>
              <w:tr2bl w:val="nil"/>
            </w:tcBorders>
            <w:noWrap/>
            <w:vAlign w:val="center"/>
          </w:tcPr>
          <w:p w14:paraId="4EECFECC">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评价标准</w:t>
            </w:r>
          </w:p>
        </w:tc>
        <w:tc>
          <w:tcPr>
            <w:tcW w:w="1293" w:type="pct"/>
            <w:gridSpan w:val="5"/>
            <w:tcBorders>
              <w:tl2br w:val="nil"/>
              <w:tr2bl w:val="nil"/>
            </w:tcBorders>
            <w:noWrap/>
            <w:vAlign w:val="center"/>
          </w:tcPr>
          <w:p w14:paraId="62E00BE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国家标准</w:t>
            </w:r>
            <w:r>
              <w:rPr>
                <w:rFonts w:hint="default" w:ascii="Times New Roman" w:hAnsi="Times New Roman" w:cs="Times New Roman"/>
                <w:b w:val="0"/>
                <w:bCs w:val="0"/>
                <w:sz w:val="21"/>
                <w:szCs w:val="21"/>
                <w:u w:val="none"/>
                <w:lang w:eastAsia="zh-CN"/>
              </w:rPr>
              <w:t>☑</w:t>
            </w:r>
          </w:p>
        </w:tc>
        <w:tc>
          <w:tcPr>
            <w:tcW w:w="903" w:type="pct"/>
            <w:gridSpan w:val="7"/>
            <w:tcBorders>
              <w:tl2br w:val="nil"/>
              <w:tr2bl w:val="nil"/>
            </w:tcBorders>
            <w:noWrap/>
            <w:vAlign w:val="center"/>
          </w:tcPr>
          <w:p w14:paraId="6DA38593">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地方标准</w:t>
            </w:r>
            <w:r>
              <w:rPr>
                <w:rFonts w:hint="default" w:ascii="Times New Roman" w:hAnsi="Times New Roman" w:cs="Times New Roman"/>
                <w:b w:val="0"/>
                <w:bCs w:val="0"/>
                <w:sz w:val="21"/>
                <w:szCs w:val="21"/>
                <w:u w:val="none"/>
              </w:rPr>
              <w:fldChar w:fldCharType="begin"/>
            </w:r>
            <w:r>
              <w:rPr>
                <w:rFonts w:hint="default" w:ascii="Times New Roman" w:hAnsi="Times New Roman" w:cs="Times New Roman"/>
                <w:b w:val="0"/>
                <w:bCs w:val="0"/>
                <w:sz w:val="21"/>
                <w:szCs w:val="21"/>
                <w:u w:val="none"/>
              </w:rPr>
              <w:instrText xml:space="preserve"> eq \o\ac(</w:instrText>
            </w:r>
            <w:r>
              <w:rPr>
                <w:rFonts w:hint="default" w:ascii="Times New Roman" w:hAnsi="Times New Roman" w:cs="Times New Roman"/>
                <w:b w:val="0"/>
                <w:bCs w:val="0"/>
                <w:position w:val="-4"/>
                <w:sz w:val="31"/>
                <w:szCs w:val="21"/>
                <w:u w:val="none"/>
              </w:rPr>
              <w:instrText xml:space="preserve">□</w:instrText>
            </w:r>
            <w:r>
              <w:rPr>
                <w:rFonts w:hint="default" w:ascii="Times New Roman" w:hAnsi="Times New Roman" w:cs="Times New Roman"/>
                <w:b w:val="0"/>
                <w:bCs w:val="0"/>
                <w:position w:val="0"/>
                <w:sz w:val="21"/>
                <w:szCs w:val="21"/>
                <w:u w:val="none"/>
              </w:rPr>
              <w:instrText xml:space="preserve">)</w:instrText>
            </w:r>
            <w:r>
              <w:rPr>
                <w:rFonts w:hint="default" w:ascii="Times New Roman" w:hAnsi="Times New Roman" w:cs="Times New Roman"/>
                <w:b w:val="0"/>
                <w:bCs w:val="0"/>
                <w:sz w:val="21"/>
                <w:szCs w:val="21"/>
                <w:u w:val="none"/>
              </w:rPr>
              <w:fldChar w:fldCharType="end"/>
            </w:r>
          </w:p>
        </w:tc>
        <w:tc>
          <w:tcPr>
            <w:tcW w:w="439" w:type="pct"/>
            <w:tcBorders>
              <w:tl2br w:val="nil"/>
              <w:tr2bl w:val="nil"/>
            </w:tcBorders>
            <w:noWrap/>
            <w:vAlign w:val="center"/>
          </w:tcPr>
          <w:p w14:paraId="72A063DC">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附录D</w:t>
            </w:r>
            <w:r>
              <w:rPr>
                <w:rFonts w:hint="default" w:ascii="Times New Roman" w:hAnsi="Times New Roman" w:cs="Times New Roman"/>
                <w:b w:val="0"/>
                <w:bCs w:val="0"/>
                <w:sz w:val="21"/>
                <w:szCs w:val="21"/>
                <w:u w:val="none"/>
              </w:rPr>
              <w:fldChar w:fldCharType="begin"/>
            </w:r>
            <w:r>
              <w:rPr>
                <w:rFonts w:hint="default" w:ascii="Times New Roman" w:hAnsi="Times New Roman" w:cs="Times New Roman"/>
                <w:b w:val="0"/>
                <w:bCs w:val="0"/>
                <w:sz w:val="21"/>
                <w:szCs w:val="21"/>
                <w:u w:val="none"/>
              </w:rPr>
              <w:instrText xml:space="preserve"> eq \o\ac(</w:instrText>
            </w:r>
            <w:r>
              <w:rPr>
                <w:rFonts w:hint="default" w:ascii="Times New Roman" w:hAnsi="Times New Roman" w:cs="Times New Roman"/>
                <w:b w:val="0"/>
                <w:bCs w:val="0"/>
                <w:position w:val="-4"/>
                <w:sz w:val="31"/>
                <w:szCs w:val="21"/>
                <w:u w:val="none"/>
              </w:rPr>
              <w:instrText xml:space="preserve">□</w:instrText>
            </w:r>
            <w:r>
              <w:rPr>
                <w:rFonts w:hint="default" w:ascii="Times New Roman" w:hAnsi="Times New Roman" w:cs="Times New Roman"/>
                <w:b w:val="0"/>
                <w:bCs w:val="0"/>
                <w:position w:val="0"/>
                <w:sz w:val="21"/>
                <w:szCs w:val="21"/>
                <w:u w:val="none"/>
                <w:lang w:eastAsia="zh-CN"/>
              </w:rPr>
              <w:instrText xml:space="preserve">,√</w:instrText>
            </w:r>
            <w:r>
              <w:rPr>
                <w:rFonts w:hint="default" w:ascii="Times New Roman" w:hAnsi="Times New Roman" w:cs="Times New Roman"/>
                <w:b w:val="0"/>
                <w:bCs w:val="0"/>
                <w:position w:val="0"/>
                <w:sz w:val="21"/>
                <w:szCs w:val="21"/>
                <w:u w:val="none"/>
              </w:rPr>
              <w:instrText xml:space="preserve">)</w:instrText>
            </w:r>
            <w:r>
              <w:rPr>
                <w:rFonts w:hint="default" w:ascii="Times New Roman" w:hAnsi="Times New Roman" w:cs="Times New Roman"/>
                <w:b w:val="0"/>
                <w:bCs w:val="0"/>
                <w:sz w:val="21"/>
                <w:szCs w:val="21"/>
                <w:u w:val="none"/>
              </w:rPr>
              <w:fldChar w:fldCharType="end"/>
            </w:r>
          </w:p>
        </w:tc>
        <w:tc>
          <w:tcPr>
            <w:tcW w:w="1019" w:type="pct"/>
            <w:gridSpan w:val="5"/>
            <w:tcBorders>
              <w:tl2br w:val="nil"/>
              <w:tr2bl w:val="nil"/>
            </w:tcBorders>
            <w:noWrap/>
            <w:vAlign w:val="center"/>
          </w:tcPr>
          <w:p w14:paraId="45A34F8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其他标准</w:t>
            </w:r>
            <w:r>
              <w:rPr>
                <w:rFonts w:hint="default" w:ascii="Times New Roman" w:hAnsi="Times New Roman" w:cs="Times New Roman"/>
                <w:b w:val="0"/>
                <w:bCs w:val="0"/>
                <w:sz w:val="21"/>
                <w:szCs w:val="21"/>
                <w:u w:val="none"/>
              </w:rPr>
              <w:sym w:font="Wingdings 2" w:char="00A3"/>
            </w:r>
          </w:p>
        </w:tc>
      </w:tr>
      <w:tr w14:paraId="1E83663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restart"/>
            <w:tcBorders>
              <w:tl2br w:val="nil"/>
              <w:tr2bl w:val="nil"/>
            </w:tcBorders>
            <w:noWrap/>
            <w:vAlign w:val="center"/>
          </w:tcPr>
          <w:p w14:paraId="6C4DAB4C">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现状</w:t>
            </w:r>
          </w:p>
          <w:p w14:paraId="7E2A1EC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w:t>
            </w:r>
          </w:p>
        </w:tc>
        <w:tc>
          <w:tcPr>
            <w:tcW w:w="940" w:type="pct"/>
            <w:tcBorders>
              <w:tl2br w:val="nil"/>
              <w:tr2bl w:val="nil"/>
            </w:tcBorders>
            <w:noWrap/>
            <w:vAlign w:val="center"/>
          </w:tcPr>
          <w:p w14:paraId="2858D602">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环境功能区</w:t>
            </w:r>
          </w:p>
        </w:tc>
        <w:tc>
          <w:tcPr>
            <w:tcW w:w="1293" w:type="pct"/>
            <w:gridSpan w:val="5"/>
            <w:tcBorders>
              <w:tl2br w:val="nil"/>
              <w:tr2bl w:val="nil"/>
            </w:tcBorders>
            <w:noWrap/>
            <w:vAlign w:val="center"/>
          </w:tcPr>
          <w:p w14:paraId="0FB20A8F">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一类区□</w:t>
            </w:r>
          </w:p>
        </w:tc>
        <w:tc>
          <w:tcPr>
            <w:tcW w:w="1343" w:type="pct"/>
            <w:gridSpan w:val="8"/>
            <w:tcBorders>
              <w:tl2br w:val="nil"/>
              <w:tr2bl w:val="nil"/>
            </w:tcBorders>
            <w:noWrap/>
            <w:vAlign w:val="center"/>
          </w:tcPr>
          <w:p w14:paraId="1FA8ADD5">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二类区</w:t>
            </w:r>
            <w:r>
              <w:rPr>
                <w:rFonts w:hint="default" w:ascii="Times New Roman" w:hAnsi="Times New Roman" w:cs="Times New Roman"/>
                <w:b w:val="0"/>
                <w:bCs w:val="0"/>
                <w:sz w:val="21"/>
                <w:szCs w:val="21"/>
                <w:u w:val="none"/>
                <w:lang w:eastAsia="zh-CN"/>
              </w:rPr>
              <w:t>☑</w:t>
            </w:r>
          </w:p>
        </w:tc>
        <w:tc>
          <w:tcPr>
            <w:tcW w:w="1019" w:type="pct"/>
            <w:gridSpan w:val="5"/>
            <w:tcBorders>
              <w:tl2br w:val="nil"/>
              <w:tr2bl w:val="nil"/>
            </w:tcBorders>
            <w:noWrap/>
            <w:vAlign w:val="center"/>
          </w:tcPr>
          <w:p w14:paraId="6B5FF5E9">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一类区和二类区</w:t>
            </w:r>
            <w:r>
              <w:rPr>
                <w:rFonts w:hint="default" w:ascii="Times New Roman" w:hAnsi="Times New Roman" w:cs="Times New Roman"/>
                <w:b w:val="0"/>
                <w:bCs w:val="0"/>
                <w:sz w:val="21"/>
                <w:szCs w:val="21"/>
                <w:u w:val="none"/>
                <w:lang w:eastAsia="zh-CN"/>
              </w:rPr>
              <w:t>□</w:t>
            </w:r>
          </w:p>
        </w:tc>
      </w:tr>
      <w:tr w14:paraId="63C6E0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1F44D0DE">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2C31180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评价基准年</w:t>
            </w:r>
          </w:p>
        </w:tc>
        <w:tc>
          <w:tcPr>
            <w:tcW w:w="3655" w:type="pct"/>
            <w:gridSpan w:val="18"/>
            <w:tcBorders>
              <w:tl2br w:val="nil"/>
              <w:tr2bl w:val="nil"/>
            </w:tcBorders>
            <w:noWrap/>
            <w:vAlign w:val="center"/>
          </w:tcPr>
          <w:p w14:paraId="30FDCDCA">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（202</w:t>
            </w:r>
            <w:r>
              <w:rPr>
                <w:rFonts w:hint="default" w:ascii="Times New Roman" w:hAnsi="Times New Roman" w:cs="Times New Roman"/>
                <w:b w:val="0"/>
                <w:bCs w:val="0"/>
                <w:sz w:val="21"/>
                <w:szCs w:val="21"/>
                <w:u w:val="none"/>
                <w:lang w:val="en-US" w:eastAsia="zh-CN"/>
              </w:rPr>
              <w:t>3</w:t>
            </w:r>
            <w:r>
              <w:rPr>
                <w:rFonts w:hint="default" w:ascii="Times New Roman" w:hAnsi="Times New Roman" w:cs="Times New Roman"/>
                <w:b w:val="0"/>
                <w:bCs w:val="0"/>
                <w:sz w:val="21"/>
                <w:szCs w:val="21"/>
                <w:u w:val="none"/>
              </w:rPr>
              <w:t>）年</w:t>
            </w:r>
          </w:p>
        </w:tc>
      </w:tr>
      <w:tr w14:paraId="2A0845B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4BA1AEA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4BBE61C3">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环境空气质量现状调查数据来源</w:t>
            </w:r>
          </w:p>
        </w:tc>
        <w:tc>
          <w:tcPr>
            <w:tcW w:w="1282" w:type="pct"/>
            <w:gridSpan w:val="4"/>
            <w:tcBorders>
              <w:tl2br w:val="nil"/>
              <w:tr2bl w:val="nil"/>
            </w:tcBorders>
            <w:noWrap/>
            <w:vAlign w:val="center"/>
          </w:tcPr>
          <w:p w14:paraId="74165D7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长期例行监测数据□</w:t>
            </w:r>
          </w:p>
        </w:tc>
        <w:tc>
          <w:tcPr>
            <w:tcW w:w="1354" w:type="pct"/>
            <w:gridSpan w:val="9"/>
            <w:tcBorders>
              <w:tl2br w:val="nil"/>
              <w:tr2bl w:val="nil"/>
            </w:tcBorders>
            <w:noWrap/>
            <w:vAlign w:val="center"/>
          </w:tcPr>
          <w:p w14:paraId="52CEA87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主管部门发布的数据</w:t>
            </w:r>
            <w:r>
              <w:rPr>
                <w:rFonts w:hint="default" w:ascii="Times New Roman" w:hAnsi="Times New Roman" w:cs="Times New Roman"/>
                <w:b w:val="0"/>
                <w:bCs w:val="0"/>
                <w:sz w:val="21"/>
                <w:szCs w:val="21"/>
                <w:u w:val="none"/>
                <w:lang w:eastAsia="zh-CN"/>
              </w:rPr>
              <w:t>☑</w:t>
            </w:r>
          </w:p>
        </w:tc>
        <w:tc>
          <w:tcPr>
            <w:tcW w:w="1019" w:type="pct"/>
            <w:gridSpan w:val="5"/>
            <w:tcBorders>
              <w:tl2br w:val="nil"/>
              <w:tr2bl w:val="nil"/>
            </w:tcBorders>
            <w:noWrap/>
            <w:vAlign w:val="center"/>
          </w:tcPr>
          <w:p w14:paraId="6E4F2C24">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现状补充监测</w:t>
            </w:r>
            <w:r>
              <w:rPr>
                <w:rFonts w:hint="default" w:ascii="Times New Roman" w:hAnsi="Times New Roman" w:cs="Times New Roman"/>
                <w:b w:val="0"/>
                <w:bCs w:val="0"/>
                <w:sz w:val="21"/>
                <w:szCs w:val="21"/>
                <w:u w:val="none"/>
                <w:lang w:eastAsia="zh-CN"/>
              </w:rPr>
              <w:t>☑</w:t>
            </w:r>
          </w:p>
        </w:tc>
      </w:tr>
      <w:tr w14:paraId="6D0272F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24861F28">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367201D5">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现状评价</w:t>
            </w:r>
          </w:p>
        </w:tc>
        <w:tc>
          <w:tcPr>
            <w:tcW w:w="2190" w:type="pct"/>
            <w:gridSpan w:val="11"/>
            <w:tcBorders>
              <w:tl2br w:val="nil"/>
              <w:tr2bl w:val="nil"/>
            </w:tcBorders>
            <w:noWrap/>
            <w:vAlign w:val="center"/>
          </w:tcPr>
          <w:p w14:paraId="6944BA61">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达标区□</w:t>
            </w:r>
          </w:p>
        </w:tc>
        <w:tc>
          <w:tcPr>
            <w:tcW w:w="1465" w:type="pct"/>
            <w:gridSpan w:val="7"/>
            <w:tcBorders>
              <w:tl2br w:val="nil"/>
              <w:tr2bl w:val="nil"/>
            </w:tcBorders>
            <w:noWrap/>
            <w:vAlign w:val="center"/>
          </w:tcPr>
          <w:p w14:paraId="6D5BE07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不达标区</w:t>
            </w:r>
            <w:r>
              <w:rPr>
                <w:rFonts w:hint="default" w:ascii="Times New Roman" w:hAnsi="Times New Roman" w:cs="Times New Roman"/>
                <w:b w:val="0"/>
                <w:bCs w:val="0"/>
                <w:sz w:val="21"/>
                <w:szCs w:val="21"/>
                <w:u w:val="none"/>
                <w:lang w:eastAsia="zh-CN"/>
              </w:rPr>
              <w:t>☑</w:t>
            </w:r>
          </w:p>
        </w:tc>
      </w:tr>
      <w:tr w14:paraId="5D3AB8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tcBorders>
              <w:tl2br w:val="nil"/>
              <w:tr2bl w:val="nil"/>
            </w:tcBorders>
            <w:noWrap/>
            <w:vAlign w:val="center"/>
          </w:tcPr>
          <w:p w14:paraId="5774FD77">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污染源调查</w:t>
            </w:r>
          </w:p>
        </w:tc>
        <w:tc>
          <w:tcPr>
            <w:tcW w:w="940" w:type="pct"/>
            <w:tcBorders>
              <w:tl2br w:val="nil"/>
              <w:tr2bl w:val="nil"/>
            </w:tcBorders>
            <w:noWrap/>
            <w:vAlign w:val="center"/>
          </w:tcPr>
          <w:p w14:paraId="46B6C75A">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调查内容</w:t>
            </w:r>
          </w:p>
        </w:tc>
        <w:tc>
          <w:tcPr>
            <w:tcW w:w="1282" w:type="pct"/>
            <w:gridSpan w:val="4"/>
            <w:tcBorders>
              <w:tl2br w:val="nil"/>
              <w:tr2bl w:val="nil"/>
            </w:tcBorders>
            <w:noWrap/>
            <w:vAlign w:val="center"/>
          </w:tcPr>
          <w:p w14:paraId="405C6170">
            <w:pPr>
              <w:autoSpaceDE/>
              <w:autoSpaceDN/>
              <w:adjustRightInd w:val="0"/>
              <w:snapToGrid w:val="0"/>
              <w:spacing w:before="0" w:after="0" w:line="240" w:lineRule="auto"/>
              <w:ind w:left="0" w:firstLine="0"/>
              <w:jc w:val="left"/>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本项目正常排放源</w:t>
            </w:r>
            <w:r>
              <w:rPr>
                <w:rFonts w:hint="default" w:ascii="Times New Roman" w:hAnsi="Times New Roman" w:cs="Times New Roman"/>
                <w:b w:val="0"/>
                <w:bCs w:val="0"/>
                <w:sz w:val="21"/>
                <w:szCs w:val="21"/>
                <w:u w:val="none"/>
                <w:lang w:eastAsia="zh-CN"/>
              </w:rPr>
              <w:t>☑</w:t>
            </w:r>
          </w:p>
          <w:p w14:paraId="7C95C753">
            <w:pPr>
              <w:autoSpaceDE/>
              <w:autoSpaceDN/>
              <w:adjustRightInd w:val="0"/>
              <w:snapToGrid w:val="0"/>
              <w:spacing w:before="0" w:after="0" w:line="240" w:lineRule="auto"/>
              <w:ind w:left="0" w:firstLine="0"/>
              <w:jc w:val="left"/>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本项目非正常排放源☑</w:t>
            </w:r>
          </w:p>
          <w:p w14:paraId="47D2F6D7">
            <w:pPr>
              <w:autoSpaceDE/>
              <w:autoSpaceDN/>
              <w:adjustRightInd w:val="0"/>
              <w:snapToGrid w:val="0"/>
              <w:spacing w:before="0" w:after="0" w:line="240" w:lineRule="auto"/>
              <w:ind w:left="0" w:firstLine="0"/>
              <w:jc w:val="left"/>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现有污染源</w:t>
            </w:r>
            <w:r>
              <w:rPr>
                <w:rFonts w:hint="default" w:ascii="Times New Roman" w:hAnsi="Times New Roman" w:cs="Times New Roman"/>
                <w:b w:val="0"/>
                <w:bCs w:val="0"/>
                <w:sz w:val="21"/>
                <w:szCs w:val="21"/>
                <w:u w:val="none"/>
                <w:lang w:eastAsia="zh-CN"/>
              </w:rPr>
              <w:t>☑</w:t>
            </w:r>
          </w:p>
        </w:tc>
        <w:tc>
          <w:tcPr>
            <w:tcW w:w="907" w:type="pct"/>
            <w:gridSpan w:val="7"/>
            <w:tcBorders>
              <w:tl2br w:val="nil"/>
              <w:tr2bl w:val="nil"/>
            </w:tcBorders>
            <w:noWrap/>
            <w:vAlign w:val="center"/>
          </w:tcPr>
          <w:p w14:paraId="2E53A2B7">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拟替代的污染源</w:t>
            </w:r>
            <w:r>
              <w:rPr>
                <w:rFonts w:hint="default" w:ascii="Times New Roman" w:hAnsi="Times New Roman" w:cs="Times New Roman"/>
                <w:b w:val="0"/>
                <w:bCs w:val="0"/>
                <w:sz w:val="21"/>
                <w:szCs w:val="21"/>
                <w:u w:val="none"/>
                <w:lang w:eastAsia="zh-CN"/>
              </w:rPr>
              <w:t>□</w:t>
            </w:r>
          </w:p>
        </w:tc>
        <w:tc>
          <w:tcPr>
            <w:tcW w:w="1010" w:type="pct"/>
            <w:gridSpan w:val="6"/>
            <w:tcBorders>
              <w:tl2br w:val="nil"/>
              <w:tr2bl w:val="nil"/>
            </w:tcBorders>
            <w:noWrap/>
            <w:vAlign w:val="center"/>
          </w:tcPr>
          <w:p w14:paraId="76D0DEDC">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其他在建、拟建项目污染源</w:t>
            </w:r>
            <w:r>
              <w:rPr>
                <w:rFonts w:hint="default" w:ascii="Times New Roman" w:hAnsi="Times New Roman" w:cs="Times New Roman"/>
                <w:b w:val="0"/>
                <w:bCs w:val="0"/>
                <w:sz w:val="21"/>
                <w:szCs w:val="21"/>
                <w:u w:val="none"/>
                <w:lang w:eastAsia="zh-CN"/>
              </w:rPr>
              <w:t>□</w:t>
            </w:r>
          </w:p>
        </w:tc>
        <w:tc>
          <w:tcPr>
            <w:tcW w:w="454" w:type="pct"/>
            <w:tcBorders>
              <w:tl2br w:val="nil"/>
              <w:tr2bl w:val="nil"/>
            </w:tcBorders>
            <w:noWrap/>
            <w:vAlign w:val="center"/>
          </w:tcPr>
          <w:p w14:paraId="7A78EDBB">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区域污染源</w:t>
            </w:r>
            <w:r>
              <w:rPr>
                <w:rFonts w:hint="default" w:ascii="Times New Roman" w:hAnsi="Times New Roman" w:cs="Times New Roman"/>
                <w:b w:val="0"/>
                <w:bCs w:val="0"/>
                <w:sz w:val="21"/>
                <w:szCs w:val="21"/>
                <w:u w:val="none"/>
                <w:lang w:eastAsia="zh-CN"/>
              </w:rPr>
              <w:t>□</w:t>
            </w:r>
          </w:p>
        </w:tc>
      </w:tr>
      <w:tr w14:paraId="1053F14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restart"/>
            <w:tcBorders>
              <w:tl2br w:val="nil"/>
              <w:tr2bl w:val="nil"/>
            </w:tcBorders>
            <w:noWrap/>
            <w:vAlign w:val="center"/>
          </w:tcPr>
          <w:p w14:paraId="6591A6B9">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大气环境影响预测与评价</w:t>
            </w:r>
          </w:p>
        </w:tc>
        <w:tc>
          <w:tcPr>
            <w:tcW w:w="940" w:type="pct"/>
            <w:tcBorders>
              <w:tl2br w:val="nil"/>
              <w:tr2bl w:val="nil"/>
            </w:tcBorders>
            <w:noWrap/>
            <w:vAlign w:val="center"/>
          </w:tcPr>
          <w:p w14:paraId="4E0AA309">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预测模型</w:t>
            </w:r>
          </w:p>
        </w:tc>
        <w:tc>
          <w:tcPr>
            <w:tcW w:w="428" w:type="pct"/>
            <w:tcBorders>
              <w:tl2br w:val="nil"/>
              <w:tr2bl w:val="nil"/>
            </w:tcBorders>
            <w:noWrap/>
            <w:vAlign w:val="center"/>
          </w:tcPr>
          <w:p w14:paraId="58BA7C75">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AERMOD</w:t>
            </w:r>
            <w:r>
              <w:rPr>
                <w:rFonts w:hint="default" w:ascii="Times New Roman" w:hAnsi="Times New Roman" w:cs="Times New Roman"/>
                <w:b w:val="0"/>
                <w:bCs w:val="0"/>
                <w:sz w:val="21"/>
                <w:szCs w:val="21"/>
                <w:u w:val="none"/>
              </w:rPr>
              <w:sym w:font="Wingdings 2" w:char="00A3"/>
            </w:r>
          </w:p>
        </w:tc>
        <w:tc>
          <w:tcPr>
            <w:tcW w:w="393" w:type="pct"/>
            <w:gridSpan w:val="2"/>
            <w:tcBorders>
              <w:tl2br w:val="nil"/>
              <w:tr2bl w:val="nil"/>
            </w:tcBorders>
            <w:noWrap/>
            <w:vAlign w:val="center"/>
          </w:tcPr>
          <w:p w14:paraId="048E3F43">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ADMS</w:t>
            </w:r>
            <w:r>
              <w:rPr>
                <w:rFonts w:hint="default" w:ascii="Times New Roman" w:hAnsi="Times New Roman" w:cs="Times New Roman"/>
                <w:b w:val="0"/>
                <w:bCs w:val="0"/>
                <w:sz w:val="21"/>
                <w:szCs w:val="21"/>
                <w:u w:val="none"/>
                <w:lang w:eastAsia="zh-CN"/>
              </w:rPr>
              <w:t>□</w:t>
            </w:r>
          </w:p>
        </w:tc>
        <w:tc>
          <w:tcPr>
            <w:tcW w:w="460" w:type="pct"/>
            <w:tcBorders>
              <w:tl2br w:val="nil"/>
              <w:tr2bl w:val="nil"/>
            </w:tcBorders>
            <w:noWrap/>
            <w:vAlign w:val="center"/>
          </w:tcPr>
          <w:p w14:paraId="56A5FB63">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AUSTAL2000</w:t>
            </w:r>
            <w:r>
              <w:rPr>
                <w:rFonts w:hint="default" w:ascii="Times New Roman" w:hAnsi="Times New Roman" w:cs="Times New Roman"/>
                <w:b w:val="0"/>
                <w:bCs w:val="0"/>
                <w:sz w:val="21"/>
                <w:szCs w:val="21"/>
                <w:u w:val="none"/>
                <w:lang w:eastAsia="zh-CN"/>
              </w:rPr>
              <w:t>□</w:t>
            </w:r>
          </w:p>
        </w:tc>
        <w:tc>
          <w:tcPr>
            <w:tcW w:w="907" w:type="pct"/>
            <w:gridSpan w:val="7"/>
            <w:tcBorders>
              <w:tl2br w:val="nil"/>
              <w:tr2bl w:val="nil"/>
            </w:tcBorders>
            <w:noWrap/>
            <w:vAlign w:val="center"/>
          </w:tcPr>
          <w:p w14:paraId="285EC7D3">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EDMS/AEDT</w:t>
            </w:r>
            <w:r>
              <w:rPr>
                <w:rFonts w:hint="default" w:ascii="Times New Roman" w:hAnsi="Times New Roman" w:cs="Times New Roman"/>
                <w:b w:val="0"/>
                <w:bCs w:val="0"/>
                <w:sz w:val="21"/>
                <w:szCs w:val="21"/>
                <w:u w:val="none"/>
                <w:lang w:eastAsia="zh-CN"/>
              </w:rPr>
              <w:t>□</w:t>
            </w:r>
          </w:p>
        </w:tc>
        <w:tc>
          <w:tcPr>
            <w:tcW w:w="533" w:type="pct"/>
            <w:gridSpan w:val="4"/>
            <w:tcBorders>
              <w:tl2br w:val="nil"/>
              <w:tr2bl w:val="nil"/>
            </w:tcBorders>
            <w:noWrap/>
            <w:vAlign w:val="center"/>
          </w:tcPr>
          <w:p w14:paraId="6FE9F6F3">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CALPUFF</w:t>
            </w:r>
            <w:r>
              <w:rPr>
                <w:rFonts w:hint="default" w:ascii="Times New Roman" w:hAnsi="Times New Roman" w:cs="Times New Roman"/>
                <w:b w:val="0"/>
                <w:bCs w:val="0"/>
                <w:sz w:val="21"/>
                <w:szCs w:val="21"/>
                <w:u w:val="none"/>
                <w:lang w:eastAsia="zh-CN"/>
              </w:rPr>
              <w:t>□</w:t>
            </w:r>
          </w:p>
        </w:tc>
        <w:tc>
          <w:tcPr>
            <w:tcW w:w="477" w:type="pct"/>
            <w:gridSpan w:val="2"/>
            <w:tcBorders>
              <w:tl2br w:val="nil"/>
              <w:tr2bl w:val="nil"/>
            </w:tcBorders>
            <w:noWrap/>
            <w:vAlign w:val="center"/>
          </w:tcPr>
          <w:p w14:paraId="7EA5B09A">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网络模型</w:t>
            </w:r>
            <w:r>
              <w:rPr>
                <w:rFonts w:hint="default" w:ascii="Times New Roman" w:hAnsi="Times New Roman" w:cs="Times New Roman"/>
                <w:b w:val="0"/>
                <w:bCs w:val="0"/>
                <w:sz w:val="21"/>
                <w:szCs w:val="21"/>
                <w:u w:val="none"/>
                <w:lang w:eastAsia="zh-CN"/>
              </w:rPr>
              <w:t>□</w:t>
            </w:r>
          </w:p>
        </w:tc>
        <w:tc>
          <w:tcPr>
            <w:tcW w:w="454" w:type="pct"/>
            <w:tcBorders>
              <w:tl2br w:val="nil"/>
              <w:tr2bl w:val="nil"/>
            </w:tcBorders>
            <w:noWrap/>
            <w:vAlign w:val="center"/>
          </w:tcPr>
          <w:p w14:paraId="35903E01">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其他</w:t>
            </w:r>
            <w:r>
              <w:rPr>
                <w:rFonts w:hint="default" w:ascii="Times New Roman" w:hAnsi="Times New Roman" w:cs="Times New Roman"/>
                <w:b w:val="0"/>
                <w:bCs w:val="0"/>
                <w:sz w:val="21"/>
                <w:szCs w:val="21"/>
                <w:u w:val="none"/>
                <w:lang w:eastAsia="zh-CN"/>
              </w:rPr>
              <w:t>□</w:t>
            </w:r>
          </w:p>
        </w:tc>
      </w:tr>
      <w:tr w14:paraId="299FFD8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76AB214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3BE0A2B2">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预测范围</w:t>
            </w:r>
          </w:p>
        </w:tc>
        <w:tc>
          <w:tcPr>
            <w:tcW w:w="1282" w:type="pct"/>
            <w:gridSpan w:val="4"/>
            <w:tcBorders>
              <w:tl2br w:val="nil"/>
              <w:tr2bl w:val="nil"/>
            </w:tcBorders>
            <w:noWrap/>
            <w:vAlign w:val="center"/>
          </w:tcPr>
          <w:p w14:paraId="106E7650">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边长≥50km</w:t>
            </w:r>
            <w:r>
              <w:rPr>
                <w:rFonts w:hint="default" w:ascii="Times New Roman" w:hAnsi="Times New Roman" w:cs="Times New Roman"/>
                <w:b w:val="0"/>
                <w:bCs w:val="0"/>
                <w:sz w:val="21"/>
                <w:szCs w:val="21"/>
                <w:u w:val="none"/>
                <w:lang w:eastAsia="zh-CN"/>
              </w:rPr>
              <w:t>□</w:t>
            </w:r>
          </w:p>
        </w:tc>
        <w:tc>
          <w:tcPr>
            <w:tcW w:w="1441" w:type="pct"/>
            <w:gridSpan w:val="11"/>
            <w:tcBorders>
              <w:tl2br w:val="nil"/>
              <w:tr2bl w:val="nil"/>
            </w:tcBorders>
            <w:noWrap/>
            <w:vAlign w:val="center"/>
          </w:tcPr>
          <w:p w14:paraId="0AF95D1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边长5~50km□</w:t>
            </w:r>
          </w:p>
        </w:tc>
        <w:tc>
          <w:tcPr>
            <w:tcW w:w="932" w:type="pct"/>
            <w:gridSpan w:val="3"/>
            <w:tcBorders>
              <w:tl2br w:val="nil"/>
              <w:tr2bl w:val="nil"/>
            </w:tcBorders>
            <w:noWrap/>
            <w:vAlign w:val="center"/>
          </w:tcPr>
          <w:p w14:paraId="3BB5C537">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边长=5km</w:t>
            </w:r>
            <w:r>
              <w:rPr>
                <w:rFonts w:hint="default" w:ascii="Times New Roman" w:hAnsi="Times New Roman" w:cs="Times New Roman"/>
                <w:b w:val="0"/>
                <w:bCs w:val="0"/>
                <w:sz w:val="21"/>
                <w:szCs w:val="21"/>
                <w:u w:val="none"/>
              </w:rPr>
              <w:sym w:font="Wingdings 2" w:char="0052"/>
            </w:r>
          </w:p>
        </w:tc>
      </w:tr>
      <w:tr w14:paraId="739EC03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0FF28DB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25274217">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预测因子</w:t>
            </w:r>
          </w:p>
        </w:tc>
        <w:tc>
          <w:tcPr>
            <w:tcW w:w="2197" w:type="pct"/>
            <w:gridSpan w:val="12"/>
            <w:tcBorders>
              <w:tl2br w:val="nil"/>
              <w:tr2bl w:val="nil"/>
            </w:tcBorders>
            <w:noWrap/>
            <w:vAlign w:val="center"/>
          </w:tcPr>
          <w:p w14:paraId="5AD3D84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预测因子（</w:t>
            </w:r>
            <w:r>
              <w:rPr>
                <w:rFonts w:hint="default" w:ascii="Times New Roman" w:hAnsi="Times New Roman" w:cs="Times New Roman"/>
                <w:b w:val="0"/>
                <w:bCs w:val="0"/>
                <w:sz w:val="21"/>
                <w:szCs w:val="21"/>
                <w:u w:val="none"/>
                <w:lang w:val="en-US" w:eastAsia="zh-CN"/>
              </w:rPr>
              <w:t>/</w:t>
            </w:r>
            <w:r>
              <w:rPr>
                <w:rFonts w:hint="default" w:ascii="Times New Roman" w:hAnsi="Times New Roman" w:cs="Times New Roman"/>
                <w:b w:val="0"/>
                <w:bCs w:val="0"/>
                <w:sz w:val="21"/>
                <w:szCs w:val="21"/>
                <w:u w:val="none"/>
              </w:rPr>
              <w:t>）</w:t>
            </w:r>
          </w:p>
        </w:tc>
        <w:tc>
          <w:tcPr>
            <w:tcW w:w="1458" w:type="pct"/>
            <w:gridSpan w:val="6"/>
            <w:tcBorders>
              <w:tl2br w:val="nil"/>
              <w:tr2bl w:val="nil"/>
            </w:tcBorders>
            <w:noWrap/>
            <w:vAlign w:val="center"/>
          </w:tcPr>
          <w:p w14:paraId="4C0955B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包括二次PM</w:t>
            </w:r>
            <w:r>
              <w:rPr>
                <w:rFonts w:hint="default" w:ascii="Times New Roman" w:hAnsi="Times New Roman" w:cs="Times New Roman"/>
                <w:b w:val="0"/>
                <w:bCs w:val="0"/>
                <w:sz w:val="21"/>
                <w:szCs w:val="21"/>
                <w:u w:val="none"/>
                <w:vertAlign w:val="subscript"/>
              </w:rPr>
              <w:t>2.5</w:t>
            </w:r>
            <w:r>
              <w:rPr>
                <w:rFonts w:hint="default" w:ascii="Times New Roman" w:hAnsi="Times New Roman" w:cs="Times New Roman"/>
                <w:b w:val="0"/>
                <w:bCs w:val="0"/>
                <w:sz w:val="21"/>
                <w:szCs w:val="21"/>
                <w:u w:val="none"/>
              </w:rPr>
              <w:t>□</w:t>
            </w:r>
          </w:p>
          <w:p w14:paraId="300878B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不包括二次PM</w:t>
            </w:r>
            <w:r>
              <w:rPr>
                <w:rFonts w:hint="default" w:ascii="Times New Roman" w:hAnsi="Times New Roman" w:cs="Times New Roman"/>
                <w:b w:val="0"/>
                <w:bCs w:val="0"/>
                <w:sz w:val="21"/>
                <w:szCs w:val="21"/>
                <w:u w:val="none"/>
                <w:vertAlign w:val="subscript"/>
              </w:rPr>
              <w:t>2.5</w:t>
            </w:r>
            <w:r>
              <w:rPr>
                <w:rFonts w:hint="default" w:ascii="Times New Roman" w:hAnsi="Times New Roman" w:cs="Times New Roman"/>
                <w:b w:val="0"/>
                <w:bCs w:val="0"/>
                <w:sz w:val="21"/>
                <w:szCs w:val="21"/>
                <w:u w:val="none"/>
                <w:lang w:eastAsia="zh-CN"/>
              </w:rPr>
              <w:t>☑</w:t>
            </w:r>
          </w:p>
        </w:tc>
      </w:tr>
      <w:tr w14:paraId="6291CDD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3FA8E862">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47BA842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正常排放短期浓度贡献值</w:t>
            </w:r>
          </w:p>
        </w:tc>
        <w:tc>
          <w:tcPr>
            <w:tcW w:w="2197" w:type="pct"/>
            <w:gridSpan w:val="12"/>
            <w:tcBorders>
              <w:tl2br w:val="nil"/>
              <w:tr2bl w:val="nil"/>
            </w:tcBorders>
            <w:noWrap/>
            <w:vAlign w:val="center"/>
          </w:tcPr>
          <w:p w14:paraId="0334ED8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本项目</w:t>
            </w:r>
            <w:r>
              <w:rPr>
                <w:rFonts w:hint="default" w:ascii="Times New Roman" w:hAnsi="Times New Roman" w:cs="Times New Roman"/>
                <w:b w:val="0"/>
                <w:bCs w:val="0"/>
                <w:sz w:val="21"/>
                <w:szCs w:val="21"/>
                <w:u w:val="none"/>
              </w:rPr>
              <w:t>最大占标率≤100%</w:t>
            </w:r>
            <w:r>
              <w:rPr>
                <w:rFonts w:hint="default" w:ascii="Times New Roman" w:hAnsi="Times New Roman" w:cs="Times New Roman"/>
                <w:b w:val="0"/>
                <w:bCs w:val="0"/>
                <w:sz w:val="21"/>
                <w:szCs w:val="21"/>
                <w:u w:val="none"/>
              </w:rPr>
              <w:sym w:font="Wingdings 2" w:char="0052"/>
            </w:r>
          </w:p>
        </w:tc>
        <w:tc>
          <w:tcPr>
            <w:tcW w:w="1458" w:type="pct"/>
            <w:gridSpan w:val="6"/>
            <w:tcBorders>
              <w:tl2br w:val="nil"/>
              <w:tr2bl w:val="nil"/>
            </w:tcBorders>
            <w:noWrap/>
            <w:vAlign w:val="center"/>
          </w:tcPr>
          <w:p w14:paraId="2D001160">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本项目</w:t>
            </w:r>
            <w:r>
              <w:rPr>
                <w:rFonts w:hint="default" w:ascii="Times New Roman" w:hAnsi="Times New Roman" w:cs="Times New Roman"/>
                <w:b w:val="0"/>
                <w:bCs w:val="0"/>
                <w:sz w:val="21"/>
                <w:szCs w:val="21"/>
                <w:u w:val="none"/>
              </w:rPr>
              <w:t>最大占标率＞100%</w:t>
            </w:r>
            <w:r>
              <w:rPr>
                <w:rFonts w:hint="default" w:ascii="Times New Roman" w:hAnsi="Times New Roman" w:cs="Times New Roman"/>
                <w:b w:val="0"/>
                <w:bCs w:val="0"/>
                <w:sz w:val="21"/>
                <w:szCs w:val="21"/>
                <w:u w:val="none"/>
                <w:lang w:eastAsia="zh-CN"/>
              </w:rPr>
              <w:t>□</w:t>
            </w:r>
          </w:p>
        </w:tc>
      </w:tr>
      <w:tr w14:paraId="63CC93F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6758DD2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vMerge w:val="restart"/>
            <w:tcBorders>
              <w:tl2br w:val="nil"/>
              <w:tr2bl w:val="nil"/>
            </w:tcBorders>
            <w:noWrap/>
            <w:vAlign w:val="center"/>
          </w:tcPr>
          <w:p w14:paraId="69A797CC">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正常排放年均浓度贡献值</w:t>
            </w:r>
          </w:p>
        </w:tc>
        <w:tc>
          <w:tcPr>
            <w:tcW w:w="822" w:type="pct"/>
            <w:gridSpan w:val="3"/>
            <w:tcBorders>
              <w:tl2br w:val="nil"/>
              <w:tr2bl w:val="nil"/>
            </w:tcBorders>
            <w:noWrap/>
            <w:vAlign w:val="center"/>
          </w:tcPr>
          <w:p w14:paraId="348D9207">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一类区</w:t>
            </w:r>
          </w:p>
        </w:tc>
        <w:tc>
          <w:tcPr>
            <w:tcW w:w="1375" w:type="pct"/>
            <w:gridSpan w:val="9"/>
            <w:tcBorders>
              <w:tl2br w:val="nil"/>
              <w:tr2bl w:val="nil"/>
            </w:tcBorders>
            <w:noWrap/>
            <w:vAlign w:val="center"/>
          </w:tcPr>
          <w:p w14:paraId="1C5B3F2A">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本项目</w:t>
            </w:r>
            <w:r>
              <w:rPr>
                <w:rFonts w:hint="default" w:ascii="Times New Roman" w:hAnsi="Times New Roman" w:cs="Times New Roman"/>
                <w:b w:val="0"/>
                <w:bCs w:val="0"/>
                <w:sz w:val="21"/>
                <w:szCs w:val="21"/>
                <w:u w:val="none"/>
              </w:rPr>
              <w:t>最大占标率≤10%</w:t>
            </w:r>
            <w:r>
              <w:rPr>
                <w:rFonts w:hint="default" w:ascii="Times New Roman" w:hAnsi="Times New Roman" w:cs="Times New Roman"/>
                <w:b w:val="0"/>
                <w:bCs w:val="0"/>
                <w:sz w:val="21"/>
                <w:szCs w:val="21"/>
                <w:u w:val="none"/>
                <w:lang w:eastAsia="zh-CN"/>
              </w:rPr>
              <w:t>□</w:t>
            </w:r>
          </w:p>
        </w:tc>
        <w:tc>
          <w:tcPr>
            <w:tcW w:w="1458" w:type="pct"/>
            <w:gridSpan w:val="6"/>
            <w:tcBorders>
              <w:tl2br w:val="nil"/>
              <w:tr2bl w:val="nil"/>
            </w:tcBorders>
            <w:noWrap/>
            <w:vAlign w:val="center"/>
          </w:tcPr>
          <w:p w14:paraId="2D467804">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本项目</w:t>
            </w:r>
            <w:r>
              <w:rPr>
                <w:rFonts w:hint="default" w:ascii="Times New Roman" w:hAnsi="Times New Roman" w:cs="Times New Roman"/>
                <w:b w:val="0"/>
                <w:bCs w:val="0"/>
                <w:sz w:val="21"/>
                <w:szCs w:val="21"/>
                <w:u w:val="none"/>
              </w:rPr>
              <w:t>最大占标率＞10%</w:t>
            </w:r>
            <w:r>
              <w:rPr>
                <w:rFonts w:hint="default" w:ascii="Times New Roman" w:hAnsi="Times New Roman" w:cs="Times New Roman"/>
                <w:b w:val="0"/>
                <w:bCs w:val="0"/>
                <w:sz w:val="21"/>
                <w:szCs w:val="21"/>
                <w:u w:val="none"/>
                <w:lang w:eastAsia="zh-CN"/>
              </w:rPr>
              <w:t>□</w:t>
            </w:r>
          </w:p>
        </w:tc>
      </w:tr>
      <w:tr w14:paraId="7B9DFDA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15DCA7D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vMerge w:val="continue"/>
            <w:tcBorders>
              <w:tl2br w:val="nil"/>
              <w:tr2bl w:val="nil"/>
            </w:tcBorders>
            <w:noWrap/>
            <w:vAlign w:val="center"/>
          </w:tcPr>
          <w:p w14:paraId="70D60FE8">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822" w:type="pct"/>
            <w:gridSpan w:val="3"/>
            <w:tcBorders>
              <w:tl2br w:val="nil"/>
              <w:tr2bl w:val="nil"/>
            </w:tcBorders>
            <w:noWrap/>
            <w:vAlign w:val="center"/>
          </w:tcPr>
          <w:p w14:paraId="467FDAE8">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二类区</w:t>
            </w:r>
          </w:p>
        </w:tc>
        <w:tc>
          <w:tcPr>
            <w:tcW w:w="1375" w:type="pct"/>
            <w:gridSpan w:val="9"/>
            <w:tcBorders>
              <w:tl2br w:val="nil"/>
              <w:tr2bl w:val="nil"/>
            </w:tcBorders>
            <w:noWrap/>
            <w:vAlign w:val="center"/>
          </w:tcPr>
          <w:p w14:paraId="4C44860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本项目</w:t>
            </w:r>
            <w:r>
              <w:rPr>
                <w:rFonts w:hint="default" w:ascii="Times New Roman" w:hAnsi="Times New Roman" w:cs="Times New Roman"/>
                <w:b w:val="0"/>
                <w:bCs w:val="0"/>
                <w:sz w:val="21"/>
                <w:szCs w:val="21"/>
                <w:u w:val="none"/>
              </w:rPr>
              <w:t>最大占标率≤30%</w:t>
            </w:r>
            <w:r>
              <w:rPr>
                <w:rFonts w:hint="default" w:ascii="Times New Roman" w:hAnsi="Times New Roman" w:cs="Times New Roman"/>
                <w:b w:val="0"/>
                <w:bCs w:val="0"/>
                <w:sz w:val="21"/>
                <w:szCs w:val="21"/>
                <w:u w:val="none"/>
              </w:rPr>
              <w:sym w:font="Wingdings 2" w:char="0052"/>
            </w:r>
          </w:p>
        </w:tc>
        <w:tc>
          <w:tcPr>
            <w:tcW w:w="1458" w:type="pct"/>
            <w:gridSpan w:val="6"/>
            <w:tcBorders>
              <w:tl2br w:val="nil"/>
              <w:tr2bl w:val="nil"/>
            </w:tcBorders>
            <w:noWrap/>
            <w:vAlign w:val="center"/>
          </w:tcPr>
          <w:p w14:paraId="7F95DEE4">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本项目</w:t>
            </w:r>
            <w:r>
              <w:rPr>
                <w:rFonts w:hint="default" w:ascii="Times New Roman" w:hAnsi="Times New Roman" w:cs="Times New Roman"/>
                <w:b w:val="0"/>
                <w:bCs w:val="0"/>
                <w:sz w:val="21"/>
                <w:szCs w:val="21"/>
                <w:u w:val="none"/>
              </w:rPr>
              <w:t>最大占标率＞30%</w:t>
            </w:r>
            <w:r>
              <w:rPr>
                <w:rFonts w:hint="default" w:ascii="Times New Roman" w:hAnsi="Times New Roman" w:cs="Times New Roman"/>
                <w:b w:val="0"/>
                <w:bCs w:val="0"/>
                <w:sz w:val="21"/>
                <w:szCs w:val="21"/>
                <w:u w:val="none"/>
                <w:lang w:eastAsia="zh-CN"/>
              </w:rPr>
              <w:t>□☑</w:t>
            </w:r>
          </w:p>
        </w:tc>
      </w:tr>
      <w:tr w14:paraId="10EE2C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028517E5">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6FEB8648">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非正常排放1h浓度贡献值</w:t>
            </w:r>
          </w:p>
        </w:tc>
        <w:tc>
          <w:tcPr>
            <w:tcW w:w="822" w:type="pct"/>
            <w:gridSpan w:val="3"/>
            <w:tcBorders>
              <w:tl2br w:val="nil"/>
              <w:tr2bl w:val="nil"/>
            </w:tcBorders>
            <w:noWrap/>
            <w:vAlign w:val="center"/>
          </w:tcPr>
          <w:p w14:paraId="4C36E8D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非正常持续时长（</w:t>
            </w:r>
            <w:r>
              <w:rPr>
                <w:rFonts w:hint="default" w:ascii="Times New Roman" w:hAnsi="Times New Roman" w:cs="Times New Roman"/>
                <w:b w:val="0"/>
                <w:bCs w:val="0"/>
                <w:sz w:val="21"/>
                <w:szCs w:val="21"/>
                <w:u w:val="none"/>
                <w:lang w:val="en-US" w:eastAsia="zh-CN"/>
              </w:rPr>
              <w:t>1</w:t>
            </w:r>
            <w:r>
              <w:rPr>
                <w:rFonts w:hint="default" w:ascii="Times New Roman" w:hAnsi="Times New Roman" w:cs="Times New Roman"/>
                <w:b w:val="0"/>
                <w:bCs w:val="0"/>
                <w:sz w:val="21"/>
                <w:szCs w:val="21"/>
                <w:u w:val="none"/>
              </w:rPr>
              <w:t>）h</w:t>
            </w:r>
          </w:p>
        </w:tc>
        <w:tc>
          <w:tcPr>
            <w:tcW w:w="1375" w:type="pct"/>
            <w:gridSpan w:val="9"/>
            <w:tcBorders>
              <w:tl2br w:val="nil"/>
              <w:tr2bl w:val="nil"/>
            </w:tcBorders>
            <w:noWrap/>
            <w:vAlign w:val="center"/>
          </w:tcPr>
          <w:p w14:paraId="7086B5CA">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非正常</w:t>
            </w:r>
            <w:r>
              <w:rPr>
                <w:rFonts w:hint="default" w:ascii="Times New Roman" w:hAnsi="Times New Roman" w:cs="Times New Roman"/>
                <w:b w:val="0"/>
                <w:bCs w:val="0"/>
                <w:sz w:val="21"/>
                <w:szCs w:val="21"/>
                <w:u w:val="none"/>
              </w:rPr>
              <w:t>占标率≤30%</w:t>
            </w:r>
            <w:r>
              <w:rPr>
                <w:rFonts w:hint="default" w:ascii="Times New Roman" w:hAnsi="Times New Roman" w:cs="Times New Roman"/>
                <w:b w:val="0"/>
                <w:bCs w:val="0"/>
                <w:sz w:val="21"/>
                <w:szCs w:val="21"/>
                <w:u w:val="none"/>
                <w:lang w:eastAsia="zh-CN"/>
              </w:rPr>
              <w:t>☑</w:t>
            </w:r>
          </w:p>
        </w:tc>
        <w:tc>
          <w:tcPr>
            <w:tcW w:w="1458" w:type="pct"/>
            <w:gridSpan w:val="6"/>
            <w:tcBorders>
              <w:tl2br w:val="nil"/>
              <w:tr2bl w:val="nil"/>
            </w:tcBorders>
            <w:noWrap/>
            <w:vAlign w:val="center"/>
          </w:tcPr>
          <w:p w14:paraId="4997753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非正常</w:t>
            </w:r>
            <w:r>
              <w:rPr>
                <w:rFonts w:hint="default" w:ascii="Times New Roman" w:hAnsi="Times New Roman" w:cs="Times New Roman"/>
                <w:b w:val="0"/>
                <w:bCs w:val="0"/>
                <w:sz w:val="21"/>
                <w:szCs w:val="21"/>
                <w:u w:val="none"/>
              </w:rPr>
              <w:t>占标率＞30%</w:t>
            </w:r>
            <w:r>
              <w:rPr>
                <w:rFonts w:hint="default" w:ascii="Times New Roman" w:hAnsi="Times New Roman" w:cs="Times New Roman"/>
                <w:b w:val="0"/>
                <w:bCs w:val="0"/>
                <w:sz w:val="21"/>
                <w:szCs w:val="21"/>
                <w:u w:val="none"/>
              </w:rPr>
              <w:sym w:font="Wingdings 2" w:char="00A3"/>
            </w:r>
          </w:p>
        </w:tc>
      </w:tr>
      <w:tr w14:paraId="2E0DDDC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0826111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0C73C1B1">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保证率日平均浓度和年平均浓度叠加值</w:t>
            </w:r>
          </w:p>
        </w:tc>
        <w:tc>
          <w:tcPr>
            <w:tcW w:w="1767" w:type="pct"/>
            <w:gridSpan w:val="8"/>
            <w:tcBorders>
              <w:tl2br w:val="nil"/>
              <w:tr2bl w:val="nil"/>
            </w:tcBorders>
            <w:noWrap/>
            <w:vAlign w:val="center"/>
          </w:tcPr>
          <w:p w14:paraId="3305DA61">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叠加</w:t>
            </w:r>
            <w:r>
              <w:rPr>
                <w:rFonts w:hint="default" w:ascii="Times New Roman" w:hAnsi="Times New Roman" w:cs="Times New Roman"/>
                <w:b w:val="0"/>
                <w:bCs w:val="0"/>
                <w:sz w:val="21"/>
                <w:szCs w:val="21"/>
                <w:u w:val="none"/>
              </w:rPr>
              <w:t>达标</w:t>
            </w:r>
            <w:r>
              <w:rPr>
                <w:rFonts w:hint="default" w:ascii="Times New Roman" w:hAnsi="Times New Roman" w:cs="Times New Roman"/>
                <w:b w:val="0"/>
                <w:bCs w:val="0"/>
                <w:sz w:val="21"/>
                <w:szCs w:val="21"/>
                <w:u w:val="none"/>
              </w:rPr>
              <w:sym w:font="Wingdings 2" w:char="0052"/>
            </w:r>
          </w:p>
        </w:tc>
        <w:tc>
          <w:tcPr>
            <w:tcW w:w="1888" w:type="pct"/>
            <w:gridSpan w:val="10"/>
            <w:tcBorders>
              <w:tl2br w:val="nil"/>
              <w:tr2bl w:val="nil"/>
            </w:tcBorders>
            <w:noWrap/>
            <w:vAlign w:val="center"/>
          </w:tcPr>
          <w:p w14:paraId="330661CC">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i/>
                <w:sz w:val="21"/>
                <w:szCs w:val="21"/>
                <w:u w:val="none"/>
              </w:rPr>
              <w:t>C</w:t>
            </w:r>
            <w:r>
              <w:rPr>
                <w:rFonts w:hint="default" w:ascii="Times New Roman" w:hAnsi="Times New Roman" w:cs="Times New Roman"/>
                <w:b w:val="0"/>
                <w:bCs w:val="0"/>
                <w:sz w:val="21"/>
                <w:szCs w:val="21"/>
                <w:u w:val="none"/>
                <w:vertAlign w:val="subscript"/>
              </w:rPr>
              <w:t>叠加</w:t>
            </w:r>
            <w:r>
              <w:rPr>
                <w:rFonts w:hint="default" w:ascii="Times New Roman" w:hAnsi="Times New Roman" w:cs="Times New Roman"/>
                <w:b w:val="0"/>
                <w:bCs w:val="0"/>
                <w:sz w:val="21"/>
                <w:szCs w:val="21"/>
                <w:u w:val="none"/>
              </w:rPr>
              <w:t>不达标</w:t>
            </w:r>
            <w:r>
              <w:rPr>
                <w:rFonts w:hint="default" w:ascii="Times New Roman" w:hAnsi="Times New Roman" w:cs="Times New Roman"/>
                <w:b w:val="0"/>
                <w:bCs w:val="0"/>
                <w:sz w:val="21"/>
                <w:szCs w:val="21"/>
                <w:u w:val="none"/>
                <w:lang w:eastAsia="zh-CN"/>
              </w:rPr>
              <w:t>□</w:t>
            </w:r>
          </w:p>
        </w:tc>
      </w:tr>
      <w:tr w14:paraId="2CFB69C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3BDD0763">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76E7076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区域环境质量的整体变化情况</w:t>
            </w:r>
          </w:p>
        </w:tc>
        <w:tc>
          <w:tcPr>
            <w:tcW w:w="1767" w:type="pct"/>
            <w:gridSpan w:val="8"/>
            <w:tcBorders>
              <w:tl2br w:val="nil"/>
              <w:tr2bl w:val="nil"/>
            </w:tcBorders>
            <w:noWrap/>
            <w:vAlign w:val="center"/>
          </w:tcPr>
          <w:p w14:paraId="2ACCB4AC">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k≤-20%</w:t>
            </w:r>
            <w:r>
              <w:rPr>
                <w:rFonts w:hint="default" w:ascii="Times New Roman" w:hAnsi="Times New Roman" w:cs="Times New Roman"/>
                <w:b w:val="0"/>
                <w:bCs w:val="0"/>
                <w:sz w:val="21"/>
                <w:szCs w:val="21"/>
                <w:u w:val="none"/>
                <w:lang w:eastAsia="zh-CN"/>
              </w:rPr>
              <w:t>□</w:t>
            </w:r>
          </w:p>
        </w:tc>
        <w:tc>
          <w:tcPr>
            <w:tcW w:w="1888" w:type="pct"/>
            <w:gridSpan w:val="10"/>
            <w:tcBorders>
              <w:tl2br w:val="nil"/>
              <w:tr2bl w:val="nil"/>
            </w:tcBorders>
            <w:noWrap/>
            <w:vAlign w:val="center"/>
          </w:tcPr>
          <w:p w14:paraId="4CA771D5">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K＞-20%</w:t>
            </w:r>
            <w:r>
              <w:rPr>
                <w:rFonts w:hint="default" w:ascii="Times New Roman" w:hAnsi="Times New Roman" w:cs="Times New Roman"/>
                <w:b w:val="0"/>
                <w:bCs w:val="0"/>
                <w:sz w:val="21"/>
                <w:szCs w:val="21"/>
                <w:u w:val="none"/>
                <w:lang w:eastAsia="zh-CN"/>
              </w:rPr>
              <w:t>□</w:t>
            </w:r>
          </w:p>
        </w:tc>
      </w:tr>
      <w:tr w14:paraId="7309FB5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restart"/>
            <w:tcBorders>
              <w:tl2br w:val="nil"/>
              <w:tr2bl w:val="nil"/>
            </w:tcBorders>
            <w:noWrap/>
            <w:vAlign w:val="center"/>
          </w:tcPr>
          <w:p w14:paraId="28F6D8DD">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环境监测计划</w:t>
            </w:r>
          </w:p>
        </w:tc>
        <w:tc>
          <w:tcPr>
            <w:tcW w:w="940" w:type="pct"/>
            <w:tcBorders>
              <w:tl2br w:val="nil"/>
              <w:tr2bl w:val="nil"/>
            </w:tcBorders>
            <w:noWrap/>
            <w:vAlign w:val="center"/>
          </w:tcPr>
          <w:p w14:paraId="0006C17A">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污染源监测</w:t>
            </w:r>
          </w:p>
        </w:tc>
        <w:tc>
          <w:tcPr>
            <w:tcW w:w="1480" w:type="pct"/>
            <w:gridSpan w:val="7"/>
            <w:tcBorders>
              <w:tl2br w:val="nil"/>
              <w:tr2bl w:val="nil"/>
            </w:tcBorders>
            <w:noWrap/>
            <w:vAlign w:val="center"/>
          </w:tcPr>
          <w:p w14:paraId="31F2CDD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监测因子：（</w:t>
            </w:r>
            <w:r>
              <w:rPr>
                <w:rFonts w:hint="default" w:ascii="Times New Roman" w:hAnsi="Times New Roman" w:cs="Times New Roman"/>
                <w:b w:val="0"/>
                <w:bCs w:val="0"/>
                <w:sz w:val="21"/>
                <w:szCs w:val="21"/>
                <w:u w:val="none"/>
                <w:vertAlign w:val="baseline"/>
                <w:lang w:val="en-US" w:eastAsia="zh-CN"/>
              </w:rPr>
              <w:t>TSP</w:t>
            </w:r>
            <w:r>
              <w:rPr>
                <w:rFonts w:hint="default" w:ascii="Times New Roman" w:hAnsi="Times New Roman" w:cs="Times New Roman"/>
                <w:b w:val="0"/>
                <w:bCs w:val="0"/>
                <w:sz w:val="21"/>
                <w:szCs w:val="21"/>
                <w:u w:val="none"/>
              </w:rPr>
              <w:t>）</w:t>
            </w:r>
          </w:p>
        </w:tc>
        <w:tc>
          <w:tcPr>
            <w:tcW w:w="1334" w:type="pct"/>
            <w:gridSpan w:val="9"/>
            <w:tcBorders>
              <w:tl2br w:val="nil"/>
              <w:tr2bl w:val="nil"/>
            </w:tcBorders>
            <w:noWrap/>
            <w:vAlign w:val="center"/>
          </w:tcPr>
          <w:p w14:paraId="564B2569">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有组织废气监测</w:t>
            </w:r>
            <w:r>
              <w:rPr>
                <w:rFonts w:hint="default" w:ascii="Times New Roman" w:hAnsi="Times New Roman" w:cs="Times New Roman"/>
                <w:b w:val="0"/>
                <w:bCs w:val="0"/>
                <w:sz w:val="21"/>
                <w:szCs w:val="21"/>
                <w:u w:val="none"/>
                <w:lang w:eastAsia="zh-CN"/>
              </w:rPr>
              <w:t>☑</w:t>
            </w:r>
          </w:p>
          <w:p w14:paraId="55E70B13">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无组织废气监测</w:t>
            </w:r>
            <w:r>
              <w:rPr>
                <w:rFonts w:hint="eastAsia" w:cs="Times New Roman"/>
                <w:b w:val="0"/>
                <w:bCs w:val="0"/>
                <w:sz w:val="21"/>
                <w:szCs w:val="21"/>
                <w:u w:val="none"/>
                <w:lang w:eastAsia="zh-CN"/>
              </w:rPr>
              <w:t>□</w:t>
            </w:r>
          </w:p>
        </w:tc>
        <w:tc>
          <w:tcPr>
            <w:tcW w:w="840" w:type="pct"/>
            <w:gridSpan w:val="2"/>
            <w:tcBorders>
              <w:tl2br w:val="nil"/>
              <w:tr2bl w:val="nil"/>
            </w:tcBorders>
            <w:noWrap/>
            <w:vAlign w:val="center"/>
          </w:tcPr>
          <w:p w14:paraId="305D5FB9">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无监测</w:t>
            </w:r>
            <w:r>
              <w:rPr>
                <w:rFonts w:hint="default" w:ascii="Times New Roman" w:hAnsi="Times New Roman" w:cs="Times New Roman"/>
                <w:b w:val="0"/>
                <w:bCs w:val="0"/>
                <w:sz w:val="21"/>
                <w:szCs w:val="21"/>
                <w:u w:val="none"/>
                <w:lang w:eastAsia="zh-CN"/>
              </w:rPr>
              <w:t>□</w:t>
            </w:r>
          </w:p>
        </w:tc>
      </w:tr>
      <w:tr w14:paraId="69C1893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3FA60E7C">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151647D2">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环境质量监测</w:t>
            </w:r>
          </w:p>
        </w:tc>
        <w:tc>
          <w:tcPr>
            <w:tcW w:w="1480" w:type="pct"/>
            <w:gridSpan w:val="7"/>
            <w:tcBorders>
              <w:tl2br w:val="nil"/>
              <w:tr2bl w:val="nil"/>
            </w:tcBorders>
            <w:noWrap/>
            <w:vAlign w:val="center"/>
          </w:tcPr>
          <w:p w14:paraId="1D208F07">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监测因子：（</w:t>
            </w:r>
            <w:r>
              <w:rPr>
                <w:rFonts w:hint="default" w:ascii="Times New Roman" w:hAnsi="Times New Roman" w:cs="Times New Roman"/>
                <w:b w:val="0"/>
                <w:bCs w:val="0"/>
                <w:sz w:val="21"/>
                <w:szCs w:val="21"/>
                <w:u w:val="none"/>
                <w:vertAlign w:val="baseline"/>
                <w:lang w:val="en-US" w:eastAsia="zh-CN"/>
              </w:rPr>
              <w:t>TSP</w:t>
            </w:r>
            <w:r>
              <w:rPr>
                <w:rFonts w:hint="default" w:ascii="Times New Roman" w:hAnsi="Times New Roman" w:cs="Times New Roman"/>
                <w:b w:val="0"/>
                <w:bCs w:val="0"/>
                <w:sz w:val="21"/>
                <w:szCs w:val="21"/>
                <w:u w:val="none"/>
              </w:rPr>
              <w:t>）</w:t>
            </w:r>
          </w:p>
        </w:tc>
        <w:tc>
          <w:tcPr>
            <w:tcW w:w="1334" w:type="pct"/>
            <w:gridSpan w:val="9"/>
            <w:tcBorders>
              <w:tl2br w:val="nil"/>
              <w:tr2bl w:val="nil"/>
            </w:tcBorders>
            <w:noWrap/>
            <w:vAlign w:val="center"/>
          </w:tcPr>
          <w:p w14:paraId="42A51EF3">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监测点位数（</w:t>
            </w:r>
            <w:r>
              <w:rPr>
                <w:rFonts w:hint="default" w:ascii="Times New Roman" w:hAnsi="Times New Roman" w:cs="Times New Roman"/>
                <w:b w:val="0"/>
                <w:bCs w:val="0"/>
                <w:sz w:val="21"/>
                <w:szCs w:val="21"/>
                <w:u w:val="none"/>
                <w:lang w:val="en-US" w:eastAsia="zh-CN"/>
              </w:rPr>
              <w:t>2</w:t>
            </w:r>
            <w:r>
              <w:rPr>
                <w:rFonts w:hint="default" w:ascii="Times New Roman" w:hAnsi="Times New Roman" w:cs="Times New Roman"/>
                <w:b w:val="0"/>
                <w:bCs w:val="0"/>
                <w:sz w:val="21"/>
                <w:szCs w:val="21"/>
                <w:u w:val="none"/>
              </w:rPr>
              <w:t>）</w:t>
            </w:r>
          </w:p>
        </w:tc>
        <w:tc>
          <w:tcPr>
            <w:tcW w:w="840" w:type="pct"/>
            <w:gridSpan w:val="2"/>
            <w:tcBorders>
              <w:tl2br w:val="nil"/>
              <w:tr2bl w:val="nil"/>
            </w:tcBorders>
            <w:noWrap/>
            <w:vAlign w:val="center"/>
          </w:tcPr>
          <w:p w14:paraId="0D16D008">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sz w:val="21"/>
                <w:szCs w:val="21"/>
                <w:u w:val="none"/>
                <w:lang w:eastAsia="zh-CN"/>
              </w:rPr>
            </w:pPr>
            <w:r>
              <w:rPr>
                <w:rFonts w:hint="default" w:ascii="Times New Roman" w:hAnsi="Times New Roman" w:cs="Times New Roman"/>
                <w:b w:val="0"/>
                <w:bCs w:val="0"/>
                <w:sz w:val="21"/>
                <w:szCs w:val="21"/>
                <w:u w:val="none"/>
              </w:rPr>
              <w:t>无监测</w:t>
            </w:r>
            <w:r>
              <w:rPr>
                <w:rFonts w:hint="default" w:ascii="Times New Roman" w:hAnsi="Times New Roman" w:cs="Times New Roman"/>
                <w:b w:val="0"/>
                <w:bCs w:val="0"/>
                <w:sz w:val="21"/>
                <w:szCs w:val="21"/>
                <w:u w:val="none"/>
                <w:lang w:eastAsia="zh-CN"/>
              </w:rPr>
              <w:t>□</w:t>
            </w:r>
          </w:p>
        </w:tc>
      </w:tr>
      <w:tr w14:paraId="3D5C159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restart"/>
            <w:tcBorders>
              <w:tl2br w:val="nil"/>
              <w:tr2bl w:val="nil"/>
            </w:tcBorders>
            <w:noWrap/>
            <w:vAlign w:val="center"/>
          </w:tcPr>
          <w:p w14:paraId="11B786B8">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评价</w:t>
            </w:r>
          </w:p>
          <w:p w14:paraId="015F8368">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结论</w:t>
            </w:r>
          </w:p>
        </w:tc>
        <w:tc>
          <w:tcPr>
            <w:tcW w:w="940" w:type="pct"/>
            <w:tcBorders>
              <w:tl2br w:val="nil"/>
              <w:tr2bl w:val="nil"/>
            </w:tcBorders>
            <w:noWrap/>
            <w:vAlign w:val="center"/>
          </w:tcPr>
          <w:p w14:paraId="0ADA16E6">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环境影响</w:t>
            </w:r>
          </w:p>
        </w:tc>
        <w:tc>
          <w:tcPr>
            <w:tcW w:w="3655" w:type="pct"/>
            <w:gridSpan w:val="18"/>
            <w:tcBorders>
              <w:tl2br w:val="nil"/>
              <w:tr2bl w:val="nil"/>
            </w:tcBorders>
            <w:noWrap/>
            <w:vAlign w:val="center"/>
          </w:tcPr>
          <w:p w14:paraId="3D7700E5">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可以接受</w:t>
            </w:r>
            <w:r>
              <w:rPr>
                <w:rFonts w:hint="default" w:ascii="Times New Roman" w:hAnsi="Times New Roman" w:cs="Times New Roman"/>
                <w:b w:val="0"/>
                <w:bCs w:val="0"/>
                <w:sz w:val="21"/>
                <w:szCs w:val="21"/>
                <w:u w:val="none"/>
                <w:lang w:eastAsia="zh-CN"/>
              </w:rPr>
              <w:t>☑</w:t>
            </w:r>
            <w:r>
              <w:rPr>
                <w:rFonts w:hint="default" w:ascii="Times New Roman" w:hAnsi="Times New Roman" w:cs="Times New Roman"/>
                <w:b w:val="0"/>
                <w:bCs w:val="0"/>
                <w:sz w:val="21"/>
                <w:szCs w:val="21"/>
                <w:u w:val="none"/>
              </w:rPr>
              <w:t xml:space="preserve">       不可以接受</w:t>
            </w:r>
            <w:r>
              <w:rPr>
                <w:rFonts w:hint="default" w:ascii="Times New Roman" w:hAnsi="Times New Roman" w:cs="Times New Roman"/>
                <w:b w:val="0"/>
                <w:bCs w:val="0"/>
                <w:sz w:val="21"/>
                <w:szCs w:val="21"/>
                <w:u w:val="none"/>
                <w:lang w:eastAsia="zh-CN"/>
              </w:rPr>
              <w:t>□</w:t>
            </w:r>
          </w:p>
        </w:tc>
      </w:tr>
      <w:tr w14:paraId="49162F6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4FF2314F">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27C90DE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大气环境防护距离</w:t>
            </w:r>
          </w:p>
        </w:tc>
        <w:tc>
          <w:tcPr>
            <w:tcW w:w="3655" w:type="pct"/>
            <w:gridSpan w:val="18"/>
            <w:tcBorders>
              <w:tl2br w:val="nil"/>
              <w:tr2bl w:val="nil"/>
            </w:tcBorders>
            <w:noWrap/>
            <w:vAlign w:val="center"/>
          </w:tcPr>
          <w:p w14:paraId="630533E3">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距（四周）厂界最远（0）m</w:t>
            </w:r>
          </w:p>
        </w:tc>
      </w:tr>
      <w:tr w14:paraId="0D37A98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403" w:type="pct"/>
            <w:vMerge w:val="continue"/>
            <w:tcBorders>
              <w:tl2br w:val="nil"/>
              <w:tr2bl w:val="nil"/>
            </w:tcBorders>
            <w:noWrap/>
            <w:vAlign w:val="center"/>
          </w:tcPr>
          <w:p w14:paraId="1AA829D0">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40" w:type="pct"/>
            <w:tcBorders>
              <w:tl2br w:val="nil"/>
              <w:tr2bl w:val="nil"/>
            </w:tcBorders>
            <w:noWrap/>
            <w:vAlign w:val="center"/>
          </w:tcPr>
          <w:p w14:paraId="6B1AA849">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污染源年排放量</w:t>
            </w:r>
          </w:p>
        </w:tc>
        <w:tc>
          <w:tcPr>
            <w:tcW w:w="632" w:type="pct"/>
            <w:gridSpan w:val="2"/>
            <w:tcBorders>
              <w:tl2br w:val="nil"/>
              <w:tr2bl w:val="nil"/>
            </w:tcBorders>
            <w:noWrap/>
            <w:vAlign w:val="center"/>
          </w:tcPr>
          <w:p w14:paraId="313F3B04">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highlight w:val="none"/>
                <w:u w:val="none"/>
              </w:rPr>
            </w:pPr>
            <w:r>
              <w:rPr>
                <w:rFonts w:hint="default" w:ascii="Times New Roman" w:hAnsi="Times New Roman" w:cs="Times New Roman"/>
                <w:b w:val="0"/>
                <w:bCs w:val="0"/>
                <w:sz w:val="21"/>
                <w:szCs w:val="21"/>
                <w:highlight w:val="none"/>
                <w:u w:val="none"/>
              </w:rPr>
              <w:t>SO</w:t>
            </w:r>
            <w:r>
              <w:rPr>
                <w:rFonts w:hint="default" w:ascii="Times New Roman" w:hAnsi="Times New Roman" w:cs="Times New Roman"/>
                <w:b w:val="0"/>
                <w:bCs w:val="0"/>
                <w:sz w:val="21"/>
                <w:szCs w:val="21"/>
                <w:highlight w:val="none"/>
                <w:u w:val="none"/>
                <w:vertAlign w:val="subscript"/>
              </w:rPr>
              <w:t>2</w:t>
            </w:r>
            <w:r>
              <w:rPr>
                <w:rFonts w:hint="default" w:ascii="Times New Roman" w:hAnsi="Times New Roman" w:cs="Times New Roman"/>
                <w:b w:val="0"/>
                <w:bCs w:val="0"/>
                <w:sz w:val="21"/>
                <w:szCs w:val="21"/>
                <w:highlight w:val="none"/>
                <w:u w:val="none"/>
              </w:rPr>
              <w:t>：（</w:t>
            </w:r>
            <w:r>
              <w:rPr>
                <w:rFonts w:hint="default" w:ascii="Times New Roman" w:hAnsi="Times New Roman" w:cs="Times New Roman"/>
                <w:b w:val="0"/>
                <w:bCs w:val="0"/>
                <w:sz w:val="21"/>
                <w:szCs w:val="21"/>
                <w:highlight w:val="none"/>
                <w:u w:val="none"/>
                <w:lang w:val="en-US" w:eastAsia="zh-CN"/>
              </w:rPr>
              <w:t>/</w:t>
            </w:r>
            <w:r>
              <w:rPr>
                <w:rFonts w:hint="default" w:ascii="Times New Roman" w:hAnsi="Times New Roman" w:cs="Times New Roman"/>
                <w:b w:val="0"/>
                <w:bCs w:val="0"/>
                <w:sz w:val="21"/>
                <w:szCs w:val="21"/>
                <w:highlight w:val="none"/>
                <w:u w:val="none"/>
              </w:rPr>
              <w:t>）t/a</w:t>
            </w:r>
          </w:p>
        </w:tc>
        <w:tc>
          <w:tcPr>
            <w:tcW w:w="696" w:type="pct"/>
            <w:gridSpan w:val="4"/>
            <w:tcBorders>
              <w:tl2br w:val="nil"/>
              <w:tr2bl w:val="nil"/>
            </w:tcBorders>
            <w:noWrap/>
            <w:vAlign w:val="center"/>
          </w:tcPr>
          <w:p w14:paraId="164ECADC">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highlight w:val="none"/>
                <w:u w:val="none"/>
              </w:rPr>
            </w:pPr>
            <w:r>
              <w:rPr>
                <w:rFonts w:hint="default" w:ascii="Times New Roman" w:hAnsi="Times New Roman" w:cs="Times New Roman"/>
                <w:b w:val="0"/>
                <w:bCs w:val="0"/>
                <w:sz w:val="21"/>
                <w:szCs w:val="21"/>
                <w:highlight w:val="none"/>
                <w:u w:val="none"/>
              </w:rPr>
              <w:t>NO</w:t>
            </w:r>
            <w:r>
              <w:rPr>
                <w:rFonts w:hint="default" w:ascii="Times New Roman" w:hAnsi="Times New Roman" w:cs="Times New Roman"/>
                <w:b w:val="0"/>
                <w:bCs w:val="0"/>
                <w:sz w:val="21"/>
                <w:szCs w:val="21"/>
                <w:highlight w:val="none"/>
                <w:u w:val="none"/>
                <w:vertAlign w:val="subscript"/>
                <w:lang w:val="en-US" w:eastAsia="zh-CN"/>
              </w:rPr>
              <w:t>2</w:t>
            </w:r>
            <w:r>
              <w:rPr>
                <w:rFonts w:hint="default" w:ascii="Times New Roman" w:hAnsi="Times New Roman" w:cs="Times New Roman"/>
                <w:b w:val="0"/>
                <w:bCs w:val="0"/>
                <w:sz w:val="21"/>
                <w:szCs w:val="21"/>
                <w:highlight w:val="none"/>
                <w:u w:val="none"/>
              </w:rPr>
              <w:t>：（</w:t>
            </w:r>
            <w:r>
              <w:rPr>
                <w:rFonts w:hint="default" w:ascii="Times New Roman" w:hAnsi="Times New Roman" w:eastAsia="宋体" w:cs="Times New Roman"/>
                <w:b w:val="0"/>
                <w:bCs w:val="0"/>
                <w:color w:val="auto"/>
                <w:sz w:val="21"/>
                <w:szCs w:val="21"/>
                <w:highlight w:val="none"/>
                <w:u w:val="none"/>
                <w:lang w:val="en-US" w:eastAsia="zh-CN"/>
              </w:rPr>
              <w:t>/</w:t>
            </w:r>
            <w:r>
              <w:rPr>
                <w:rFonts w:hint="default" w:ascii="Times New Roman" w:hAnsi="Times New Roman" w:cs="Times New Roman"/>
                <w:b w:val="0"/>
                <w:bCs w:val="0"/>
                <w:sz w:val="21"/>
                <w:szCs w:val="21"/>
                <w:highlight w:val="none"/>
                <w:u w:val="none"/>
              </w:rPr>
              <w:t>）t/a</w:t>
            </w:r>
          </w:p>
        </w:tc>
        <w:tc>
          <w:tcPr>
            <w:tcW w:w="697" w:type="pct"/>
            <w:gridSpan w:val="3"/>
            <w:tcBorders>
              <w:tl2br w:val="nil"/>
              <w:tr2bl w:val="nil"/>
            </w:tcBorders>
            <w:noWrap/>
            <w:vAlign w:val="center"/>
          </w:tcPr>
          <w:p w14:paraId="30BA63DE">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highlight w:val="none"/>
                <w:u w:val="none"/>
              </w:rPr>
            </w:pPr>
            <w:r>
              <w:rPr>
                <w:rFonts w:hint="default" w:ascii="Times New Roman" w:hAnsi="Times New Roman" w:cs="Times New Roman"/>
                <w:b w:val="0"/>
                <w:bCs w:val="0"/>
                <w:sz w:val="21"/>
                <w:szCs w:val="21"/>
                <w:highlight w:val="none"/>
                <w:u w:val="none"/>
              </w:rPr>
              <w:t>颗粒物：（</w:t>
            </w:r>
            <w:r>
              <w:rPr>
                <w:rFonts w:hint="default" w:ascii="Times New Roman" w:hAnsi="Times New Roman" w:cs="Times New Roman"/>
                <w:b w:val="0"/>
                <w:bCs w:val="0"/>
                <w:color w:val="auto"/>
                <w:sz w:val="21"/>
                <w:szCs w:val="21"/>
                <w:highlight w:val="none"/>
                <w:u w:val="none"/>
                <w:lang w:val="en-US" w:eastAsia="zh-CN"/>
              </w:rPr>
              <w:t>0.</w:t>
            </w:r>
            <w:r>
              <w:rPr>
                <w:rFonts w:hint="eastAsia" w:cs="Times New Roman"/>
                <w:b w:val="0"/>
                <w:bCs w:val="0"/>
                <w:color w:val="auto"/>
                <w:sz w:val="21"/>
                <w:szCs w:val="21"/>
                <w:highlight w:val="none"/>
                <w:u w:val="none"/>
                <w:lang w:val="en-US" w:eastAsia="zh-CN"/>
              </w:rPr>
              <w:t>1623</w:t>
            </w:r>
            <w:r>
              <w:rPr>
                <w:rFonts w:hint="default" w:ascii="Times New Roman" w:hAnsi="Times New Roman" w:cs="Times New Roman"/>
                <w:b w:val="0"/>
                <w:bCs w:val="0"/>
                <w:sz w:val="21"/>
                <w:szCs w:val="21"/>
                <w:highlight w:val="none"/>
                <w:u w:val="none"/>
              </w:rPr>
              <w:t>）t/a</w:t>
            </w:r>
          </w:p>
        </w:tc>
        <w:tc>
          <w:tcPr>
            <w:tcW w:w="696" w:type="pct"/>
            <w:gridSpan w:val="5"/>
            <w:tcBorders>
              <w:tl2br w:val="nil"/>
              <w:tr2bl w:val="nil"/>
            </w:tcBorders>
            <w:noWrap/>
            <w:vAlign w:val="center"/>
          </w:tcPr>
          <w:p w14:paraId="224E87DB">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c>
          <w:tcPr>
            <w:tcW w:w="932" w:type="pct"/>
            <w:gridSpan w:val="4"/>
            <w:tcBorders>
              <w:tl2br w:val="nil"/>
              <w:tr2bl w:val="nil"/>
            </w:tcBorders>
            <w:noWrap/>
            <w:vAlign w:val="center"/>
          </w:tcPr>
          <w:p w14:paraId="4750064F">
            <w:pPr>
              <w:autoSpaceDE/>
              <w:autoSpaceDN/>
              <w:adjustRightInd w:val="0"/>
              <w:snapToGrid w:val="0"/>
              <w:spacing w:before="0" w:after="0" w:line="240" w:lineRule="auto"/>
              <w:ind w:left="0" w:firstLine="0"/>
              <w:jc w:val="center"/>
              <w:rPr>
                <w:rFonts w:hint="default" w:ascii="Times New Roman" w:hAnsi="Times New Roman" w:cs="Times New Roman"/>
                <w:b w:val="0"/>
                <w:bCs w:val="0"/>
                <w:sz w:val="21"/>
                <w:szCs w:val="21"/>
                <w:u w:val="none"/>
              </w:rPr>
            </w:pPr>
          </w:p>
        </w:tc>
      </w:tr>
      <w:tr w14:paraId="1D67D16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27" w:hRule="atLeast"/>
        </w:trPr>
        <w:tc>
          <w:tcPr>
            <w:tcW w:w="5000" w:type="pct"/>
            <w:gridSpan w:val="20"/>
            <w:tcBorders>
              <w:tl2br w:val="nil"/>
              <w:tr2bl w:val="nil"/>
            </w:tcBorders>
            <w:noWrap/>
            <w:vAlign w:val="center"/>
          </w:tcPr>
          <w:p w14:paraId="0E69FB2D">
            <w:pPr>
              <w:autoSpaceDE/>
              <w:autoSpaceDN/>
              <w:adjustRightInd w:val="0"/>
              <w:snapToGrid w:val="0"/>
              <w:spacing w:before="0" w:after="0" w:line="240" w:lineRule="auto"/>
              <w:ind w:left="0" w:firstLine="0"/>
              <w:rPr>
                <w:rFonts w:hint="default" w:ascii="Times New Roman" w:hAnsi="Times New Roman" w:cs="Times New Roman"/>
                <w:b w:val="0"/>
                <w:bCs w:val="0"/>
                <w:sz w:val="21"/>
                <w:szCs w:val="21"/>
                <w:u w:val="none"/>
              </w:rPr>
            </w:pPr>
            <w:r>
              <w:rPr>
                <w:rFonts w:hint="default" w:ascii="Times New Roman" w:hAnsi="Times New Roman" w:cs="Times New Roman"/>
                <w:b w:val="0"/>
                <w:bCs w:val="0"/>
                <w:sz w:val="21"/>
                <w:szCs w:val="21"/>
                <w:u w:val="none"/>
              </w:rPr>
              <w:t>注：“□”为勾选项，填“√”；“（  ）”为内容填写项</w:t>
            </w:r>
          </w:p>
        </w:tc>
      </w:tr>
    </w:tbl>
    <w:p w14:paraId="0C8C9F80">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rPr>
        <w:t>5.2.</w:t>
      </w:r>
      <w:r>
        <w:rPr>
          <w:rFonts w:hint="eastAsia" w:ascii="Times New Roman" w:hAnsi="Times New Roman" w:cs="Times New Roman"/>
          <w:b/>
          <w:bCs/>
          <w:sz w:val="24"/>
          <w:szCs w:val="16"/>
          <w:highlight w:val="none"/>
          <w:lang w:val="en-US" w:eastAsia="zh-CN"/>
        </w:rPr>
        <w:t>2</w:t>
      </w:r>
      <w:r>
        <w:rPr>
          <w:rFonts w:hint="default" w:ascii="Times New Roman" w:hAnsi="Times New Roman" w:cs="Times New Roman"/>
          <w:b/>
          <w:bCs/>
          <w:sz w:val="24"/>
          <w:szCs w:val="16"/>
          <w:highlight w:val="none"/>
          <w:lang w:val="en-US" w:eastAsia="zh-CN"/>
        </w:rPr>
        <w:t>地表水环境影响预测与评价</w:t>
      </w:r>
    </w:p>
    <w:p w14:paraId="2E659430">
      <w:pPr>
        <w:pStyle w:val="6"/>
        <w:rPr>
          <w:rFonts w:hint="eastAsia" w:ascii="Times New Roman" w:hAnsi="Times New Roman" w:eastAsia="宋体" w:cs="Times New Roman"/>
          <w:sz w:val="24"/>
          <w:lang w:eastAsia="zh-CN"/>
        </w:rPr>
      </w:pPr>
      <w:bookmarkStart w:id="207" w:name="_Toc23808"/>
      <w:bookmarkStart w:id="208" w:name="_Toc8926"/>
      <w:r>
        <w:rPr>
          <w:rFonts w:hint="eastAsia" w:ascii="Times New Roman" w:hAnsi="Times New Roman" w:eastAsia="宋体" w:cs="Times New Roman"/>
          <w:sz w:val="24"/>
          <w:lang w:val="en-US" w:eastAsia="zh-CN"/>
        </w:rPr>
        <w:t>本项目生产过程不新增生产用水，故无生产废水排放，</w:t>
      </w:r>
      <w:r>
        <w:rPr>
          <w:rFonts w:hint="default" w:ascii="Times New Roman" w:hAnsi="Times New Roman" w:eastAsia="宋体" w:cs="Times New Roman"/>
          <w:sz w:val="24"/>
        </w:rPr>
        <w:t>项目依托现水泥厂生活设施，运营期不新增劳动定员，无新增生活废水</w:t>
      </w: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因此</w:t>
      </w:r>
      <w:r>
        <w:rPr>
          <w:rFonts w:hint="default" w:ascii="Times New Roman" w:hAnsi="Times New Roman" w:eastAsia="宋体" w:cs="Times New Roman"/>
          <w:sz w:val="24"/>
          <w:lang w:eastAsia="zh-CN"/>
        </w:rPr>
        <w:t>本项目</w:t>
      </w:r>
      <w:r>
        <w:rPr>
          <w:rFonts w:hint="default" w:ascii="Times New Roman" w:hAnsi="Times New Roman" w:eastAsia="宋体" w:cs="Times New Roman"/>
          <w:sz w:val="24"/>
          <w:lang w:val="en-US" w:eastAsia="zh-CN"/>
        </w:rPr>
        <w:t>无废水排放</w:t>
      </w:r>
      <w:r>
        <w:rPr>
          <w:rFonts w:hint="eastAsia" w:ascii="Times New Roman" w:hAnsi="Times New Roman" w:eastAsia="宋体" w:cs="Times New Roman"/>
          <w:sz w:val="24"/>
          <w:lang w:eastAsia="zh-CN"/>
        </w:rPr>
        <w:t>。</w:t>
      </w:r>
    </w:p>
    <w:bookmarkEnd w:id="207"/>
    <w:bookmarkEnd w:id="208"/>
    <w:p w14:paraId="12BD8340">
      <w:pPr>
        <w:pStyle w:val="6"/>
        <w:rPr>
          <w:rFonts w:hint="default" w:ascii="Times New Roman" w:hAnsi="Times New Roman" w:cs="Times New Roman"/>
          <w:sz w:val="24"/>
        </w:rPr>
      </w:pPr>
      <w:r>
        <w:rPr>
          <w:rFonts w:hint="default" w:ascii="Times New Roman" w:hAnsi="Times New Roman" w:cs="Times New Roman"/>
          <w:sz w:val="24"/>
        </w:rPr>
        <w:t>本项目地表水环境影响评价自查表见表5</w:t>
      </w:r>
      <w:r>
        <w:rPr>
          <w:rFonts w:hint="default" w:ascii="Times New Roman" w:hAnsi="Times New Roman" w:cs="Times New Roman"/>
          <w:sz w:val="24"/>
          <w:lang w:val="en-US" w:eastAsia="zh-CN"/>
        </w:rPr>
        <w:t>.2-1</w:t>
      </w:r>
      <w:r>
        <w:rPr>
          <w:rFonts w:hint="eastAsia" w:cs="Times New Roman"/>
          <w:sz w:val="24"/>
          <w:lang w:val="en-US" w:eastAsia="zh-CN"/>
        </w:rPr>
        <w:t>6</w:t>
      </w:r>
      <w:r>
        <w:rPr>
          <w:rFonts w:hint="default" w:ascii="Times New Roman" w:hAnsi="Times New Roman" w:cs="Times New Roman"/>
          <w:sz w:val="24"/>
        </w:rPr>
        <w:t>。</w:t>
      </w:r>
    </w:p>
    <w:p w14:paraId="049FECDE">
      <w:pPr>
        <w:jc w:val="center"/>
        <w:rPr>
          <w:rFonts w:hint="default" w:ascii="Times New Roman" w:hAnsi="Times New Roman" w:cs="Times New Roman"/>
          <w:b/>
          <w:sz w:val="24"/>
          <w:szCs w:val="24"/>
        </w:rPr>
      </w:pPr>
      <w:r>
        <w:rPr>
          <w:rFonts w:hint="default" w:ascii="Times New Roman" w:hAnsi="Times New Roman" w:cs="Times New Roman"/>
          <w:b/>
          <w:sz w:val="24"/>
          <w:szCs w:val="24"/>
        </w:rPr>
        <w:t>表5</w:t>
      </w:r>
      <w:r>
        <w:rPr>
          <w:rFonts w:hint="default" w:ascii="Times New Roman" w:hAnsi="Times New Roman" w:cs="Times New Roman"/>
          <w:b/>
          <w:sz w:val="24"/>
          <w:szCs w:val="24"/>
          <w:lang w:val="en-US" w:eastAsia="zh-CN"/>
        </w:rPr>
        <w:t>.2-1</w:t>
      </w:r>
      <w:r>
        <w:rPr>
          <w:rFonts w:hint="eastAsia" w:cs="Times New Roman"/>
          <w:b/>
          <w:sz w:val="24"/>
          <w:szCs w:val="24"/>
          <w:lang w:val="en-US" w:eastAsia="zh-CN"/>
        </w:rPr>
        <w:t>6</w:t>
      </w:r>
      <w:r>
        <w:rPr>
          <w:rFonts w:hint="default" w:ascii="Times New Roman" w:hAnsi="Times New Roman" w:cs="Times New Roman"/>
          <w:b/>
          <w:sz w:val="24"/>
          <w:szCs w:val="24"/>
        </w:rPr>
        <w:t xml:space="preserve"> 地表水环境影响评价自查表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44"/>
        <w:gridCol w:w="1193"/>
        <w:gridCol w:w="1389"/>
        <w:gridCol w:w="193"/>
        <w:gridCol w:w="212"/>
        <w:gridCol w:w="520"/>
        <w:gridCol w:w="462"/>
        <w:gridCol w:w="697"/>
        <w:gridCol w:w="699"/>
        <w:gridCol w:w="206"/>
        <w:gridCol w:w="259"/>
        <w:gridCol w:w="554"/>
        <w:gridCol w:w="380"/>
        <w:gridCol w:w="1413"/>
      </w:tblGrid>
      <w:tr w14:paraId="34D83B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2" w:type="pct"/>
            <w:gridSpan w:val="2"/>
            <w:tcBorders>
              <w:tl2br w:val="nil"/>
              <w:tr2bl w:val="nil"/>
            </w:tcBorders>
            <w:noWrap/>
            <w:vAlign w:val="center"/>
          </w:tcPr>
          <w:p w14:paraId="1D9B9350">
            <w:pPr>
              <w:autoSpaceDE/>
              <w:autoSpaceDN/>
              <w:adjustRightInd w:val="0"/>
              <w:snapToGrid w:val="0"/>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工作内容</w:t>
            </w:r>
          </w:p>
        </w:tc>
        <w:tc>
          <w:tcPr>
            <w:tcW w:w="4097" w:type="pct"/>
            <w:gridSpan w:val="12"/>
            <w:tcBorders>
              <w:tl2br w:val="nil"/>
              <w:tr2bl w:val="nil"/>
            </w:tcBorders>
            <w:noWrap/>
            <w:vAlign w:val="center"/>
          </w:tcPr>
          <w:p w14:paraId="1FA0B6EC">
            <w:pPr>
              <w:autoSpaceDE/>
              <w:autoSpaceDN/>
              <w:adjustRightInd w:val="0"/>
              <w:snapToGrid w:val="0"/>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自查项目</w:t>
            </w:r>
          </w:p>
        </w:tc>
      </w:tr>
      <w:tr w14:paraId="55CCAC4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restart"/>
            <w:tcBorders>
              <w:tl2br w:val="nil"/>
              <w:tr2bl w:val="nil"/>
            </w:tcBorders>
            <w:noWrap/>
            <w:vAlign w:val="center"/>
          </w:tcPr>
          <w:p w14:paraId="06AB6430">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影</w:t>
            </w:r>
          </w:p>
          <w:p w14:paraId="006872B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响</w:t>
            </w:r>
          </w:p>
          <w:p w14:paraId="0D4B681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识</w:t>
            </w:r>
          </w:p>
          <w:p w14:paraId="5EC519D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别</w:t>
            </w:r>
          </w:p>
        </w:tc>
        <w:tc>
          <w:tcPr>
            <w:tcW w:w="700" w:type="pct"/>
            <w:tcBorders>
              <w:tl2br w:val="nil"/>
              <w:tr2bl w:val="nil"/>
            </w:tcBorders>
            <w:noWrap/>
            <w:vAlign w:val="center"/>
          </w:tcPr>
          <w:p w14:paraId="7E2CD08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影响类型</w:t>
            </w:r>
          </w:p>
        </w:tc>
        <w:tc>
          <w:tcPr>
            <w:tcW w:w="4097" w:type="pct"/>
            <w:gridSpan w:val="12"/>
            <w:tcBorders>
              <w:tl2br w:val="nil"/>
              <w:tr2bl w:val="nil"/>
            </w:tcBorders>
            <w:noWrap/>
            <w:vAlign w:val="center"/>
          </w:tcPr>
          <w:p w14:paraId="4BF0CE76">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水污染影响型☑；水文要素影响型□</w:t>
            </w:r>
          </w:p>
        </w:tc>
      </w:tr>
      <w:tr w14:paraId="2E8BCF1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3CB0AD6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25B5CF34">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水环境保护目标</w:t>
            </w:r>
          </w:p>
        </w:tc>
        <w:tc>
          <w:tcPr>
            <w:tcW w:w="4097" w:type="pct"/>
            <w:gridSpan w:val="12"/>
            <w:tcBorders>
              <w:tl2br w:val="nil"/>
              <w:tr2bl w:val="nil"/>
            </w:tcBorders>
            <w:noWrap/>
            <w:vAlign w:val="center"/>
          </w:tcPr>
          <w:p w14:paraId="5AE6E5AD">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饮用水水源保护区□；饮用水取水口□；涉水的自然保护区□；重要湿地□；</w:t>
            </w:r>
          </w:p>
          <w:p w14:paraId="32C30D09">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重点保护与珍稀水生生物的栖息地□；重要水生生物的自然产卵场及索饵场、越冬场和洄游通道、天然渔场等渔业水体□；涉水的风景名胜区□；其他□</w:t>
            </w:r>
          </w:p>
        </w:tc>
      </w:tr>
      <w:tr w14:paraId="580A8AC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33A9283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restart"/>
            <w:tcBorders>
              <w:tl2br w:val="nil"/>
              <w:tr2bl w:val="nil"/>
            </w:tcBorders>
            <w:noWrap/>
            <w:vAlign w:val="center"/>
          </w:tcPr>
          <w:p w14:paraId="37A02564">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影响途径</w:t>
            </w:r>
          </w:p>
        </w:tc>
        <w:tc>
          <w:tcPr>
            <w:tcW w:w="2038" w:type="pct"/>
            <w:gridSpan w:val="6"/>
            <w:tcBorders>
              <w:tl2br w:val="nil"/>
              <w:tr2bl w:val="nil"/>
            </w:tcBorders>
            <w:noWrap/>
            <w:vAlign w:val="center"/>
          </w:tcPr>
          <w:p w14:paraId="605EB67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水污染影响型</w:t>
            </w:r>
          </w:p>
        </w:tc>
        <w:tc>
          <w:tcPr>
            <w:tcW w:w="2058" w:type="pct"/>
            <w:gridSpan w:val="6"/>
            <w:tcBorders>
              <w:tl2br w:val="nil"/>
              <w:tr2bl w:val="nil"/>
            </w:tcBorders>
            <w:noWrap/>
            <w:vAlign w:val="center"/>
          </w:tcPr>
          <w:p w14:paraId="5E2C7C0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水文要素影响型</w:t>
            </w:r>
          </w:p>
        </w:tc>
      </w:tr>
      <w:tr w14:paraId="5585136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57F70B0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0EC0235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2038" w:type="pct"/>
            <w:gridSpan w:val="6"/>
            <w:tcBorders>
              <w:tl2br w:val="nil"/>
              <w:tr2bl w:val="nil"/>
            </w:tcBorders>
            <w:noWrap/>
            <w:vAlign w:val="center"/>
          </w:tcPr>
          <w:p w14:paraId="66DA7F37">
            <w:pPr>
              <w:autoSpaceDE/>
              <w:autoSpaceDN/>
              <w:adjustRightInd w:val="0"/>
              <w:snapToGrid w:val="0"/>
              <w:spacing w:before="0" w:after="0" w:line="240" w:lineRule="auto"/>
              <w:ind w:left="0" w:firstLine="0"/>
              <w:jc w:val="left"/>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 xml:space="preserve">直接排放 □；间接排放 </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；其他 </w:t>
            </w:r>
            <w:r>
              <w:rPr>
                <w:rFonts w:hint="default" w:ascii="Times New Roman" w:hAnsi="Times New Roman" w:cs="Times New Roman"/>
                <w:sz w:val="21"/>
                <w:szCs w:val="21"/>
                <w:lang w:eastAsia="zh-CN"/>
              </w:rPr>
              <w:t>☑</w:t>
            </w:r>
          </w:p>
        </w:tc>
        <w:tc>
          <w:tcPr>
            <w:tcW w:w="2058" w:type="pct"/>
            <w:gridSpan w:val="6"/>
            <w:tcBorders>
              <w:tl2br w:val="nil"/>
              <w:tr2bl w:val="nil"/>
            </w:tcBorders>
            <w:noWrap/>
            <w:vAlign w:val="center"/>
          </w:tcPr>
          <w:p w14:paraId="5CEDB0AF">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水温 □；径流 □；水域面积 □</w:t>
            </w:r>
          </w:p>
        </w:tc>
      </w:tr>
      <w:tr w14:paraId="70340DF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0307D449">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2120F66D">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影响因子</w:t>
            </w:r>
          </w:p>
        </w:tc>
        <w:tc>
          <w:tcPr>
            <w:tcW w:w="2038" w:type="pct"/>
            <w:gridSpan w:val="6"/>
            <w:tcBorders>
              <w:tl2br w:val="nil"/>
              <w:tr2bl w:val="nil"/>
            </w:tcBorders>
            <w:noWrap/>
            <w:vAlign w:val="center"/>
          </w:tcPr>
          <w:p w14:paraId="116DCDDF">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持久性污染物 □；有毒有害污染物 □；非持久性污染物 ☑；</w:t>
            </w:r>
          </w:p>
          <w:p w14:paraId="2E5FA04C">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pH值 □；热污染 □；富营养化 □；其他 ☑</w:t>
            </w:r>
          </w:p>
        </w:tc>
        <w:tc>
          <w:tcPr>
            <w:tcW w:w="2058" w:type="pct"/>
            <w:gridSpan w:val="6"/>
            <w:tcBorders>
              <w:tl2br w:val="nil"/>
              <w:tr2bl w:val="nil"/>
            </w:tcBorders>
            <w:noWrap/>
            <w:vAlign w:val="center"/>
          </w:tcPr>
          <w:p w14:paraId="7A028D22">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水温 □；水位（水深） □；流速 □；流量 □；其他 □</w:t>
            </w:r>
          </w:p>
        </w:tc>
      </w:tr>
      <w:tr w14:paraId="001C5FD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2" w:type="pct"/>
            <w:gridSpan w:val="2"/>
            <w:vMerge w:val="restart"/>
            <w:tcBorders>
              <w:tl2br w:val="nil"/>
              <w:tr2bl w:val="nil"/>
            </w:tcBorders>
            <w:noWrap/>
            <w:vAlign w:val="center"/>
          </w:tcPr>
          <w:p w14:paraId="388C2A0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评价等级</w:t>
            </w:r>
          </w:p>
        </w:tc>
        <w:tc>
          <w:tcPr>
            <w:tcW w:w="2038" w:type="pct"/>
            <w:gridSpan w:val="6"/>
            <w:tcBorders>
              <w:tl2br w:val="nil"/>
              <w:tr2bl w:val="nil"/>
            </w:tcBorders>
            <w:noWrap/>
            <w:vAlign w:val="center"/>
          </w:tcPr>
          <w:p w14:paraId="20418580">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水污染影响型</w:t>
            </w:r>
          </w:p>
        </w:tc>
        <w:tc>
          <w:tcPr>
            <w:tcW w:w="2058" w:type="pct"/>
            <w:gridSpan w:val="6"/>
            <w:tcBorders>
              <w:tl2br w:val="nil"/>
              <w:tr2bl w:val="nil"/>
            </w:tcBorders>
            <w:noWrap/>
            <w:vAlign w:val="center"/>
          </w:tcPr>
          <w:p w14:paraId="2B54093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水文要素影响型</w:t>
            </w:r>
          </w:p>
        </w:tc>
      </w:tr>
      <w:tr w14:paraId="7990C2B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2" w:type="pct"/>
            <w:gridSpan w:val="2"/>
            <w:vMerge w:val="continue"/>
            <w:tcBorders>
              <w:tl2br w:val="nil"/>
              <w:tr2bl w:val="nil"/>
            </w:tcBorders>
            <w:noWrap/>
            <w:vAlign w:val="center"/>
          </w:tcPr>
          <w:p w14:paraId="5270F6C7">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2038" w:type="pct"/>
            <w:gridSpan w:val="6"/>
            <w:tcBorders>
              <w:tl2br w:val="nil"/>
              <w:tr2bl w:val="nil"/>
            </w:tcBorders>
            <w:noWrap/>
            <w:vAlign w:val="center"/>
          </w:tcPr>
          <w:p w14:paraId="3F3885B9">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一级 □；二级 □；三级A □；三级B ☑</w:t>
            </w:r>
          </w:p>
        </w:tc>
        <w:tc>
          <w:tcPr>
            <w:tcW w:w="2058" w:type="pct"/>
            <w:gridSpan w:val="6"/>
            <w:tcBorders>
              <w:tl2br w:val="nil"/>
              <w:tr2bl w:val="nil"/>
            </w:tcBorders>
            <w:noWrap/>
            <w:vAlign w:val="center"/>
          </w:tcPr>
          <w:p w14:paraId="24C8A27A">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一级 □；二级 □；三级 □</w:t>
            </w:r>
          </w:p>
        </w:tc>
      </w:tr>
      <w:tr w14:paraId="68643C4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restart"/>
            <w:tcBorders>
              <w:tl2br w:val="nil"/>
              <w:tr2bl w:val="nil"/>
            </w:tcBorders>
            <w:noWrap/>
            <w:vAlign w:val="center"/>
          </w:tcPr>
          <w:p w14:paraId="2F38BA7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现</w:t>
            </w:r>
          </w:p>
          <w:p w14:paraId="1AB216A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状</w:t>
            </w:r>
          </w:p>
          <w:p w14:paraId="4F3E74C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调</w:t>
            </w:r>
          </w:p>
          <w:p w14:paraId="6EDFAD45">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查</w:t>
            </w:r>
          </w:p>
        </w:tc>
        <w:tc>
          <w:tcPr>
            <w:tcW w:w="700" w:type="pct"/>
            <w:vMerge w:val="restart"/>
            <w:tcBorders>
              <w:tl2br w:val="nil"/>
              <w:tr2bl w:val="nil"/>
            </w:tcBorders>
            <w:noWrap/>
            <w:vAlign w:val="center"/>
          </w:tcPr>
          <w:p w14:paraId="23851DC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区域污染源</w:t>
            </w:r>
          </w:p>
        </w:tc>
        <w:tc>
          <w:tcPr>
            <w:tcW w:w="2038" w:type="pct"/>
            <w:gridSpan w:val="6"/>
            <w:tcBorders>
              <w:tl2br w:val="nil"/>
              <w:tr2bl w:val="nil"/>
            </w:tcBorders>
            <w:noWrap/>
            <w:vAlign w:val="center"/>
          </w:tcPr>
          <w:p w14:paraId="77266FF9">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调查项目</w:t>
            </w:r>
          </w:p>
        </w:tc>
        <w:tc>
          <w:tcPr>
            <w:tcW w:w="2058" w:type="pct"/>
            <w:gridSpan w:val="6"/>
            <w:tcBorders>
              <w:tl2br w:val="nil"/>
              <w:tr2bl w:val="nil"/>
            </w:tcBorders>
            <w:noWrap/>
            <w:vAlign w:val="center"/>
          </w:tcPr>
          <w:p w14:paraId="23C0AEE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数据来源</w:t>
            </w:r>
          </w:p>
        </w:tc>
      </w:tr>
      <w:tr w14:paraId="680ADA1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12205B6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1DFA4B8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1019" w:type="pct"/>
            <w:gridSpan w:val="2"/>
            <w:tcBorders>
              <w:tl2br w:val="nil"/>
              <w:tr2bl w:val="nil"/>
            </w:tcBorders>
            <w:noWrap/>
            <w:vAlign w:val="center"/>
          </w:tcPr>
          <w:p w14:paraId="1EDD1161">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已建 </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；在建 □；拟建 </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；其他 □</w:t>
            </w:r>
          </w:p>
        </w:tc>
        <w:tc>
          <w:tcPr>
            <w:tcW w:w="1019" w:type="pct"/>
            <w:gridSpan w:val="4"/>
            <w:tcBorders>
              <w:tl2br w:val="nil"/>
              <w:tr2bl w:val="nil"/>
            </w:tcBorders>
            <w:noWrap/>
            <w:vAlign w:val="center"/>
          </w:tcPr>
          <w:p w14:paraId="587E31DA">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拟替代的污染源□</w:t>
            </w:r>
          </w:p>
        </w:tc>
        <w:tc>
          <w:tcPr>
            <w:tcW w:w="2058" w:type="pct"/>
            <w:gridSpan w:val="6"/>
            <w:tcBorders>
              <w:tl2br w:val="nil"/>
              <w:tr2bl w:val="nil"/>
            </w:tcBorders>
            <w:noWrap/>
            <w:vAlign w:val="center"/>
          </w:tcPr>
          <w:p w14:paraId="1D76910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排污许可证 </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；环评 </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；环保验收 □；既有实测 □；现场监测 □；入河排放口数据 </w:t>
            </w:r>
            <w:r>
              <w:rPr>
                <w:rFonts w:hint="default" w:ascii="Times New Roman" w:hAnsi="Times New Roman" w:cs="Times New Roman"/>
                <w:sz w:val="21"/>
                <w:szCs w:val="21"/>
                <w:lang w:eastAsia="zh-CN"/>
              </w:rPr>
              <w:t>□</w:t>
            </w:r>
            <w:r>
              <w:rPr>
                <w:rFonts w:hint="default" w:ascii="Times New Roman" w:hAnsi="Times New Roman" w:cs="Times New Roman"/>
                <w:sz w:val="21"/>
                <w:szCs w:val="21"/>
              </w:rPr>
              <w:t>；其他 □</w:t>
            </w:r>
          </w:p>
        </w:tc>
      </w:tr>
      <w:tr w14:paraId="67F889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5473627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restart"/>
            <w:tcBorders>
              <w:tl2br w:val="nil"/>
              <w:tr2bl w:val="nil"/>
            </w:tcBorders>
            <w:noWrap/>
            <w:vAlign w:val="center"/>
          </w:tcPr>
          <w:p w14:paraId="4D895F9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受影响水体水环境质量</w:t>
            </w:r>
          </w:p>
        </w:tc>
        <w:tc>
          <w:tcPr>
            <w:tcW w:w="2038" w:type="pct"/>
            <w:gridSpan w:val="6"/>
            <w:tcBorders>
              <w:tl2br w:val="nil"/>
              <w:tr2bl w:val="nil"/>
            </w:tcBorders>
            <w:noWrap/>
            <w:vAlign w:val="center"/>
          </w:tcPr>
          <w:p w14:paraId="4BD0CA7D">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调查时期</w:t>
            </w:r>
          </w:p>
        </w:tc>
        <w:tc>
          <w:tcPr>
            <w:tcW w:w="2058" w:type="pct"/>
            <w:gridSpan w:val="6"/>
            <w:tcBorders>
              <w:tl2br w:val="nil"/>
              <w:tr2bl w:val="nil"/>
            </w:tcBorders>
            <w:noWrap/>
            <w:vAlign w:val="center"/>
          </w:tcPr>
          <w:p w14:paraId="64B4C1A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数据来源</w:t>
            </w:r>
          </w:p>
        </w:tc>
      </w:tr>
      <w:tr w14:paraId="2EFDF41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5B0DAD7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06F2181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2038" w:type="pct"/>
            <w:gridSpan w:val="6"/>
            <w:tcBorders>
              <w:tl2br w:val="nil"/>
              <w:tr2bl w:val="nil"/>
            </w:tcBorders>
            <w:noWrap/>
            <w:vAlign w:val="center"/>
          </w:tcPr>
          <w:p w14:paraId="1070F086">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丰水期 □；平水期 □；枯水期 □；冰封期 □</w:t>
            </w:r>
          </w:p>
          <w:p w14:paraId="0136565E">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春季 □；夏季 □；秋季 □；冬季 □ </w:t>
            </w:r>
          </w:p>
        </w:tc>
        <w:tc>
          <w:tcPr>
            <w:tcW w:w="2058" w:type="pct"/>
            <w:gridSpan w:val="6"/>
            <w:tcBorders>
              <w:tl2br w:val="nil"/>
              <w:tr2bl w:val="nil"/>
            </w:tcBorders>
            <w:noWrap/>
            <w:vAlign w:val="center"/>
          </w:tcPr>
          <w:p w14:paraId="6847A7C8">
            <w:pPr>
              <w:autoSpaceDE/>
              <w:autoSpaceDN/>
              <w:adjustRightInd w:val="0"/>
              <w:snapToGrid w:val="0"/>
              <w:spacing w:before="0" w:after="0" w:line="240" w:lineRule="auto"/>
              <w:ind w:left="0" w:firstLine="0"/>
              <w:rPr>
                <w:rFonts w:hint="default" w:ascii="Times New Roman" w:hAnsi="Times New Roman" w:cs="Times New Roman"/>
                <w:sz w:val="21"/>
                <w:szCs w:val="21"/>
              </w:rPr>
            </w:pPr>
            <w:r>
              <w:rPr>
                <w:rFonts w:hint="default" w:ascii="Times New Roman" w:hAnsi="Times New Roman" w:cs="Times New Roman"/>
                <w:sz w:val="21"/>
                <w:szCs w:val="21"/>
              </w:rPr>
              <w:t>生态环境保护主管部门 □；补充监测 □；其他 □</w:t>
            </w:r>
          </w:p>
        </w:tc>
      </w:tr>
      <w:tr w14:paraId="63CF0E6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2B5E526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34E89D65">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区域水资源开发利用状况</w:t>
            </w:r>
          </w:p>
        </w:tc>
        <w:tc>
          <w:tcPr>
            <w:tcW w:w="4097" w:type="pct"/>
            <w:gridSpan w:val="12"/>
            <w:tcBorders>
              <w:tl2br w:val="nil"/>
              <w:tr2bl w:val="nil"/>
            </w:tcBorders>
            <w:noWrap/>
            <w:vAlign w:val="center"/>
          </w:tcPr>
          <w:p w14:paraId="6B3B2F0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未开发 □；开发量 40%以下 □；开发量 40%以上 □</w:t>
            </w:r>
          </w:p>
        </w:tc>
      </w:tr>
      <w:tr w14:paraId="7EE754B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4FD47B3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restart"/>
            <w:tcBorders>
              <w:tl2br w:val="nil"/>
              <w:tr2bl w:val="nil"/>
            </w:tcBorders>
            <w:noWrap/>
            <w:vAlign w:val="center"/>
          </w:tcPr>
          <w:p w14:paraId="41D428F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水文情势调查</w:t>
            </w:r>
          </w:p>
        </w:tc>
        <w:tc>
          <w:tcPr>
            <w:tcW w:w="2038" w:type="pct"/>
            <w:gridSpan w:val="6"/>
            <w:tcBorders>
              <w:tl2br w:val="nil"/>
              <w:tr2bl w:val="nil"/>
            </w:tcBorders>
            <w:noWrap/>
            <w:vAlign w:val="center"/>
          </w:tcPr>
          <w:p w14:paraId="77BD9EE5">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调查时期</w:t>
            </w:r>
          </w:p>
        </w:tc>
        <w:tc>
          <w:tcPr>
            <w:tcW w:w="2058" w:type="pct"/>
            <w:gridSpan w:val="6"/>
            <w:tcBorders>
              <w:tl2br w:val="nil"/>
              <w:tr2bl w:val="nil"/>
            </w:tcBorders>
            <w:noWrap/>
            <w:vAlign w:val="center"/>
          </w:tcPr>
          <w:p w14:paraId="658D709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数据来源</w:t>
            </w:r>
          </w:p>
        </w:tc>
      </w:tr>
      <w:tr w14:paraId="313A5F3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77D3F3C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143C6EF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2038" w:type="pct"/>
            <w:gridSpan w:val="6"/>
            <w:tcBorders>
              <w:tl2br w:val="nil"/>
              <w:tr2bl w:val="nil"/>
            </w:tcBorders>
            <w:noWrap/>
            <w:vAlign w:val="center"/>
          </w:tcPr>
          <w:p w14:paraId="61D73D9A">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丰水期 □；平水期 □；枯水期 □；冰封期</w:t>
            </w:r>
          </w:p>
          <w:p w14:paraId="120DBDC1">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春季 □；夏季 □；秋季 □；冬季 □</w:t>
            </w:r>
          </w:p>
        </w:tc>
        <w:tc>
          <w:tcPr>
            <w:tcW w:w="2058" w:type="pct"/>
            <w:gridSpan w:val="6"/>
            <w:tcBorders>
              <w:tl2br w:val="nil"/>
              <w:tr2bl w:val="nil"/>
            </w:tcBorders>
            <w:noWrap/>
            <w:vAlign w:val="center"/>
          </w:tcPr>
          <w:p w14:paraId="0FE324D4">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水行政主管部门 □；补充监测 □；其他 □</w:t>
            </w:r>
          </w:p>
        </w:tc>
      </w:tr>
      <w:tr w14:paraId="329A8D2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2D0A747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restart"/>
            <w:tcBorders>
              <w:tl2br w:val="nil"/>
              <w:tr2bl w:val="nil"/>
            </w:tcBorders>
            <w:noWrap/>
            <w:vAlign w:val="center"/>
          </w:tcPr>
          <w:p w14:paraId="4841705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补充监测</w:t>
            </w:r>
          </w:p>
        </w:tc>
        <w:tc>
          <w:tcPr>
            <w:tcW w:w="1358" w:type="pct"/>
            <w:gridSpan w:val="4"/>
            <w:tcBorders>
              <w:tl2br w:val="nil"/>
              <w:tr2bl w:val="nil"/>
            </w:tcBorders>
            <w:noWrap/>
            <w:vAlign w:val="center"/>
          </w:tcPr>
          <w:p w14:paraId="00FA814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监测时期</w:t>
            </w:r>
          </w:p>
        </w:tc>
        <w:tc>
          <w:tcPr>
            <w:tcW w:w="1363" w:type="pct"/>
            <w:gridSpan w:val="5"/>
            <w:tcBorders>
              <w:tl2br w:val="nil"/>
              <w:tr2bl w:val="nil"/>
            </w:tcBorders>
            <w:noWrap/>
            <w:vAlign w:val="center"/>
          </w:tcPr>
          <w:p w14:paraId="224DDDA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监测因子</w:t>
            </w:r>
          </w:p>
        </w:tc>
        <w:tc>
          <w:tcPr>
            <w:tcW w:w="1374" w:type="pct"/>
            <w:gridSpan w:val="3"/>
            <w:tcBorders>
              <w:tl2br w:val="nil"/>
              <w:tr2bl w:val="nil"/>
            </w:tcBorders>
            <w:noWrap/>
            <w:vAlign w:val="center"/>
          </w:tcPr>
          <w:p w14:paraId="77694717">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监测断面或点位</w:t>
            </w:r>
          </w:p>
        </w:tc>
      </w:tr>
      <w:tr w14:paraId="2A06F79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58D7535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451C487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1358" w:type="pct"/>
            <w:gridSpan w:val="4"/>
            <w:tcBorders>
              <w:tl2br w:val="nil"/>
              <w:tr2bl w:val="nil"/>
            </w:tcBorders>
            <w:noWrap/>
            <w:vAlign w:val="center"/>
          </w:tcPr>
          <w:p w14:paraId="1128D46F">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丰水期 □；平水期 □；枯水期 □；冰封期 □ </w:t>
            </w:r>
          </w:p>
          <w:p w14:paraId="7CBB5C52">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春季 □；夏季 □；秋季 □；冬季 □</w:t>
            </w:r>
          </w:p>
        </w:tc>
        <w:tc>
          <w:tcPr>
            <w:tcW w:w="1363" w:type="pct"/>
            <w:gridSpan w:val="5"/>
            <w:tcBorders>
              <w:tl2br w:val="nil"/>
              <w:tr2bl w:val="nil"/>
            </w:tcBorders>
            <w:noWrap/>
            <w:vAlign w:val="center"/>
          </w:tcPr>
          <w:p w14:paraId="5F114CA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374" w:type="pct"/>
            <w:gridSpan w:val="3"/>
            <w:tcBorders>
              <w:tl2br w:val="nil"/>
              <w:tr2bl w:val="nil"/>
            </w:tcBorders>
            <w:noWrap/>
            <w:vAlign w:val="center"/>
          </w:tcPr>
          <w:p w14:paraId="5B7C0F3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监测断面或点位个数</w:t>
            </w:r>
          </w:p>
          <w:p w14:paraId="26071DA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  ）个 </w:t>
            </w:r>
          </w:p>
        </w:tc>
      </w:tr>
      <w:tr w14:paraId="1D455B5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restart"/>
            <w:tcBorders>
              <w:tl2br w:val="nil"/>
              <w:tr2bl w:val="nil"/>
            </w:tcBorders>
            <w:noWrap/>
            <w:vAlign w:val="center"/>
          </w:tcPr>
          <w:p w14:paraId="446CD64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现</w:t>
            </w:r>
          </w:p>
          <w:p w14:paraId="6882AAA0">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状</w:t>
            </w:r>
          </w:p>
          <w:p w14:paraId="6A8226C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评</w:t>
            </w:r>
          </w:p>
          <w:p w14:paraId="53D6D5B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价</w:t>
            </w:r>
          </w:p>
        </w:tc>
        <w:tc>
          <w:tcPr>
            <w:tcW w:w="700" w:type="pct"/>
            <w:tcBorders>
              <w:tl2br w:val="nil"/>
              <w:tr2bl w:val="nil"/>
            </w:tcBorders>
            <w:noWrap/>
            <w:vAlign w:val="center"/>
          </w:tcPr>
          <w:p w14:paraId="13A386D9">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评价范围</w:t>
            </w:r>
          </w:p>
        </w:tc>
        <w:tc>
          <w:tcPr>
            <w:tcW w:w="4097" w:type="pct"/>
            <w:gridSpan w:val="12"/>
            <w:tcBorders>
              <w:tl2br w:val="nil"/>
              <w:tr2bl w:val="nil"/>
            </w:tcBorders>
            <w:noWrap/>
            <w:vAlign w:val="center"/>
          </w:tcPr>
          <w:p w14:paraId="5C27F69D">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河流：长度（/）km；湖库、河口及近岸海域：面积（）km</w:t>
            </w:r>
            <w:r>
              <w:rPr>
                <w:rFonts w:hint="default" w:ascii="Times New Roman" w:hAnsi="Times New Roman" w:cs="Times New Roman"/>
                <w:sz w:val="21"/>
                <w:szCs w:val="21"/>
                <w:vertAlign w:val="superscript"/>
              </w:rPr>
              <w:t>2</w:t>
            </w:r>
          </w:p>
        </w:tc>
      </w:tr>
      <w:tr w14:paraId="78BACA4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26531B0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0004F7D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评价因子</w:t>
            </w:r>
          </w:p>
        </w:tc>
        <w:tc>
          <w:tcPr>
            <w:tcW w:w="4097" w:type="pct"/>
            <w:gridSpan w:val="12"/>
            <w:tcBorders>
              <w:tl2br w:val="nil"/>
              <w:tr2bl w:val="nil"/>
            </w:tcBorders>
            <w:noWrap/>
            <w:vAlign w:val="center"/>
          </w:tcPr>
          <w:p w14:paraId="6AC224F6">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r>
      <w:tr w14:paraId="4049EFC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57A5BE6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58C2387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评价标准</w:t>
            </w:r>
          </w:p>
        </w:tc>
        <w:tc>
          <w:tcPr>
            <w:tcW w:w="4097" w:type="pct"/>
            <w:gridSpan w:val="12"/>
            <w:tcBorders>
              <w:tl2br w:val="nil"/>
              <w:tr2bl w:val="nil"/>
            </w:tcBorders>
            <w:noWrap/>
            <w:vAlign w:val="center"/>
          </w:tcPr>
          <w:p w14:paraId="6E9D9607">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河流、湖库、河口：Ⅰ类 □；Ⅱ类□；Ⅲ类 □；Ⅳ类 □；Ⅴ类 □</w:t>
            </w:r>
          </w:p>
          <w:p w14:paraId="6A3A1AE9">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近岸海域：第一类 □；第二类 □；第三类 □；第四类 □ </w:t>
            </w:r>
          </w:p>
          <w:p w14:paraId="782EC9CC">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规划年评价标准（） </w:t>
            </w:r>
          </w:p>
        </w:tc>
      </w:tr>
      <w:tr w14:paraId="2B20198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4E27E53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1EC110F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评价时期</w:t>
            </w:r>
          </w:p>
        </w:tc>
        <w:tc>
          <w:tcPr>
            <w:tcW w:w="4097" w:type="pct"/>
            <w:gridSpan w:val="12"/>
            <w:tcBorders>
              <w:tl2br w:val="nil"/>
              <w:tr2bl w:val="nil"/>
            </w:tcBorders>
            <w:noWrap/>
            <w:vAlign w:val="center"/>
          </w:tcPr>
          <w:p w14:paraId="6B53D412">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丰水期 □；平水期 □；枯水期 □；冰封期 □ </w:t>
            </w:r>
          </w:p>
          <w:p w14:paraId="288D9219">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春季 □；夏季 </w:t>
            </w:r>
            <w:r>
              <w:rPr>
                <w:rFonts w:hint="default" w:ascii="Times New Roman" w:hAnsi="Times New Roman" w:cs="Times New Roman"/>
                <w:sz w:val="21"/>
                <w:szCs w:val="21"/>
              </w:rPr>
              <w:sym w:font="Wingdings 2" w:char="0052"/>
            </w:r>
            <w:r>
              <w:rPr>
                <w:rFonts w:hint="default" w:ascii="Times New Roman" w:hAnsi="Times New Roman" w:cs="Times New Roman"/>
                <w:sz w:val="21"/>
                <w:szCs w:val="21"/>
              </w:rPr>
              <w:t xml:space="preserve">；秋季 □；冬季 □ </w:t>
            </w:r>
          </w:p>
        </w:tc>
      </w:tr>
      <w:tr w14:paraId="792E1F9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4E7423E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2227B63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评价结论</w:t>
            </w:r>
          </w:p>
        </w:tc>
        <w:tc>
          <w:tcPr>
            <w:tcW w:w="3242" w:type="pct"/>
            <w:gridSpan w:val="10"/>
            <w:tcBorders>
              <w:tl2br w:val="nil"/>
              <w:tr2bl w:val="nil"/>
            </w:tcBorders>
            <w:noWrap/>
            <w:vAlign w:val="center"/>
          </w:tcPr>
          <w:p w14:paraId="7BC8BC9A">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水环境功能区或水功能区、近岸海域环境功能区水质达标状况 □：达标 □；不达标 □</w:t>
            </w:r>
          </w:p>
          <w:p w14:paraId="346748D6">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水环境控制单元或断面水质达标状况 </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：达标 </w:t>
            </w:r>
            <w:r>
              <w:rPr>
                <w:rFonts w:hint="default" w:ascii="Times New Roman" w:hAnsi="Times New Roman" w:cs="Times New Roman"/>
                <w:sz w:val="21"/>
                <w:szCs w:val="21"/>
                <w:lang w:eastAsia="zh-CN"/>
              </w:rPr>
              <w:t>□</w:t>
            </w:r>
            <w:r>
              <w:rPr>
                <w:rFonts w:hint="default" w:ascii="Times New Roman" w:hAnsi="Times New Roman" w:cs="Times New Roman"/>
                <w:sz w:val="21"/>
                <w:szCs w:val="21"/>
              </w:rPr>
              <w:t>；不达标 □</w:t>
            </w:r>
          </w:p>
          <w:p w14:paraId="3D0B4823">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水环境保护目标质量状况 □：达标 □；不达标 □ </w:t>
            </w:r>
          </w:p>
          <w:p w14:paraId="52B62CE5">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对照断面、控制断面等代表性断面的水质状况 □：达标 □；不达标 □</w:t>
            </w:r>
          </w:p>
          <w:p w14:paraId="6143BC00">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底泥污染评价 □ </w:t>
            </w:r>
          </w:p>
          <w:p w14:paraId="4B52F782">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水资源与开发利用程度及其水文情势评价 □ </w:t>
            </w:r>
          </w:p>
          <w:p w14:paraId="61C5BC5A">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水环境质量回顾评价 □ </w:t>
            </w:r>
          </w:p>
          <w:p w14:paraId="507DEE94">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流域（区域）水资源（包括水能资源）与开发利用总体状况、生态流量管理要求与现状满足程度、建设项目占用水域空间的水流状况与河湖演变状况 □</w:t>
            </w:r>
          </w:p>
        </w:tc>
        <w:tc>
          <w:tcPr>
            <w:tcW w:w="854" w:type="pct"/>
            <w:gridSpan w:val="2"/>
            <w:tcBorders>
              <w:tl2br w:val="nil"/>
              <w:tr2bl w:val="nil"/>
            </w:tcBorders>
            <w:noWrap/>
            <w:vAlign w:val="center"/>
          </w:tcPr>
          <w:p w14:paraId="6E7A7F3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达标区 </w:t>
            </w:r>
            <w:r>
              <w:rPr>
                <w:rFonts w:hint="default" w:ascii="Times New Roman" w:hAnsi="Times New Roman" w:cs="Times New Roman"/>
                <w:sz w:val="21"/>
                <w:szCs w:val="21"/>
                <w:lang w:eastAsia="zh-CN"/>
              </w:rPr>
              <w:t>☑</w:t>
            </w:r>
            <w:r>
              <w:rPr>
                <w:rFonts w:hint="default" w:ascii="Times New Roman" w:hAnsi="Times New Roman" w:cs="Times New Roman"/>
                <w:sz w:val="21"/>
                <w:szCs w:val="21"/>
              </w:rPr>
              <w:t xml:space="preserve"> </w:t>
            </w:r>
          </w:p>
          <w:p w14:paraId="04DF4C07">
            <w:pPr>
              <w:autoSpaceDE/>
              <w:autoSpaceDN/>
              <w:adjustRightInd w:val="0"/>
              <w:snapToGrid w:val="0"/>
              <w:spacing w:before="0" w:after="0" w:line="240" w:lineRule="auto"/>
              <w:ind w:left="0" w:firstLine="0"/>
              <w:jc w:val="center"/>
              <w:rPr>
                <w:rFonts w:hint="default" w:ascii="Times New Roman" w:hAnsi="Times New Roman" w:eastAsia="宋体" w:cs="Times New Roman"/>
                <w:sz w:val="21"/>
                <w:szCs w:val="21"/>
                <w:lang w:eastAsia="zh-CN"/>
              </w:rPr>
            </w:pPr>
            <w:r>
              <w:rPr>
                <w:rFonts w:hint="default" w:ascii="Times New Roman" w:hAnsi="Times New Roman" w:cs="Times New Roman"/>
                <w:sz w:val="21"/>
                <w:szCs w:val="21"/>
              </w:rPr>
              <w:t xml:space="preserve">不达标区 </w:t>
            </w:r>
            <w:r>
              <w:rPr>
                <w:rFonts w:hint="default" w:ascii="Times New Roman" w:hAnsi="Times New Roman" w:cs="Times New Roman"/>
                <w:sz w:val="21"/>
                <w:szCs w:val="21"/>
                <w:lang w:eastAsia="zh-CN"/>
              </w:rPr>
              <w:t>□</w:t>
            </w:r>
          </w:p>
        </w:tc>
      </w:tr>
      <w:tr w14:paraId="27EB71E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restart"/>
            <w:tcBorders>
              <w:tl2br w:val="nil"/>
              <w:tr2bl w:val="nil"/>
            </w:tcBorders>
            <w:noWrap/>
            <w:vAlign w:val="center"/>
          </w:tcPr>
          <w:p w14:paraId="4BF2119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影</w:t>
            </w:r>
          </w:p>
          <w:p w14:paraId="5DA48B86">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响</w:t>
            </w:r>
          </w:p>
          <w:p w14:paraId="5D8BF88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预</w:t>
            </w:r>
          </w:p>
          <w:p w14:paraId="572E246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测</w:t>
            </w:r>
          </w:p>
        </w:tc>
        <w:tc>
          <w:tcPr>
            <w:tcW w:w="700" w:type="pct"/>
            <w:tcBorders>
              <w:tl2br w:val="nil"/>
              <w:tr2bl w:val="nil"/>
            </w:tcBorders>
            <w:noWrap/>
            <w:vAlign w:val="center"/>
          </w:tcPr>
          <w:p w14:paraId="39F55A1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预测范围</w:t>
            </w:r>
          </w:p>
        </w:tc>
        <w:tc>
          <w:tcPr>
            <w:tcW w:w="4097" w:type="pct"/>
            <w:gridSpan w:val="12"/>
            <w:tcBorders>
              <w:tl2br w:val="nil"/>
              <w:tr2bl w:val="nil"/>
            </w:tcBorders>
            <w:noWrap/>
            <w:vAlign w:val="center"/>
          </w:tcPr>
          <w:p w14:paraId="2709C8C4">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河流：长度（）km；湖库、河口及近岸海域：面积（）km</w:t>
            </w:r>
            <w:r>
              <w:rPr>
                <w:rFonts w:hint="default" w:ascii="Times New Roman" w:hAnsi="Times New Roman" w:cs="Times New Roman"/>
                <w:sz w:val="21"/>
                <w:szCs w:val="21"/>
                <w:vertAlign w:val="superscript"/>
              </w:rPr>
              <w:t>2</w:t>
            </w:r>
          </w:p>
        </w:tc>
      </w:tr>
      <w:tr w14:paraId="7610509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761A0575">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49622917">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预测因子</w:t>
            </w:r>
          </w:p>
        </w:tc>
        <w:tc>
          <w:tcPr>
            <w:tcW w:w="4097" w:type="pct"/>
            <w:gridSpan w:val="12"/>
            <w:tcBorders>
              <w:tl2br w:val="nil"/>
              <w:tr2bl w:val="nil"/>
            </w:tcBorders>
            <w:noWrap/>
            <w:vAlign w:val="center"/>
          </w:tcPr>
          <w:p w14:paraId="03F3C80F">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w:t>
            </w:r>
          </w:p>
        </w:tc>
      </w:tr>
      <w:tr w14:paraId="5C20BA7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5A3F8C7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15FBB91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预测时期</w:t>
            </w:r>
          </w:p>
        </w:tc>
        <w:tc>
          <w:tcPr>
            <w:tcW w:w="4097" w:type="pct"/>
            <w:gridSpan w:val="12"/>
            <w:tcBorders>
              <w:tl2br w:val="nil"/>
              <w:tr2bl w:val="nil"/>
            </w:tcBorders>
            <w:noWrap/>
            <w:vAlign w:val="center"/>
          </w:tcPr>
          <w:p w14:paraId="70B9CD66">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丰水期 □；平水期 □；枯水期 □；冰封期 □</w:t>
            </w:r>
          </w:p>
          <w:p w14:paraId="3A6A2482">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春季 □；夏季 □；秋季 □；冬季 □ </w:t>
            </w:r>
          </w:p>
          <w:p w14:paraId="19DF1D59">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设计水文条件 □</w:t>
            </w:r>
          </w:p>
        </w:tc>
      </w:tr>
      <w:tr w14:paraId="7C37BD8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26026370">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630BE1E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预测情景</w:t>
            </w:r>
          </w:p>
        </w:tc>
        <w:tc>
          <w:tcPr>
            <w:tcW w:w="4097" w:type="pct"/>
            <w:gridSpan w:val="12"/>
            <w:tcBorders>
              <w:tl2br w:val="nil"/>
              <w:tr2bl w:val="nil"/>
            </w:tcBorders>
            <w:noWrap/>
            <w:vAlign w:val="center"/>
          </w:tcPr>
          <w:p w14:paraId="27BBE8A1">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建设期 □；生产运行期 □；服务期满后 □ </w:t>
            </w:r>
          </w:p>
          <w:p w14:paraId="24FAEFAE">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正常工况 □；非正常工况 □ </w:t>
            </w:r>
          </w:p>
          <w:p w14:paraId="59B6C605">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污染控制和减缓措施方案 □ </w:t>
            </w:r>
          </w:p>
          <w:p w14:paraId="609FAE3F">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区（流）域环境质量改善目标要求情景 □</w:t>
            </w:r>
          </w:p>
        </w:tc>
      </w:tr>
      <w:tr w14:paraId="7271F12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1CEFB1B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71167B47">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预测方法</w:t>
            </w:r>
          </w:p>
        </w:tc>
        <w:tc>
          <w:tcPr>
            <w:tcW w:w="4097" w:type="pct"/>
            <w:gridSpan w:val="12"/>
            <w:tcBorders>
              <w:tl2br w:val="nil"/>
              <w:tr2bl w:val="nil"/>
            </w:tcBorders>
            <w:noWrap/>
            <w:vAlign w:val="center"/>
          </w:tcPr>
          <w:p w14:paraId="4B041D5C">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数值解 □：解析解 □；其他 □ </w:t>
            </w:r>
          </w:p>
          <w:p w14:paraId="074B2A05">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导则推荐模式 □：其他 □</w:t>
            </w:r>
          </w:p>
        </w:tc>
      </w:tr>
      <w:tr w14:paraId="6563456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restart"/>
            <w:tcBorders>
              <w:tl2br w:val="nil"/>
              <w:tr2bl w:val="nil"/>
            </w:tcBorders>
            <w:noWrap/>
            <w:vAlign w:val="center"/>
          </w:tcPr>
          <w:p w14:paraId="15ABEA4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影</w:t>
            </w:r>
          </w:p>
          <w:p w14:paraId="77EDF0B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响</w:t>
            </w:r>
          </w:p>
          <w:p w14:paraId="62C126A0">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评</w:t>
            </w:r>
          </w:p>
          <w:p w14:paraId="79048986">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价</w:t>
            </w:r>
          </w:p>
        </w:tc>
        <w:tc>
          <w:tcPr>
            <w:tcW w:w="700" w:type="pct"/>
            <w:tcBorders>
              <w:tl2br w:val="nil"/>
              <w:tr2bl w:val="nil"/>
            </w:tcBorders>
            <w:noWrap/>
            <w:vAlign w:val="center"/>
          </w:tcPr>
          <w:p w14:paraId="659F01F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水污染控制和水环境影响减缓措施有效性评价</w:t>
            </w:r>
          </w:p>
        </w:tc>
        <w:tc>
          <w:tcPr>
            <w:tcW w:w="4097" w:type="pct"/>
            <w:gridSpan w:val="12"/>
            <w:tcBorders>
              <w:tl2br w:val="nil"/>
              <w:tr2bl w:val="nil"/>
            </w:tcBorders>
            <w:noWrap/>
            <w:vAlign w:val="center"/>
          </w:tcPr>
          <w:p w14:paraId="3FDC631B">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区（流）域水环境质量改善目标 □；替代削减源 □ </w:t>
            </w:r>
          </w:p>
        </w:tc>
      </w:tr>
      <w:tr w14:paraId="46BF01B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536C2309">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33B2A18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水环境影响评价</w:t>
            </w:r>
          </w:p>
        </w:tc>
        <w:tc>
          <w:tcPr>
            <w:tcW w:w="4097" w:type="pct"/>
            <w:gridSpan w:val="12"/>
            <w:tcBorders>
              <w:tl2br w:val="nil"/>
              <w:tr2bl w:val="nil"/>
            </w:tcBorders>
            <w:noWrap/>
            <w:vAlign w:val="center"/>
          </w:tcPr>
          <w:p w14:paraId="3C3E5353">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排放口混合区外满足水环境管理要求 □ </w:t>
            </w:r>
          </w:p>
          <w:p w14:paraId="68C96C72">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水环境功能区或水功能区、近岸海域环境功能区水质达标 □ </w:t>
            </w:r>
          </w:p>
          <w:p w14:paraId="2A276514">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满足水环境保护目标水域水环境质量要求 □ </w:t>
            </w:r>
          </w:p>
          <w:p w14:paraId="08B31F6C">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水环境控制单元或断面水质达标 □ </w:t>
            </w:r>
          </w:p>
          <w:p w14:paraId="13C82E25">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满足重点水污染物排放总量控制指标要求，重点行业建设项目， 主要污染物排放满足等量或减量替代要求 □ </w:t>
            </w:r>
          </w:p>
          <w:p w14:paraId="4EF4AF92">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满足区（流）域水环境质量改善目标要求 □ </w:t>
            </w:r>
          </w:p>
          <w:p w14:paraId="18234F70">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水文要素影响型建设项目同时应包括水文情势变化评价、主要水文特征值影响评价、生态流量符合性评价 □ </w:t>
            </w:r>
          </w:p>
          <w:p w14:paraId="3DBE0966">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 xml:space="preserve">对于新设或调整入河（湖库、近岸海域）排放口的建设项目，应包括排放口设置的环境合理性评价 □ </w:t>
            </w:r>
          </w:p>
          <w:p w14:paraId="4EA519DA">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满足生态保护红线、水环境质量底线、资源利用上线和环境准入清单管理要求 □</w:t>
            </w:r>
          </w:p>
        </w:tc>
      </w:tr>
      <w:tr w14:paraId="549E655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6FADAFD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restart"/>
            <w:tcBorders>
              <w:tl2br w:val="nil"/>
              <w:tr2bl w:val="nil"/>
            </w:tcBorders>
            <w:noWrap/>
            <w:vAlign w:val="center"/>
          </w:tcPr>
          <w:p w14:paraId="03E2F73D">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污染源排放量核算</w:t>
            </w:r>
          </w:p>
        </w:tc>
        <w:tc>
          <w:tcPr>
            <w:tcW w:w="1358" w:type="pct"/>
            <w:gridSpan w:val="4"/>
            <w:tcBorders>
              <w:tl2br w:val="nil"/>
              <w:tr2bl w:val="nil"/>
            </w:tcBorders>
            <w:noWrap/>
            <w:vAlign w:val="center"/>
          </w:tcPr>
          <w:p w14:paraId="33DE47D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污染物名称</w:t>
            </w:r>
          </w:p>
        </w:tc>
        <w:tc>
          <w:tcPr>
            <w:tcW w:w="1363" w:type="pct"/>
            <w:gridSpan w:val="5"/>
            <w:tcBorders>
              <w:tl2br w:val="nil"/>
              <w:tr2bl w:val="nil"/>
            </w:tcBorders>
            <w:noWrap/>
            <w:vAlign w:val="center"/>
          </w:tcPr>
          <w:p w14:paraId="340884B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排放量/（t/a）</w:t>
            </w:r>
          </w:p>
        </w:tc>
        <w:tc>
          <w:tcPr>
            <w:tcW w:w="1374" w:type="pct"/>
            <w:gridSpan w:val="3"/>
            <w:tcBorders>
              <w:tl2br w:val="nil"/>
              <w:tr2bl w:val="nil"/>
            </w:tcBorders>
            <w:noWrap/>
            <w:vAlign w:val="center"/>
          </w:tcPr>
          <w:p w14:paraId="0D73A9F0">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排放浓度/（mg/L）</w:t>
            </w:r>
          </w:p>
        </w:tc>
      </w:tr>
      <w:tr w14:paraId="78C3BD1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2CB81F4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0BEA6B9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1358" w:type="pct"/>
            <w:gridSpan w:val="4"/>
            <w:tcBorders>
              <w:tl2br w:val="nil"/>
              <w:tr2bl w:val="nil"/>
            </w:tcBorders>
            <w:noWrap/>
            <w:vAlign w:val="center"/>
          </w:tcPr>
          <w:p w14:paraId="59B11B9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COD</w:t>
            </w:r>
          </w:p>
        </w:tc>
        <w:tc>
          <w:tcPr>
            <w:tcW w:w="1363" w:type="pct"/>
            <w:gridSpan w:val="5"/>
            <w:tcBorders>
              <w:tl2br w:val="nil"/>
              <w:tr2bl w:val="nil"/>
            </w:tcBorders>
            <w:noWrap/>
            <w:vAlign w:val="center"/>
          </w:tcPr>
          <w:p w14:paraId="2D435C52">
            <w:pPr>
              <w:autoSpaceDE/>
              <w:autoSpaceDN/>
              <w:adjustRightInd w:val="0"/>
              <w:snapToGrid w:val="0"/>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1374" w:type="pct"/>
            <w:gridSpan w:val="3"/>
            <w:tcBorders>
              <w:tl2br w:val="nil"/>
              <w:tr2bl w:val="nil"/>
            </w:tcBorders>
            <w:noWrap/>
            <w:vAlign w:val="center"/>
          </w:tcPr>
          <w:p w14:paraId="73DBB10B">
            <w:pPr>
              <w:autoSpaceDE/>
              <w:autoSpaceDN/>
              <w:adjustRightInd w:val="0"/>
              <w:snapToGrid w:val="0"/>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r>
      <w:tr w14:paraId="3C5003B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463CB016">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640EEF7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1358" w:type="pct"/>
            <w:gridSpan w:val="4"/>
            <w:tcBorders>
              <w:tl2br w:val="nil"/>
              <w:tr2bl w:val="nil"/>
            </w:tcBorders>
            <w:noWrap/>
            <w:vAlign w:val="center"/>
          </w:tcPr>
          <w:p w14:paraId="1F752FE7">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NH</w:t>
            </w:r>
            <w:r>
              <w:rPr>
                <w:rFonts w:hint="default" w:ascii="Times New Roman" w:hAnsi="Times New Roman" w:cs="Times New Roman"/>
                <w:sz w:val="21"/>
                <w:szCs w:val="21"/>
                <w:vertAlign w:val="subscript"/>
              </w:rPr>
              <w:t>3</w:t>
            </w:r>
            <w:r>
              <w:rPr>
                <w:rFonts w:hint="default" w:ascii="Times New Roman" w:hAnsi="Times New Roman" w:cs="Times New Roman"/>
                <w:sz w:val="21"/>
                <w:szCs w:val="21"/>
              </w:rPr>
              <w:t>-N</w:t>
            </w:r>
          </w:p>
        </w:tc>
        <w:tc>
          <w:tcPr>
            <w:tcW w:w="1363" w:type="pct"/>
            <w:gridSpan w:val="5"/>
            <w:tcBorders>
              <w:tl2br w:val="nil"/>
              <w:tr2bl w:val="nil"/>
            </w:tcBorders>
            <w:noWrap/>
            <w:vAlign w:val="center"/>
          </w:tcPr>
          <w:p w14:paraId="04E38DE6">
            <w:pPr>
              <w:autoSpaceDE/>
              <w:autoSpaceDN/>
              <w:adjustRightInd w:val="0"/>
              <w:snapToGrid w:val="0"/>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c>
          <w:tcPr>
            <w:tcW w:w="1374" w:type="pct"/>
            <w:gridSpan w:val="3"/>
            <w:tcBorders>
              <w:tl2br w:val="nil"/>
              <w:tr2bl w:val="nil"/>
            </w:tcBorders>
            <w:noWrap/>
            <w:vAlign w:val="center"/>
          </w:tcPr>
          <w:p w14:paraId="3BEECCA1">
            <w:pPr>
              <w:autoSpaceDE/>
              <w:autoSpaceDN/>
              <w:adjustRightInd w:val="0"/>
              <w:snapToGrid w:val="0"/>
              <w:spacing w:before="0" w:after="0" w:line="240" w:lineRule="auto"/>
              <w:ind w:left="0" w:firstLine="0"/>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w:t>
            </w:r>
          </w:p>
        </w:tc>
      </w:tr>
      <w:tr w14:paraId="5B241BC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21FBE01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restart"/>
            <w:tcBorders>
              <w:tl2br w:val="nil"/>
              <w:tr2bl w:val="nil"/>
            </w:tcBorders>
            <w:noWrap/>
            <w:vAlign w:val="center"/>
          </w:tcPr>
          <w:p w14:paraId="4CA9E8A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替代源排放情况</w:t>
            </w:r>
          </w:p>
        </w:tc>
        <w:tc>
          <w:tcPr>
            <w:tcW w:w="815" w:type="pct"/>
            <w:tcBorders>
              <w:tl2br w:val="nil"/>
              <w:tr2bl w:val="nil"/>
            </w:tcBorders>
            <w:noWrap/>
            <w:vAlign w:val="center"/>
          </w:tcPr>
          <w:p w14:paraId="1B51833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污染源名称</w:t>
            </w:r>
          </w:p>
        </w:tc>
        <w:tc>
          <w:tcPr>
            <w:tcW w:w="814" w:type="pct"/>
            <w:gridSpan w:val="4"/>
            <w:tcBorders>
              <w:tl2br w:val="nil"/>
              <w:tr2bl w:val="nil"/>
            </w:tcBorders>
            <w:noWrap/>
            <w:vAlign w:val="center"/>
          </w:tcPr>
          <w:p w14:paraId="593826C6">
            <w:pPr>
              <w:autoSpaceDE/>
              <w:autoSpaceDN/>
              <w:adjustRightInd w:val="0"/>
              <w:snapToGrid w:val="0"/>
              <w:spacing w:before="0" w:after="0" w:line="240" w:lineRule="auto"/>
              <w:ind w:left="0" w:firstLine="0"/>
              <w:jc w:val="center"/>
              <w:rPr>
                <w:rFonts w:hint="default" w:ascii="Times New Roman" w:hAnsi="Times New Roman" w:cs="Times New Roman"/>
                <w:spacing w:val="-10"/>
                <w:sz w:val="21"/>
                <w:szCs w:val="21"/>
              </w:rPr>
            </w:pPr>
            <w:r>
              <w:rPr>
                <w:rFonts w:hint="default" w:ascii="Times New Roman" w:hAnsi="Times New Roman" w:cs="Times New Roman"/>
                <w:spacing w:val="-10"/>
                <w:sz w:val="21"/>
                <w:szCs w:val="21"/>
              </w:rPr>
              <w:t>排污许可证编号</w:t>
            </w:r>
          </w:p>
        </w:tc>
        <w:tc>
          <w:tcPr>
            <w:tcW w:w="819" w:type="pct"/>
            <w:gridSpan w:val="2"/>
            <w:tcBorders>
              <w:tl2br w:val="nil"/>
              <w:tr2bl w:val="nil"/>
            </w:tcBorders>
            <w:noWrap/>
            <w:vAlign w:val="center"/>
          </w:tcPr>
          <w:p w14:paraId="28476CBD">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污染物名称</w:t>
            </w:r>
          </w:p>
        </w:tc>
        <w:tc>
          <w:tcPr>
            <w:tcW w:w="821" w:type="pct"/>
            <w:gridSpan w:val="4"/>
            <w:tcBorders>
              <w:tl2br w:val="nil"/>
              <w:tr2bl w:val="nil"/>
            </w:tcBorders>
            <w:noWrap/>
            <w:vAlign w:val="center"/>
          </w:tcPr>
          <w:p w14:paraId="5BC915F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排放量/（t/a）</w:t>
            </w:r>
          </w:p>
        </w:tc>
        <w:tc>
          <w:tcPr>
            <w:tcW w:w="825" w:type="pct"/>
            <w:tcBorders>
              <w:tl2br w:val="nil"/>
              <w:tr2bl w:val="nil"/>
            </w:tcBorders>
            <w:noWrap/>
            <w:vAlign w:val="center"/>
          </w:tcPr>
          <w:p w14:paraId="716CB9A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排放浓度/（mg/L）</w:t>
            </w:r>
          </w:p>
        </w:tc>
      </w:tr>
      <w:tr w14:paraId="0302F0B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16DA33E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5508A7D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815" w:type="pct"/>
            <w:tcBorders>
              <w:tl2br w:val="nil"/>
              <w:tr2bl w:val="nil"/>
            </w:tcBorders>
            <w:noWrap/>
            <w:vAlign w:val="top"/>
          </w:tcPr>
          <w:p w14:paraId="0DA7EC94">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814" w:type="pct"/>
            <w:gridSpan w:val="4"/>
            <w:tcBorders>
              <w:tl2br w:val="nil"/>
              <w:tr2bl w:val="nil"/>
            </w:tcBorders>
            <w:noWrap/>
            <w:vAlign w:val="top"/>
          </w:tcPr>
          <w:p w14:paraId="4146E8C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819" w:type="pct"/>
            <w:gridSpan w:val="2"/>
            <w:tcBorders>
              <w:tl2br w:val="nil"/>
              <w:tr2bl w:val="nil"/>
            </w:tcBorders>
            <w:noWrap/>
            <w:vAlign w:val="top"/>
          </w:tcPr>
          <w:p w14:paraId="7967535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821" w:type="pct"/>
            <w:gridSpan w:val="4"/>
            <w:tcBorders>
              <w:tl2br w:val="nil"/>
              <w:tr2bl w:val="nil"/>
            </w:tcBorders>
            <w:noWrap/>
            <w:vAlign w:val="top"/>
          </w:tcPr>
          <w:p w14:paraId="7176377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825" w:type="pct"/>
            <w:tcBorders>
              <w:tl2br w:val="nil"/>
              <w:tr2bl w:val="nil"/>
            </w:tcBorders>
            <w:noWrap/>
            <w:vAlign w:val="top"/>
          </w:tcPr>
          <w:p w14:paraId="3A7662B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r>
      <w:tr w14:paraId="2284DB6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519B940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0EA92225">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生态流量确定</w:t>
            </w:r>
          </w:p>
        </w:tc>
        <w:tc>
          <w:tcPr>
            <w:tcW w:w="4097" w:type="pct"/>
            <w:gridSpan w:val="12"/>
            <w:tcBorders>
              <w:tl2br w:val="nil"/>
              <w:tr2bl w:val="nil"/>
            </w:tcBorders>
            <w:noWrap/>
            <w:vAlign w:val="center"/>
          </w:tcPr>
          <w:p w14:paraId="28B17596">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生态流量：一般水期（ ）m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/s；鱼类繁殖期（ ）m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/s；其他（ ）m</w:t>
            </w:r>
            <w:r>
              <w:rPr>
                <w:rFonts w:hint="default" w:ascii="Times New Roman" w:hAnsi="Times New Roman" w:cs="Times New Roman"/>
                <w:sz w:val="21"/>
                <w:szCs w:val="21"/>
                <w:vertAlign w:val="superscript"/>
              </w:rPr>
              <w:t>3</w:t>
            </w:r>
            <w:r>
              <w:rPr>
                <w:rFonts w:hint="default" w:ascii="Times New Roman" w:hAnsi="Times New Roman" w:cs="Times New Roman"/>
                <w:sz w:val="21"/>
                <w:szCs w:val="21"/>
              </w:rPr>
              <w:t xml:space="preserve">/s </w:t>
            </w:r>
          </w:p>
          <w:p w14:paraId="33BB3382">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生态水位：一般水期（ ）m；鱼类繁殖期（ ）m；其他（ ）m</w:t>
            </w:r>
          </w:p>
        </w:tc>
      </w:tr>
      <w:tr w14:paraId="5C70BD5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restart"/>
            <w:tcBorders>
              <w:tl2br w:val="nil"/>
              <w:tr2bl w:val="nil"/>
            </w:tcBorders>
            <w:noWrap/>
            <w:vAlign w:val="center"/>
          </w:tcPr>
          <w:p w14:paraId="0890E474">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防</w:t>
            </w:r>
          </w:p>
          <w:p w14:paraId="445B1FB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治</w:t>
            </w:r>
          </w:p>
          <w:p w14:paraId="23FBED8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措</w:t>
            </w:r>
          </w:p>
          <w:p w14:paraId="21440BD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施</w:t>
            </w:r>
          </w:p>
        </w:tc>
        <w:tc>
          <w:tcPr>
            <w:tcW w:w="700" w:type="pct"/>
            <w:tcBorders>
              <w:tl2br w:val="nil"/>
              <w:tr2bl w:val="nil"/>
            </w:tcBorders>
            <w:noWrap/>
            <w:vAlign w:val="center"/>
          </w:tcPr>
          <w:p w14:paraId="3CF38E29">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环保措施</w:t>
            </w:r>
          </w:p>
        </w:tc>
        <w:tc>
          <w:tcPr>
            <w:tcW w:w="4097" w:type="pct"/>
            <w:gridSpan w:val="12"/>
            <w:tcBorders>
              <w:tl2br w:val="nil"/>
              <w:tr2bl w:val="nil"/>
            </w:tcBorders>
            <w:noWrap/>
            <w:vAlign w:val="center"/>
          </w:tcPr>
          <w:p w14:paraId="3837392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 xml:space="preserve">污水处理设施 □；水文减缓设施 □；生态流量保障设施 □；区域削减 □；依托其他工程措施 □；其他 □ </w:t>
            </w:r>
          </w:p>
        </w:tc>
      </w:tr>
      <w:tr w14:paraId="09D8800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2AF64FF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restart"/>
            <w:tcBorders>
              <w:tl2br w:val="nil"/>
              <w:tr2bl w:val="nil"/>
            </w:tcBorders>
            <w:noWrap/>
            <w:vAlign w:val="center"/>
          </w:tcPr>
          <w:p w14:paraId="0169FD60">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监测计划</w:t>
            </w:r>
          </w:p>
        </w:tc>
        <w:tc>
          <w:tcPr>
            <w:tcW w:w="1053" w:type="pct"/>
            <w:gridSpan w:val="3"/>
            <w:tcBorders>
              <w:tl2br w:val="nil"/>
              <w:tr2bl w:val="nil"/>
            </w:tcBorders>
            <w:noWrap/>
            <w:vAlign w:val="center"/>
          </w:tcPr>
          <w:p w14:paraId="2D309B8B">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p>
        </w:tc>
        <w:tc>
          <w:tcPr>
            <w:tcW w:w="1516" w:type="pct"/>
            <w:gridSpan w:val="5"/>
            <w:tcBorders>
              <w:tl2br w:val="nil"/>
              <w:tr2bl w:val="nil"/>
            </w:tcBorders>
            <w:noWrap/>
            <w:vAlign w:val="center"/>
          </w:tcPr>
          <w:p w14:paraId="2CB7C29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环境质量</w:t>
            </w:r>
          </w:p>
        </w:tc>
        <w:tc>
          <w:tcPr>
            <w:tcW w:w="1527" w:type="pct"/>
            <w:gridSpan w:val="4"/>
            <w:tcBorders>
              <w:tl2br w:val="nil"/>
              <w:tr2bl w:val="nil"/>
            </w:tcBorders>
            <w:noWrap/>
            <w:vAlign w:val="center"/>
          </w:tcPr>
          <w:p w14:paraId="0537B75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污染源</w:t>
            </w:r>
          </w:p>
        </w:tc>
      </w:tr>
      <w:tr w14:paraId="44B879D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0EE7CEC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31B9229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1053" w:type="pct"/>
            <w:gridSpan w:val="3"/>
            <w:tcBorders>
              <w:tl2br w:val="nil"/>
              <w:tr2bl w:val="nil"/>
            </w:tcBorders>
            <w:noWrap/>
            <w:vAlign w:val="center"/>
          </w:tcPr>
          <w:p w14:paraId="05B19D87">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监测方式</w:t>
            </w:r>
          </w:p>
        </w:tc>
        <w:tc>
          <w:tcPr>
            <w:tcW w:w="1516" w:type="pct"/>
            <w:gridSpan w:val="5"/>
            <w:tcBorders>
              <w:tl2br w:val="nil"/>
              <w:tr2bl w:val="nil"/>
            </w:tcBorders>
            <w:noWrap/>
            <w:vAlign w:val="center"/>
          </w:tcPr>
          <w:p w14:paraId="0890CF1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手动 □；自动 □；无监测 □</w:t>
            </w:r>
          </w:p>
        </w:tc>
        <w:tc>
          <w:tcPr>
            <w:tcW w:w="1527" w:type="pct"/>
            <w:gridSpan w:val="4"/>
            <w:tcBorders>
              <w:tl2br w:val="nil"/>
              <w:tr2bl w:val="nil"/>
            </w:tcBorders>
            <w:noWrap/>
            <w:vAlign w:val="center"/>
          </w:tcPr>
          <w:p w14:paraId="5A6263E9">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手动 □；自动 □；无监测 □</w:t>
            </w:r>
          </w:p>
        </w:tc>
      </w:tr>
      <w:tr w14:paraId="555D509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40E951F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0CF8FBD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1053" w:type="pct"/>
            <w:gridSpan w:val="3"/>
            <w:tcBorders>
              <w:tl2br w:val="nil"/>
              <w:tr2bl w:val="nil"/>
            </w:tcBorders>
            <w:noWrap/>
            <w:vAlign w:val="center"/>
          </w:tcPr>
          <w:p w14:paraId="5C549D3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监测点位</w:t>
            </w:r>
          </w:p>
        </w:tc>
        <w:tc>
          <w:tcPr>
            <w:tcW w:w="1516" w:type="pct"/>
            <w:gridSpan w:val="5"/>
            <w:tcBorders>
              <w:tl2br w:val="nil"/>
              <w:tr2bl w:val="nil"/>
            </w:tcBorders>
            <w:noWrap/>
            <w:vAlign w:val="center"/>
          </w:tcPr>
          <w:p w14:paraId="43673B8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527" w:type="pct"/>
            <w:gridSpan w:val="4"/>
            <w:tcBorders>
              <w:tl2br w:val="nil"/>
              <w:tr2bl w:val="nil"/>
            </w:tcBorders>
            <w:noWrap/>
            <w:vAlign w:val="center"/>
          </w:tcPr>
          <w:p w14:paraId="3864ABF5">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r>
      <w:tr w14:paraId="637DCCD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34D098B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vMerge w:val="continue"/>
            <w:tcBorders>
              <w:tl2br w:val="nil"/>
              <w:tr2bl w:val="nil"/>
            </w:tcBorders>
            <w:noWrap/>
            <w:vAlign w:val="center"/>
          </w:tcPr>
          <w:p w14:paraId="74A8994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1053" w:type="pct"/>
            <w:gridSpan w:val="3"/>
            <w:tcBorders>
              <w:tl2br w:val="nil"/>
              <w:tr2bl w:val="nil"/>
            </w:tcBorders>
            <w:noWrap/>
            <w:vAlign w:val="center"/>
          </w:tcPr>
          <w:p w14:paraId="6B7A732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监测因子</w:t>
            </w:r>
          </w:p>
        </w:tc>
        <w:tc>
          <w:tcPr>
            <w:tcW w:w="1516" w:type="pct"/>
            <w:gridSpan w:val="5"/>
            <w:tcBorders>
              <w:tl2br w:val="nil"/>
              <w:tr2bl w:val="nil"/>
            </w:tcBorders>
            <w:noWrap/>
            <w:vAlign w:val="center"/>
          </w:tcPr>
          <w:p w14:paraId="6B0796B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1527" w:type="pct"/>
            <w:gridSpan w:val="4"/>
            <w:tcBorders>
              <w:tl2br w:val="nil"/>
              <w:tr2bl w:val="nil"/>
            </w:tcBorders>
            <w:noWrap/>
            <w:vAlign w:val="center"/>
          </w:tcPr>
          <w:p w14:paraId="7831AF34">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w:t>
            </w:r>
          </w:p>
        </w:tc>
      </w:tr>
      <w:tr w14:paraId="51989F4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202" w:type="pct"/>
            <w:vMerge w:val="continue"/>
            <w:tcBorders>
              <w:tl2br w:val="nil"/>
              <w:tr2bl w:val="nil"/>
            </w:tcBorders>
            <w:noWrap/>
            <w:vAlign w:val="center"/>
          </w:tcPr>
          <w:p w14:paraId="4399890D">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p>
        </w:tc>
        <w:tc>
          <w:tcPr>
            <w:tcW w:w="700" w:type="pct"/>
            <w:tcBorders>
              <w:tl2br w:val="nil"/>
              <w:tr2bl w:val="nil"/>
            </w:tcBorders>
            <w:noWrap/>
            <w:vAlign w:val="center"/>
          </w:tcPr>
          <w:p w14:paraId="2CFB9745">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污染物排放清单</w:t>
            </w:r>
          </w:p>
        </w:tc>
        <w:tc>
          <w:tcPr>
            <w:tcW w:w="4097" w:type="pct"/>
            <w:gridSpan w:val="12"/>
            <w:tcBorders>
              <w:tl2br w:val="nil"/>
              <w:tr2bl w:val="nil"/>
            </w:tcBorders>
            <w:noWrap/>
            <w:vAlign w:val="center"/>
          </w:tcPr>
          <w:p w14:paraId="66D484BF">
            <w:pPr>
              <w:autoSpaceDE/>
              <w:autoSpaceDN/>
              <w:adjustRightInd w:val="0"/>
              <w:snapToGrid w:val="0"/>
              <w:spacing w:before="0" w:after="0" w:line="240" w:lineRule="auto"/>
              <w:ind w:left="0" w:firstLine="0"/>
              <w:jc w:val="left"/>
              <w:rPr>
                <w:rFonts w:hint="default" w:ascii="Times New Roman" w:hAnsi="Times New Roman" w:cs="Times New Roman"/>
                <w:sz w:val="21"/>
                <w:szCs w:val="21"/>
              </w:rPr>
            </w:pPr>
            <w:r>
              <w:rPr>
                <w:rFonts w:hint="default" w:ascii="Times New Roman" w:hAnsi="Times New Roman" w:cs="Times New Roman"/>
                <w:sz w:val="21"/>
                <w:szCs w:val="21"/>
              </w:rPr>
              <w:t>□</w:t>
            </w:r>
          </w:p>
        </w:tc>
      </w:tr>
      <w:tr w14:paraId="0E9A24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2" w:type="pct"/>
            <w:gridSpan w:val="2"/>
            <w:tcBorders>
              <w:tl2br w:val="nil"/>
              <w:tr2bl w:val="nil"/>
            </w:tcBorders>
            <w:noWrap/>
            <w:vAlign w:val="center"/>
          </w:tcPr>
          <w:p w14:paraId="277A1EE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评价结论</w:t>
            </w:r>
          </w:p>
        </w:tc>
        <w:tc>
          <w:tcPr>
            <w:tcW w:w="4097" w:type="pct"/>
            <w:gridSpan w:val="12"/>
            <w:tcBorders>
              <w:tl2br w:val="nil"/>
              <w:tr2bl w:val="nil"/>
            </w:tcBorders>
            <w:noWrap/>
            <w:vAlign w:val="center"/>
          </w:tcPr>
          <w:p w14:paraId="56B12DE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可以接受 ☑；不可以接受 □</w:t>
            </w:r>
          </w:p>
        </w:tc>
      </w:tr>
      <w:tr w14:paraId="27E6FDD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5000" w:type="pct"/>
            <w:gridSpan w:val="14"/>
            <w:tcBorders>
              <w:tl2br w:val="nil"/>
              <w:tr2bl w:val="nil"/>
            </w:tcBorders>
            <w:noWrap/>
            <w:vAlign w:val="center"/>
          </w:tcPr>
          <w:p w14:paraId="589A26F9">
            <w:pPr>
              <w:autoSpaceDE/>
              <w:autoSpaceDN/>
              <w:adjustRightInd w:val="0"/>
              <w:snapToGrid w:val="0"/>
              <w:spacing w:before="0" w:after="0" w:line="240" w:lineRule="auto"/>
              <w:ind w:left="0" w:firstLine="0"/>
              <w:rPr>
                <w:rFonts w:hint="default" w:ascii="Times New Roman" w:hAnsi="Times New Roman" w:cs="Times New Roman"/>
                <w:sz w:val="21"/>
                <w:szCs w:val="21"/>
              </w:rPr>
            </w:pPr>
            <w:r>
              <w:rPr>
                <w:rFonts w:hint="default" w:ascii="Times New Roman" w:hAnsi="Times New Roman" w:cs="Times New Roman"/>
                <w:sz w:val="21"/>
                <w:szCs w:val="21"/>
              </w:rPr>
              <w:t>注：“□”为勾选项，可√；“（ ）”为内容填写项；“备注”为其他补充内容。</w:t>
            </w:r>
          </w:p>
        </w:tc>
      </w:tr>
    </w:tbl>
    <w:p w14:paraId="09F4270D">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default" w:ascii="Times New Roman" w:hAnsi="Times New Roman" w:eastAsia="宋体" w:cs="Times New Roman"/>
          <w:b/>
          <w:bCs/>
          <w:sz w:val="24"/>
          <w:szCs w:val="16"/>
          <w:highlight w:val="none"/>
        </w:rPr>
      </w:pPr>
      <w:r>
        <w:rPr>
          <w:rFonts w:hint="default" w:ascii="Times New Roman" w:hAnsi="Times New Roman" w:eastAsia="宋体" w:cs="Times New Roman"/>
          <w:b/>
          <w:bCs/>
          <w:sz w:val="24"/>
          <w:szCs w:val="16"/>
          <w:highlight w:val="none"/>
          <w:lang w:val="en-US" w:eastAsia="zh-CN"/>
        </w:rPr>
        <w:t>5.2.3</w:t>
      </w:r>
      <w:r>
        <w:rPr>
          <w:rFonts w:hint="default" w:ascii="Times New Roman" w:hAnsi="Times New Roman" w:eastAsia="宋体" w:cs="Times New Roman"/>
          <w:b/>
          <w:bCs/>
          <w:sz w:val="24"/>
          <w:szCs w:val="16"/>
          <w:highlight w:val="none"/>
        </w:rPr>
        <w:t>地下水</w:t>
      </w:r>
      <w:r>
        <w:rPr>
          <w:rFonts w:hint="default" w:ascii="Times New Roman" w:hAnsi="Times New Roman" w:cs="Times New Roman"/>
          <w:b/>
          <w:bCs/>
          <w:sz w:val="24"/>
          <w:szCs w:val="16"/>
          <w:highlight w:val="none"/>
          <w:lang w:val="en-US" w:eastAsia="zh-CN"/>
        </w:rPr>
        <w:t>环境影响预测与评价</w:t>
      </w:r>
    </w:p>
    <w:p w14:paraId="0DE15E18">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lang w:val="en-US" w:eastAsia="zh-CN"/>
        </w:rPr>
      </w:pPr>
      <w:bookmarkStart w:id="209" w:name="_Toc13713"/>
      <w:bookmarkStart w:id="210" w:name="_Toc11262"/>
      <w:r>
        <w:rPr>
          <w:rFonts w:hint="default" w:ascii="Times New Roman" w:hAnsi="Times New Roman" w:eastAsia="宋体" w:cs="Times New Roman"/>
          <w:b/>
          <w:bCs/>
          <w:sz w:val="24"/>
          <w:szCs w:val="16"/>
          <w:highlight w:val="none"/>
          <w:lang w:val="en-US" w:eastAsia="zh-CN"/>
        </w:rPr>
        <w:t>5.2.3.1地下水环境影响评价工作等级及评价范围</w:t>
      </w:r>
      <w:bookmarkEnd w:id="209"/>
      <w:bookmarkEnd w:id="210"/>
    </w:p>
    <w:p w14:paraId="12B4EC3C">
      <w:pPr>
        <w:pStyle w:val="6"/>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）地下水环境影响评价工作等级</w:t>
      </w:r>
    </w:p>
    <w:p w14:paraId="15B2BE73">
      <w:pPr>
        <w:pStyle w:val="6"/>
        <w:rPr>
          <w:rFonts w:hint="default" w:ascii="Times New Roman" w:hAnsi="Times New Roman" w:cs="Times New Roman"/>
          <w:sz w:val="24"/>
          <w:szCs w:val="24"/>
        </w:rPr>
      </w:pPr>
      <w:r>
        <w:rPr>
          <w:rFonts w:hint="default" w:ascii="Times New Roman" w:hAnsi="Times New Roman" w:eastAsia="宋体" w:cs="Times New Roman"/>
          <w:sz w:val="24"/>
          <w:szCs w:val="24"/>
          <w:highlight w:val="none"/>
        </w:rPr>
        <w:t>根据《环境影响评价技术导则</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地下水环境》（HJ610-2016）附录A中的规定，本工程为</w:t>
      </w:r>
      <w:r>
        <w:rPr>
          <w:rFonts w:hint="default" w:ascii="Times New Roman" w:hAnsi="Times New Roman" w:cs="Times New Roman"/>
          <w:sz w:val="24"/>
          <w:szCs w:val="24"/>
          <w:highlight w:val="none"/>
          <w:lang w:val="en-US" w:eastAsia="zh-CN"/>
        </w:rPr>
        <w:t>水泥窑协同处置危险废物</w:t>
      </w:r>
      <w:r>
        <w:rPr>
          <w:rFonts w:hint="default" w:ascii="Times New Roman" w:hAnsi="Times New Roman" w:eastAsia="宋体" w:cs="Times New Roman"/>
          <w:sz w:val="24"/>
          <w:szCs w:val="24"/>
          <w:highlight w:val="none"/>
        </w:rPr>
        <w:t>项目，属于</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U城镇基础设施及房地产</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中</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151、危险废物（含医疗废物）集中处置及综合利用</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，地下水环境影响评价项目类别为I类</w:t>
      </w:r>
      <w:r>
        <w:rPr>
          <w:rFonts w:hint="default" w:ascii="Times New Roman" w:hAnsi="Times New Roman" w:cs="Times New Roman"/>
          <w:sz w:val="24"/>
          <w:szCs w:val="24"/>
        </w:rPr>
        <w:t>。</w:t>
      </w:r>
    </w:p>
    <w:p w14:paraId="395EC134">
      <w:pPr>
        <w:pStyle w:val="6"/>
        <w:rPr>
          <w:rFonts w:hint="default" w:ascii="Times New Roman" w:hAnsi="Times New Roman" w:cs="Times New Roman"/>
          <w:sz w:val="24"/>
        </w:rPr>
      </w:pPr>
      <w:r>
        <w:rPr>
          <w:rFonts w:hint="default" w:ascii="Times New Roman" w:hAnsi="Times New Roman" w:eastAsia="宋体" w:cs="Times New Roman"/>
          <w:sz w:val="24"/>
          <w:szCs w:val="24"/>
          <w:highlight w:val="none"/>
          <w:lang w:val="zh-CN"/>
        </w:rPr>
        <w:t>项目</w:t>
      </w:r>
      <w:r>
        <w:rPr>
          <w:rFonts w:hint="default" w:ascii="Times New Roman" w:hAnsi="Times New Roman" w:cs="Times New Roman"/>
          <w:sz w:val="24"/>
          <w:szCs w:val="24"/>
        </w:rPr>
        <w:t>位于</w:t>
      </w:r>
      <w:r>
        <w:rPr>
          <w:rFonts w:hint="default" w:ascii="Times New Roman" w:hAnsi="Times New Roman" w:cs="Times New Roman"/>
          <w:sz w:val="24"/>
          <w:szCs w:val="24"/>
          <w:lang w:val="en-US" w:eastAsia="zh-CN"/>
        </w:rPr>
        <w:t>阿克苏经济技术开发区</w:t>
      </w:r>
      <w:r>
        <w:rPr>
          <w:rFonts w:hint="default" w:ascii="Times New Roman" w:hAnsi="Times New Roman" w:cs="Times New Roman"/>
          <w:sz w:val="24"/>
          <w:szCs w:val="24"/>
        </w:rPr>
        <w:t>，</w:t>
      </w:r>
      <w:r>
        <w:rPr>
          <w:rFonts w:hint="default" w:ascii="Times New Roman" w:hAnsi="Times New Roman" w:cs="Times New Roman"/>
          <w:sz w:val="24"/>
          <w:szCs w:val="24"/>
          <w:lang w:val="zh-CN"/>
        </w:rPr>
        <w:t>所在区域不</w:t>
      </w:r>
      <w:r>
        <w:rPr>
          <w:rFonts w:hint="default" w:ascii="Times New Roman" w:hAnsi="Times New Roman" w:cs="Times New Roman"/>
          <w:sz w:val="24"/>
          <w:szCs w:val="24"/>
        </w:rPr>
        <w:t>涉及</w:t>
      </w:r>
      <w:r>
        <w:rPr>
          <w:rFonts w:hint="default" w:ascii="Times New Roman" w:hAnsi="Times New Roman" w:cs="Times New Roman"/>
          <w:sz w:val="24"/>
          <w:szCs w:val="24"/>
          <w:lang w:val="zh-CN"/>
        </w:rPr>
        <w:t>热水、矿泉水、温泉等特殊地下水源保护区，也不</w:t>
      </w:r>
      <w:r>
        <w:rPr>
          <w:rFonts w:hint="default" w:ascii="Times New Roman" w:hAnsi="Times New Roman" w:cs="Times New Roman"/>
          <w:sz w:val="24"/>
          <w:szCs w:val="24"/>
        </w:rPr>
        <w:t>涉及</w:t>
      </w:r>
      <w:r>
        <w:rPr>
          <w:rFonts w:hint="default" w:ascii="Times New Roman" w:hAnsi="Times New Roman" w:cs="Times New Roman"/>
          <w:sz w:val="24"/>
          <w:szCs w:val="24"/>
          <w:lang w:val="zh-CN"/>
        </w:rPr>
        <w:t>补给径流区，</w:t>
      </w:r>
      <w:r>
        <w:rPr>
          <w:rFonts w:hint="default" w:ascii="Times New Roman" w:hAnsi="Times New Roman" w:cs="Times New Roman"/>
          <w:kern w:val="0"/>
          <w:sz w:val="24"/>
          <w:szCs w:val="24"/>
        </w:rPr>
        <w:t>依据《环境影响评价技术导则 地下水环境》（HJ 610-2016）中的地下水环境敏感程度分级表，确定本项目所在区域的地下水环境敏感程度为</w:t>
      </w:r>
      <w:r>
        <w:rPr>
          <w:rFonts w:hint="default" w:ascii="Times New Roman" w:hAnsi="Times New Roman" w:cs="Times New Roman"/>
          <w:kern w:val="0"/>
          <w:sz w:val="24"/>
          <w:szCs w:val="24"/>
          <w:lang w:val="en-US" w:eastAsia="zh-CN"/>
        </w:rPr>
        <w:t>不</w:t>
      </w:r>
      <w:r>
        <w:rPr>
          <w:rFonts w:hint="default" w:ascii="Times New Roman" w:hAnsi="Times New Roman" w:cs="Times New Roman"/>
          <w:kern w:val="0"/>
          <w:sz w:val="24"/>
          <w:szCs w:val="24"/>
        </w:rPr>
        <w:t>敏感。</w:t>
      </w:r>
      <w:r>
        <w:rPr>
          <w:rFonts w:hint="default" w:ascii="Times New Roman" w:hAnsi="Times New Roman" w:cs="Times New Roman"/>
          <w:sz w:val="24"/>
        </w:rPr>
        <w:t>因此，本项目地下水环境评价等级为二级。地下水环境敏感程度分级及建设项目评价工作等级分级见表5</w:t>
      </w:r>
      <w:r>
        <w:rPr>
          <w:rFonts w:hint="default" w:ascii="Times New Roman" w:hAnsi="Times New Roman" w:cs="Times New Roman"/>
          <w:sz w:val="24"/>
          <w:lang w:val="en-US" w:eastAsia="zh-CN"/>
        </w:rPr>
        <w:t>.2</w:t>
      </w:r>
      <w:r>
        <w:rPr>
          <w:rFonts w:hint="default" w:ascii="Times New Roman" w:hAnsi="Times New Roman" w:cs="Times New Roman"/>
          <w:sz w:val="24"/>
        </w:rPr>
        <w:t>-</w:t>
      </w:r>
      <w:r>
        <w:rPr>
          <w:rFonts w:hint="eastAsia" w:cs="Times New Roman"/>
          <w:sz w:val="24"/>
          <w:lang w:val="en-US" w:eastAsia="zh-CN"/>
        </w:rPr>
        <w:t>17</w:t>
      </w:r>
      <w:r>
        <w:rPr>
          <w:rFonts w:hint="default" w:ascii="Times New Roman" w:hAnsi="Times New Roman" w:cs="Times New Roman"/>
          <w:sz w:val="24"/>
        </w:rPr>
        <w:t>、5</w:t>
      </w:r>
      <w:r>
        <w:rPr>
          <w:rFonts w:hint="default" w:ascii="Times New Roman" w:hAnsi="Times New Roman" w:cs="Times New Roman"/>
          <w:sz w:val="24"/>
          <w:lang w:val="en-US" w:eastAsia="zh-CN"/>
        </w:rPr>
        <w:t>.2</w:t>
      </w:r>
      <w:r>
        <w:rPr>
          <w:rFonts w:hint="default" w:ascii="Times New Roman" w:hAnsi="Times New Roman" w:cs="Times New Roman"/>
          <w:sz w:val="24"/>
        </w:rPr>
        <w:t>-</w:t>
      </w:r>
      <w:r>
        <w:rPr>
          <w:rFonts w:hint="eastAsia" w:cs="Times New Roman"/>
          <w:sz w:val="24"/>
          <w:lang w:val="en-US" w:eastAsia="zh-CN"/>
        </w:rPr>
        <w:t>18</w:t>
      </w:r>
      <w:r>
        <w:rPr>
          <w:rFonts w:hint="default" w:ascii="Times New Roman" w:hAnsi="Times New Roman" w:cs="Times New Roman"/>
          <w:sz w:val="24"/>
        </w:rPr>
        <w:t>。</w:t>
      </w:r>
    </w:p>
    <w:p w14:paraId="688381FA">
      <w:pPr>
        <w:jc w:val="center"/>
        <w:rPr>
          <w:rFonts w:hint="default" w:ascii="Times New Roman" w:hAnsi="Times New Roman" w:cs="Times New Roman"/>
          <w:b/>
          <w:sz w:val="24"/>
          <w:szCs w:val="24"/>
        </w:rPr>
      </w:pPr>
      <w:r>
        <w:rPr>
          <w:rFonts w:hint="default" w:ascii="Times New Roman" w:hAnsi="Times New Roman" w:cs="Times New Roman"/>
          <w:b/>
          <w:sz w:val="24"/>
          <w:szCs w:val="24"/>
        </w:rPr>
        <w:t>表5</w:t>
      </w:r>
      <w:r>
        <w:rPr>
          <w:rFonts w:hint="default" w:ascii="Times New Roman" w:hAnsi="Times New Roman" w:cs="Times New Roman"/>
          <w:b/>
          <w:sz w:val="24"/>
          <w:szCs w:val="24"/>
          <w:lang w:val="en-US" w:eastAsia="zh-CN"/>
        </w:rPr>
        <w:t>.2-</w:t>
      </w:r>
      <w:r>
        <w:rPr>
          <w:rFonts w:hint="eastAsia" w:cs="Times New Roman"/>
          <w:b/>
          <w:sz w:val="24"/>
          <w:szCs w:val="24"/>
          <w:lang w:val="en-US" w:eastAsia="zh-CN"/>
        </w:rPr>
        <w:t>17</w:t>
      </w:r>
      <w:r>
        <w:rPr>
          <w:rFonts w:hint="default" w:ascii="Times New Roman" w:hAnsi="Times New Roman" w:cs="Times New Roman"/>
          <w:b/>
          <w:sz w:val="24"/>
          <w:szCs w:val="24"/>
        </w:rPr>
        <w:t xml:space="preserve"> 地下水环境敏感程度分级</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22"/>
        <w:gridCol w:w="7600"/>
      </w:tblGrid>
      <w:tr w14:paraId="14A255C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0" w:type="pct"/>
            <w:tcBorders>
              <w:tl2br w:val="nil"/>
              <w:tr2bl w:val="nil"/>
            </w:tcBorders>
            <w:noWrap/>
            <w:vAlign w:val="center"/>
          </w:tcPr>
          <w:p w14:paraId="5390B553">
            <w:pPr>
              <w:tabs>
                <w:tab w:val="left" w:pos="1155"/>
              </w:tabs>
              <w:autoSpaceDE/>
              <w:autoSpaceDN/>
              <w:spacing w:before="0" w:after="0" w:line="240" w:lineRule="auto"/>
              <w:ind w:left="0" w:firstLine="0"/>
              <w:jc w:val="center"/>
              <w:rPr>
                <w:rFonts w:hint="default" w:ascii="Times New Roman" w:hAnsi="Times New Roman" w:cs="Times New Roman"/>
                <w:b/>
                <w:bCs/>
                <w:kern w:val="0"/>
                <w:sz w:val="21"/>
                <w:szCs w:val="21"/>
              </w:rPr>
            </w:pPr>
            <w:r>
              <w:rPr>
                <w:rFonts w:hint="default" w:ascii="Times New Roman" w:hAnsi="Times New Roman" w:cs="Times New Roman"/>
                <w:b/>
                <w:bCs/>
                <w:kern w:val="0"/>
                <w:sz w:val="21"/>
                <w:szCs w:val="21"/>
              </w:rPr>
              <w:t>分级</w:t>
            </w:r>
          </w:p>
        </w:tc>
        <w:tc>
          <w:tcPr>
            <w:tcW w:w="4459" w:type="pct"/>
            <w:tcBorders>
              <w:tl2br w:val="nil"/>
              <w:tr2bl w:val="nil"/>
            </w:tcBorders>
            <w:noWrap/>
            <w:vAlign w:val="center"/>
          </w:tcPr>
          <w:p w14:paraId="16B94D29">
            <w:pPr>
              <w:tabs>
                <w:tab w:val="left" w:pos="1155"/>
              </w:tabs>
              <w:autoSpaceDE/>
              <w:autoSpaceDN/>
              <w:spacing w:before="0" w:after="0" w:line="240" w:lineRule="auto"/>
              <w:ind w:left="0" w:firstLine="0"/>
              <w:jc w:val="center"/>
              <w:rPr>
                <w:rFonts w:hint="default" w:ascii="Times New Roman" w:hAnsi="Times New Roman" w:cs="Times New Roman"/>
                <w:b/>
                <w:bCs/>
                <w:kern w:val="0"/>
                <w:sz w:val="21"/>
                <w:szCs w:val="21"/>
              </w:rPr>
            </w:pPr>
            <w:r>
              <w:rPr>
                <w:rFonts w:hint="default" w:ascii="Times New Roman" w:hAnsi="Times New Roman" w:cs="Times New Roman"/>
                <w:b/>
                <w:bCs/>
                <w:kern w:val="0"/>
                <w:sz w:val="21"/>
                <w:szCs w:val="21"/>
              </w:rPr>
              <w:t>项目场地的地下水环境敏感特征</w:t>
            </w:r>
          </w:p>
        </w:tc>
      </w:tr>
      <w:tr w14:paraId="31FCDFF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0" w:type="pct"/>
            <w:tcBorders>
              <w:tl2br w:val="nil"/>
              <w:tr2bl w:val="nil"/>
            </w:tcBorders>
            <w:noWrap/>
            <w:vAlign w:val="center"/>
          </w:tcPr>
          <w:p w14:paraId="3069BC9A">
            <w:pPr>
              <w:tabs>
                <w:tab w:val="left" w:pos="1155"/>
              </w:tabs>
              <w:autoSpaceDE/>
              <w:autoSpaceDN/>
              <w:spacing w:before="0" w:after="0" w:line="240" w:lineRule="auto"/>
              <w:ind w:left="0" w:firstLine="0"/>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敏感</w:t>
            </w:r>
          </w:p>
        </w:tc>
        <w:tc>
          <w:tcPr>
            <w:tcW w:w="4459" w:type="pct"/>
            <w:tcBorders>
              <w:tl2br w:val="nil"/>
              <w:tr2bl w:val="nil"/>
            </w:tcBorders>
            <w:noWrap/>
            <w:vAlign w:val="center"/>
          </w:tcPr>
          <w:p w14:paraId="454218FB">
            <w:pPr>
              <w:tabs>
                <w:tab w:val="left" w:pos="1155"/>
              </w:tabs>
              <w:autoSpaceDE/>
              <w:autoSpaceDN/>
              <w:spacing w:before="0" w:after="0" w:line="240" w:lineRule="auto"/>
              <w:ind w:left="0" w:firstLine="0"/>
              <w:rPr>
                <w:rFonts w:hint="default" w:ascii="Times New Roman" w:hAnsi="Times New Roman" w:cs="Times New Roman"/>
                <w:kern w:val="0"/>
                <w:sz w:val="21"/>
                <w:szCs w:val="21"/>
              </w:rPr>
            </w:pPr>
            <w:r>
              <w:rPr>
                <w:rFonts w:hint="default" w:ascii="Times New Roman" w:hAnsi="Times New Roman" w:cs="Times New Roman"/>
                <w:kern w:val="0"/>
                <w:sz w:val="21"/>
                <w:szCs w:val="21"/>
              </w:rPr>
              <w:t>集中式饮用水水源（包括已建成的在用、备用、应急水源地，在建和规划的饮用水水源）准保护区；除集中式饮用水水源以外的国家或地方政府设定的与地下水环境相关的其它保护区，如热水、矿泉水、温泉等特殊地下水资源保护区。</w:t>
            </w:r>
          </w:p>
        </w:tc>
      </w:tr>
      <w:tr w14:paraId="2D7F8B6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0" w:type="pct"/>
            <w:tcBorders>
              <w:tl2br w:val="nil"/>
              <w:tr2bl w:val="nil"/>
            </w:tcBorders>
            <w:noWrap/>
            <w:vAlign w:val="center"/>
          </w:tcPr>
          <w:p w14:paraId="506AF34C">
            <w:pPr>
              <w:tabs>
                <w:tab w:val="left" w:pos="1155"/>
              </w:tabs>
              <w:autoSpaceDE/>
              <w:autoSpaceDN/>
              <w:spacing w:before="0" w:after="0" w:line="240" w:lineRule="auto"/>
              <w:ind w:left="0" w:firstLine="0"/>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较敏感</w:t>
            </w:r>
          </w:p>
        </w:tc>
        <w:tc>
          <w:tcPr>
            <w:tcW w:w="4459" w:type="pct"/>
            <w:tcBorders>
              <w:tl2br w:val="nil"/>
              <w:tr2bl w:val="nil"/>
            </w:tcBorders>
            <w:noWrap/>
            <w:vAlign w:val="center"/>
          </w:tcPr>
          <w:p w14:paraId="2B573DFC">
            <w:pPr>
              <w:tabs>
                <w:tab w:val="left" w:pos="1155"/>
              </w:tabs>
              <w:autoSpaceDE/>
              <w:autoSpaceDN/>
              <w:spacing w:before="0" w:after="0" w:line="240" w:lineRule="auto"/>
              <w:ind w:left="0" w:firstLine="0"/>
              <w:rPr>
                <w:rFonts w:hint="default" w:ascii="Times New Roman" w:hAnsi="Times New Roman" w:cs="Times New Roman"/>
                <w:kern w:val="0"/>
                <w:sz w:val="21"/>
                <w:szCs w:val="21"/>
              </w:rPr>
            </w:pPr>
            <w:r>
              <w:rPr>
                <w:rFonts w:hint="default" w:ascii="Times New Roman" w:hAnsi="Times New Roman" w:cs="Times New Roman"/>
                <w:kern w:val="0"/>
                <w:sz w:val="21"/>
                <w:szCs w:val="21"/>
              </w:rPr>
              <w:t>集中式饮用水水源（包括已建成的在用、备用、应急水源，在建和规划的饮用水水源）准保护区以外的补给径流区；未划定准保护区的集中式饮用水水源，其保护区以外的补给径流区；分散式饮用水水源地；特殊地下水资源（矿泉水、温泉等）保护区以外的分布区等其它未列入上述敏感分级的环境敏感区。</w:t>
            </w:r>
          </w:p>
        </w:tc>
      </w:tr>
      <w:tr w14:paraId="11DC943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40" w:type="pct"/>
            <w:tcBorders>
              <w:tl2br w:val="nil"/>
              <w:tr2bl w:val="nil"/>
            </w:tcBorders>
            <w:noWrap/>
            <w:vAlign w:val="center"/>
          </w:tcPr>
          <w:p w14:paraId="44531772">
            <w:pPr>
              <w:tabs>
                <w:tab w:val="left" w:pos="1155"/>
              </w:tabs>
              <w:autoSpaceDE/>
              <w:autoSpaceDN/>
              <w:spacing w:before="0" w:after="0" w:line="240" w:lineRule="auto"/>
              <w:ind w:left="0" w:firstLine="0"/>
              <w:jc w:val="center"/>
              <w:rPr>
                <w:rFonts w:hint="default" w:ascii="Times New Roman" w:hAnsi="Times New Roman" w:cs="Times New Roman"/>
                <w:kern w:val="0"/>
                <w:sz w:val="21"/>
                <w:szCs w:val="21"/>
              </w:rPr>
            </w:pPr>
            <w:r>
              <w:rPr>
                <w:rFonts w:hint="default" w:ascii="Times New Roman" w:hAnsi="Times New Roman" w:cs="Times New Roman"/>
                <w:kern w:val="0"/>
                <w:sz w:val="21"/>
                <w:szCs w:val="21"/>
              </w:rPr>
              <w:t>不敏感</w:t>
            </w:r>
          </w:p>
        </w:tc>
        <w:tc>
          <w:tcPr>
            <w:tcW w:w="4459" w:type="pct"/>
            <w:tcBorders>
              <w:tl2br w:val="nil"/>
              <w:tr2bl w:val="nil"/>
            </w:tcBorders>
            <w:noWrap/>
            <w:vAlign w:val="center"/>
          </w:tcPr>
          <w:p w14:paraId="4BF6B803">
            <w:pPr>
              <w:tabs>
                <w:tab w:val="left" w:pos="1155"/>
              </w:tabs>
              <w:autoSpaceDE/>
              <w:autoSpaceDN/>
              <w:spacing w:before="0" w:after="0" w:line="240" w:lineRule="auto"/>
              <w:ind w:left="0" w:firstLine="0"/>
              <w:rPr>
                <w:rFonts w:hint="default" w:ascii="Times New Roman" w:hAnsi="Times New Roman" w:cs="Times New Roman"/>
                <w:kern w:val="0"/>
                <w:sz w:val="21"/>
                <w:szCs w:val="21"/>
              </w:rPr>
            </w:pPr>
            <w:r>
              <w:rPr>
                <w:rFonts w:hint="default" w:ascii="Times New Roman" w:hAnsi="Times New Roman" w:cs="Times New Roman"/>
                <w:kern w:val="0"/>
                <w:sz w:val="21"/>
                <w:szCs w:val="21"/>
              </w:rPr>
              <w:t>上述地区之外的其它地区。</w:t>
            </w:r>
          </w:p>
        </w:tc>
      </w:tr>
    </w:tbl>
    <w:p w14:paraId="41BE4279">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b/>
          <w:sz w:val="24"/>
          <w:szCs w:val="24"/>
        </w:rPr>
      </w:pPr>
      <w:r>
        <w:rPr>
          <w:rFonts w:hint="default" w:ascii="Times New Roman" w:hAnsi="Times New Roman" w:cs="Times New Roman"/>
          <w:b/>
          <w:sz w:val="24"/>
          <w:szCs w:val="24"/>
        </w:rPr>
        <w:t>表5</w:t>
      </w:r>
      <w:r>
        <w:rPr>
          <w:rFonts w:hint="default" w:ascii="Times New Roman" w:hAnsi="Times New Roman" w:cs="Times New Roman"/>
          <w:b/>
          <w:sz w:val="24"/>
          <w:szCs w:val="24"/>
          <w:lang w:val="en-US" w:eastAsia="zh-CN"/>
        </w:rPr>
        <w:t>.2-</w:t>
      </w:r>
      <w:r>
        <w:rPr>
          <w:rFonts w:hint="eastAsia" w:cs="Times New Roman"/>
          <w:b/>
          <w:sz w:val="24"/>
          <w:szCs w:val="24"/>
          <w:lang w:val="en-US" w:eastAsia="zh-CN"/>
        </w:rPr>
        <w:t>18</w:t>
      </w:r>
      <w:r>
        <w:rPr>
          <w:rFonts w:hint="default" w:ascii="Times New Roman" w:hAnsi="Times New Roman" w:cs="Times New Roman"/>
          <w:b/>
          <w:sz w:val="24"/>
          <w:szCs w:val="24"/>
        </w:rPr>
        <w:t xml:space="preserve"> 地下水环境影响评价工作等级分级表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32"/>
        <w:gridCol w:w="2227"/>
        <w:gridCol w:w="2131"/>
        <w:gridCol w:w="2132"/>
      </w:tblGrid>
      <w:tr w14:paraId="6A3CA52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192" w:type="pct"/>
            <w:tcBorders>
              <w:tl2br w:val="nil"/>
              <w:tr2bl w:val="nil"/>
            </w:tcBorders>
            <w:noWrap/>
            <w:vAlign w:val="center"/>
            <mc:AlternateContent>
              <mc:Choice Requires="wpsCustomData">
                <wpsCustomData:diagonals>
                  <wpsCustomData:diagonal from="10000" to="30000">
                    <wpsCustomData:border w:val="single" w:color="auto" w:sz="4" w:space="0"/>
                  </wpsCustomData:diagonal>
                </wpsCustomData:diagonals>
              </mc:Choice>
            </mc:AlternateContent>
          </w:tcPr>
          <w:p w14:paraId="57923FFE">
            <w:pPr>
              <w:tabs>
                <w:tab w:val="left" w:pos="1155"/>
              </w:tabs>
              <w:autoSpaceDE/>
              <w:autoSpaceDN/>
              <w:snapToGrid w:val="0"/>
              <w:spacing w:before="0" w:after="0" w:line="240" w:lineRule="auto"/>
              <w:ind w:left="0" w:firstLine="0"/>
              <w:rPr>
                <w:rFonts w:hint="default" w:ascii="Times New Roman" w:hAnsi="Times New Roman" w:cs="Times New Roman"/>
                <w:b/>
                <w:bCs/>
                <w:sz w:val="21"/>
                <w:szCs w:val="21"/>
              </w:rPr>
            </w:pPr>
          </w:p>
          <w:p w14:paraId="5BAC8A0A">
            <w:pPr>
              <w:tabs>
                <w:tab w:val="left" w:pos="1155"/>
              </w:tabs>
              <w:autoSpaceDE/>
              <w:autoSpaceDN/>
              <w:snapToGrid w:val="0"/>
              <w:spacing w:before="0" w:after="0" w:line="240" w:lineRule="auto"/>
              <w:ind w:left="0" w:firstLine="0"/>
              <mc:AlternateContent>
                <mc:Choice Requires="wpsCustomData">
                  <wpsCustomData:diagonalParaType/>
                </mc:Choice>
              </mc:AlternateContent>
              <w:rPr>
                <w:rFonts w:hint="default" w:ascii="Times New Roman" w:hAnsi="Times New Roman" w:cs="Times New Roman"/>
                <w:b/>
                <w:bCs/>
                <w:sz w:val="21"/>
                <w:szCs w:val="21"/>
              </w:rPr>
            </w:pPr>
            <w:r>
              <w:rPr>
                <w:rFonts w:hint="default" w:ascii="Times New Roman" w:hAnsi="Times New Roman" w:cs="Times New Roman"/>
                <w:b/>
                <w:bCs/>
                <w:sz w:val="21"/>
                <w:szCs w:val="21"/>
              </w:rPr>
              <w:t>环境敏感程度</w:t>
            </w:r>
          </w:p>
          <w:p w14:paraId="5D3E5067">
            <w:pPr>
              <w:tabs>
                <w:tab w:val="left" w:pos="1155"/>
              </w:tabs>
              <w:autoSpaceDE/>
              <w:autoSpaceDN/>
              <w:spacing w:before="0" w:after="0" w:line="240" w:lineRule="auto"/>
              <w:ind w:left="0" w:firstLine="0"/>
              <w:rPr>
                <w:rFonts w:hint="default" w:ascii="Times New Roman" w:hAnsi="Times New Roman" w:cs="Times New Roman"/>
                <w:b/>
                <w:bCs/>
                <w:sz w:val="21"/>
                <w:szCs w:val="21"/>
              </w:rPr>
            </w:pPr>
            <w:r>
              <w:rPr>
                <w:rFonts w:hint="default" w:ascii="Times New Roman" w:hAnsi="Times New Roman" w:cs="Times New Roman"/>
                <w:b/>
                <w:bCs/>
                <w:sz w:val="21"/>
                <w:szCs w:val="21"/>
              </w:rPr>
              <w:t>项目类别</w:t>
            </w:r>
          </w:p>
        </w:tc>
        <w:tc>
          <w:tcPr>
            <w:tcW w:w="1306" w:type="pct"/>
            <w:tcBorders>
              <w:tl2br w:val="nil"/>
              <w:tr2bl w:val="nil"/>
            </w:tcBorders>
            <w:noWrap/>
            <w:vAlign w:val="center"/>
          </w:tcPr>
          <w:p w14:paraId="66021066">
            <w:pPr>
              <w:tabs>
                <w:tab w:val="left" w:pos="1155"/>
              </w:tabs>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I类项目</w:t>
            </w:r>
          </w:p>
        </w:tc>
        <w:tc>
          <w:tcPr>
            <w:tcW w:w="1250" w:type="pct"/>
            <w:tcBorders>
              <w:tl2br w:val="nil"/>
              <w:tr2bl w:val="nil"/>
            </w:tcBorders>
            <w:noWrap/>
            <w:vAlign w:val="center"/>
          </w:tcPr>
          <w:p w14:paraId="113DF91F">
            <w:pPr>
              <w:tabs>
                <w:tab w:val="left" w:pos="1155"/>
              </w:tabs>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II类项目</w:t>
            </w:r>
          </w:p>
        </w:tc>
        <w:tc>
          <w:tcPr>
            <w:tcW w:w="1250" w:type="pct"/>
            <w:tcBorders>
              <w:tl2br w:val="nil"/>
              <w:tr2bl w:val="nil"/>
            </w:tcBorders>
            <w:noWrap/>
            <w:vAlign w:val="center"/>
          </w:tcPr>
          <w:p w14:paraId="1727B758">
            <w:pPr>
              <w:tabs>
                <w:tab w:val="left" w:pos="1155"/>
              </w:tabs>
              <w:autoSpaceDE/>
              <w:autoSpaceDN/>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lang w:eastAsia="zh-CN"/>
              </w:rPr>
              <w:t>Ⅲ</w:t>
            </w:r>
            <w:r>
              <w:rPr>
                <w:rFonts w:hint="default" w:ascii="Times New Roman" w:hAnsi="Times New Roman" w:cs="Times New Roman"/>
                <w:b/>
                <w:bCs/>
                <w:sz w:val="21"/>
                <w:szCs w:val="21"/>
              </w:rPr>
              <w:t>类项目</w:t>
            </w:r>
          </w:p>
        </w:tc>
      </w:tr>
      <w:tr w14:paraId="6834484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2" w:type="pct"/>
            <w:tcBorders>
              <w:tl2br w:val="nil"/>
              <w:tr2bl w:val="nil"/>
            </w:tcBorders>
            <w:noWrap/>
            <w:vAlign w:val="center"/>
          </w:tcPr>
          <w:p w14:paraId="3780B2CC">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敏感</w:t>
            </w:r>
          </w:p>
        </w:tc>
        <w:tc>
          <w:tcPr>
            <w:tcW w:w="1306" w:type="pct"/>
            <w:tcBorders>
              <w:tl2br w:val="nil"/>
              <w:tr2bl w:val="nil"/>
            </w:tcBorders>
            <w:noWrap/>
            <w:vAlign w:val="center"/>
          </w:tcPr>
          <w:p w14:paraId="5BAD5D1C">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一</w:t>
            </w:r>
          </w:p>
        </w:tc>
        <w:tc>
          <w:tcPr>
            <w:tcW w:w="1250" w:type="pct"/>
            <w:tcBorders>
              <w:tl2br w:val="nil"/>
              <w:tr2bl w:val="nil"/>
            </w:tcBorders>
            <w:noWrap/>
            <w:vAlign w:val="center"/>
          </w:tcPr>
          <w:p w14:paraId="34DE157F">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一</w:t>
            </w:r>
          </w:p>
        </w:tc>
        <w:tc>
          <w:tcPr>
            <w:tcW w:w="1250" w:type="pct"/>
            <w:tcBorders>
              <w:tl2br w:val="nil"/>
              <w:tr2bl w:val="nil"/>
            </w:tcBorders>
            <w:noWrap/>
            <w:vAlign w:val="center"/>
          </w:tcPr>
          <w:p w14:paraId="4204469E">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二</w:t>
            </w:r>
          </w:p>
        </w:tc>
      </w:tr>
      <w:tr w14:paraId="0627BB2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2" w:type="pct"/>
            <w:tcBorders>
              <w:tl2br w:val="nil"/>
              <w:tr2bl w:val="nil"/>
            </w:tcBorders>
            <w:noWrap/>
            <w:vAlign w:val="center"/>
          </w:tcPr>
          <w:p w14:paraId="1C00B585">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较敏感</w:t>
            </w:r>
          </w:p>
        </w:tc>
        <w:tc>
          <w:tcPr>
            <w:tcW w:w="1306" w:type="pct"/>
            <w:tcBorders>
              <w:tl2br w:val="nil"/>
              <w:tr2bl w:val="nil"/>
            </w:tcBorders>
            <w:noWrap/>
            <w:vAlign w:val="center"/>
          </w:tcPr>
          <w:p w14:paraId="5AD40FB6">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一</w:t>
            </w:r>
          </w:p>
        </w:tc>
        <w:tc>
          <w:tcPr>
            <w:tcW w:w="1250" w:type="pct"/>
            <w:tcBorders>
              <w:tl2br w:val="nil"/>
              <w:tr2bl w:val="nil"/>
            </w:tcBorders>
            <w:noWrap/>
            <w:vAlign w:val="center"/>
          </w:tcPr>
          <w:p w14:paraId="4377A20F">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二</w:t>
            </w:r>
          </w:p>
        </w:tc>
        <w:tc>
          <w:tcPr>
            <w:tcW w:w="1250" w:type="pct"/>
            <w:tcBorders>
              <w:tl2br w:val="nil"/>
              <w:tr2bl w:val="nil"/>
            </w:tcBorders>
            <w:noWrap/>
            <w:vAlign w:val="center"/>
          </w:tcPr>
          <w:p w14:paraId="0D8C92CB">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三</w:t>
            </w:r>
          </w:p>
        </w:tc>
      </w:tr>
      <w:tr w14:paraId="0C68F34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2" w:type="pct"/>
            <w:tcBorders>
              <w:tl2br w:val="nil"/>
              <w:tr2bl w:val="nil"/>
            </w:tcBorders>
            <w:noWrap/>
            <w:vAlign w:val="center"/>
          </w:tcPr>
          <w:p w14:paraId="524365FE">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不敏感</w:t>
            </w:r>
          </w:p>
        </w:tc>
        <w:tc>
          <w:tcPr>
            <w:tcW w:w="1306" w:type="pct"/>
            <w:tcBorders>
              <w:tl2br w:val="nil"/>
              <w:tr2bl w:val="nil"/>
            </w:tcBorders>
            <w:noWrap/>
            <w:vAlign w:val="center"/>
          </w:tcPr>
          <w:p w14:paraId="306F6E56">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二</w:t>
            </w:r>
          </w:p>
        </w:tc>
        <w:tc>
          <w:tcPr>
            <w:tcW w:w="1250" w:type="pct"/>
            <w:tcBorders>
              <w:tl2br w:val="nil"/>
              <w:tr2bl w:val="nil"/>
            </w:tcBorders>
            <w:noWrap/>
            <w:vAlign w:val="center"/>
          </w:tcPr>
          <w:p w14:paraId="12F9CD75">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三</w:t>
            </w:r>
          </w:p>
        </w:tc>
        <w:tc>
          <w:tcPr>
            <w:tcW w:w="1250" w:type="pct"/>
            <w:tcBorders>
              <w:tl2br w:val="nil"/>
              <w:tr2bl w:val="nil"/>
            </w:tcBorders>
            <w:noWrap/>
            <w:vAlign w:val="center"/>
          </w:tcPr>
          <w:p w14:paraId="08ADC4CD">
            <w:pPr>
              <w:tabs>
                <w:tab w:val="left" w:pos="1155"/>
              </w:tabs>
              <w:autoSpaceDE/>
              <w:autoSpaceDN/>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三</w:t>
            </w:r>
          </w:p>
        </w:tc>
      </w:tr>
    </w:tbl>
    <w:p w14:paraId="3DB3311B">
      <w:pPr>
        <w:pStyle w:val="6"/>
        <w:rPr>
          <w:rFonts w:hint="default" w:ascii="Times New Roman" w:hAnsi="Times New Roman" w:eastAsia="宋体" w:cs="Times New Roman"/>
          <w:b w:val="0"/>
          <w:bCs/>
          <w:sz w:val="24"/>
          <w:u w:val="none"/>
          <w:lang w:val="en-US" w:eastAsia="zh-CN"/>
        </w:rPr>
      </w:pPr>
      <w:r>
        <w:rPr>
          <w:rFonts w:hint="default" w:ascii="Times New Roman" w:hAnsi="Times New Roman" w:cs="Times New Roman"/>
          <w:b w:val="0"/>
          <w:bCs/>
          <w:sz w:val="24"/>
          <w:u w:val="none"/>
          <w:lang w:eastAsia="zh-CN"/>
        </w:rPr>
        <w:t>（</w:t>
      </w:r>
      <w:r>
        <w:rPr>
          <w:rFonts w:hint="default" w:ascii="Times New Roman" w:hAnsi="Times New Roman" w:cs="Times New Roman"/>
          <w:b w:val="0"/>
          <w:bCs/>
          <w:sz w:val="24"/>
          <w:u w:val="none"/>
          <w:lang w:val="en-US" w:eastAsia="zh-CN"/>
        </w:rPr>
        <w:t>2</w:t>
      </w:r>
      <w:r>
        <w:rPr>
          <w:rFonts w:hint="default" w:ascii="Times New Roman" w:hAnsi="Times New Roman" w:cs="Times New Roman"/>
          <w:b w:val="0"/>
          <w:bCs/>
          <w:sz w:val="24"/>
          <w:u w:val="none"/>
          <w:lang w:eastAsia="zh-CN"/>
        </w:rPr>
        <w:t>）评价范围的确定</w:t>
      </w:r>
    </w:p>
    <w:p w14:paraId="7A47A732">
      <w:pPr>
        <w:pStyle w:val="6"/>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rPr>
        <w:t>本次评价采用查表法确定地下水环境影响评价范围，参照《环境影响评价技术导则 地下水环境》（HJ610-2016）中的表3</w:t>
      </w:r>
      <w:r>
        <w:rPr>
          <w:rFonts w:hint="default" w:ascii="Times New Roman" w:hAnsi="Times New Roman" w:cs="Times New Roman"/>
          <w:b w:val="0"/>
          <w:bCs/>
          <w:sz w:val="24"/>
          <w:u w:val="none"/>
          <w:lang w:val="en-US" w:eastAsia="zh-CN"/>
        </w:rPr>
        <w:t>确定。公式计算如下：</w:t>
      </w:r>
    </w:p>
    <w:p w14:paraId="2A09D622">
      <w:pPr>
        <w:pStyle w:val="6"/>
        <w:ind w:left="0" w:leftChars="0" w:right="0" w:rightChars="0" w:firstLine="0" w:firstLineChars="0"/>
        <w:jc w:val="center"/>
        <w:rPr>
          <w:rFonts w:hint="default" w:ascii="Times New Roman" w:hAnsi="Times New Roman" w:cs="Times New Roman"/>
          <w:b w:val="0"/>
          <w:bCs/>
          <w:sz w:val="24"/>
          <w:u w:val="none"/>
          <w:lang w:val="en-US" w:eastAsia="zh-CN"/>
        </w:rPr>
      </w:pPr>
      <w:r>
        <w:rPr>
          <w:rFonts w:hint="default" w:ascii="Times New Roman" w:hAnsi="Times New Roman" w:cs="Times New Roman"/>
          <w:b w:val="0"/>
          <w:bCs/>
          <w:position w:val="-12"/>
          <w:sz w:val="24"/>
          <w:u w:val="none"/>
          <w:lang w:val="en-US" w:eastAsia="zh-CN"/>
        </w:rPr>
        <w:object>
          <v:shape id="_x0000_i1036" o:spt="75" type="#_x0000_t75" style="height:17.2pt;width:85.05pt;" o:ole="t" filled="f" o:preferrelative="t" stroked="f" coordsize="21600,21600">
            <v:path/>
            <v:fill on="f" focussize="0,0"/>
            <v:stroke on="f"/>
            <v:imagedata r:id="rId54" o:title=""/>
            <o:lock v:ext="edit" aspectratio="t"/>
            <w10:wrap type="none"/>
            <w10:anchorlock/>
          </v:shape>
          <o:OLEObject Type="Embed" ProgID="Equation.KSEE3" ShapeID="_x0000_i1036" DrawAspect="Content" ObjectID="_1468075736" r:id="rId53">
            <o:LockedField>false</o:LockedField>
          </o:OLEObject>
        </w:object>
      </w:r>
    </w:p>
    <w:p w14:paraId="70EC260A">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式中：L--下游迁移距离，m；</w:t>
      </w:r>
    </w:p>
    <w:p w14:paraId="4A161775">
      <w:pPr>
        <w:pStyle w:val="6"/>
        <w:ind w:firstLine="1200" w:firstLineChars="5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α--变化系数，α&gt;1，一般取2；</w:t>
      </w:r>
    </w:p>
    <w:p w14:paraId="34C63516">
      <w:pPr>
        <w:pStyle w:val="6"/>
        <w:ind w:firstLine="1200" w:firstLineChars="5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K--渗透系数，m/d，常见渗透系数表见附录B表B.1，根据区域水文地质条件，本项目区10m/d；</w:t>
      </w:r>
    </w:p>
    <w:p w14:paraId="260BCDE1">
      <w:pPr>
        <w:pStyle w:val="6"/>
        <w:ind w:firstLine="1200" w:firstLineChars="5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I--水力坡度，无量纲，本项目取6‰；</w:t>
      </w:r>
    </w:p>
    <w:p w14:paraId="6AA77BC4">
      <w:pPr>
        <w:pStyle w:val="6"/>
        <w:ind w:firstLine="1200" w:firstLineChars="5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T--质点迁移天数，取值不小于5000d；</w:t>
      </w:r>
    </w:p>
    <w:p w14:paraId="1D130950">
      <w:pPr>
        <w:pStyle w:val="6"/>
        <w:ind w:firstLine="1200" w:firstLineChars="5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n</w:t>
      </w:r>
      <w:r>
        <w:rPr>
          <w:rFonts w:hint="default" w:ascii="Times New Roman" w:hAnsi="Times New Roman" w:cs="Times New Roman"/>
          <w:b w:val="0"/>
          <w:bCs/>
          <w:sz w:val="24"/>
          <w:u w:val="none"/>
          <w:vertAlign w:val="subscript"/>
          <w:lang w:val="en-US" w:eastAsia="zh-CN"/>
        </w:rPr>
        <w:t>e</w:t>
      </w:r>
      <w:r>
        <w:rPr>
          <w:rFonts w:hint="default" w:ascii="Times New Roman" w:hAnsi="Times New Roman" w:cs="Times New Roman"/>
          <w:b w:val="0"/>
          <w:bCs/>
          <w:sz w:val="24"/>
          <w:u w:val="none"/>
          <w:lang w:val="en-US" w:eastAsia="zh-CN"/>
        </w:rPr>
        <w:t>--有效孔隙度，无量纲，本项目为0.35。</w:t>
      </w:r>
    </w:p>
    <w:p w14:paraId="27F853D9">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经计算，本项目L--下游迁移距离为1714m。</w:t>
      </w:r>
    </w:p>
    <w:p w14:paraId="12CA8F01">
      <w:pPr>
        <w:pStyle w:val="6"/>
        <w:ind w:left="0" w:leftChars="0" w:firstLine="480" w:firstLineChars="200"/>
        <w:rPr>
          <w:rFonts w:hint="default" w:ascii="Times New Roman" w:hAnsi="Times New Roman" w:eastAsia="宋体" w:cs="Times New Roman"/>
          <w:b w:val="0"/>
          <w:bCs/>
          <w:sz w:val="24"/>
          <w:u w:val="none"/>
          <w:lang w:val="en-US" w:eastAsia="zh-CN"/>
        </w:rPr>
      </w:pPr>
      <w:r>
        <w:rPr>
          <w:rFonts w:hint="default" w:ascii="Times New Roman" w:hAnsi="Times New Roman" w:cs="Times New Roman"/>
          <w:b w:val="0"/>
          <w:bCs/>
          <w:sz w:val="24"/>
          <w:u w:val="none"/>
        </w:rPr>
        <w:t>本项目地下水环境影响评价范围确定以</w:t>
      </w:r>
      <w:r>
        <w:rPr>
          <w:rFonts w:hint="default" w:ascii="Times New Roman" w:hAnsi="Times New Roman" w:cs="Times New Roman"/>
          <w:b w:val="0"/>
          <w:bCs/>
          <w:sz w:val="24"/>
          <w:u w:val="none"/>
          <w:lang w:val="en-US" w:eastAsia="zh-CN"/>
        </w:rPr>
        <w:t>厂区</w:t>
      </w:r>
      <w:r>
        <w:rPr>
          <w:rFonts w:hint="default" w:ascii="Times New Roman" w:hAnsi="Times New Roman" w:cs="Times New Roman"/>
          <w:b w:val="0"/>
          <w:bCs/>
          <w:sz w:val="24"/>
          <w:u w:val="none"/>
        </w:rPr>
        <w:t>中心</w:t>
      </w:r>
      <w:r>
        <w:rPr>
          <w:rFonts w:hint="default" w:ascii="Times New Roman" w:hAnsi="Times New Roman" w:cs="Times New Roman"/>
          <w:b w:val="0"/>
          <w:bCs/>
          <w:sz w:val="24"/>
          <w:u w:val="none"/>
          <w:lang w:eastAsia="zh-CN"/>
        </w:rPr>
        <w:t>为起点</w:t>
      </w:r>
      <w:r>
        <w:rPr>
          <w:rFonts w:hint="default" w:ascii="Times New Roman" w:hAnsi="Times New Roman" w:cs="Times New Roman"/>
          <w:b w:val="0"/>
          <w:bCs/>
          <w:sz w:val="24"/>
          <w:u w:val="none"/>
        </w:rPr>
        <w:t>，</w:t>
      </w:r>
      <w:r>
        <w:rPr>
          <w:rFonts w:hint="default" w:ascii="Times New Roman" w:hAnsi="Times New Roman" w:cs="Times New Roman"/>
          <w:b w:val="0"/>
          <w:bCs/>
          <w:sz w:val="24"/>
          <w:u w:val="none"/>
          <w:lang w:val="en-US" w:eastAsia="zh-CN"/>
        </w:rPr>
        <w:t>西北侧上游1km、下游2km、两侧1km</w:t>
      </w:r>
      <w:r>
        <w:rPr>
          <w:rFonts w:hint="default" w:ascii="Times New Roman" w:hAnsi="Times New Roman" w:cs="Times New Roman"/>
          <w:b w:val="0"/>
          <w:bCs/>
          <w:sz w:val="24"/>
          <w:u w:val="none"/>
        </w:rPr>
        <w:t>的矩形区域，总面积</w:t>
      </w:r>
      <w:r>
        <w:rPr>
          <w:rFonts w:hint="default" w:ascii="Times New Roman" w:hAnsi="Times New Roman" w:cs="Times New Roman"/>
          <w:b w:val="0"/>
          <w:bCs/>
          <w:sz w:val="24"/>
          <w:u w:val="none"/>
          <w:lang w:val="en-US" w:eastAsia="zh-CN"/>
        </w:rPr>
        <w:t>6</w:t>
      </w:r>
      <w:r>
        <w:rPr>
          <w:rFonts w:hint="default" w:ascii="Times New Roman" w:hAnsi="Times New Roman" w:cs="Times New Roman"/>
          <w:b w:val="0"/>
          <w:bCs/>
          <w:sz w:val="24"/>
          <w:u w:val="none"/>
        </w:rPr>
        <w:t>km</w:t>
      </w:r>
      <w:r>
        <w:rPr>
          <w:rFonts w:hint="default" w:ascii="Times New Roman" w:hAnsi="Times New Roman" w:cs="Times New Roman"/>
          <w:b w:val="0"/>
          <w:bCs/>
          <w:sz w:val="24"/>
          <w:u w:val="none"/>
          <w:vertAlign w:val="superscript"/>
        </w:rPr>
        <w:t>2</w:t>
      </w:r>
      <w:r>
        <w:rPr>
          <w:rFonts w:hint="default" w:ascii="Times New Roman" w:hAnsi="Times New Roman" w:cs="Times New Roman"/>
          <w:b w:val="0"/>
          <w:bCs/>
          <w:sz w:val="24"/>
          <w:u w:val="none"/>
        </w:rPr>
        <w:t>，包括地下水流向的上游、下游</w:t>
      </w:r>
      <w:r>
        <w:rPr>
          <w:rFonts w:hint="default" w:ascii="Times New Roman" w:hAnsi="Times New Roman" w:cs="Times New Roman"/>
          <w:b w:val="0"/>
          <w:bCs/>
          <w:sz w:val="24"/>
          <w:u w:val="none"/>
          <w:lang w:val="en-US" w:eastAsia="zh-CN"/>
        </w:rPr>
        <w:t>及</w:t>
      </w:r>
      <w:r>
        <w:rPr>
          <w:rFonts w:hint="default" w:ascii="Times New Roman" w:hAnsi="Times New Roman" w:cs="Times New Roman"/>
          <w:b w:val="0"/>
          <w:bCs/>
          <w:sz w:val="24"/>
          <w:u w:val="none"/>
        </w:rPr>
        <w:t>侧向范围</w:t>
      </w:r>
      <w:r>
        <w:rPr>
          <w:rFonts w:hint="default" w:ascii="Times New Roman" w:hAnsi="Times New Roman" w:cs="Times New Roman"/>
          <w:b w:val="0"/>
          <w:bCs/>
          <w:sz w:val="24"/>
          <w:u w:val="none"/>
          <w:lang w:eastAsia="zh-CN"/>
        </w:rPr>
        <w:t>，</w:t>
      </w:r>
      <w:r>
        <w:rPr>
          <w:rFonts w:hint="default" w:ascii="Times New Roman" w:hAnsi="Times New Roman" w:cs="Times New Roman"/>
          <w:b w:val="0"/>
          <w:bCs/>
          <w:sz w:val="24"/>
          <w:u w:val="none"/>
          <w:lang w:val="en-US" w:eastAsia="zh-CN"/>
        </w:rPr>
        <w:t>可满足导则中二级评价调查评价面积6～20km</w:t>
      </w:r>
      <w:r>
        <w:rPr>
          <w:rFonts w:hint="default" w:ascii="Times New Roman" w:hAnsi="Times New Roman" w:cs="Times New Roman"/>
          <w:b w:val="0"/>
          <w:bCs/>
          <w:sz w:val="24"/>
          <w:u w:val="none"/>
          <w:vertAlign w:val="superscript"/>
          <w:lang w:val="en-US" w:eastAsia="zh-CN"/>
        </w:rPr>
        <w:t>2</w:t>
      </w:r>
      <w:r>
        <w:rPr>
          <w:rFonts w:hint="default" w:ascii="Times New Roman" w:hAnsi="Times New Roman" w:cs="Times New Roman"/>
          <w:b w:val="0"/>
          <w:bCs/>
          <w:sz w:val="24"/>
          <w:u w:val="none"/>
          <w:lang w:val="en-US" w:eastAsia="zh-CN"/>
        </w:rPr>
        <w:t>的要求。</w:t>
      </w:r>
    </w:p>
    <w:p w14:paraId="4C58D1AA">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lang w:val="en-US" w:eastAsia="zh-CN"/>
        </w:rPr>
      </w:pPr>
      <w:bookmarkStart w:id="211" w:name="_Toc3172"/>
      <w:bookmarkStart w:id="212" w:name="_Toc907"/>
      <w:r>
        <w:rPr>
          <w:rFonts w:hint="default" w:ascii="Times New Roman" w:hAnsi="Times New Roman" w:eastAsia="宋体" w:cs="Times New Roman"/>
          <w:b/>
          <w:bCs/>
          <w:sz w:val="24"/>
          <w:szCs w:val="16"/>
          <w:highlight w:val="none"/>
          <w:lang w:val="en-US" w:eastAsia="zh-CN"/>
        </w:rPr>
        <w:t>5.2.3.2评价区域水文、地质情况调查</w:t>
      </w:r>
      <w:bookmarkEnd w:id="211"/>
      <w:bookmarkEnd w:id="212"/>
    </w:p>
    <w:p w14:paraId="4444DF4A">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（1）区域地质构造</w:t>
      </w:r>
    </w:p>
    <w:p w14:paraId="04B2094B">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①地形、地貌</w:t>
      </w:r>
    </w:p>
    <w:p w14:paraId="1516FA52">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地形地貌是水资源的重要控制因素之一，它不仅控制区域水文网的形成和分布，地表水，地下水的径流条件和储存环境而且对水资源的质量，土壤盐碱化，沙漠化等起重要的控制作用。</w:t>
      </w:r>
    </w:p>
    <w:p w14:paraId="09F51FC4">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园区位于阴干山山前地带，属于阿克苏河地下水系统。阿克苏河流域地势从北向南，从西向东逐渐降低，地貌分带较为明显。河川径流的补给随流域高程、自然条件和降水形式的不同而不同。</w:t>
      </w:r>
    </w:p>
    <w:p w14:paraId="11EC31C2">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北部山区以高山冰川融水、永久积雪融水、季节积雪融水、雨水和地下水补给，是径流的形成区，为本区水系的总发源地，对全区水资源的形成起控制作用。</w:t>
      </w:r>
    </w:p>
    <w:p w14:paraId="450264EA">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中低山主要分布在西部黑山和北部的古木别孜山系喀拉玉尔滚山一带，主要由透水性很差的第三系泥岩，泥灰岩，及泥质胶结的砂岩，砾岩所组成，在构造上属古木别孜背斜，低山丘陵带在整个山前构成隔水的天然屏障山区内的地表水和地下水仅从几条大的河流穿山而过，注入平原区外，其余的滞留在低山间的条形洼地中。中低山地带除了有雨水和高山冰雪融水的补给外，还有少量季节积雪融水的补给和地下水的多种混合补给。</w:t>
      </w:r>
    </w:p>
    <w:p w14:paraId="6B75B811">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平原和盆地是径流的散失区。其中冲积平原是水资源储存，转化和开发利用程度最高的地区，对水资源起着重要作用。阿克苏河冲积平原，呈南北向分布。北起土木秀克，南至阿克苏城南20km，自西大桥向南逐渐变宽。</w:t>
      </w:r>
    </w:p>
    <w:p w14:paraId="23CA0F0F">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②构造</w:t>
      </w:r>
    </w:p>
    <w:p w14:paraId="08BADFBD">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地质构造是影响地表水，特别是地下水的形成和分布，同时也是影响水质的重要因素。地层和构造直接控制该区地下水资源的形成，储存、传输和富集，地层和地质构造通过影响地形地貌，间接影响地表水资源的分布。因此，地层和构造在水资源的形成，分布起着重要作用。</w:t>
      </w:r>
    </w:p>
    <w:p w14:paraId="7C2FFB3C">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阿克苏市整个处于库车山前拗陷区与塔东台拗及其过渡区。其北部为塔地木地台，库车山前拗陷，乌什、新和褶皱断束，前寒武纪地层山露区：市境南部和东部绝大部分地区为巴楚台隆塔东台拗，充填中生代沉积的新生代强烈下沉区，以及中生代地层发育不全，局部分布的新生代相对拗陷区，阿克苏市地处沙井子断裂、琼不兹杜克深断裂与却勒塔格深断裂的交汇处。</w:t>
      </w:r>
    </w:p>
    <w:p w14:paraId="48B52901">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阿克苏属地台型构造，华力西晚期运动和喜马拉雅运动表现都十分显著。在地史发展过程中，阿克苏曾经过多期构造变动和海陆变迁。正是这个地质基础和背景，又经历了历史和现代多种奇特的内外营力雕刻冲填下，才形成了今天阿克苏的地表山河大势和奇特的景观风光。同时，地震是威胁城市安全的最大自然因素，2008年全地区发生3.0级以上地震15次，最高为4.5级，地点温宿。</w:t>
      </w:r>
    </w:p>
    <w:p w14:paraId="2182AA00">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园区场地没有泥石流沟谷、崩塌、滑坡、土洞、塌陷、岸边冲刷、地下水强烈潜蚀、采空区、地面沉降等不稳定构造，断裂构造不发育，无深大断裂，无现代火山活动，故判定园区场地无不良地质作用，场地地基土工程地质条件较好，场地较稳定。</w:t>
      </w:r>
    </w:p>
    <w:p w14:paraId="605785EB">
      <w:pPr>
        <w:pStyle w:val="6"/>
        <w:ind w:left="0" w:leftChars="0" w:firstLine="480" w:firstLineChars="200"/>
        <w:rPr>
          <w:rFonts w:hint="default" w:ascii="Times New Roman" w:hAnsi="Times New Roman" w:cs="Times New Roman"/>
          <w:b w:val="0"/>
          <w:bCs/>
          <w:sz w:val="24"/>
          <w:u w:val="none"/>
          <w:lang w:val="en-US" w:eastAsia="zh-CN"/>
        </w:rPr>
      </w:pPr>
      <w:r>
        <w:rPr>
          <w:rFonts w:hint="default" w:ascii="Times New Roman" w:hAnsi="Times New Roman" w:cs="Times New Roman"/>
          <w:b w:val="0"/>
          <w:bCs/>
          <w:sz w:val="24"/>
          <w:u w:val="none"/>
          <w:lang w:val="en-US" w:eastAsia="zh-CN"/>
        </w:rPr>
        <w:t>③地层</w:t>
      </w:r>
    </w:p>
    <w:p w14:paraId="13BFF776">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园区</w:t>
      </w:r>
      <w:r>
        <w:rPr>
          <w:rFonts w:hint="default" w:ascii="Times New Roman" w:hAnsi="Times New Roman" w:eastAsia="宋体" w:cs="Times New Roman"/>
          <w:color w:val="auto"/>
          <w:sz w:val="24"/>
          <w:szCs w:val="24"/>
        </w:rPr>
        <w:t>所在区域的地层自下而上为：中寒武统阿瓦塔格群（∈</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vertAlign w:val="superscript"/>
        </w:rPr>
        <w:t>aw</w:t>
      </w:r>
      <w:r>
        <w:rPr>
          <w:rFonts w:hint="default" w:ascii="Times New Roman" w:hAnsi="Times New Roman" w:eastAsia="宋体" w:cs="Times New Roman"/>
          <w:color w:val="auto"/>
          <w:sz w:val="24"/>
          <w:szCs w:val="24"/>
        </w:rPr>
        <w:t>）、上寒武统丘里塔格群（∈</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vertAlign w:val="superscript"/>
        </w:rPr>
        <w:t>ql</w:t>
      </w:r>
      <w:r>
        <w:rPr>
          <w:rFonts w:hint="default" w:ascii="Times New Roman" w:hAnsi="Times New Roman" w:eastAsia="宋体" w:cs="Times New Roman"/>
          <w:color w:val="auto"/>
          <w:sz w:val="24"/>
          <w:szCs w:val="24"/>
        </w:rPr>
        <w:t>）、第三系上新统苍棕色组（N</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vertAlign w:val="superscript"/>
        </w:rPr>
        <w:t>c</w:t>
      </w:r>
      <w:r>
        <w:rPr>
          <w:rFonts w:hint="default" w:ascii="Times New Roman" w:hAnsi="Times New Roman" w:eastAsia="宋体" w:cs="Times New Roman"/>
          <w:color w:val="auto"/>
          <w:sz w:val="24"/>
          <w:szCs w:val="24"/>
        </w:rPr>
        <w:t>）及第四系地层。地层总体倾向南东，倾角较缓。</w:t>
      </w:r>
    </w:p>
    <w:p w14:paraId="753840C9">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rPr>
        <w:t>中寒武统阿瓦塔格群（∈</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vertAlign w:val="superscript"/>
        </w:rPr>
        <w:t>aw</w:t>
      </w:r>
      <w:r>
        <w:rPr>
          <w:rFonts w:hint="default" w:ascii="Times New Roman" w:hAnsi="Times New Roman" w:eastAsia="宋体" w:cs="Times New Roman"/>
          <w:color w:val="auto"/>
          <w:sz w:val="24"/>
          <w:szCs w:val="24"/>
        </w:rPr>
        <w:t>）</w:t>
      </w:r>
    </w:p>
    <w:p w14:paraId="538AC4CB">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分布于项目区的北西部，主要为硅质岩、钙质砂岩、粉砂岩等。岩层产状125</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146°∠31</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43°，厚度大于100</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rPr>
        <w:t>。</w:t>
      </w:r>
    </w:p>
    <w:p w14:paraId="769755FB">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rPr>
        <w:t>上寒武统丘里塔格群（∈</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vertAlign w:val="superscript"/>
        </w:rPr>
        <w:t>ql</w:t>
      </w:r>
      <w:r>
        <w:rPr>
          <w:rFonts w:hint="default" w:ascii="Times New Roman" w:hAnsi="Times New Roman" w:eastAsia="宋体" w:cs="Times New Roman"/>
          <w:color w:val="auto"/>
          <w:sz w:val="24"/>
          <w:szCs w:val="24"/>
        </w:rPr>
        <w:t>）</w:t>
      </w:r>
    </w:p>
    <w:p w14:paraId="754B90F2">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地层总体走向北东，倾向南东，倾角较缓一般27</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41°。厚度大于180</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rPr>
        <w:t>。与下伏地层中寒武统阿瓦塔格群（∈</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vertAlign w:val="superscript"/>
        </w:rPr>
        <w:t>aw</w:t>
      </w:r>
      <w:r>
        <w:rPr>
          <w:rFonts w:hint="default" w:ascii="Times New Roman" w:hAnsi="Times New Roman" w:eastAsia="宋体" w:cs="Times New Roman"/>
          <w:color w:val="auto"/>
          <w:sz w:val="24"/>
          <w:szCs w:val="24"/>
        </w:rPr>
        <w:t>）呈整合接触，岩性简单而稳定。</w:t>
      </w:r>
    </w:p>
    <w:p w14:paraId="168D8D75">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3）</w:t>
      </w:r>
      <w:r>
        <w:rPr>
          <w:rFonts w:hint="default" w:ascii="Times New Roman" w:hAnsi="Times New Roman" w:eastAsia="宋体" w:cs="Times New Roman"/>
          <w:color w:val="auto"/>
          <w:sz w:val="24"/>
          <w:szCs w:val="24"/>
        </w:rPr>
        <w:t>上新统苍棕色组（N</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vertAlign w:val="superscript"/>
        </w:rPr>
        <w:t>c</w:t>
      </w:r>
      <w:r>
        <w:rPr>
          <w:rFonts w:hint="default" w:ascii="Times New Roman" w:hAnsi="Times New Roman" w:eastAsia="宋体" w:cs="Times New Roman"/>
          <w:color w:val="auto"/>
          <w:sz w:val="24"/>
          <w:szCs w:val="24"/>
        </w:rPr>
        <w:t>）</w:t>
      </w:r>
    </w:p>
    <w:p w14:paraId="72C90E30">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广泛分布于矿区的南东部，岩性为黄灰色砂砾岩。与下伏地层上寒武统丘里塔格群（∈</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vertAlign w:val="superscript"/>
        </w:rPr>
        <w:t>ql</w:t>
      </w:r>
      <w:r>
        <w:rPr>
          <w:rFonts w:hint="default" w:ascii="Times New Roman" w:hAnsi="Times New Roman" w:eastAsia="宋体" w:cs="Times New Roman"/>
          <w:color w:val="auto"/>
          <w:sz w:val="24"/>
          <w:szCs w:val="24"/>
        </w:rPr>
        <w:t>）呈不整合接触。岩层产状134</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170°∠13</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29°，厚度大于190</w:t>
      </w:r>
      <w:r>
        <w:rPr>
          <w:rFonts w:hint="default" w:ascii="Times New Roman" w:hAnsi="Times New Roman" w:eastAsia="宋体" w:cs="Times New Roman"/>
          <w:color w:val="auto"/>
          <w:sz w:val="24"/>
          <w:szCs w:val="24"/>
          <w:lang w:val="en-US" w:eastAsia="zh-CN"/>
        </w:rPr>
        <w:t>m</w:t>
      </w:r>
      <w:r>
        <w:rPr>
          <w:rFonts w:hint="default" w:ascii="Times New Roman" w:hAnsi="Times New Roman" w:eastAsia="宋体" w:cs="Times New Roman"/>
          <w:color w:val="auto"/>
          <w:sz w:val="24"/>
          <w:szCs w:val="24"/>
        </w:rPr>
        <w:t>。</w:t>
      </w:r>
    </w:p>
    <w:p w14:paraId="4B37545A">
      <w:pPr>
        <w:pStyle w:val="6"/>
        <w:ind w:left="0" w:leftChars="0" w:firstLine="480" w:firstLineChars="200"/>
        <w:rPr>
          <w:rFonts w:hint="default" w:ascii="Times New Roman" w:hAnsi="Times New Roman" w:eastAsia="宋体" w:cs="Times New Roman"/>
          <w:color w:val="auto"/>
          <w:sz w:val="24"/>
          <w:szCs w:val="24"/>
        </w:rPr>
      </w:pP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rPr>
        <w:t>第四系全新统洪积堆积（Q</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vertAlign w:val="superscript"/>
        </w:rPr>
        <w:t>pl</w:t>
      </w:r>
      <w:r>
        <w:rPr>
          <w:rFonts w:hint="default" w:ascii="Times New Roman" w:hAnsi="Times New Roman" w:eastAsia="宋体" w:cs="Times New Roman"/>
          <w:color w:val="auto"/>
          <w:sz w:val="24"/>
          <w:szCs w:val="24"/>
        </w:rPr>
        <w:t>）</w:t>
      </w:r>
    </w:p>
    <w:p w14:paraId="73A990AD">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zh-CN" w:eastAsia="zh-CN" w:bidi="ar-SA"/>
        </w:rPr>
        <w:t>园</w:t>
      </w:r>
      <w:r>
        <w:rPr>
          <w:rFonts w:hint="default" w:ascii="Times New Roman" w:hAnsi="Times New Roman" w:eastAsia="宋体" w:cs="Times New Roman"/>
          <w:color w:val="auto"/>
          <w:sz w:val="24"/>
          <w:szCs w:val="24"/>
        </w:rPr>
        <w:t>区场地的主要出露地层，由砂、砾石、砂土组成。呈灰褐色，稍密</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中密，无明显层理，地层结构简单，性质均匀。地层为中粗砂充填，混有漂石，粘粒含量少，颗粒主要成</w:t>
      </w:r>
      <w:r>
        <w:rPr>
          <w:rFonts w:hint="default" w:ascii="Times New Roman" w:hAnsi="Times New Roman" w:eastAsia="宋体" w:cs="Times New Roman"/>
          <w:color w:val="auto"/>
          <w:sz w:val="24"/>
          <w:szCs w:val="24"/>
          <w:lang w:eastAsia="zh-CN"/>
        </w:rPr>
        <w:t>分</w:t>
      </w:r>
      <w:r>
        <w:rPr>
          <w:rFonts w:hint="default" w:ascii="Times New Roman" w:hAnsi="Times New Roman" w:eastAsia="宋体" w:cs="Times New Roman"/>
          <w:color w:val="auto"/>
          <w:sz w:val="24"/>
          <w:szCs w:val="24"/>
        </w:rPr>
        <w:t>为砂岩和花岗岩，土壤渗透性较强。</w:t>
      </w:r>
    </w:p>
    <w:p w14:paraId="26A594C8">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 4 \* GB3 \* MERGEFORMAT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④</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水文条件</w:t>
      </w:r>
    </w:p>
    <w:p w14:paraId="5E535CA6">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托什干河和库马力克河汇合后，称为阿克苏河。阿克苏河流经全为冲洪积平原，河水与地下水水力联系密切。在西大桥以北除接受上游来水外，还有大量的河谷潜流转化为地表水。在西大桥以南河流的分支较多，有的地方形成沼泽、湖泊。洪水期河水补给地下水，枯水期地下水补给河水。</w:t>
      </w:r>
    </w:p>
    <w:p w14:paraId="67130B97">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阿克苏河流域地处欧亚大陆腹地，水汽主要来源于西风环流，降水主要集中在山区，且东部多、西部少；垂直地带分布显著，在海拔7435m的托木尔峰和海拔6995m的汗腾格里峰附近高山区，年降水量为900mm，而海拔1000m左右的地区年降水量仅为50mm左右，年降水量随高程的递增率约16.9mm/100m，具有干旱地区河川径流补给的垂直地带性和多样性的典型特征。阿克苏河水动态主要受托什干河和库马力克河控制，夏季</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6</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8月</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径流量占全年径流量的66%，秋季占17.2%，冬季占4.8%，春季占11.9%。</w:t>
      </w:r>
    </w:p>
    <w:p w14:paraId="22C7CF1D">
      <w:pPr>
        <w:pStyle w:val="6"/>
        <w:ind w:left="0" w:lef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（2）</w:t>
      </w:r>
      <w:r>
        <w:rPr>
          <w:rFonts w:hint="default" w:ascii="Times New Roman" w:hAnsi="Times New Roman" w:eastAsia="宋体" w:cs="Times New Roman"/>
          <w:color w:val="auto"/>
          <w:sz w:val="24"/>
          <w:szCs w:val="24"/>
          <w:lang w:eastAsia="zh-CN"/>
        </w:rPr>
        <w:t>区域水文地质条件</w:t>
      </w:r>
    </w:p>
    <w:p w14:paraId="2E9AB939">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①含水层特征及富水性</w:t>
      </w:r>
    </w:p>
    <w:p w14:paraId="08A20DC9">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园区</w:t>
      </w:r>
      <w:r>
        <w:rPr>
          <w:rFonts w:hint="default" w:ascii="Times New Roman" w:hAnsi="Times New Roman" w:eastAsia="宋体" w:cs="Times New Roman"/>
          <w:color w:val="auto"/>
          <w:sz w:val="24"/>
          <w:szCs w:val="24"/>
        </w:rPr>
        <w:t>属阿克苏河地下水系统。阿克苏河冲洪积平原中上部第四系沉积厚度一般为1000</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1500m，山前冲洪积平原第四系沉积厚度相对较薄，在环盆地的山前冲洪积倾斜平原区，第四系沉积物的颗粒由山前向冲洪积平原前缘逐渐变小，第四系沉积物岩性在冲洪积平原上部为卵砾石、砂砾石，在冲洪积平原中部为砂砾石、粗砂，在冲洪积平原下部为细砂、粉砂、亚砂土、亚粘土等。受地形地貌、地层岩性、补给径流条件的影响，山前带潜水位埋深大于100m，冲洪积平原中部潜水位埋深10m</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100m，冲洪积平原下部潜水位埋深小于10m。</w:t>
      </w:r>
    </w:p>
    <w:p w14:paraId="06EEA4FC">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rPr>
        <w:t>单一结构潜水富水性</w:t>
      </w:r>
    </w:p>
    <w:p w14:paraId="2160778F">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a.</w:t>
      </w:r>
      <w:r>
        <w:rPr>
          <w:rFonts w:hint="default" w:ascii="Times New Roman" w:hAnsi="Times New Roman" w:eastAsia="宋体" w:cs="Times New Roman"/>
          <w:color w:val="auto"/>
          <w:sz w:val="24"/>
          <w:szCs w:val="24"/>
        </w:rPr>
        <w:t>水量极丰富区</w:t>
      </w:r>
    </w:p>
    <w:p w14:paraId="538765B8">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分布</w:t>
      </w:r>
      <w:r>
        <w:rPr>
          <w:rFonts w:hint="default" w:ascii="Times New Roman" w:hAnsi="Times New Roman" w:eastAsia="宋体" w:cs="Times New Roman"/>
          <w:color w:val="auto"/>
          <w:sz w:val="24"/>
          <w:szCs w:val="24"/>
        </w:rPr>
        <w:t>于吐木秀克</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阿克苏市</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拜什吐格曼一带，富水区东西长约50km，南北宽约30km。含水层岩性为结构单一的砂卵砾石。含水层渗透系数60</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100m/d。</w:t>
      </w:r>
    </w:p>
    <w:p w14:paraId="78EEF5CC">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b.</w:t>
      </w:r>
      <w:r>
        <w:rPr>
          <w:rFonts w:hint="default" w:ascii="Times New Roman" w:hAnsi="Times New Roman" w:eastAsia="宋体" w:cs="Times New Roman"/>
          <w:color w:val="auto"/>
          <w:sz w:val="24"/>
          <w:szCs w:val="24"/>
        </w:rPr>
        <w:t>水量丰富区</w:t>
      </w:r>
    </w:p>
    <w:p w14:paraId="6537A8C2">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分布于水量极丰富区外围及沿昆马力克河一带，含水层岩性为砂砾石、中砂、粉细砂，渗透系数30</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40m/d。</w:t>
      </w:r>
    </w:p>
    <w:p w14:paraId="6FC602D4">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c.</w:t>
      </w:r>
      <w:r>
        <w:rPr>
          <w:rFonts w:hint="default" w:ascii="Times New Roman" w:hAnsi="Times New Roman" w:eastAsia="宋体" w:cs="Times New Roman"/>
          <w:color w:val="auto"/>
          <w:sz w:val="24"/>
          <w:szCs w:val="24"/>
        </w:rPr>
        <w:t>水量中等区</w:t>
      </w:r>
    </w:p>
    <w:p w14:paraId="44EB528F">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分布</w:t>
      </w:r>
      <w:r>
        <w:rPr>
          <w:rFonts w:hint="default" w:ascii="Times New Roman" w:hAnsi="Times New Roman" w:eastAsia="宋体" w:cs="Times New Roman"/>
          <w:color w:val="auto"/>
          <w:sz w:val="24"/>
          <w:szCs w:val="24"/>
        </w:rPr>
        <w:t>于昆</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托河灌区、阿克苏伯什力克乡</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乌鲁桥乡及北部山前带札木台乡～农一师五团以北三个区。昆</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托河</w:t>
      </w:r>
      <w:r>
        <w:rPr>
          <w:rFonts w:hint="default" w:ascii="Times New Roman" w:hAnsi="Times New Roman" w:eastAsia="宋体" w:cs="Times New Roman"/>
          <w:color w:val="auto"/>
          <w:sz w:val="24"/>
          <w:szCs w:val="24"/>
          <w:lang w:eastAsia="zh-CN"/>
        </w:rPr>
        <w:t>灌区</w:t>
      </w:r>
      <w:r>
        <w:rPr>
          <w:rFonts w:hint="default" w:ascii="Times New Roman" w:hAnsi="Times New Roman" w:eastAsia="宋体" w:cs="Times New Roman"/>
          <w:color w:val="auto"/>
          <w:sz w:val="24"/>
          <w:szCs w:val="24"/>
        </w:rPr>
        <w:t>：含水层岩性为卵砾石、中粗砂，渗透系数为15</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25m/d；阿克苏伯什力克乡</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乌鲁桥乡：为人类活动较频繁区，农业灌溉用水为地下水提供了较好的补给来源，含水层岩性为中粗砂、中细砂，渗透系数为5</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10m/d；札木台乡</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农一师五团以北：含水层岩性为砂砾石，渗透系数为15</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20m/d。</w:t>
      </w:r>
    </w:p>
    <w:p w14:paraId="275C118D">
      <w:pPr>
        <w:pStyle w:val="6"/>
        <w:ind w:left="0" w:leftChars="0" w:firstLine="480" w:firstLineChars="200"/>
        <w:rPr>
          <w:rFonts w:hint="default" w:ascii="Times New Roman" w:hAnsi="Times New Roman" w:eastAsia="宋体" w:cs="Times New Roman"/>
          <w:color w:val="auto"/>
          <w:sz w:val="24"/>
          <w:szCs w:val="24"/>
          <w:lang w:val="en-GB" w:eastAsia="zh-CN"/>
        </w:rPr>
      </w:pPr>
      <w:r>
        <w:rPr>
          <w:rFonts w:hint="eastAsia" w:ascii="Times New Roman" w:hAnsi="Times New Roman" w:cs="Times New Roman"/>
          <w:color w:val="auto"/>
          <w:sz w:val="24"/>
          <w:szCs w:val="24"/>
          <w:lang w:val="en-US" w:eastAsia="zh-CN"/>
        </w:rPr>
        <w:t>d.</w:t>
      </w:r>
      <w:r>
        <w:rPr>
          <w:rFonts w:hint="default" w:ascii="Times New Roman" w:hAnsi="Times New Roman" w:eastAsia="宋体" w:cs="Times New Roman"/>
          <w:color w:val="auto"/>
          <w:sz w:val="24"/>
          <w:szCs w:val="24"/>
          <w:lang w:val="en-GB" w:eastAsia="zh-CN"/>
        </w:rPr>
        <w:t>水量贫乏区</w:t>
      </w:r>
    </w:p>
    <w:p w14:paraId="0619CD11">
      <w:pPr>
        <w:pStyle w:val="6"/>
        <w:ind w:left="0" w:leftChars="0" w:firstLine="480" w:firstLineChars="200"/>
        <w:rPr>
          <w:rFonts w:hint="default" w:ascii="Times New Roman" w:hAnsi="Times New Roman" w:eastAsia="宋体" w:cs="Times New Roman"/>
          <w:color w:val="auto"/>
          <w:sz w:val="24"/>
          <w:szCs w:val="24"/>
          <w:lang w:val="en-GB" w:eastAsia="zh-CN"/>
        </w:rPr>
      </w:pPr>
      <w:r>
        <w:rPr>
          <w:rFonts w:hint="default" w:ascii="Times New Roman" w:hAnsi="Times New Roman" w:eastAsia="宋体" w:cs="Times New Roman"/>
          <w:color w:val="auto"/>
          <w:sz w:val="24"/>
          <w:szCs w:val="24"/>
          <w:lang w:val="en-GB" w:eastAsia="zh-CN"/>
        </w:rPr>
        <w:t>分布于山前砾质平原区，含水层岩性为卵砾石、砂砾石、含砾粗中砂，水位埋深大于50m，水质较好，矿化度一般小于1g/L。</w:t>
      </w:r>
    </w:p>
    <w:p w14:paraId="51784E9C">
      <w:pPr>
        <w:pStyle w:val="6"/>
        <w:ind w:left="0" w:leftChars="0" w:firstLine="480" w:firstLineChars="200"/>
        <w:rPr>
          <w:rFonts w:hint="default" w:ascii="Times New Roman" w:hAnsi="Times New Roman" w:eastAsia="宋体" w:cs="Times New Roman"/>
          <w:color w:val="auto"/>
          <w:sz w:val="24"/>
          <w:szCs w:val="24"/>
          <w:lang w:val="en-GB" w:eastAsia="zh-CN"/>
        </w:rPr>
      </w:pPr>
      <w:r>
        <w:rPr>
          <w:rFonts w:hint="eastAsia"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lang w:val="en-GB" w:eastAsia="zh-CN"/>
        </w:rPr>
        <w:t>多层结构潜水</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GB" w:eastAsia="zh-CN"/>
        </w:rPr>
        <w:t>承压水富水性</w:t>
      </w:r>
    </w:p>
    <w:p w14:paraId="206CCEAF">
      <w:pPr>
        <w:pStyle w:val="6"/>
        <w:ind w:left="0" w:leftChars="0" w:firstLine="480" w:firstLineChars="200"/>
        <w:rPr>
          <w:rFonts w:hint="default" w:ascii="Times New Roman" w:hAnsi="Times New Roman" w:eastAsia="宋体" w:cs="Times New Roman"/>
          <w:color w:val="auto"/>
          <w:sz w:val="24"/>
          <w:szCs w:val="24"/>
          <w:lang w:val="en-GB" w:eastAsia="zh-CN"/>
        </w:rPr>
      </w:pPr>
      <w:r>
        <w:rPr>
          <w:rFonts w:hint="eastAsia" w:ascii="Times New Roman" w:hAnsi="Times New Roman" w:cs="Times New Roman"/>
          <w:color w:val="auto"/>
          <w:sz w:val="24"/>
          <w:szCs w:val="24"/>
          <w:lang w:val="en-US" w:eastAsia="zh-CN"/>
        </w:rPr>
        <w:t>a.</w:t>
      </w:r>
      <w:r>
        <w:rPr>
          <w:rFonts w:hint="default" w:ascii="Times New Roman" w:hAnsi="Times New Roman" w:eastAsia="宋体" w:cs="Times New Roman"/>
          <w:color w:val="auto"/>
          <w:sz w:val="24"/>
          <w:szCs w:val="24"/>
          <w:lang w:val="en-GB" w:eastAsia="zh-CN"/>
        </w:rPr>
        <w:t>上部潜水</w:t>
      </w:r>
    </w:p>
    <w:p w14:paraId="0595EB16">
      <w:pPr>
        <w:pStyle w:val="6"/>
        <w:ind w:left="0" w:leftChars="0" w:firstLine="480" w:firstLineChars="200"/>
        <w:rPr>
          <w:rFonts w:hint="default" w:ascii="Times New Roman" w:hAnsi="Times New Roman" w:eastAsia="宋体" w:cs="Times New Roman"/>
          <w:color w:val="auto"/>
          <w:sz w:val="24"/>
          <w:szCs w:val="24"/>
          <w:lang w:val="en-GB" w:eastAsia="zh-CN"/>
        </w:rPr>
      </w:pPr>
      <w:r>
        <w:rPr>
          <w:rFonts w:hint="default" w:ascii="Times New Roman" w:hAnsi="Times New Roman" w:eastAsia="宋体" w:cs="Times New Roman"/>
          <w:color w:val="auto"/>
          <w:sz w:val="24"/>
          <w:szCs w:val="24"/>
          <w:lang w:val="en-GB" w:eastAsia="zh-CN"/>
        </w:rPr>
        <w:t>水量贫乏，含水层岩性主要为砂砾石、中细砂、粉砂、粉细砂。渗透系数0.5</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val="en-GB" w:eastAsia="zh-CN"/>
        </w:rPr>
        <w:t>5m/d。潜水含水层底板为亚粘土层，厚度不等。</w:t>
      </w:r>
    </w:p>
    <w:p w14:paraId="24647AE8">
      <w:pPr>
        <w:pStyle w:val="6"/>
        <w:ind w:left="0" w:leftChars="0" w:firstLine="480" w:firstLineChars="200"/>
        <w:rPr>
          <w:rFonts w:hint="default" w:ascii="Times New Roman" w:hAnsi="Times New Roman" w:eastAsia="宋体" w:cs="Times New Roman"/>
          <w:color w:val="auto"/>
          <w:sz w:val="24"/>
          <w:szCs w:val="24"/>
          <w:lang w:val="en-GB" w:eastAsia="zh-CN"/>
        </w:rPr>
      </w:pPr>
      <w:r>
        <w:rPr>
          <w:rFonts w:hint="eastAsia" w:ascii="Times New Roman" w:hAnsi="Times New Roman" w:cs="Times New Roman"/>
          <w:color w:val="auto"/>
          <w:sz w:val="24"/>
          <w:szCs w:val="24"/>
          <w:lang w:val="en-US" w:eastAsia="zh-CN"/>
        </w:rPr>
        <w:t>b.</w:t>
      </w:r>
      <w:r>
        <w:rPr>
          <w:rFonts w:hint="default" w:ascii="Times New Roman" w:hAnsi="Times New Roman" w:eastAsia="宋体" w:cs="Times New Roman"/>
          <w:color w:val="auto"/>
          <w:sz w:val="24"/>
          <w:szCs w:val="24"/>
          <w:lang w:val="en-GB" w:eastAsia="zh-CN"/>
        </w:rPr>
        <w:t>下部承压水</w:t>
      </w:r>
    </w:p>
    <w:p w14:paraId="7A1A53D6">
      <w:pPr>
        <w:pStyle w:val="6"/>
        <w:ind w:left="0" w:leftChars="0" w:firstLine="480" w:firstLineChars="200"/>
        <w:rPr>
          <w:rFonts w:hint="default" w:ascii="Times New Roman" w:hAnsi="Times New Roman" w:eastAsia="宋体" w:cs="Times New Roman"/>
          <w:color w:val="auto"/>
          <w:sz w:val="24"/>
          <w:szCs w:val="24"/>
          <w:lang w:val="en-GB" w:eastAsia="zh-CN"/>
        </w:rPr>
      </w:pPr>
      <w:r>
        <w:rPr>
          <w:rFonts w:hint="default" w:ascii="Times New Roman" w:hAnsi="Times New Roman" w:eastAsia="宋体" w:cs="Times New Roman"/>
          <w:color w:val="auto"/>
          <w:sz w:val="24"/>
          <w:szCs w:val="24"/>
          <w:lang w:val="en-GB" w:eastAsia="zh-CN"/>
        </w:rPr>
        <w:t>水量丰富，分布于阿克苏河流域的冲洪积平原区中下部。含水层岩性为砂砾石、含砾中粗砂、中粗砂，水质较好。</w:t>
      </w:r>
    </w:p>
    <w:p w14:paraId="662D4E41">
      <w:pPr>
        <w:pStyle w:val="6"/>
        <w:ind w:left="0" w:lef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②区域补径排条件</w:t>
      </w:r>
    </w:p>
    <w:p w14:paraId="78A8CAC0">
      <w:pPr>
        <w:pStyle w:val="6"/>
        <w:ind w:left="0" w:lef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区内地下水的补给来源主要是河水入渗、渠系入渗、田间入渗及山区向山前平原的地下径流。北部山区以高山冰川融水、永久积雪融水、季节积雪融水、雨水和地下水补给；低山丘陵带中低山地带除了有雨水和高山冰雪融水的补给外，还有少量季节积雪融水的补给和地下水的多种混合补给。平原和盆地是径流的散失区。</w:t>
      </w:r>
    </w:p>
    <w:p w14:paraId="2DA62040">
      <w:pPr>
        <w:pStyle w:val="6"/>
        <w:ind w:left="0" w:lef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阿克苏河冲积平原地形坡度自北向南逐渐变小，沉积物颗粒由粗变细，地层由单一结构渐变为多层结构，地下水位由深变浅，是地下水的主要排泄区，排泄方式为蒸发排泄、人工排泄和向南部塔里木河冲积平原的地下径流排泄。</w:t>
      </w:r>
    </w:p>
    <w:p w14:paraId="35160C74">
      <w:pPr>
        <w:pStyle w:val="6"/>
        <w:ind w:left="0" w:lef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③区域地下水化学特征</w:t>
      </w:r>
    </w:p>
    <w:p w14:paraId="21FB8D40">
      <w:pPr>
        <w:pStyle w:val="6"/>
        <w:ind w:left="0" w:leftChars="0" w:firstLine="480" w:firstLineChars="200"/>
        <w:rPr>
          <w:rFonts w:hint="default"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lang w:eastAsia="zh-CN"/>
        </w:rPr>
        <w:t>潜水</w:t>
      </w:r>
    </w:p>
    <w:p w14:paraId="314D85FE">
      <w:pPr>
        <w:pStyle w:val="6"/>
        <w:ind w:left="0" w:lef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eastAsia="zh-CN"/>
        </w:rPr>
        <w:t>水化学作用在砾质平原以溶滤作用为主，在细土平原以溶滤</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lang w:eastAsia="zh-CN"/>
        </w:rPr>
        <w:t>蒸发作用为主，至溢出带以蒸发浓缩作用为主。水化学变化沿径流方向有明显的水平分带规律。</w:t>
      </w:r>
    </w:p>
    <w:p w14:paraId="19B84775">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eastAsia="zh-CN"/>
        </w:rPr>
        <w:t>SO</w:t>
      </w:r>
      <w:r>
        <w:rPr>
          <w:rFonts w:hint="default" w:ascii="Times New Roman" w:hAnsi="Times New Roman" w:eastAsia="宋体" w:cs="Times New Roman"/>
          <w:color w:val="auto"/>
          <w:sz w:val="24"/>
          <w:szCs w:val="24"/>
          <w:vertAlign w:val="subscript"/>
          <w:lang w:eastAsia="zh-CN"/>
        </w:rPr>
        <w:t>4</w:t>
      </w:r>
      <w:r>
        <w:rPr>
          <w:rFonts w:hint="default" w:ascii="Times New Roman" w:hAnsi="Times New Roman" w:eastAsia="宋体" w:cs="Times New Roman"/>
          <w:color w:val="auto"/>
          <w:sz w:val="24"/>
          <w:szCs w:val="24"/>
        </w:rPr>
        <w:t>型水、HCO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·Cl型水、HCO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·Cl·SO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型水、HCO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·Cl型水呈条带状分布于阿克苏河上游的河谷两侧。</w:t>
      </w:r>
    </w:p>
    <w:p w14:paraId="09C1824D">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型水、SO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型水、SO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·Cl型水、SO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·Cl·HCO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型水、SO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·Cl型水呈环带状分布于HCO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型水、HCO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·Cl型水、HCO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·Cl·SO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型水、HCO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·Cl型水的周围。</w:t>
      </w:r>
    </w:p>
    <w:p w14:paraId="7CB8BCE0">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rPr>
        <w:t>承压水</w:t>
      </w:r>
    </w:p>
    <w:p w14:paraId="074AE49E">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HCO</w:t>
      </w:r>
      <w:r>
        <w:rPr>
          <w:rFonts w:hint="default" w:ascii="Times New Roman" w:hAnsi="Times New Roman" w:eastAsia="宋体" w:cs="Times New Roman"/>
          <w:color w:val="auto"/>
          <w:sz w:val="24"/>
          <w:szCs w:val="24"/>
          <w:vertAlign w:val="subscript"/>
        </w:rPr>
        <w:t>3</w:t>
      </w:r>
      <w:r>
        <w:rPr>
          <w:rFonts w:hint="default" w:ascii="Times New Roman" w:hAnsi="Times New Roman" w:eastAsia="宋体" w:cs="Times New Roman"/>
          <w:color w:val="auto"/>
          <w:sz w:val="24"/>
          <w:szCs w:val="24"/>
        </w:rPr>
        <w:t>·SO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·Cl型水主要分布于阿克苏河冲洪积平原上部。SO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·Cl型水主要分布于阿克苏河冲洪积平原中上部呈条带状展布，Cl型水主要分布在阿克苏河冲洪积扇的扇间地带。</w:t>
      </w:r>
    </w:p>
    <w:p w14:paraId="0B9A25AF">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 4 \* GB3 \* MERGEFORMAT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color w:val="auto"/>
          <w:sz w:val="24"/>
          <w:szCs w:val="24"/>
        </w:rPr>
        <w:t>④</w:t>
      </w:r>
      <w:r>
        <w:rPr>
          <w:rFonts w:hint="default" w:ascii="Times New Roman" w:hAnsi="Times New Roman" w:eastAsia="宋体" w:cs="Times New Roman"/>
          <w:color w:val="auto"/>
          <w:sz w:val="24"/>
          <w:szCs w:val="24"/>
        </w:rPr>
        <w:fldChar w:fldCharType="end"/>
      </w:r>
      <w:r>
        <w:rPr>
          <w:rFonts w:hint="default" w:ascii="Times New Roman" w:hAnsi="Times New Roman" w:eastAsia="宋体" w:cs="Times New Roman"/>
          <w:color w:val="auto"/>
          <w:sz w:val="24"/>
          <w:szCs w:val="24"/>
        </w:rPr>
        <w:t>区域地下水动态</w:t>
      </w:r>
    </w:p>
    <w:p w14:paraId="6C48AB71">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地下水动态主要受气象、水文地质条件及人类活动等因素影响，由于所处的地段不同，其动态变化有明显差异。根据地下水动态的影响因素将阿克苏河流域的地下水动态划分为水文型、水文</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径流型。</w:t>
      </w:r>
    </w:p>
    <w:p w14:paraId="43ED14B9">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rPr>
        <w:t>水文型动态</w:t>
      </w:r>
    </w:p>
    <w:p w14:paraId="2BE2222A">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分布于环盆地的冲洪积平原上部潜水区，地下水的动态特征与地表径流关系密切，地下水高水位期略</w:t>
      </w:r>
      <w:r>
        <w:rPr>
          <w:rFonts w:hint="default" w:ascii="Times New Roman" w:hAnsi="Times New Roman" w:eastAsia="宋体" w:cs="Times New Roman"/>
          <w:color w:val="auto"/>
          <w:sz w:val="24"/>
          <w:szCs w:val="24"/>
          <w:lang w:eastAsia="zh-CN"/>
        </w:rPr>
        <w:t>滞后</w:t>
      </w:r>
      <w:r>
        <w:rPr>
          <w:rFonts w:hint="default" w:ascii="Times New Roman" w:hAnsi="Times New Roman" w:eastAsia="宋体" w:cs="Times New Roman"/>
          <w:color w:val="auto"/>
          <w:sz w:val="24"/>
          <w:szCs w:val="24"/>
        </w:rPr>
        <w:t>于地表水丰水期，滞后期的长短与距离河道的远近有关。一般12月</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次年6月份为地下水低水位期，在这期间，受地下水径流运移的影响，潜水水位略有起伏变化；8</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10月为地下水高水位期，受地表来水量大小影响，潜水水位具不规则起伏变化；在高水位期与低水位期之间，水位升降较为剧烈。这与地表水径流量年内分布特征有关，年内高低水位差较大，一般在2</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5m之间。</w:t>
      </w:r>
    </w:p>
    <w:p w14:paraId="6A5CA1EB">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rPr>
        <w:t>水文</w:t>
      </w:r>
      <w:r>
        <w:rPr>
          <w:rFonts w:hint="default"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径流型</w:t>
      </w:r>
      <w:r>
        <w:rPr>
          <w:rFonts w:hint="default" w:ascii="Times New Roman" w:hAnsi="Times New Roman" w:eastAsia="宋体" w:cs="Times New Roman"/>
          <w:color w:val="auto"/>
          <w:sz w:val="24"/>
          <w:szCs w:val="24"/>
          <w:lang w:eastAsia="zh-CN"/>
        </w:rPr>
        <w:t>动态</w:t>
      </w:r>
    </w:p>
    <w:p w14:paraId="40AAAAA7">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分布于环盆地的冲洪积平原中下部潜水区及承压水区，地表水的丰枯变化对地下水水位动态变化影响相对较小。动态曲线为双峰型，8</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10月和3</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5月出现水位上升趋势，并保持高水位状态；6</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7月和12月</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次年1月为低水位期或水位呈下降趋势。其原因为8月</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10月受地表水大量集中入渗补给，形成高水位期，12月</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次年1月份，地表径流入渗补给减少，出现低水位期，表现为水文型动态特征；此后，在地下水径流的作用下，呈现为径流型动态特征，年内变幅1</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2.5m，年际变幅0.13</w:t>
      </w:r>
      <w:r>
        <w:rPr>
          <w:rFonts w:hint="default" w:ascii="Times New Roman" w:hAnsi="Times New Roman" w:cs="Times New Roman"/>
          <w:b w:val="0"/>
          <w:bCs w:val="0"/>
          <w:sz w:val="24"/>
          <w:u w:val="none"/>
          <w:lang w:val="en-US" w:eastAsia="zh-CN"/>
        </w:rPr>
        <w:t>～</w:t>
      </w:r>
      <w:r>
        <w:rPr>
          <w:rFonts w:hint="default" w:ascii="Times New Roman" w:hAnsi="Times New Roman" w:eastAsia="宋体" w:cs="Times New Roman"/>
          <w:color w:val="auto"/>
          <w:sz w:val="24"/>
          <w:szCs w:val="24"/>
        </w:rPr>
        <w:t>0.60m。</w:t>
      </w:r>
    </w:p>
    <w:p w14:paraId="59FB3879">
      <w:pPr>
        <w:pStyle w:val="6"/>
        <w:ind w:left="0" w:lef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lang w:val="en-US" w:eastAsia="zh-CN"/>
        </w:rPr>
        <w:t>（3）</w:t>
      </w:r>
      <w:r>
        <w:rPr>
          <w:rFonts w:hint="default" w:ascii="Times New Roman" w:hAnsi="Times New Roman" w:eastAsia="宋体" w:cs="Times New Roman"/>
          <w:color w:val="auto"/>
          <w:sz w:val="24"/>
          <w:szCs w:val="24"/>
          <w:lang w:eastAsia="zh-CN"/>
        </w:rPr>
        <w:t>评价区水文地质条件</w:t>
      </w:r>
    </w:p>
    <w:p w14:paraId="70965F90">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①含水层结构</w:t>
      </w:r>
    </w:p>
    <w:p w14:paraId="0CC20F55">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依据区域地质和区域水文地质特征，评价区可分为2个水文地质单元，即基岩山区水文地质单元和山前冲洪积平原水文地质单元。</w:t>
      </w:r>
    </w:p>
    <w:p w14:paraId="6ECDF640">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1）</w:t>
      </w:r>
      <w:r>
        <w:rPr>
          <w:rFonts w:hint="default" w:ascii="Times New Roman" w:hAnsi="Times New Roman" w:eastAsia="宋体" w:cs="Times New Roman"/>
          <w:color w:val="auto"/>
          <w:sz w:val="24"/>
          <w:szCs w:val="24"/>
        </w:rPr>
        <w:t>基岩山区水文地质单元</w:t>
      </w:r>
    </w:p>
    <w:p w14:paraId="1EEADFFD">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基岩山区地层属元古界变质岩（Pt）。含水层岩性为变质岩。地层厚度巨大，裂隙孔隙不发育，地下水十分贫乏，富水性为小于0.1L/s的弱富水性区域。</w:t>
      </w:r>
    </w:p>
    <w:p w14:paraId="6A02BB86">
      <w:pPr>
        <w:pStyle w:val="6"/>
        <w:ind w:left="0" w:leftChars="0" w:firstLine="480" w:firstLineChars="200"/>
        <w:rPr>
          <w:rFonts w:hint="default" w:ascii="Times New Roman" w:hAnsi="Times New Roman" w:eastAsia="宋体" w:cs="Times New Roman"/>
          <w:color w:val="auto"/>
          <w:sz w:val="24"/>
          <w:szCs w:val="24"/>
        </w:rPr>
      </w:pPr>
      <w:r>
        <w:rPr>
          <w:rFonts w:hint="eastAsia" w:ascii="Times New Roman" w:hAnsi="Times New Roman" w:cs="Times New Roman"/>
          <w:color w:val="auto"/>
          <w:sz w:val="24"/>
          <w:szCs w:val="24"/>
          <w:lang w:val="en-US" w:eastAsia="zh-CN"/>
        </w:rPr>
        <w:t>2）</w:t>
      </w:r>
      <w:r>
        <w:rPr>
          <w:rFonts w:hint="default" w:ascii="Times New Roman" w:hAnsi="Times New Roman" w:eastAsia="宋体" w:cs="Times New Roman"/>
          <w:color w:val="auto"/>
          <w:sz w:val="24"/>
          <w:szCs w:val="24"/>
        </w:rPr>
        <w:t>山前冲积平原水文地质单元</w:t>
      </w:r>
    </w:p>
    <w:p w14:paraId="7AD7B423">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山前冲积平原水文地质为上更新统冲洪积含水层，含水层岩性为冲洪积砂砾石、卵石，项目位于上更新统冲洪积含水层极贫乏区，含水层厚度较薄，单井涌水量&lt;2m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/d，为矿化度&gt;1g/L的SO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·Cl-Na（Ca·Mg）型咸水。</w:t>
      </w:r>
    </w:p>
    <w:p w14:paraId="7E822438">
      <w:pPr>
        <w:pStyle w:val="6"/>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②地下水补给、径流、排泄规律</w:t>
      </w:r>
    </w:p>
    <w:p w14:paraId="6BDA23AC">
      <w:pPr>
        <w:pStyle w:val="6"/>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由于沙漠区气候异常干燥，降水稀少而蒸发强烈，因此降水补给量可忽略不计。地下水在补径排上有两大特征，补给与排泄的水平流入流出量所占比重相对较大，但仍以垂向补排为主。山前冲积平原地下水流向为山体向阿克苏河，即西南向东北。</w:t>
      </w:r>
    </w:p>
    <w:p w14:paraId="00BD085F">
      <w:pPr>
        <w:pStyle w:val="6"/>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③地下水化学特征</w:t>
      </w:r>
    </w:p>
    <w:p w14:paraId="57520F0F">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区域地下水水化学特征，主要受地下水补给、径流、排泄条件，地层岩性与其沉积环境所决定的水文地球化学作用，以及人为活动等因素的综合作用所控制。</w:t>
      </w:r>
    </w:p>
    <w:p w14:paraId="0EE01272">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区域内气候极度干燥，潜水的埋深普遍小。这些因素决定了区域内地下水的水化学作用主要以强烈的蒸发浓缩矿化作用为主，而离子交替作用很弱。因此，区域内地下水水化学类型主要为SO</w:t>
      </w:r>
      <w:r>
        <w:rPr>
          <w:rFonts w:hint="default" w:ascii="Times New Roman" w:hAnsi="Times New Roman" w:eastAsia="宋体" w:cs="Times New Roman"/>
          <w:color w:val="auto"/>
          <w:sz w:val="24"/>
          <w:szCs w:val="24"/>
          <w:vertAlign w:val="subscript"/>
        </w:rPr>
        <w:t>4</w:t>
      </w:r>
      <w:r>
        <w:rPr>
          <w:rFonts w:hint="default" w:ascii="Times New Roman" w:hAnsi="Times New Roman" w:eastAsia="宋体" w:cs="Times New Roman"/>
          <w:color w:val="auto"/>
          <w:sz w:val="24"/>
          <w:szCs w:val="24"/>
        </w:rPr>
        <w:t>·Cl-Na型。</w:t>
      </w:r>
    </w:p>
    <w:p w14:paraId="317CFE4F">
      <w:pPr>
        <w:pStyle w:val="6"/>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fldChar w:fldCharType="begin"/>
      </w:r>
      <w:r>
        <w:rPr>
          <w:rFonts w:hint="default" w:ascii="Times New Roman" w:hAnsi="Times New Roman" w:eastAsia="宋体" w:cs="Times New Roman"/>
          <w:color w:val="auto"/>
          <w:sz w:val="24"/>
          <w:szCs w:val="24"/>
          <w:lang w:val="en-US" w:eastAsia="zh-CN"/>
        </w:rPr>
        <w:instrText xml:space="preserve"> = 4 \* GB3 \* MERGEFORMAT </w:instrText>
      </w:r>
      <w:r>
        <w:rPr>
          <w:rFonts w:hint="default" w:ascii="Times New Roman" w:hAnsi="Times New Roman" w:eastAsia="宋体" w:cs="Times New Roman"/>
          <w:color w:val="auto"/>
          <w:sz w:val="24"/>
          <w:szCs w:val="24"/>
          <w:lang w:val="en-US" w:eastAsia="zh-CN"/>
        </w:rPr>
        <w:fldChar w:fldCharType="separate"/>
      </w:r>
      <w:r>
        <w:rPr>
          <w:rFonts w:hint="default" w:ascii="Times New Roman" w:hAnsi="Times New Roman" w:eastAsia="宋体" w:cs="Times New Roman"/>
          <w:color w:val="auto"/>
          <w:sz w:val="24"/>
          <w:szCs w:val="24"/>
        </w:rPr>
        <w:t>④</w:t>
      </w:r>
      <w:r>
        <w:rPr>
          <w:rFonts w:hint="default" w:ascii="Times New Roman" w:hAnsi="Times New Roman" w:eastAsia="宋体" w:cs="Times New Roman"/>
          <w:color w:val="auto"/>
          <w:sz w:val="24"/>
          <w:szCs w:val="24"/>
          <w:lang w:val="en-US" w:eastAsia="zh-CN"/>
        </w:rPr>
        <w:fldChar w:fldCharType="end"/>
      </w:r>
      <w:r>
        <w:rPr>
          <w:rFonts w:hint="default" w:ascii="Times New Roman" w:hAnsi="Times New Roman" w:eastAsia="宋体" w:cs="Times New Roman"/>
          <w:color w:val="auto"/>
          <w:sz w:val="24"/>
          <w:szCs w:val="24"/>
          <w:lang w:val="en-US" w:eastAsia="zh-CN"/>
        </w:rPr>
        <w:t>地下水动态特征</w:t>
      </w:r>
    </w:p>
    <w:p w14:paraId="7A9D7078">
      <w:pPr>
        <w:pStyle w:val="6"/>
        <w:ind w:left="0" w:leftChars="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含水层在雨季，随河流丰水期的到来能够迅速得到大量补给，除了供给少量天然消耗外，使含水层水头急剧抬高，部分补给量将转化为储存量暂时储于含水层内。雨季过后，补给量急剧减少，这时将主要依靠释放储存量供给各种消耗，含水层水头普遍下降，到旱季末期，水头降到最低位置。</w:t>
      </w:r>
    </w:p>
    <w:p w14:paraId="6F3FBAB7">
      <w:pPr>
        <w:pStyle w:val="6"/>
        <w:ind w:left="0" w:leftChars="0"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区域水文地质图见图5</w:t>
      </w:r>
      <w:r>
        <w:rPr>
          <w:rFonts w:hint="eastAsia" w:cs="Times New Roman"/>
          <w:color w:val="auto"/>
          <w:sz w:val="24"/>
          <w:szCs w:val="24"/>
          <w:lang w:val="en-US" w:eastAsia="zh-CN"/>
        </w:rPr>
        <w:t>.2</w:t>
      </w:r>
      <w:r>
        <w:rPr>
          <w:rFonts w:hint="default"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w:t>
      </w:r>
    </w:p>
    <w:p w14:paraId="06FE6A28">
      <w:pPr>
        <w:pStyle w:val="6"/>
        <w:ind w:left="0" w:leftChars="0" w:firstLine="480" w:firstLineChars="200"/>
        <w:rPr>
          <w:rFonts w:hint="default" w:ascii="Times New Roman" w:hAnsi="Times New Roman" w:eastAsia="宋体" w:cs="Times New Roman"/>
          <w:color w:val="auto"/>
          <w:sz w:val="24"/>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900D870">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Cs w:val="24"/>
          <w:lang w:eastAsia="zh-CN"/>
        </w:rPr>
      </w:pPr>
      <w:r>
        <w:rPr>
          <w:rFonts w:hint="default" w:ascii="Times New Roman" w:hAnsi="Times New Roman" w:eastAsia="宋体" w:cs="Times New Roman"/>
          <w:color w:val="auto"/>
          <w:szCs w:val="24"/>
          <w:lang w:eastAsia="zh-CN"/>
        </w:rPr>
        <mc:AlternateContent>
          <mc:Choice Requires="wpg">
            <w:drawing>
              <wp:inline distT="0" distB="0" distL="114300" distR="114300">
                <wp:extent cx="8688705" cy="4206240"/>
                <wp:effectExtent l="9525" t="9525" r="19050" b="20955"/>
                <wp:docPr id="1301" name="组合 1301"/>
                <wp:cNvGraphicFramePr/>
                <a:graphic xmlns:a="http://schemas.openxmlformats.org/drawingml/2006/main">
                  <a:graphicData uri="http://schemas.microsoft.com/office/word/2010/wordprocessingGroup">
                    <wpg:wgp>
                      <wpg:cNvGrpSpPr/>
                      <wpg:grpSpPr>
                        <a:xfrm>
                          <a:off x="0" y="0"/>
                          <a:ext cx="8688705" cy="4206240"/>
                          <a:chOff x="1462" y="2041"/>
                          <a:chExt cx="13955" cy="6740"/>
                        </a:xfrm>
                        <a:effectLst/>
                      </wpg:grpSpPr>
                      <wps:wsp>
                        <wps:cNvPr id="1302" name="AutoShape 955"/>
                        <wps:cNvSpPr>
                          <a:spLocks noChangeArrowheads="1"/>
                        </wps:cNvSpPr>
                        <wps:spPr bwMode="auto">
                          <a:xfrm rot="-3181663">
                            <a:off x="5034" y="3801"/>
                            <a:ext cx="855" cy="450"/>
                          </a:xfrm>
                          <a:prstGeom prst="notchedRightArrow">
                            <a:avLst>
                              <a:gd name="adj1" fmla="val 50000"/>
                              <a:gd name="adj2" fmla="val 47500"/>
                            </a:avLst>
                          </a:prstGeom>
                          <a:solidFill>
                            <a:srgbClr val="00FFFF"/>
                          </a:solidFill>
                          <a:ln w="9525">
                            <a:solidFill>
                              <a:srgbClr val="00FFFF"/>
                            </a:solidFill>
                            <a:miter lim="800000"/>
                          </a:ln>
                          <a:effectLst/>
                        </wps:spPr>
                        <wps:bodyPr rot="0" vert="horz" wrap="square" lIns="91440" tIns="45720" rIns="91440" bIns="45720" anchor="t" anchorCtr="0" upright="1">
                          <a:noAutofit/>
                        </wps:bodyPr>
                      </wps:wsp>
                      <pic:pic xmlns:pic="http://schemas.openxmlformats.org/drawingml/2006/picture">
                        <pic:nvPicPr>
                          <pic:cNvPr id="1303" name="Picture 952" descr="新疆维吾尔自治区水文地质图 - 副本"/>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1462" y="2041"/>
                            <a:ext cx="13955" cy="6740"/>
                          </a:xfrm>
                          <a:prstGeom prst="rect">
                            <a:avLst/>
                          </a:prstGeom>
                          <a:noFill/>
                          <a:ln w="9525">
                            <a:solidFill>
                              <a:srgbClr val="000000"/>
                            </a:solidFill>
                            <a:miter lim="800000"/>
                            <a:headEnd/>
                            <a:tailEnd/>
                          </a:ln>
                          <a:effectLst/>
                        </pic:spPr>
                      </pic:pic>
                      <wps:wsp>
                        <wps:cNvPr id="1304" name="Rectangle 953"/>
                        <wps:cNvSpPr>
                          <a:spLocks noChangeArrowheads="1"/>
                        </wps:cNvSpPr>
                        <wps:spPr bwMode="auto">
                          <a:xfrm>
                            <a:off x="4601" y="5181"/>
                            <a:ext cx="248" cy="249"/>
                          </a:xfrm>
                          <a:prstGeom prst="rect">
                            <a:avLst/>
                          </a:prstGeom>
                          <a:solidFill>
                            <a:srgbClr val="FF0000"/>
                          </a:solidFill>
                          <a:ln w="9525">
                            <a:solidFill>
                              <a:srgbClr val="FF0000"/>
                            </a:solidFill>
                            <a:miter lim="800000"/>
                          </a:ln>
                          <a:effectLst/>
                        </wps:spPr>
                        <wps:bodyPr rot="0" vert="horz" wrap="square" lIns="91440" tIns="45720" rIns="91440" bIns="45720" anchor="t" anchorCtr="0" upright="1">
                          <a:noAutofit/>
                        </wps:bodyPr>
                      </wps:wsp>
                      <wps:wsp>
                        <wps:cNvPr id="1305" name="AutoShape 954"/>
                        <wps:cNvSpPr>
                          <a:spLocks noChangeArrowheads="1"/>
                        </wps:cNvSpPr>
                        <wps:spPr bwMode="auto">
                          <a:xfrm>
                            <a:off x="5025" y="3814"/>
                            <a:ext cx="1473" cy="463"/>
                          </a:xfrm>
                          <a:prstGeom prst="wedgeRectCallout">
                            <a:avLst>
                              <a:gd name="adj1" fmla="val -71946"/>
                              <a:gd name="adj2" fmla="val 237920"/>
                            </a:avLst>
                          </a:prstGeom>
                          <a:solidFill>
                            <a:srgbClr val="FFFFFF"/>
                          </a:solidFill>
                          <a:ln w="9525">
                            <a:solidFill>
                              <a:srgbClr val="000000"/>
                            </a:solidFill>
                            <a:miter lim="800000"/>
                          </a:ln>
                          <a:effectLst/>
                        </wps:spPr>
                        <wps:txbx>
                          <w:txbxContent>
                            <w:p w14:paraId="2260B87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b/>
                                </w:rPr>
                              </w:pPr>
                              <w:r>
                                <w:rPr>
                                  <w:rFonts w:hint="eastAsia"/>
                                  <w:b/>
                                </w:rPr>
                                <w:t>项目位置</w:t>
                              </w:r>
                            </w:p>
                          </w:txbxContent>
                        </wps:txbx>
                        <wps:bodyPr rot="0" vert="horz" wrap="square" lIns="91440" tIns="45720" rIns="91440" bIns="45720" anchor="t" anchorCtr="0" upright="1">
                          <a:noAutofit/>
                        </wps:bodyPr>
                      </wps:wsp>
                    </wpg:wgp>
                  </a:graphicData>
                </a:graphic>
              </wp:inline>
            </w:drawing>
          </mc:Choice>
          <mc:Fallback>
            <w:pict>
              <v:group id="_x0000_s1026" o:spid="_x0000_s1026" o:spt="203" style="height:331.2pt;width:684.15pt;" coordorigin="1462,2041" coordsize="13955,6740" o:gfxdata="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">
                <o:lock v:ext="edit" aspectratio="f"/>
                <v:shape id="AutoShape 955" o:spid="_x0000_s1026" o:spt="94" type="#_x0000_t94" style="position:absolute;left:5034;top:3801;height:450;width:855;rotation:-3475224f;" fillcolor="#00FFFF" filled="t" stroked="t" coordsize="21600,21600" o:gfxdata="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Q0iuvQAA&#10;AN0AAAAPAAAAAAAAAAEAIAAAACIAAABkcnMvZG93bnJldi54bWxQSwECFAAUAAAACACHTuJAMy8F&#10;njsAAAA5AAAAEAAAAAAAAAABACAAAAAMAQAAZHJzL3NoYXBleG1sLnhtbFBLBQYAAAAABgAGAFsB&#10;AAC2AwAAAAA=&#10;" adj="16201,5400">
                  <v:fill on="t" focussize="0,0"/>
                  <v:stroke color="#00FFFF" miterlimit="8" joinstyle="miter"/>
                  <v:imagedata o:title=""/>
                  <o:lock v:ext="edit" aspectratio="f"/>
                </v:shape>
                <v:shape id="Picture 952" o:spid="_x0000_s1026" o:spt="75" alt="新疆维吾尔自治区水文地质图 - 副本" type="#_x0000_t75" style="position:absolute;left:1462;top:2041;height:6740;width:13955;" filled="f" o:preferrelative="t" stroked="t" coordsize="21600,21600" o:gfxdata="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FwUtvQAA&#10;AN0AAAAPAAAAAAAAAAEAIAAAACIAAABkcnMvZG93bnJldi54bWxQSwECFAAUAAAACACHTuJAMy8F&#10;njsAAAA5AAAAEAAAAAAAAAABACAAAAAMAQAAZHJzL3NoYXBleG1sLnhtbFBLBQYAAAAABgAGAFsB&#10;AAC2AwAAAAA=&#10;">
                  <v:fill on="f" focussize="0,0"/>
                  <v:stroke color="#000000" miterlimit="8" joinstyle="miter"/>
                  <v:imagedata r:id="rId55" o:title=""/>
                  <o:lock v:ext="edit" aspectratio="t"/>
                </v:shape>
                <v:rect id="Rectangle 953" o:spid="_x0000_s1026" o:spt="1" style="position:absolute;left:4601;top:5181;height:249;width:248;" fillcolor="#FF0000" filled="t" stroked="t" coordsize="21600,21600" o:gfxdata="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AWR7b4A&#10;AADdAAAADwAAAAAAAAABACAAAAAiAAAAZHJzL2Rvd25yZXYueG1sUEsBAhQAFAAAAAgAh07iQDMv&#10;BZ47AAAAOQAAABAAAAAAAAAAAQAgAAAADQEAAGRycy9zaGFwZXhtbC54bWxQSwUGAAAAAAYABgBb&#10;AQAAtwMAAAAA&#10;">
                  <v:fill on="t" focussize="0,0"/>
                  <v:stroke color="#FF0000" miterlimit="8" joinstyle="miter"/>
                  <v:imagedata o:title=""/>
                  <o:lock v:ext="edit" aspectratio="f"/>
                </v:rect>
                <v:shape id="AutoShape 954" o:spid="_x0000_s1026" o:spt="61" type="#_x0000_t61" style="position:absolute;left:5025;top:3814;height:463;width:1473;" fillcolor="#FFFFFF" filled="t" stroked="t" coordsize="21600,21600" o:gfxdata="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xqQIL4A&#10;AADdAAAADwAAAAAAAAABACAAAAAiAAAAZHJzL2Rvd25yZXYueG1sUEsBAhQAFAAAAAgAh07iQDMv&#10;BZ47AAAAOQAAABAAAAAAAAAAAQAgAAAADQEAAGRycy9zaGFwZXhtbC54bWxQSwUGAAAAAAYABgBb&#10;AQAAtwMAAAAA&#10;" adj="-4740,62191">
                  <v:fill on="t" focussize="0,0"/>
                  <v:stroke color="#000000" miterlimit="8" joinstyle="miter"/>
                  <v:imagedata o:title=""/>
                  <o:lock v:ext="edit" aspectratio="f"/>
                  <v:textbox>
                    <w:txbxContent>
                      <w:p w14:paraId="2260B87A">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b/>
                          </w:rPr>
                        </w:pPr>
                        <w:r>
                          <w:rPr>
                            <w:rFonts w:hint="eastAsia"/>
                            <w:b/>
                          </w:rPr>
                          <w:t>项目位置</w:t>
                        </w:r>
                      </w:p>
                    </w:txbxContent>
                  </v:textbox>
                </v:shape>
                <w10:wrap type="none"/>
                <w10:anchorlock/>
              </v:group>
            </w:pict>
          </mc:Fallback>
        </mc:AlternateContent>
      </w:r>
    </w:p>
    <w:p w14:paraId="5ED57BCD">
      <w:pPr>
        <w:pStyle w:val="6"/>
        <w:ind w:left="0" w:leftChars="0" w:right="0" w:rightChars="0" w:firstLine="0" w:firstLineChars="0"/>
        <w:jc w:val="center"/>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图5</w:t>
      </w:r>
      <w:r>
        <w:rPr>
          <w:rFonts w:hint="eastAsia" w:ascii="Times New Roman" w:hAnsi="Times New Roman" w:cs="Times New Roman"/>
          <w:b/>
          <w:bCs/>
          <w:color w:val="auto"/>
          <w:sz w:val="24"/>
          <w:szCs w:val="24"/>
          <w:highlight w:val="none"/>
          <w:lang w:val="en-US" w:eastAsia="zh-CN"/>
        </w:rPr>
        <w:t>.2</w:t>
      </w:r>
      <w:r>
        <w:rPr>
          <w:rFonts w:hint="default" w:ascii="Times New Roman" w:hAnsi="Times New Roman" w:eastAsia="宋体" w:cs="Times New Roman"/>
          <w:b/>
          <w:bCs/>
          <w:color w:val="auto"/>
          <w:sz w:val="24"/>
          <w:szCs w:val="24"/>
          <w:highlight w:val="none"/>
          <w:lang w:val="en-US" w:eastAsia="zh-CN"/>
        </w:rPr>
        <w:t>-</w:t>
      </w:r>
      <w:r>
        <w:rPr>
          <w:rFonts w:hint="eastAsia" w:ascii="Times New Roman" w:hAnsi="Times New Roman" w:cs="Times New Roman"/>
          <w:b/>
          <w:bCs/>
          <w:color w:val="auto"/>
          <w:sz w:val="24"/>
          <w:szCs w:val="24"/>
          <w:highlight w:val="none"/>
          <w:lang w:val="en-US" w:eastAsia="zh-CN"/>
        </w:rPr>
        <w:t>4</w:t>
      </w:r>
      <w:r>
        <w:rPr>
          <w:rFonts w:hint="default" w:ascii="Times New Roman" w:hAnsi="Times New Roman" w:eastAsia="宋体" w:cs="Times New Roman"/>
          <w:b/>
          <w:bCs/>
          <w:color w:val="auto"/>
          <w:sz w:val="24"/>
          <w:szCs w:val="24"/>
          <w:highlight w:val="none"/>
          <w:lang w:val="en-US" w:eastAsia="zh-CN"/>
        </w:rPr>
        <w:t xml:space="preserve"> 评价区域水文地质图</w:t>
      </w:r>
    </w:p>
    <w:p w14:paraId="71560DEC">
      <w:pPr>
        <w:pStyle w:val="6"/>
        <w:ind w:left="0" w:leftChars="0" w:right="0" w:rightChars="0" w:firstLine="0" w:firstLineChars="0"/>
        <w:jc w:val="center"/>
        <w:rPr>
          <w:rFonts w:hint="default" w:ascii="Times New Roman" w:hAnsi="Times New Roman" w:eastAsia="宋体" w:cs="Times New Roman"/>
          <w:b/>
          <w:bCs/>
          <w:color w:val="auto"/>
          <w:sz w:val="24"/>
          <w:szCs w:val="24"/>
          <w:highlight w:val="yellow"/>
          <w:lang w:val="en-US" w:eastAsia="zh-C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763BB5E9">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（4）地下水污染途径分析</w:t>
      </w:r>
    </w:p>
    <w:p w14:paraId="2D3B8353">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①地下水污染途径</w:t>
      </w:r>
    </w:p>
    <w:p w14:paraId="6867AAC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地下水污染途径可分为四类：</w:t>
      </w:r>
    </w:p>
    <w:p w14:paraId="1BDDF4E2">
      <w:pPr>
        <w:spacing w:line="360" w:lineRule="auto"/>
        <w:ind w:firstLine="480" w:firstLineChars="200"/>
        <w:rPr>
          <w:rFonts w:hint="default" w:ascii="Times New Roman" w:hAnsi="Times New Roman" w:cs="Times New Roman"/>
          <w:sz w:val="24"/>
        </w:rPr>
      </w:pPr>
      <w:r>
        <w:rPr>
          <w:rFonts w:hint="eastAsia" w:ascii="Times New Roman" w:hAnsi="Times New Roman" w:cs="Times New Roman"/>
          <w:sz w:val="24"/>
          <w:lang w:val="en-US" w:eastAsia="zh-CN"/>
        </w:rPr>
        <w:t>1）</w:t>
      </w:r>
      <w:r>
        <w:rPr>
          <w:rFonts w:hint="default" w:ascii="Times New Roman" w:hAnsi="Times New Roman" w:cs="Times New Roman"/>
          <w:sz w:val="24"/>
        </w:rPr>
        <w:t>间歇入渗型</w:t>
      </w:r>
    </w:p>
    <w:p w14:paraId="3CD47A3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污染物通过大气降水或灌溉水的淋滤、是固体废物、表层土壤或地层中的有毒有害物质周期性（灌溉旱田、降雨时）从污染源通过包气带土壤渗入含水层的主要途径。这种渗入一般是呈非饱和状态的淋雨状渗流形式，或者呈短时间的饱水状态连续渗流形式，此类污染的对象主要为浅层地下水。</w:t>
      </w:r>
    </w:p>
    <w:p w14:paraId="3236FF0C">
      <w:pPr>
        <w:spacing w:line="360" w:lineRule="auto"/>
        <w:ind w:firstLine="480" w:firstLineChars="200"/>
        <w:rPr>
          <w:rFonts w:hint="default" w:ascii="Times New Roman" w:hAnsi="Times New Roman" w:cs="Times New Roman"/>
          <w:sz w:val="24"/>
        </w:rPr>
      </w:pPr>
      <w:r>
        <w:rPr>
          <w:rFonts w:hint="eastAsia" w:ascii="Times New Roman" w:hAnsi="Times New Roman" w:cs="Times New Roman"/>
          <w:sz w:val="24"/>
          <w:lang w:val="en-US" w:eastAsia="zh-CN"/>
        </w:rPr>
        <w:t>2）</w:t>
      </w:r>
      <w:r>
        <w:rPr>
          <w:rFonts w:hint="default" w:ascii="Times New Roman" w:hAnsi="Times New Roman" w:cs="Times New Roman"/>
          <w:sz w:val="24"/>
        </w:rPr>
        <w:t>连续入渗型</w:t>
      </w:r>
    </w:p>
    <w:p w14:paraId="3CDBD908">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污染物随各种液体不断地经包气带上部完全饱水的表土层以连续渗流形式，而在其下部（下包气带）呈非饱和水的淋雨状渗流形式渗入含水层的途径，污染对象主要为浅层含水层。</w:t>
      </w:r>
    </w:p>
    <w:p w14:paraId="3CA6DCC4">
      <w:pPr>
        <w:spacing w:line="360" w:lineRule="auto"/>
        <w:ind w:firstLine="480" w:firstLineChars="200"/>
        <w:rPr>
          <w:rFonts w:hint="default" w:ascii="Times New Roman" w:hAnsi="Times New Roman" w:cs="Times New Roman"/>
          <w:sz w:val="24"/>
        </w:rPr>
      </w:pPr>
      <w:r>
        <w:rPr>
          <w:rFonts w:hint="eastAsia" w:ascii="Times New Roman" w:hAnsi="Times New Roman" w:cs="Times New Roman"/>
          <w:sz w:val="24"/>
          <w:lang w:val="en-US" w:eastAsia="zh-CN"/>
        </w:rPr>
        <w:t>3）</w:t>
      </w:r>
      <w:r>
        <w:rPr>
          <w:rFonts w:hint="default" w:ascii="Times New Roman" w:hAnsi="Times New Roman" w:cs="Times New Roman"/>
          <w:sz w:val="24"/>
        </w:rPr>
        <w:t>越流型</w:t>
      </w:r>
    </w:p>
    <w:p w14:paraId="79A25270">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污染物通过层间越流形式转入其他含水层。转移是通过天然途径（水文地质天窗）、人为途径（结构不合理的井管、破损的老井管等）或人为开采引起的地下水动力条件的变化而改变了越流方向，使污染物通过大面积的弱隔水层越流转移到其他含水层，污染对象为潜水或承压水。</w:t>
      </w:r>
    </w:p>
    <w:p w14:paraId="562610A2">
      <w:pPr>
        <w:spacing w:line="360" w:lineRule="auto"/>
        <w:ind w:firstLine="480" w:firstLineChars="200"/>
        <w:rPr>
          <w:rFonts w:hint="default" w:ascii="Times New Roman" w:hAnsi="Times New Roman" w:cs="Times New Roman"/>
          <w:sz w:val="24"/>
        </w:rPr>
      </w:pPr>
      <w:r>
        <w:rPr>
          <w:rFonts w:hint="eastAsia" w:ascii="Times New Roman" w:hAnsi="Times New Roman" w:cs="Times New Roman"/>
          <w:sz w:val="24"/>
          <w:lang w:val="en-US" w:eastAsia="zh-CN"/>
        </w:rPr>
        <w:t>4）</w:t>
      </w:r>
      <w:r>
        <w:rPr>
          <w:rFonts w:hint="default" w:ascii="Times New Roman" w:hAnsi="Times New Roman" w:cs="Times New Roman"/>
          <w:sz w:val="24"/>
        </w:rPr>
        <w:t>径流型</w:t>
      </w:r>
    </w:p>
    <w:p w14:paraId="0ADFF5CE">
      <w:pPr>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污染物通过地下水径流的形式进入含水层，或者通过废水处理井、岩溶发育的巨大岩溶通道、废液地下储存层的隔离层的破裂进入其他含水层，污染对象为潜水或承压水。</w:t>
      </w:r>
    </w:p>
    <w:p w14:paraId="797317EE">
      <w:pPr>
        <w:jc w:val="center"/>
        <w:rPr>
          <w:rFonts w:hint="default" w:ascii="Times New Roman" w:hAnsi="Times New Roman" w:cs="Times New Roman"/>
          <w:b/>
          <w:sz w:val="24"/>
          <w:szCs w:val="24"/>
        </w:rPr>
      </w:pPr>
      <w:r>
        <w:rPr>
          <w:rFonts w:hint="default" w:ascii="Times New Roman" w:hAnsi="Times New Roman" w:cs="Times New Roman"/>
          <w:b/>
          <w:sz w:val="24"/>
          <w:szCs w:val="24"/>
        </w:rPr>
        <w:t>表5</w:t>
      </w:r>
      <w:r>
        <w:rPr>
          <w:rFonts w:hint="eastAsia" w:ascii="Times New Roman" w:hAnsi="Times New Roman" w:cs="Times New Roman"/>
          <w:b/>
          <w:sz w:val="24"/>
          <w:szCs w:val="24"/>
          <w:lang w:val="en-US" w:eastAsia="zh-CN"/>
        </w:rPr>
        <w:t>.2</w:t>
      </w:r>
      <w:r>
        <w:rPr>
          <w:rFonts w:hint="default" w:ascii="Times New Roman" w:hAnsi="Times New Roman" w:cs="Times New Roman"/>
          <w:b/>
          <w:sz w:val="24"/>
          <w:szCs w:val="24"/>
          <w:lang w:val="en-US" w:eastAsia="zh-CN"/>
        </w:rPr>
        <w:t>-</w:t>
      </w:r>
      <w:r>
        <w:rPr>
          <w:rFonts w:hint="eastAsia" w:cs="Times New Roman"/>
          <w:b/>
          <w:sz w:val="24"/>
          <w:szCs w:val="24"/>
          <w:lang w:val="en-US" w:eastAsia="zh-CN"/>
        </w:rPr>
        <w:t>19</w:t>
      </w:r>
      <w:r>
        <w:rPr>
          <w:rFonts w:hint="default" w:ascii="Times New Roman" w:hAnsi="Times New Roman" w:cs="Times New Roman"/>
          <w:b/>
          <w:sz w:val="24"/>
          <w:szCs w:val="24"/>
        </w:rPr>
        <w:t xml:space="preserve"> 地下水污染途径一览表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09"/>
        <w:gridCol w:w="2788"/>
        <w:gridCol w:w="2984"/>
        <w:gridCol w:w="1734"/>
      </w:tblGrid>
      <w:tr w14:paraId="1C070F6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92" w:type="pct"/>
            <w:tcBorders>
              <w:tl2br w:val="nil"/>
              <w:tr2bl w:val="nil"/>
            </w:tcBorders>
            <w:noWrap/>
            <w:vAlign w:val="center"/>
          </w:tcPr>
          <w:p w14:paraId="1223EEBF">
            <w:pPr>
              <w:autoSpaceDE/>
              <w:autoSpaceDN/>
              <w:adjustRightInd w:val="0"/>
              <w:snapToGrid w:val="0"/>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类型</w:t>
            </w:r>
          </w:p>
        </w:tc>
        <w:tc>
          <w:tcPr>
            <w:tcW w:w="1637" w:type="pct"/>
            <w:tcBorders>
              <w:tl2br w:val="nil"/>
              <w:tr2bl w:val="nil"/>
            </w:tcBorders>
            <w:noWrap/>
            <w:vAlign w:val="center"/>
          </w:tcPr>
          <w:p w14:paraId="5BC2D3C4">
            <w:pPr>
              <w:autoSpaceDE/>
              <w:autoSpaceDN/>
              <w:adjustRightInd w:val="0"/>
              <w:snapToGrid w:val="0"/>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污染途径</w:t>
            </w:r>
          </w:p>
        </w:tc>
        <w:tc>
          <w:tcPr>
            <w:tcW w:w="1752" w:type="pct"/>
            <w:tcBorders>
              <w:tl2br w:val="nil"/>
              <w:tr2bl w:val="nil"/>
            </w:tcBorders>
            <w:noWrap/>
            <w:vAlign w:val="center"/>
          </w:tcPr>
          <w:p w14:paraId="39F54122">
            <w:pPr>
              <w:autoSpaceDE/>
              <w:autoSpaceDN/>
              <w:adjustRightInd w:val="0"/>
              <w:snapToGrid w:val="0"/>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污染来源</w:t>
            </w:r>
          </w:p>
        </w:tc>
        <w:tc>
          <w:tcPr>
            <w:tcW w:w="1018" w:type="pct"/>
            <w:tcBorders>
              <w:tl2br w:val="nil"/>
              <w:tr2bl w:val="nil"/>
            </w:tcBorders>
            <w:noWrap/>
            <w:vAlign w:val="center"/>
          </w:tcPr>
          <w:p w14:paraId="66857921">
            <w:pPr>
              <w:autoSpaceDE/>
              <w:autoSpaceDN/>
              <w:adjustRightInd w:val="0"/>
              <w:snapToGrid w:val="0"/>
              <w:spacing w:before="0" w:after="0" w:line="240" w:lineRule="auto"/>
              <w:ind w:left="0" w:firstLine="0"/>
              <w:jc w:val="center"/>
              <w:rPr>
                <w:rFonts w:hint="default" w:ascii="Times New Roman" w:hAnsi="Times New Roman" w:cs="Times New Roman"/>
                <w:b/>
                <w:bCs/>
                <w:sz w:val="21"/>
                <w:szCs w:val="21"/>
              </w:rPr>
            </w:pPr>
            <w:r>
              <w:rPr>
                <w:rFonts w:hint="default" w:ascii="Times New Roman" w:hAnsi="Times New Roman" w:cs="Times New Roman"/>
                <w:b/>
                <w:bCs/>
                <w:sz w:val="21"/>
                <w:szCs w:val="21"/>
              </w:rPr>
              <w:t>被污染的含水层</w:t>
            </w:r>
          </w:p>
        </w:tc>
      </w:tr>
      <w:tr w14:paraId="582F51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92" w:type="pct"/>
            <w:tcBorders>
              <w:tl2br w:val="nil"/>
              <w:tr2bl w:val="nil"/>
            </w:tcBorders>
            <w:noWrap/>
            <w:vAlign w:val="center"/>
          </w:tcPr>
          <w:p w14:paraId="3205CEEB">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间歇入渗型</w:t>
            </w:r>
          </w:p>
        </w:tc>
        <w:tc>
          <w:tcPr>
            <w:tcW w:w="1637" w:type="pct"/>
            <w:tcBorders>
              <w:tl2br w:val="nil"/>
              <w:tr2bl w:val="nil"/>
            </w:tcBorders>
            <w:noWrap/>
            <w:vAlign w:val="center"/>
          </w:tcPr>
          <w:p w14:paraId="2C7496A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降雨对固体废弃物的淋滤</w:t>
            </w:r>
          </w:p>
          <w:p w14:paraId="6222955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矿区疏干地带的淋滤和溶解</w:t>
            </w:r>
          </w:p>
          <w:p w14:paraId="088E9A9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灌溉水及降水对农田的淋滤</w:t>
            </w:r>
          </w:p>
        </w:tc>
        <w:tc>
          <w:tcPr>
            <w:tcW w:w="1752" w:type="pct"/>
            <w:tcBorders>
              <w:tl2br w:val="nil"/>
              <w:tr2bl w:val="nil"/>
            </w:tcBorders>
            <w:noWrap/>
            <w:vAlign w:val="center"/>
          </w:tcPr>
          <w:p w14:paraId="58ADC1E5">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工业和生活固体废物疏干地带的易溶矿物，主要是农田表层土壤残留的农药、化肥及易溶盐类</w:t>
            </w:r>
          </w:p>
        </w:tc>
        <w:tc>
          <w:tcPr>
            <w:tcW w:w="1018" w:type="pct"/>
            <w:tcBorders>
              <w:tl2br w:val="nil"/>
              <w:tr2bl w:val="nil"/>
            </w:tcBorders>
            <w:noWrap/>
            <w:vAlign w:val="center"/>
          </w:tcPr>
          <w:p w14:paraId="38F77F2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潜水</w:t>
            </w:r>
          </w:p>
        </w:tc>
      </w:tr>
      <w:tr w14:paraId="73F6187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92" w:type="pct"/>
            <w:tcBorders>
              <w:tl2br w:val="nil"/>
              <w:tr2bl w:val="nil"/>
            </w:tcBorders>
            <w:noWrap/>
            <w:vAlign w:val="center"/>
          </w:tcPr>
          <w:p w14:paraId="59D2EE47">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连续入渗型</w:t>
            </w:r>
          </w:p>
        </w:tc>
        <w:tc>
          <w:tcPr>
            <w:tcW w:w="1637" w:type="pct"/>
            <w:tcBorders>
              <w:tl2br w:val="nil"/>
              <w:tr2bl w:val="nil"/>
            </w:tcBorders>
            <w:noWrap/>
            <w:vAlign w:val="center"/>
          </w:tcPr>
          <w:p w14:paraId="37C96036">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渠、坑等污水的渗漏</w:t>
            </w:r>
          </w:p>
          <w:p w14:paraId="7B9FE54C">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受污染地表水的渗漏</w:t>
            </w:r>
          </w:p>
          <w:p w14:paraId="39330E6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地下排污管道的渗漏</w:t>
            </w:r>
          </w:p>
        </w:tc>
        <w:tc>
          <w:tcPr>
            <w:tcW w:w="1752" w:type="pct"/>
            <w:tcBorders>
              <w:tl2br w:val="nil"/>
              <w:tr2bl w:val="nil"/>
            </w:tcBorders>
            <w:noWrap/>
            <w:vAlign w:val="center"/>
          </w:tcPr>
          <w:p w14:paraId="13254FD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各种污染水及化学液体</w:t>
            </w:r>
          </w:p>
          <w:p w14:paraId="3AB229BD">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受污染的地表污水体</w:t>
            </w:r>
          </w:p>
          <w:p w14:paraId="780A0BE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各种污水</w:t>
            </w:r>
          </w:p>
        </w:tc>
        <w:tc>
          <w:tcPr>
            <w:tcW w:w="1018" w:type="pct"/>
            <w:tcBorders>
              <w:tl2br w:val="nil"/>
              <w:tr2bl w:val="nil"/>
            </w:tcBorders>
            <w:noWrap/>
            <w:vAlign w:val="center"/>
          </w:tcPr>
          <w:p w14:paraId="750E1A6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潜水</w:t>
            </w:r>
          </w:p>
        </w:tc>
      </w:tr>
      <w:tr w14:paraId="13AE68B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92" w:type="pct"/>
            <w:tcBorders>
              <w:tl2br w:val="nil"/>
              <w:tr2bl w:val="nil"/>
            </w:tcBorders>
            <w:noWrap/>
            <w:vAlign w:val="center"/>
          </w:tcPr>
          <w:p w14:paraId="52223299">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越流型</w:t>
            </w:r>
          </w:p>
        </w:tc>
        <w:tc>
          <w:tcPr>
            <w:tcW w:w="1637" w:type="pct"/>
            <w:tcBorders>
              <w:tl2br w:val="nil"/>
              <w:tr2bl w:val="nil"/>
            </w:tcBorders>
            <w:noWrap/>
            <w:vAlign w:val="center"/>
          </w:tcPr>
          <w:p w14:paraId="26B1D7BD">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地下水开采引起的层间越流</w:t>
            </w:r>
          </w:p>
          <w:p w14:paraId="5F989460">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水文地质天窗的越流</w:t>
            </w:r>
          </w:p>
          <w:p w14:paraId="46D6116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经井管的越流</w:t>
            </w:r>
          </w:p>
        </w:tc>
        <w:tc>
          <w:tcPr>
            <w:tcW w:w="1752" w:type="pct"/>
            <w:tcBorders>
              <w:tl2br w:val="nil"/>
              <w:tr2bl w:val="nil"/>
            </w:tcBorders>
            <w:noWrap/>
            <w:vAlign w:val="center"/>
          </w:tcPr>
          <w:p w14:paraId="398B37D0">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受污染的含水层或天然咸水等</w:t>
            </w:r>
          </w:p>
        </w:tc>
        <w:tc>
          <w:tcPr>
            <w:tcW w:w="1018" w:type="pct"/>
            <w:tcBorders>
              <w:tl2br w:val="nil"/>
              <w:tr2bl w:val="nil"/>
            </w:tcBorders>
            <w:noWrap/>
            <w:vAlign w:val="center"/>
          </w:tcPr>
          <w:p w14:paraId="147E9CF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潜水或承压水</w:t>
            </w:r>
          </w:p>
        </w:tc>
      </w:tr>
      <w:tr w14:paraId="6C03F9F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592" w:type="pct"/>
            <w:tcBorders>
              <w:tl2br w:val="nil"/>
              <w:tr2bl w:val="nil"/>
            </w:tcBorders>
            <w:noWrap/>
            <w:vAlign w:val="center"/>
          </w:tcPr>
          <w:p w14:paraId="0BAB9FD3">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径流型</w:t>
            </w:r>
          </w:p>
        </w:tc>
        <w:tc>
          <w:tcPr>
            <w:tcW w:w="1637" w:type="pct"/>
            <w:tcBorders>
              <w:tl2br w:val="nil"/>
              <w:tr2bl w:val="nil"/>
            </w:tcBorders>
            <w:noWrap/>
            <w:vAlign w:val="center"/>
          </w:tcPr>
          <w:p w14:paraId="59B0A59F">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通过岩溶发育通道的径流</w:t>
            </w:r>
          </w:p>
          <w:p w14:paraId="0BFC098A">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通过废水处理井的径流</w:t>
            </w:r>
          </w:p>
          <w:p w14:paraId="71FD3FB5">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盐水入侵</w:t>
            </w:r>
          </w:p>
        </w:tc>
        <w:tc>
          <w:tcPr>
            <w:tcW w:w="1752" w:type="pct"/>
            <w:tcBorders>
              <w:tl2br w:val="nil"/>
              <w:tr2bl w:val="nil"/>
            </w:tcBorders>
            <w:noWrap/>
            <w:vAlign w:val="center"/>
          </w:tcPr>
          <w:p w14:paraId="25CE8122">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各种污染或被污染的地表水</w:t>
            </w:r>
          </w:p>
          <w:p w14:paraId="2B0D784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各种污水</w:t>
            </w:r>
          </w:p>
          <w:p w14:paraId="1660A1B1">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海水或地下咸水</w:t>
            </w:r>
          </w:p>
        </w:tc>
        <w:tc>
          <w:tcPr>
            <w:tcW w:w="1018" w:type="pct"/>
            <w:tcBorders>
              <w:tl2br w:val="nil"/>
              <w:tr2bl w:val="nil"/>
            </w:tcBorders>
            <w:noWrap/>
            <w:vAlign w:val="center"/>
          </w:tcPr>
          <w:p w14:paraId="31B731A8">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主要是潜水</w:t>
            </w:r>
          </w:p>
          <w:p w14:paraId="69E638FE">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潜水或承压水</w:t>
            </w:r>
          </w:p>
          <w:p w14:paraId="7A4310B6">
            <w:pPr>
              <w:autoSpaceDE/>
              <w:autoSpaceDN/>
              <w:adjustRightInd w:val="0"/>
              <w:snapToGrid w:val="0"/>
              <w:spacing w:before="0" w:after="0" w:line="240" w:lineRule="auto"/>
              <w:ind w:left="0" w:firstLine="0"/>
              <w:jc w:val="center"/>
              <w:rPr>
                <w:rFonts w:hint="default" w:ascii="Times New Roman" w:hAnsi="Times New Roman" w:cs="Times New Roman"/>
                <w:sz w:val="21"/>
                <w:szCs w:val="21"/>
              </w:rPr>
            </w:pPr>
            <w:r>
              <w:rPr>
                <w:rFonts w:hint="default" w:ascii="Times New Roman" w:hAnsi="Times New Roman" w:cs="Times New Roman"/>
                <w:sz w:val="21"/>
                <w:szCs w:val="21"/>
              </w:rPr>
              <w:t>潜水或承压水</w:t>
            </w:r>
          </w:p>
        </w:tc>
      </w:tr>
    </w:tbl>
    <w:p w14:paraId="25D0A756">
      <w:pPr>
        <w:pStyle w:val="27"/>
        <w:spacing w:line="360" w:lineRule="auto"/>
        <w:ind w:firstLine="480" w:firstLineChars="200"/>
        <w:rPr>
          <w:rFonts w:hint="default" w:ascii="Times New Roman" w:hAnsi="Times New Roman" w:cs="Times New Roman"/>
          <w:b w:val="0"/>
          <w:bCs/>
          <w:sz w:val="24"/>
          <w:szCs w:val="24"/>
        </w:rPr>
      </w:pPr>
      <w:r>
        <w:rPr>
          <w:rFonts w:hint="default" w:ascii="Times New Roman" w:hAnsi="Times New Roman" w:cs="Times New Roman"/>
          <w:b w:val="0"/>
          <w:bCs/>
          <w:sz w:val="24"/>
          <w:szCs w:val="24"/>
        </w:rPr>
        <w:t>本项目对地下水水质污染主要途径为间歇入渗型，即通过包气带渗漏污染和通过垂直渗漏污染地下水。</w:t>
      </w:r>
    </w:p>
    <w:p w14:paraId="7BA9F4ED">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eastAsia" w:ascii="Times New Roman" w:hAnsi="Times New Roman" w:eastAsia="宋体" w:cs="Times New Roman"/>
          <w:b/>
          <w:bCs/>
          <w:sz w:val="24"/>
          <w:szCs w:val="16"/>
          <w:highlight w:val="none"/>
          <w:lang w:val="en-US" w:eastAsia="zh-CN"/>
        </w:rPr>
      </w:pPr>
      <w:bookmarkStart w:id="213" w:name="_Toc5120"/>
      <w:r>
        <w:rPr>
          <w:rFonts w:hint="eastAsia" w:ascii="Times New Roman" w:hAnsi="Times New Roman" w:eastAsia="宋体" w:cs="Times New Roman"/>
          <w:b/>
          <w:bCs/>
          <w:sz w:val="24"/>
          <w:szCs w:val="16"/>
          <w:highlight w:val="none"/>
          <w:lang w:val="en-US" w:eastAsia="zh-CN"/>
        </w:rPr>
        <w:t>5.2.3.3地下水环境影响分析</w:t>
      </w:r>
      <w:bookmarkEnd w:id="213"/>
    </w:p>
    <w:p w14:paraId="4699407A">
      <w:pPr>
        <w:spacing w:line="360" w:lineRule="auto"/>
        <w:ind w:firstLine="480" w:firstLineChars="200"/>
        <w:rPr>
          <w:rFonts w:hint="default" w:eastAsia="宋体"/>
          <w:sz w:val="24"/>
          <w:szCs w:val="24"/>
          <w:lang w:val="en-US" w:eastAsia="zh-CN"/>
        </w:rPr>
      </w:pPr>
      <w:r>
        <w:rPr>
          <w:rFonts w:hint="eastAsia"/>
          <w:sz w:val="24"/>
          <w:szCs w:val="24"/>
          <w:lang w:eastAsia="zh-CN"/>
        </w:rPr>
        <w:t>（</w:t>
      </w:r>
      <w:r>
        <w:rPr>
          <w:rFonts w:hint="eastAsia"/>
          <w:sz w:val="24"/>
          <w:szCs w:val="24"/>
          <w:lang w:val="en-US" w:eastAsia="zh-CN"/>
        </w:rPr>
        <w:t>1</w:t>
      </w:r>
      <w:r>
        <w:rPr>
          <w:rFonts w:hint="eastAsia"/>
          <w:sz w:val="24"/>
          <w:szCs w:val="24"/>
          <w:lang w:eastAsia="zh-CN"/>
        </w:rPr>
        <w:t>）</w:t>
      </w:r>
      <w:r>
        <w:rPr>
          <w:rFonts w:hint="eastAsia"/>
          <w:sz w:val="24"/>
          <w:szCs w:val="24"/>
          <w:lang w:val="en-US" w:eastAsia="zh-CN"/>
        </w:rPr>
        <w:t>主要污染源</w:t>
      </w:r>
    </w:p>
    <w:p w14:paraId="2DC80DCF">
      <w:pPr>
        <w:spacing w:line="360" w:lineRule="auto"/>
        <w:ind w:firstLine="480" w:firstLineChars="200"/>
        <w:rPr>
          <w:sz w:val="24"/>
          <w:szCs w:val="24"/>
        </w:rPr>
      </w:pPr>
      <w:r>
        <w:rPr>
          <w:rFonts w:hint="eastAsia"/>
          <w:sz w:val="24"/>
          <w:szCs w:val="24"/>
          <w:lang w:val="en-US" w:eastAsia="zh-CN"/>
        </w:rPr>
        <w:t>①</w:t>
      </w:r>
      <w:r>
        <w:rPr>
          <w:rFonts w:hint="eastAsia"/>
          <w:sz w:val="24"/>
          <w:szCs w:val="24"/>
        </w:rPr>
        <w:t>正常工况</w:t>
      </w:r>
    </w:p>
    <w:p w14:paraId="33505F28">
      <w:pPr>
        <w:spacing w:line="360" w:lineRule="auto"/>
        <w:ind w:firstLine="480" w:firstLineChars="200"/>
        <w:rPr>
          <w:sz w:val="24"/>
          <w:szCs w:val="24"/>
        </w:rPr>
      </w:pPr>
      <w:r>
        <w:rPr>
          <w:rFonts w:hint="eastAsia"/>
          <w:sz w:val="24"/>
          <w:szCs w:val="24"/>
        </w:rPr>
        <w:t>正常工况下，项目建设均按照相关规范的要求进行防渗处理，各生产环节按照设计参数运行，地下水可能的污染来源为各管线</w:t>
      </w:r>
      <w:r>
        <w:rPr>
          <w:rFonts w:hint="eastAsia"/>
          <w:sz w:val="24"/>
          <w:szCs w:val="24"/>
          <w:lang w:eastAsia="zh-CN"/>
        </w:rPr>
        <w:t>、</w:t>
      </w:r>
      <w:r>
        <w:rPr>
          <w:rFonts w:hint="eastAsia"/>
          <w:sz w:val="24"/>
          <w:szCs w:val="24"/>
          <w:lang w:val="en-US" w:eastAsia="zh-CN"/>
        </w:rPr>
        <w:t>设备</w:t>
      </w:r>
      <w:r>
        <w:rPr>
          <w:rFonts w:hint="eastAsia"/>
          <w:sz w:val="24"/>
          <w:szCs w:val="24"/>
        </w:rPr>
        <w:t>等跑冒漏滴。正常工况下污水不会渗漏进入地下造成污染。因此，正常工况下不应有其它物料暴露而发生渗漏至地下水的情景发生。因此，本次模拟预测情景主要针对非正常工况进行设定。</w:t>
      </w:r>
    </w:p>
    <w:p w14:paraId="293AF7C2">
      <w:pPr>
        <w:spacing w:line="360" w:lineRule="auto"/>
        <w:ind w:firstLine="480" w:firstLineChars="200"/>
        <w:rPr>
          <w:sz w:val="24"/>
          <w:szCs w:val="24"/>
        </w:rPr>
      </w:pPr>
      <w:r>
        <w:rPr>
          <w:rFonts w:hint="eastAsia"/>
          <w:sz w:val="24"/>
          <w:szCs w:val="24"/>
          <w:lang w:val="en-US" w:eastAsia="zh-CN"/>
        </w:rPr>
        <w:t>②</w:t>
      </w:r>
      <w:r>
        <w:rPr>
          <w:rFonts w:hint="eastAsia"/>
          <w:sz w:val="24"/>
          <w:szCs w:val="24"/>
        </w:rPr>
        <w:t>非正常工况</w:t>
      </w:r>
    </w:p>
    <w:p w14:paraId="174B6854">
      <w:pPr>
        <w:spacing w:line="360" w:lineRule="auto"/>
        <w:ind w:firstLine="480" w:firstLineChars="200"/>
        <w:rPr>
          <w:sz w:val="24"/>
          <w:szCs w:val="24"/>
        </w:rPr>
      </w:pPr>
      <w:r>
        <w:rPr>
          <w:rFonts w:hint="eastAsia"/>
          <w:sz w:val="24"/>
          <w:szCs w:val="24"/>
        </w:rPr>
        <w:t>本项目非正常工况主要指硬化面出现破损的情景。</w:t>
      </w:r>
    </w:p>
    <w:p w14:paraId="127E8A01">
      <w:pPr>
        <w:spacing w:line="360" w:lineRule="auto"/>
        <w:ind w:firstLine="480" w:firstLineChars="200"/>
        <w:rPr>
          <w:rFonts w:hint="default" w:eastAsia="宋体"/>
          <w:sz w:val="24"/>
          <w:szCs w:val="24"/>
          <w:lang w:val="en-US" w:eastAsia="zh-CN"/>
        </w:rPr>
      </w:pPr>
      <w:r>
        <w:rPr>
          <w:rFonts w:hint="eastAsia"/>
          <w:sz w:val="24"/>
          <w:szCs w:val="24"/>
        </w:rPr>
        <w:t>根据企业的实际情况分析，如果是生产车间等可视场所发生硬化面破损，即使有物料或污水等泄漏，按目前企业的管理规范，必须及时采取措施，不可能任由物料或污水漫流渗漏，而对于泄漏初期短时间物料暴露而污染的少量土壤，则会尽快通过挖出进行处置，不会任其渗入地下水。综合考虑拟建项目物料、工艺流程、装置设施、废水排放等情况以及项目区水文地质条件，本次评价非正常工况泄漏点设定为</w:t>
      </w:r>
      <w:r>
        <w:rPr>
          <w:rFonts w:hint="eastAsia"/>
          <w:color w:val="auto"/>
          <w:sz w:val="24"/>
          <w:szCs w:val="24"/>
          <w:highlight w:val="none"/>
          <w:lang w:val="en-US" w:eastAsia="zh-CN"/>
        </w:rPr>
        <w:t>二甲基硫醚输送管线破损造成二甲基硫醚泄漏、精馏残渣（甲磺酸钠）吨袋破损可能造成渗滤液泄漏</w:t>
      </w:r>
      <w:r>
        <w:rPr>
          <w:rFonts w:hint="eastAsia"/>
          <w:color w:val="auto"/>
          <w:sz w:val="24"/>
          <w:szCs w:val="24"/>
          <w:highlight w:val="none"/>
          <w:lang w:eastAsia="zh-CN"/>
        </w:rPr>
        <w:t>、</w:t>
      </w:r>
      <w:r>
        <w:rPr>
          <w:rFonts w:hint="eastAsia"/>
          <w:color w:val="auto"/>
          <w:sz w:val="24"/>
          <w:szCs w:val="24"/>
          <w:highlight w:val="none"/>
          <w:lang w:val="en-US" w:eastAsia="zh-CN"/>
        </w:rPr>
        <w:t>废水收集池及危险废物贮存库防渗失效造成油类物质泄露。</w:t>
      </w:r>
    </w:p>
    <w:p w14:paraId="2CD610D2">
      <w:pPr>
        <w:spacing w:line="360" w:lineRule="auto"/>
        <w:ind w:firstLine="480" w:firstLineChars="200"/>
        <w:rPr>
          <w:sz w:val="24"/>
          <w:szCs w:val="24"/>
        </w:rPr>
      </w:pPr>
      <w:r>
        <w:rPr>
          <w:rFonts w:hint="eastAsia"/>
          <w:sz w:val="24"/>
          <w:szCs w:val="24"/>
          <w:lang w:val="en-US" w:eastAsia="zh-CN"/>
        </w:rPr>
        <w:t>当二甲基硫醚输送管线破损</w:t>
      </w:r>
      <w:r>
        <w:rPr>
          <w:rFonts w:hint="eastAsia"/>
          <w:sz w:val="24"/>
          <w:szCs w:val="24"/>
        </w:rPr>
        <w:t>发生渗漏</w:t>
      </w:r>
      <w:r>
        <w:rPr>
          <w:rFonts w:hint="eastAsia"/>
          <w:sz w:val="24"/>
          <w:szCs w:val="24"/>
          <w:lang w:val="en-US" w:eastAsia="zh-CN"/>
        </w:rPr>
        <w:t>时</w:t>
      </w:r>
      <w:r>
        <w:rPr>
          <w:sz w:val="24"/>
          <w:szCs w:val="24"/>
        </w:rPr>
        <w:t>，</w:t>
      </w:r>
      <w:r>
        <w:rPr>
          <w:rFonts w:hint="eastAsia"/>
          <w:sz w:val="24"/>
          <w:szCs w:val="24"/>
          <w:lang w:val="en-US" w:eastAsia="zh-CN"/>
        </w:rPr>
        <w:t>二甲基硫醚因其本身的挥发特性，不会渗入地下水环境。精馏残渣吨袋破损造成渗滤液泄漏，主要</w:t>
      </w:r>
      <w:r>
        <w:rPr>
          <w:sz w:val="24"/>
          <w:szCs w:val="24"/>
        </w:rPr>
        <w:t>污染物为</w:t>
      </w:r>
      <w:r>
        <w:rPr>
          <w:rFonts w:hint="eastAsia"/>
          <w:sz w:val="24"/>
          <w:szCs w:val="24"/>
          <w:lang w:val="en-US" w:eastAsia="zh-CN"/>
        </w:rPr>
        <w:t>甲磺酸钠（以钠计），</w:t>
      </w:r>
      <w:r>
        <w:rPr>
          <w:sz w:val="24"/>
          <w:szCs w:val="24"/>
        </w:rPr>
        <w:t>通过垂直渗透进入包气带，进入包气带的污染物在物理、化学和生物作用下经吸附、转化、迁移和分解后输入地下水。</w:t>
      </w:r>
    </w:p>
    <w:p w14:paraId="0D95ADFA">
      <w:pPr>
        <w:spacing w:line="360" w:lineRule="auto"/>
        <w:ind w:firstLine="480" w:firstLineChars="200"/>
        <w:rPr>
          <w:rFonts w:hint="eastAsia" w:eastAsia="宋体"/>
          <w:b w:val="0"/>
          <w:bCs w:val="0"/>
          <w:sz w:val="24"/>
          <w:u w:val="none"/>
          <w:lang w:eastAsia="zh-CN"/>
        </w:rPr>
      </w:pPr>
      <w:r>
        <w:rPr>
          <w:rFonts w:hint="eastAsia"/>
          <w:b w:val="0"/>
          <w:bCs w:val="0"/>
          <w:sz w:val="24"/>
          <w:u w:val="none"/>
          <w:lang w:eastAsia="zh-CN"/>
        </w:rPr>
        <w:t>（</w:t>
      </w:r>
      <w:r>
        <w:rPr>
          <w:rFonts w:hint="eastAsia"/>
          <w:b w:val="0"/>
          <w:bCs w:val="0"/>
          <w:sz w:val="24"/>
          <w:u w:val="none"/>
          <w:lang w:val="en-US" w:eastAsia="zh-CN"/>
        </w:rPr>
        <w:t>2</w:t>
      </w:r>
      <w:r>
        <w:rPr>
          <w:rFonts w:hint="eastAsia"/>
          <w:b w:val="0"/>
          <w:bCs w:val="0"/>
          <w:sz w:val="24"/>
          <w:u w:val="none"/>
          <w:lang w:eastAsia="zh-CN"/>
        </w:rPr>
        <w:t>）地下水环境影响预测与评价</w:t>
      </w:r>
    </w:p>
    <w:p w14:paraId="65EC6B39">
      <w:pPr>
        <w:spacing w:line="360" w:lineRule="auto"/>
        <w:ind w:firstLine="480" w:firstLineChars="200"/>
        <w:rPr>
          <w:rFonts w:hint="eastAsia"/>
          <w:b w:val="0"/>
          <w:bCs w:val="0"/>
          <w:sz w:val="24"/>
          <w:u w:val="none"/>
        </w:rPr>
      </w:pPr>
      <w:r>
        <w:rPr>
          <w:rFonts w:hint="eastAsia"/>
          <w:b w:val="0"/>
          <w:bCs w:val="0"/>
          <w:sz w:val="24"/>
          <w:u w:val="none"/>
          <w:lang w:val="en-US" w:eastAsia="zh-CN"/>
        </w:rPr>
        <w:t>①</w:t>
      </w:r>
      <w:r>
        <w:rPr>
          <w:rFonts w:hint="eastAsia"/>
          <w:b w:val="0"/>
          <w:bCs w:val="0"/>
          <w:sz w:val="24"/>
          <w:u w:val="none"/>
        </w:rPr>
        <w:t>预测范围</w:t>
      </w:r>
    </w:p>
    <w:p w14:paraId="5B48B555">
      <w:pPr>
        <w:spacing w:line="360" w:lineRule="auto"/>
        <w:ind w:firstLine="480" w:firstLineChars="200"/>
        <w:rPr>
          <w:rFonts w:hint="eastAsia"/>
          <w:b w:val="0"/>
          <w:bCs w:val="0"/>
          <w:sz w:val="24"/>
          <w:u w:val="none"/>
        </w:rPr>
      </w:pPr>
      <w:r>
        <w:rPr>
          <w:rFonts w:hint="eastAsia"/>
          <w:b w:val="0"/>
          <w:bCs w:val="0"/>
          <w:sz w:val="24"/>
          <w:u w:val="none"/>
        </w:rPr>
        <w:t>本次评价预测范围</w:t>
      </w:r>
      <w:r>
        <w:rPr>
          <w:b w:val="0"/>
          <w:bCs/>
          <w:sz w:val="24"/>
          <w:u w:val="none"/>
        </w:rPr>
        <w:t>以</w:t>
      </w:r>
      <w:r>
        <w:rPr>
          <w:rFonts w:hint="eastAsia"/>
          <w:b w:val="0"/>
          <w:bCs/>
          <w:sz w:val="24"/>
          <w:u w:val="none"/>
          <w:lang w:val="en-US" w:eastAsia="zh-CN"/>
        </w:rPr>
        <w:t>厂区</w:t>
      </w:r>
      <w:r>
        <w:rPr>
          <w:b w:val="0"/>
          <w:bCs/>
          <w:sz w:val="24"/>
          <w:u w:val="none"/>
        </w:rPr>
        <w:t>中心</w:t>
      </w:r>
      <w:r>
        <w:rPr>
          <w:rFonts w:hint="eastAsia"/>
          <w:b w:val="0"/>
          <w:bCs/>
          <w:sz w:val="24"/>
          <w:u w:val="none"/>
          <w:lang w:eastAsia="zh-CN"/>
        </w:rPr>
        <w:t>为起点</w:t>
      </w:r>
      <w:r>
        <w:rPr>
          <w:b w:val="0"/>
          <w:bCs w:val="0"/>
          <w:sz w:val="24"/>
          <w:u w:val="none"/>
        </w:rPr>
        <w:t>，</w:t>
      </w:r>
      <w:r>
        <w:rPr>
          <w:rFonts w:hint="eastAsia"/>
          <w:b w:val="0"/>
          <w:bCs w:val="0"/>
          <w:sz w:val="24"/>
          <w:u w:val="none"/>
        </w:rPr>
        <w:t>西北侧上游1km</w:t>
      </w:r>
      <w:r>
        <w:rPr>
          <w:rFonts w:hint="eastAsia"/>
          <w:b w:val="0"/>
          <w:bCs w:val="0"/>
          <w:sz w:val="24"/>
          <w:u w:val="none"/>
          <w:lang w:eastAsia="zh-CN"/>
        </w:rPr>
        <w:t>、</w:t>
      </w:r>
      <w:r>
        <w:rPr>
          <w:rFonts w:hint="eastAsia"/>
          <w:b w:val="0"/>
          <w:bCs w:val="0"/>
          <w:sz w:val="24"/>
          <w:u w:val="none"/>
        </w:rPr>
        <w:t>下游2km</w:t>
      </w:r>
      <w:r>
        <w:rPr>
          <w:rFonts w:hint="eastAsia"/>
          <w:b w:val="0"/>
          <w:bCs w:val="0"/>
          <w:sz w:val="24"/>
          <w:u w:val="none"/>
          <w:lang w:eastAsia="zh-CN"/>
        </w:rPr>
        <w:t>、</w:t>
      </w:r>
      <w:r>
        <w:rPr>
          <w:rFonts w:hint="eastAsia"/>
          <w:b w:val="0"/>
          <w:bCs w:val="0"/>
          <w:sz w:val="24"/>
          <w:u w:val="none"/>
        </w:rPr>
        <w:t>两侧1km的矩形区域。</w:t>
      </w:r>
    </w:p>
    <w:p w14:paraId="3E017A68">
      <w:pPr>
        <w:spacing w:line="360" w:lineRule="auto"/>
        <w:ind w:firstLine="480" w:firstLineChars="200"/>
        <w:rPr>
          <w:rFonts w:hint="eastAsia"/>
          <w:b w:val="0"/>
          <w:bCs w:val="0"/>
          <w:color w:val="auto"/>
          <w:sz w:val="24"/>
          <w:u w:val="none"/>
        </w:rPr>
      </w:pPr>
      <w:r>
        <w:rPr>
          <w:rFonts w:hint="eastAsia"/>
          <w:b w:val="0"/>
          <w:bCs w:val="0"/>
          <w:color w:val="auto"/>
          <w:sz w:val="24"/>
          <w:u w:val="none"/>
          <w:lang w:val="en-US" w:eastAsia="zh-CN"/>
        </w:rPr>
        <w:t>②</w:t>
      </w:r>
      <w:r>
        <w:rPr>
          <w:rFonts w:hint="eastAsia"/>
          <w:b w:val="0"/>
          <w:bCs w:val="0"/>
          <w:color w:val="auto"/>
          <w:sz w:val="24"/>
          <w:u w:val="none"/>
        </w:rPr>
        <w:t>预测因子及评价标准</w:t>
      </w:r>
    </w:p>
    <w:p w14:paraId="2BED0247">
      <w:pPr>
        <w:spacing w:line="360" w:lineRule="auto"/>
        <w:ind w:firstLine="480" w:firstLineChars="200"/>
        <w:rPr>
          <w:rFonts w:hint="default" w:ascii="Times New Roman" w:hAnsi="Times New Roman" w:cs="Times New Roman"/>
          <w:b w:val="0"/>
          <w:bCs w:val="0"/>
          <w:color w:val="auto"/>
          <w:sz w:val="24"/>
          <w:u w:val="none"/>
        </w:rPr>
      </w:pPr>
      <w:r>
        <w:rPr>
          <w:rFonts w:hint="eastAsia"/>
          <w:b w:val="0"/>
          <w:bCs w:val="0"/>
          <w:color w:val="auto"/>
          <w:sz w:val="24"/>
          <w:u w:val="none"/>
        </w:rPr>
        <w:t>根据评价区内地下水的水质现状、项</w:t>
      </w:r>
      <w:r>
        <w:rPr>
          <w:rFonts w:hint="default" w:ascii="Times New Roman" w:hAnsi="Times New Roman" w:cs="Times New Roman"/>
          <w:b w:val="0"/>
          <w:bCs w:val="0"/>
          <w:color w:val="auto"/>
          <w:sz w:val="24"/>
          <w:u w:val="none"/>
        </w:rPr>
        <w:t>目废水的水质，选取对地下水环境质量影响有代表性的</w:t>
      </w:r>
      <w:r>
        <w:rPr>
          <w:rFonts w:hint="default" w:ascii="Times New Roman" w:hAnsi="Times New Roman" w:cs="Times New Roman"/>
          <w:b w:val="0"/>
          <w:bCs w:val="0"/>
          <w:color w:val="auto"/>
          <w:sz w:val="24"/>
          <w:u w:val="none"/>
          <w:lang w:val="en-US" w:eastAsia="zh-CN"/>
        </w:rPr>
        <w:t>甲磺酸钠（以</w:t>
      </w:r>
      <w:r>
        <w:rPr>
          <w:rFonts w:hint="eastAsia" w:cs="Times New Roman"/>
          <w:b w:val="0"/>
          <w:bCs w:val="0"/>
          <w:color w:val="auto"/>
          <w:sz w:val="24"/>
          <w:u w:val="none"/>
          <w:lang w:val="en-US" w:eastAsia="zh-CN"/>
        </w:rPr>
        <w:t>钠离子</w:t>
      </w:r>
      <w:r>
        <w:rPr>
          <w:rFonts w:hint="default" w:ascii="Times New Roman" w:hAnsi="Times New Roman" w:cs="Times New Roman"/>
          <w:b w:val="0"/>
          <w:bCs w:val="0"/>
          <w:color w:val="auto"/>
          <w:sz w:val="24"/>
          <w:u w:val="none"/>
          <w:lang w:val="en-US" w:eastAsia="zh-CN"/>
        </w:rPr>
        <w:t>浓度进行预测）</w:t>
      </w:r>
      <w:r>
        <w:rPr>
          <w:rFonts w:hint="default" w:ascii="Times New Roman" w:hAnsi="Times New Roman" w:cs="Times New Roman"/>
          <w:b w:val="0"/>
          <w:bCs w:val="0"/>
          <w:color w:val="auto"/>
          <w:sz w:val="24"/>
          <w:u w:val="none"/>
        </w:rPr>
        <w:t>作为污染因子进行预测</w:t>
      </w:r>
      <w:r>
        <w:rPr>
          <w:rFonts w:hint="eastAsia" w:cs="Times New Roman"/>
          <w:b w:val="0"/>
          <w:bCs w:val="0"/>
          <w:color w:val="auto"/>
          <w:sz w:val="24"/>
          <w:u w:val="none"/>
          <w:lang w:eastAsia="zh-CN"/>
        </w:rPr>
        <w:t>。</w:t>
      </w:r>
      <w:r>
        <w:rPr>
          <w:rFonts w:hint="default" w:ascii="Times New Roman" w:hAnsi="Times New Roman" w:cs="Times New Roman"/>
          <w:b w:val="0"/>
          <w:bCs w:val="0"/>
          <w:color w:val="auto"/>
          <w:sz w:val="24"/>
          <w:u w:val="none"/>
        </w:rPr>
        <w:t>本次评价标准执行《地下水质量标准》（GB/T14848-2017）中的Ⅲ类标准（</w:t>
      </w:r>
      <w:r>
        <w:rPr>
          <w:rFonts w:hint="default" w:ascii="Times New Roman" w:hAnsi="Times New Roman" w:cs="Times New Roman"/>
          <w:b w:val="0"/>
          <w:bCs w:val="0"/>
          <w:color w:val="auto"/>
          <w:sz w:val="24"/>
          <w:u w:val="none"/>
          <w:lang w:val="en-US" w:eastAsia="zh-CN"/>
        </w:rPr>
        <w:t>pH6.5～8.5</w:t>
      </w:r>
      <w:r>
        <w:rPr>
          <w:rFonts w:hint="default" w:ascii="Times New Roman" w:hAnsi="Times New Roman" w:cs="Times New Roman"/>
          <w:b w:val="0"/>
          <w:bCs w:val="0"/>
          <w:color w:val="auto"/>
          <w:sz w:val="24"/>
          <w:u w:val="none"/>
        </w:rPr>
        <w:t>）。</w:t>
      </w:r>
    </w:p>
    <w:p w14:paraId="4A3F7C87">
      <w:pPr>
        <w:spacing w:line="360" w:lineRule="auto"/>
        <w:ind w:firstLine="480" w:firstLineChars="200"/>
        <w:rPr>
          <w:rFonts w:hint="eastAsia"/>
          <w:b w:val="0"/>
          <w:bCs w:val="0"/>
          <w:sz w:val="24"/>
          <w:u w:val="none"/>
        </w:rPr>
      </w:pPr>
      <w:r>
        <w:rPr>
          <w:rFonts w:hint="eastAsia"/>
          <w:b w:val="0"/>
          <w:bCs w:val="0"/>
          <w:sz w:val="24"/>
          <w:u w:val="none"/>
          <w:lang w:val="en-US" w:eastAsia="zh-CN"/>
        </w:rPr>
        <w:t>③</w:t>
      </w:r>
      <w:r>
        <w:rPr>
          <w:rFonts w:hint="eastAsia"/>
          <w:b w:val="0"/>
          <w:bCs w:val="0"/>
          <w:sz w:val="24"/>
          <w:u w:val="none"/>
        </w:rPr>
        <w:t>预测时段</w:t>
      </w:r>
    </w:p>
    <w:p w14:paraId="06C6A643">
      <w:pPr>
        <w:spacing w:line="360" w:lineRule="auto"/>
        <w:ind w:firstLine="480" w:firstLineChars="200"/>
        <w:rPr>
          <w:rFonts w:hint="eastAsia"/>
          <w:b w:val="0"/>
          <w:bCs w:val="0"/>
          <w:sz w:val="24"/>
          <w:u w:val="none"/>
        </w:rPr>
      </w:pPr>
      <w:r>
        <w:rPr>
          <w:rFonts w:hint="eastAsia"/>
          <w:b w:val="0"/>
          <w:bCs w:val="0"/>
          <w:sz w:val="24"/>
          <w:u w:val="none"/>
        </w:rPr>
        <w:t>根据导则要求，分别预测地下水污染发生后100d、365d、1000d对地下水环境的影响。</w:t>
      </w:r>
    </w:p>
    <w:p w14:paraId="34B404FC">
      <w:pPr>
        <w:spacing w:line="360" w:lineRule="auto"/>
        <w:ind w:firstLine="480" w:firstLineChars="200"/>
        <w:rPr>
          <w:rFonts w:hint="eastAsia"/>
          <w:b w:val="0"/>
          <w:bCs w:val="0"/>
          <w:sz w:val="24"/>
          <w:u w:val="none"/>
        </w:rPr>
      </w:pPr>
      <w:r>
        <w:rPr>
          <w:rFonts w:hint="eastAsia"/>
          <w:b w:val="0"/>
          <w:bCs w:val="0"/>
          <w:sz w:val="24"/>
          <w:u w:val="none"/>
          <w:lang w:val="en-US" w:eastAsia="zh-CN"/>
        </w:rPr>
        <w:t>④</w:t>
      </w:r>
      <w:r>
        <w:rPr>
          <w:rFonts w:hint="eastAsia"/>
          <w:b w:val="0"/>
          <w:bCs w:val="0"/>
          <w:sz w:val="24"/>
          <w:u w:val="none"/>
        </w:rPr>
        <w:t>预测情景</w:t>
      </w:r>
    </w:p>
    <w:p w14:paraId="01AEA9FC">
      <w:pPr>
        <w:spacing w:line="360" w:lineRule="auto"/>
        <w:ind w:firstLine="480" w:firstLineChars="200"/>
        <w:rPr>
          <w:rFonts w:hint="eastAsia"/>
          <w:b w:val="0"/>
          <w:bCs w:val="0"/>
          <w:sz w:val="24"/>
          <w:u w:val="none"/>
        </w:rPr>
      </w:pPr>
      <w:r>
        <w:rPr>
          <w:rFonts w:hint="eastAsia"/>
          <w:b w:val="0"/>
          <w:bCs w:val="0"/>
          <w:sz w:val="24"/>
          <w:u w:val="none"/>
        </w:rPr>
        <w:t>本次预测考虑在最不利的情况下</w:t>
      </w:r>
      <w:r>
        <w:rPr>
          <w:rFonts w:hint="eastAsia"/>
          <w:color w:val="auto"/>
          <w:sz w:val="24"/>
          <w:szCs w:val="24"/>
          <w:highlight w:val="none"/>
          <w:lang w:val="en-US" w:eastAsia="zh-CN"/>
        </w:rPr>
        <w:t>甲磺酸钠</w:t>
      </w:r>
      <w:r>
        <w:rPr>
          <w:rFonts w:hint="eastAsia"/>
          <w:b w:val="0"/>
          <w:bCs w:val="0"/>
          <w:sz w:val="24"/>
          <w:u w:val="none"/>
          <w:lang w:val="en-US" w:eastAsia="zh-CN"/>
        </w:rPr>
        <w:t>吨袋破损</w:t>
      </w:r>
      <w:r>
        <w:rPr>
          <w:rFonts w:hint="eastAsia"/>
          <w:b w:val="0"/>
          <w:bCs w:val="0"/>
          <w:sz w:val="24"/>
          <w:u w:val="none"/>
        </w:rPr>
        <w:t>发生持续泄漏作为预测情景进行预测。</w:t>
      </w:r>
    </w:p>
    <w:p w14:paraId="13FCC108">
      <w:pPr>
        <w:spacing w:line="360" w:lineRule="auto"/>
        <w:ind w:firstLine="480" w:firstLineChars="200"/>
        <w:rPr>
          <w:rFonts w:hint="eastAsia"/>
          <w:b w:val="0"/>
          <w:bCs w:val="0"/>
          <w:sz w:val="24"/>
          <w:u w:val="none"/>
        </w:rPr>
      </w:pPr>
      <w:r>
        <w:rPr>
          <w:rFonts w:hint="eastAsia"/>
          <w:b w:val="0"/>
          <w:bCs w:val="0"/>
          <w:sz w:val="24"/>
          <w:u w:val="none"/>
          <w:lang w:val="en-US" w:eastAsia="zh-CN"/>
        </w:rPr>
        <w:t>⑤</w:t>
      </w:r>
      <w:r>
        <w:rPr>
          <w:rFonts w:hint="eastAsia"/>
          <w:b w:val="0"/>
          <w:bCs w:val="0"/>
          <w:sz w:val="24"/>
          <w:u w:val="none"/>
        </w:rPr>
        <w:t>预测内容</w:t>
      </w:r>
    </w:p>
    <w:p w14:paraId="05612E41">
      <w:pPr>
        <w:spacing w:line="360" w:lineRule="auto"/>
        <w:ind w:firstLine="480" w:firstLineChars="200"/>
        <w:rPr>
          <w:rFonts w:hint="eastAsia"/>
          <w:b w:val="0"/>
          <w:bCs w:val="0"/>
          <w:sz w:val="24"/>
          <w:u w:val="none"/>
        </w:rPr>
      </w:pPr>
      <w:r>
        <w:rPr>
          <w:rFonts w:hint="eastAsia"/>
          <w:b w:val="0"/>
          <w:bCs w:val="0"/>
          <w:sz w:val="24"/>
          <w:u w:val="none"/>
          <w:lang w:val="en-US" w:eastAsia="zh-CN"/>
        </w:rPr>
        <w:t>1）</w:t>
      </w:r>
      <w:r>
        <w:rPr>
          <w:rFonts w:hint="eastAsia"/>
          <w:b w:val="0"/>
          <w:bCs w:val="0"/>
          <w:sz w:val="24"/>
          <w:u w:val="none"/>
        </w:rPr>
        <w:t>泄漏点的设定</w:t>
      </w:r>
    </w:p>
    <w:p w14:paraId="1A8A138C">
      <w:pPr>
        <w:spacing w:line="360" w:lineRule="auto"/>
        <w:ind w:firstLine="480" w:firstLineChars="200"/>
        <w:rPr>
          <w:rFonts w:hint="eastAsia"/>
          <w:b w:val="0"/>
          <w:bCs w:val="0"/>
          <w:color w:val="auto"/>
          <w:sz w:val="24"/>
          <w:u w:val="none"/>
        </w:rPr>
      </w:pPr>
      <w:r>
        <w:rPr>
          <w:rFonts w:hint="eastAsia"/>
          <w:b w:val="0"/>
          <w:bCs w:val="0"/>
          <w:color w:val="auto"/>
          <w:sz w:val="24"/>
          <w:u w:val="none"/>
        </w:rPr>
        <w:t>综合考虑项目区情况，本次评价非正常工况泄漏点设定位于</w:t>
      </w:r>
      <w:r>
        <w:rPr>
          <w:rFonts w:hint="eastAsia"/>
          <w:color w:val="auto"/>
          <w:sz w:val="24"/>
          <w:szCs w:val="24"/>
          <w:lang w:val="en-US" w:eastAsia="zh-CN"/>
        </w:rPr>
        <w:t>投料区</w:t>
      </w:r>
      <w:r>
        <w:rPr>
          <w:rFonts w:hint="eastAsia"/>
          <w:color w:val="auto"/>
          <w:sz w:val="24"/>
          <w:szCs w:val="24"/>
          <w:highlight w:val="none"/>
          <w:lang w:val="en-US" w:eastAsia="zh-CN"/>
        </w:rPr>
        <w:t>甲磺酸钠</w:t>
      </w:r>
      <w:r>
        <w:rPr>
          <w:rFonts w:hint="eastAsia"/>
          <w:color w:val="auto"/>
          <w:sz w:val="24"/>
          <w:szCs w:val="24"/>
          <w:lang w:val="en-US" w:eastAsia="zh-CN"/>
        </w:rPr>
        <w:t>吨袋破损</w:t>
      </w:r>
      <w:r>
        <w:rPr>
          <w:rFonts w:hint="eastAsia"/>
          <w:b w:val="0"/>
          <w:bCs w:val="0"/>
          <w:color w:val="auto"/>
          <w:sz w:val="24"/>
          <w:u w:val="none"/>
        </w:rPr>
        <w:t>。</w:t>
      </w:r>
    </w:p>
    <w:p w14:paraId="1CF26B47">
      <w:pPr>
        <w:spacing w:line="360" w:lineRule="auto"/>
        <w:ind w:firstLine="480" w:firstLineChars="200"/>
        <w:rPr>
          <w:rFonts w:hint="eastAsia"/>
          <w:b w:val="0"/>
          <w:bCs w:val="0"/>
          <w:sz w:val="24"/>
          <w:u w:val="none"/>
        </w:rPr>
      </w:pPr>
      <w:r>
        <w:rPr>
          <w:rFonts w:hint="eastAsia"/>
          <w:b w:val="0"/>
          <w:bCs w:val="0"/>
          <w:sz w:val="24"/>
          <w:u w:val="none"/>
          <w:lang w:val="en-US" w:eastAsia="zh-CN"/>
        </w:rPr>
        <w:t>2）</w:t>
      </w:r>
      <w:r>
        <w:rPr>
          <w:rFonts w:hint="eastAsia"/>
          <w:b w:val="0"/>
          <w:bCs w:val="0"/>
          <w:sz w:val="24"/>
          <w:u w:val="none"/>
        </w:rPr>
        <w:t>预测模型</w:t>
      </w:r>
    </w:p>
    <w:p w14:paraId="30215B5E">
      <w:pPr>
        <w:spacing w:line="360" w:lineRule="auto"/>
        <w:ind w:firstLine="480" w:firstLineChars="200"/>
        <w:rPr>
          <w:rFonts w:hint="eastAsia"/>
          <w:b w:val="0"/>
          <w:bCs w:val="0"/>
          <w:sz w:val="24"/>
          <w:u w:val="none"/>
        </w:rPr>
      </w:pPr>
      <w:r>
        <w:rPr>
          <w:rFonts w:hint="eastAsia"/>
          <w:b w:val="0"/>
          <w:bCs w:val="0"/>
          <w:sz w:val="24"/>
          <w:u w:val="none"/>
          <w:lang w:val="en-US" w:eastAsia="zh-CN"/>
        </w:rPr>
        <w:t>a.</w:t>
      </w:r>
      <w:r>
        <w:rPr>
          <w:rFonts w:hint="eastAsia"/>
          <w:b w:val="0"/>
          <w:bCs w:val="0"/>
          <w:sz w:val="24"/>
          <w:u w:val="none"/>
        </w:rPr>
        <w:t>常用的地下水水质污染预测方法及预测模型选取</w:t>
      </w:r>
    </w:p>
    <w:p w14:paraId="2FBAADDC">
      <w:pPr>
        <w:spacing w:line="360" w:lineRule="auto"/>
        <w:ind w:firstLine="480" w:firstLineChars="200"/>
        <w:rPr>
          <w:rFonts w:hint="eastAsia"/>
          <w:b w:val="0"/>
          <w:bCs w:val="0"/>
          <w:sz w:val="24"/>
          <w:u w:val="none"/>
        </w:rPr>
      </w:pPr>
      <w:r>
        <w:rPr>
          <w:rFonts w:hint="eastAsia"/>
          <w:b w:val="0"/>
          <w:bCs w:val="0"/>
          <w:sz w:val="24"/>
          <w:u w:val="none"/>
        </w:rPr>
        <w:t>常用的地下水水质污染预测方法主要有包含由瞬时污染源解析模式、连续污染源解析模式构成的一维弥散解析模式，由瞬时污染源解析模式、连续污染源解析模式构成的二维弥散解析模式，由定流量污染源解析模式、变流量污染源解析模式构成的径向弥散解析模式等类型在内的地下水水质污染预测的解析解法、有限单元法等地下水污染预测的数值法、地下水水质污染预测近似解法、地下水水质污染预测水动力渗流法等多种方法。</w:t>
      </w:r>
    </w:p>
    <w:p w14:paraId="6F29EFFC">
      <w:pPr>
        <w:spacing w:line="360" w:lineRule="auto"/>
        <w:ind w:firstLine="480" w:firstLineChars="200"/>
        <w:rPr>
          <w:rFonts w:hint="eastAsia"/>
          <w:b w:val="0"/>
          <w:bCs w:val="0"/>
          <w:sz w:val="24"/>
          <w:u w:val="none"/>
        </w:rPr>
      </w:pPr>
      <w:r>
        <w:rPr>
          <w:rFonts w:hint="eastAsia"/>
          <w:b w:val="0"/>
          <w:bCs w:val="0"/>
          <w:sz w:val="24"/>
          <w:u w:val="none"/>
        </w:rPr>
        <w:t>现场调查资料显示，当地地下水流场多年变化不大，可概括为稳定流。潜水面水力坡度基本与地形坡度一致。此外，建设项目的污染物排放对地下水流场没有明显影响，且含水层的基本水文地质参数变化很小，符合解析模型预测污染物的基本条件。故本次地下水环境影响预测采用解析法进行预测。</w:t>
      </w:r>
    </w:p>
    <w:p w14:paraId="143C7CFB">
      <w:pPr>
        <w:spacing w:line="360" w:lineRule="auto"/>
        <w:ind w:firstLine="480" w:firstLineChars="200"/>
        <w:rPr>
          <w:rFonts w:hint="eastAsia"/>
          <w:b w:val="0"/>
          <w:bCs w:val="0"/>
          <w:sz w:val="24"/>
          <w:u w:val="none"/>
        </w:rPr>
      </w:pPr>
      <w:r>
        <w:rPr>
          <w:rFonts w:hint="eastAsia"/>
          <w:b w:val="0"/>
          <w:bCs w:val="0"/>
          <w:sz w:val="24"/>
          <w:u w:val="none"/>
          <w:lang w:val="en-US" w:eastAsia="zh-CN"/>
        </w:rPr>
        <w:t>b.</w:t>
      </w:r>
      <w:r>
        <w:rPr>
          <w:rFonts w:hint="eastAsia"/>
          <w:b w:val="0"/>
          <w:bCs w:val="0"/>
          <w:sz w:val="24"/>
          <w:u w:val="none"/>
        </w:rPr>
        <w:t>地下水污染物运移预测模型</w:t>
      </w:r>
    </w:p>
    <w:p w14:paraId="0A5F1B62">
      <w:pPr>
        <w:spacing w:line="360" w:lineRule="auto"/>
        <w:ind w:firstLine="480" w:firstLineChars="200"/>
        <w:rPr>
          <w:rFonts w:hint="eastAsia"/>
          <w:b w:val="0"/>
          <w:bCs w:val="0"/>
          <w:sz w:val="24"/>
          <w:u w:val="none"/>
        </w:rPr>
      </w:pPr>
      <w:r>
        <w:rPr>
          <w:rFonts w:hint="eastAsia"/>
          <w:b w:val="0"/>
          <w:bCs w:val="0"/>
          <w:sz w:val="24"/>
          <w:u w:val="none"/>
        </w:rPr>
        <w:t>项目区的地下水主要接受大气降水、地下径流侧向补给、地表水入渗补给，地下水自西北向东南径流。项目区及附近区域地下水动态稳定，污染物在浅层含水层中的迁移可根据污染物泄漏的不同位置，概化为瞬时注入示踪剂（平面瞬时点源）的一维稳定流动二维水动力弥散问题，当取平行地下水流动的方向为x轴正方形，垂直地下水流向为y方向时，则求取污染物浓度分布模型如下：</w:t>
      </w:r>
    </w:p>
    <w:p w14:paraId="341F264F">
      <w:pPr>
        <w:spacing w:line="360" w:lineRule="auto"/>
        <w:jc w:val="center"/>
        <w:rPr>
          <w:rFonts w:hint="eastAsia"/>
          <w:b w:val="0"/>
          <w:bCs w:val="0"/>
          <w:sz w:val="24"/>
          <w:u w:val="none"/>
        </w:rPr>
      </w:pPr>
      <w:r>
        <w:rPr>
          <w:b w:val="0"/>
          <w:bCs w:val="0"/>
          <w:color w:val="000000"/>
          <w:u w:val="none"/>
        </w:rPr>
        <w:drawing>
          <wp:inline distT="0" distB="0" distL="114300" distR="114300">
            <wp:extent cx="2842260" cy="662940"/>
            <wp:effectExtent l="0" t="0" r="7620" b="7620"/>
            <wp:docPr id="3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8"/>
                    <pic:cNvPicPr>
                      <a:picLocks noChangeAspect="1"/>
                    </pic:cNvPicPr>
                  </pic:nvPicPr>
                  <pic:blipFill>
                    <a:blip r:embed="rId56"/>
                    <a:stretch>
                      <a:fillRect/>
                    </a:stretch>
                  </pic:blipFill>
                  <pic:spPr>
                    <a:xfrm>
                      <a:off x="0" y="0"/>
                      <a:ext cx="2842260" cy="662940"/>
                    </a:xfrm>
                    <a:prstGeom prst="rect">
                      <a:avLst/>
                    </a:prstGeom>
                    <a:noFill/>
                    <a:ln>
                      <a:noFill/>
                    </a:ln>
                  </pic:spPr>
                </pic:pic>
              </a:graphicData>
            </a:graphic>
          </wp:inline>
        </w:drawing>
      </w:r>
      <w:r>
        <w:rPr>
          <w:rFonts w:hint="eastAsia"/>
          <w:b w:val="0"/>
          <w:bCs w:val="0"/>
          <w:sz w:val="24"/>
          <w:u w:val="none"/>
        </w:rPr>
        <w:t>（5-1）</w:t>
      </w:r>
    </w:p>
    <w:p w14:paraId="425FC53C">
      <w:pPr>
        <w:spacing w:line="360" w:lineRule="auto"/>
        <w:ind w:firstLine="480" w:firstLineChars="200"/>
        <w:rPr>
          <w:rFonts w:hint="eastAsia"/>
          <w:b w:val="0"/>
          <w:bCs w:val="0"/>
          <w:sz w:val="24"/>
          <w:u w:val="none"/>
        </w:rPr>
      </w:pPr>
      <w:r>
        <w:rPr>
          <w:rFonts w:hint="eastAsia"/>
          <w:b w:val="0"/>
          <w:bCs w:val="0"/>
          <w:sz w:val="24"/>
          <w:u w:val="none"/>
        </w:rPr>
        <w:t>式中：x，y—计算点处的位置坐标；</w:t>
      </w:r>
    </w:p>
    <w:p w14:paraId="19C1425D">
      <w:pPr>
        <w:spacing w:line="360" w:lineRule="auto"/>
        <w:ind w:firstLine="1200" w:firstLineChars="500"/>
        <w:rPr>
          <w:rFonts w:hint="eastAsia"/>
          <w:b w:val="0"/>
          <w:bCs w:val="0"/>
          <w:sz w:val="24"/>
          <w:u w:val="none"/>
        </w:rPr>
      </w:pPr>
      <w:r>
        <w:rPr>
          <w:rFonts w:hint="eastAsia"/>
          <w:b w:val="0"/>
          <w:bCs w:val="0"/>
          <w:sz w:val="24"/>
          <w:u w:val="none"/>
        </w:rPr>
        <w:t>t—时间，d；</w:t>
      </w:r>
    </w:p>
    <w:p w14:paraId="61B8359A">
      <w:pPr>
        <w:spacing w:line="360" w:lineRule="auto"/>
        <w:ind w:firstLine="1200" w:firstLineChars="500"/>
        <w:rPr>
          <w:rFonts w:hint="eastAsia"/>
          <w:b w:val="0"/>
          <w:bCs w:val="0"/>
          <w:sz w:val="24"/>
          <w:u w:val="none"/>
        </w:rPr>
      </w:pPr>
      <w:r>
        <w:rPr>
          <w:rFonts w:hint="eastAsia"/>
          <w:b w:val="0"/>
          <w:bCs w:val="0"/>
          <w:sz w:val="24"/>
          <w:u w:val="none"/>
        </w:rPr>
        <w:t>C（x，y，t）—t时刻点x，y处的污染物的浓度，g/L；</w:t>
      </w:r>
    </w:p>
    <w:p w14:paraId="731827F6">
      <w:pPr>
        <w:spacing w:line="360" w:lineRule="auto"/>
        <w:ind w:firstLine="1200" w:firstLineChars="500"/>
        <w:rPr>
          <w:rFonts w:hint="eastAsia"/>
          <w:b w:val="0"/>
          <w:bCs w:val="0"/>
          <w:sz w:val="24"/>
          <w:u w:val="none"/>
        </w:rPr>
      </w:pPr>
      <w:r>
        <w:rPr>
          <w:rFonts w:hint="eastAsia"/>
          <w:b w:val="0"/>
          <w:bCs w:val="0"/>
          <w:sz w:val="24"/>
          <w:u w:val="none"/>
        </w:rPr>
        <w:t>M—承压含水层的厚度，m；</w:t>
      </w:r>
    </w:p>
    <w:p w14:paraId="7106C286">
      <w:pPr>
        <w:spacing w:line="360" w:lineRule="auto"/>
        <w:ind w:firstLine="1200" w:firstLineChars="500"/>
        <w:rPr>
          <w:rFonts w:hint="eastAsia"/>
          <w:b w:val="0"/>
          <w:bCs w:val="0"/>
          <w:sz w:val="24"/>
          <w:u w:val="none"/>
        </w:rPr>
      </w:pPr>
      <w:r>
        <w:rPr>
          <w:rFonts w:hint="eastAsia"/>
          <w:b w:val="0"/>
          <w:bCs w:val="0"/>
          <w:sz w:val="24"/>
          <w:u w:val="none"/>
        </w:rPr>
        <w:t>m</w:t>
      </w:r>
      <w:r>
        <w:rPr>
          <w:rFonts w:hint="eastAsia"/>
          <w:b w:val="0"/>
          <w:bCs w:val="0"/>
          <w:sz w:val="24"/>
          <w:u w:val="none"/>
          <w:vertAlign w:val="subscript"/>
          <w:lang w:val="en-US" w:eastAsia="zh-CN"/>
        </w:rPr>
        <w:t>M</w:t>
      </w:r>
      <w:r>
        <w:rPr>
          <w:rFonts w:hint="eastAsia"/>
          <w:b w:val="0"/>
          <w:bCs w:val="0"/>
          <w:sz w:val="24"/>
          <w:u w:val="none"/>
        </w:rPr>
        <w:t>—长度为M的线源瞬时注入的示踪剂质量，kg；</w:t>
      </w:r>
    </w:p>
    <w:p w14:paraId="2C96CAD0">
      <w:pPr>
        <w:spacing w:line="360" w:lineRule="auto"/>
        <w:ind w:firstLine="1200" w:firstLineChars="500"/>
        <w:rPr>
          <w:rFonts w:hint="eastAsia"/>
          <w:b w:val="0"/>
          <w:bCs w:val="0"/>
          <w:sz w:val="24"/>
          <w:u w:val="none"/>
        </w:rPr>
      </w:pPr>
      <w:r>
        <w:rPr>
          <w:rFonts w:hint="eastAsia"/>
          <w:b w:val="0"/>
          <w:bCs w:val="0"/>
          <w:sz w:val="24"/>
          <w:u w:val="none"/>
        </w:rPr>
        <w:t>u—水流速度，m/d；</w:t>
      </w:r>
    </w:p>
    <w:p w14:paraId="15A77134">
      <w:pPr>
        <w:spacing w:line="360" w:lineRule="auto"/>
        <w:ind w:firstLine="1200" w:firstLineChars="500"/>
        <w:rPr>
          <w:rFonts w:hint="eastAsia"/>
          <w:b w:val="0"/>
          <w:bCs w:val="0"/>
          <w:sz w:val="24"/>
          <w:u w:val="none"/>
        </w:rPr>
      </w:pPr>
      <w:r>
        <w:rPr>
          <w:rFonts w:hint="eastAsia"/>
          <w:b w:val="0"/>
          <w:bCs w:val="0"/>
          <w:sz w:val="24"/>
          <w:u w:val="none"/>
        </w:rPr>
        <w:t>n</w:t>
      </w:r>
      <w:r>
        <w:rPr>
          <w:rFonts w:hint="eastAsia"/>
          <w:b w:val="0"/>
          <w:bCs w:val="0"/>
          <w:sz w:val="24"/>
          <w:u w:val="none"/>
          <w:vertAlign w:val="subscript"/>
        </w:rPr>
        <w:t>e</w:t>
      </w:r>
      <w:r>
        <w:rPr>
          <w:rFonts w:hint="eastAsia"/>
          <w:b w:val="0"/>
          <w:bCs w:val="0"/>
          <w:sz w:val="24"/>
          <w:u w:val="none"/>
        </w:rPr>
        <w:t>—有效孔隙度，无量纲；</w:t>
      </w:r>
    </w:p>
    <w:p w14:paraId="139AE496">
      <w:pPr>
        <w:spacing w:line="360" w:lineRule="auto"/>
        <w:ind w:firstLine="1200" w:firstLineChars="500"/>
        <w:rPr>
          <w:rFonts w:hint="eastAsia"/>
          <w:b w:val="0"/>
          <w:bCs w:val="0"/>
          <w:sz w:val="24"/>
          <w:u w:val="none"/>
        </w:rPr>
      </w:pPr>
      <w:r>
        <w:rPr>
          <w:rFonts w:hint="eastAsia"/>
          <w:b w:val="0"/>
          <w:bCs w:val="0"/>
          <w:sz w:val="24"/>
          <w:u w:val="none"/>
        </w:rPr>
        <w:t>D</w:t>
      </w:r>
      <w:r>
        <w:rPr>
          <w:rFonts w:hint="eastAsia"/>
          <w:b w:val="0"/>
          <w:bCs w:val="0"/>
          <w:sz w:val="24"/>
          <w:u w:val="none"/>
          <w:vertAlign w:val="subscript"/>
        </w:rPr>
        <w:t>L</w:t>
      </w:r>
      <w:r>
        <w:rPr>
          <w:rFonts w:hint="eastAsia"/>
          <w:b w:val="0"/>
          <w:bCs w:val="0"/>
          <w:sz w:val="24"/>
          <w:u w:val="none"/>
        </w:rPr>
        <w:t>—纵向弥散系数，m</w:t>
      </w:r>
      <w:r>
        <w:rPr>
          <w:rFonts w:hint="eastAsia"/>
          <w:b w:val="0"/>
          <w:bCs w:val="0"/>
          <w:sz w:val="24"/>
          <w:u w:val="none"/>
          <w:vertAlign w:val="superscript"/>
        </w:rPr>
        <w:t>2</w:t>
      </w:r>
      <w:r>
        <w:rPr>
          <w:rFonts w:hint="eastAsia"/>
          <w:b w:val="0"/>
          <w:bCs w:val="0"/>
          <w:sz w:val="24"/>
          <w:u w:val="none"/>
        </w:rPr>
        <w:t>/d；</w:t>
      </w:r>
    </w:p>
    <w:p w14:paraId="130FA88A">
      <w:pPr>
        <w:spacing w:line="360" w:lineRule="auto"/>
        <w:ind w:firstLine="1200" w:firstLineChars="500"/>
        <w:rPr>
          <w:rFonts w:hint="eastAsia"/>
          <w:b w:val="0"/>
          <w:bCs w:val="0"/>
          <w:sz w:val="24"/>
          <w:u w:val="none"/>
        </w:rPr>
      </w:pPr>
      <w:r>
        <w:rPr>
          <w:rFonts w:hint="eastAsia"/>
          <w:b w:val="0"/>
          <w:bCs w:val="0"/>
          <w:sz w:val="24"/>
          <w:u w:val="none"/>
        </w:rPr>
        <w:t>D</w:t>
      </w:r>
      <w:r>
        <w:rPr>
          <w:rFonts w:hint="eastAsia"/>
          <w:b w:val="0"/>
          <w:bCs w:val="0"/>
          <w:sz w:val="24"/>
          <w:u w:val="none"/>
          <w:vertAlign w:val="subscript"/>
        </w:rPr>
        <w:t>T</w:t>
      </w:r>
      <w:r>
        <w:rPr>
          <w:rFonts w:hint="eastAsia"/>
          <w:b w:val="0"/>
          <w:bCs w:val="0"/>
          <w:sz w:val="24"/>
          <w:u w:val="none"/>
        </w:rPr>
        <w:t>—纵向弥散系数，m</w:t>
      </w:r>
      <w:r>
        <w:rPr>
          <w:rFonts w:hint="eastAsia"/>
          <w:b w:val="0"/>
          <w:bCs w:val="0"/>
          <w:sz w:val="24"/>
          <w:u w:val="none"/>
          <w:vertAlign w:val="superscript"/>
        </w:rPr>
        <w:t>2</w:t>
      </w:r>
      <w:r>
        <w:rPr>
          <w:rFonts w:hint="eastAsia"/>
          <w:b w:val="0"/>
          <w:bCs w:val="0"/>
          <w:sz w:val="24"/>
          <w:u w:val="none"/>
        </w:rPr>
        <w:t>/d；</w:t>
      </w:r>
    </w:p>
    <w:p w14:paraId="4A5D7F9F">
      <w:pPr>
        <w:spacing w:line="360" w:lineRule="auto"/>
        <w:ind w:firstLine="1200" w:firstLineChars="500"/>
        <w:rPr>
          <w:rFonts w:hint="eastAsia"/>
          <w:b w:val="0"/>
          <w:bCs w:val="0"/>
          <w:sz w:val="24"/>
          <w:u w:val="none"/>
        </w:rPr>
      </w:pPr>
      <w:r>
        <w:rPr>
          <w:b w:val="0"/>
          <w:bCs w:val="0"/>
          <w:sz w:val="24"/>
          <w:u w:val="none"/>
        </w:rPr>
        <w:t>π</w:t>
      </w:r>
      <w:r>
        <w:rPr>
          <w:rFonts w:hint="eastAsia"/>
          <w:b w:val="0"/>
          <w:bCs w:val="0"/>
          <w:sz w:val="24"/>
          <w:u w:val="none"/>
        </w:rPr>
        <w:t>—圆周率。</w:t>
      </w:r>
    </w:p>
    <w:p w14:paraId="106F50E8">
      <w:pPr>
        <w:spacing w:line="360" w:lineRule="auto"/>
        <w:ind w:firstLine="480" w:firstLineChars="200"/>
        <w:rPr>
          <w:rFonts w:hint="eastAsia"/>
          <w:b w:val="0"/>
          <w:bCs w:val="0"/>
          <w:sz w:val="24"/>
          <w:u w:val="none"/>
        </w:rPr>
      </w:pPr>
      <w:r>
        <w:rPr>
          <w:rFonts w:hint="eastAsia"/>
          <w:b w:val="0"/>
          <w:bCs w:val="0"/>
          <w:sz w:val="24"/>
          <w:u w:val="none"/>
          <w:lang w:val="en-US" w:eastAsia="zh-CN"/>
        </w:rPr>
        <w:t>c.</w:t>
      </w:r>
      <w:r>
        <w:rPr>
          <w:rFonts w:hint="eastAsia"/>
          <w:b w:val="0"/>
          <w:bCs w:val="0"/>
          <w:sz w:val="24"/>
          <w:u w:val="none"/>
        </w:rPr>
        <w:t>模型参数选取</w:t>
      </w:r>
    </w:p>
    <w:p w14:paraId="537F2CB6">
      <w:pPr>
        <w:spacing w:line="360" w:lineRule="auto"/>
        <w:ind w:firstLine="480" w:firstLineChars="200"/>
        <w:rPr>
          <w:rFonts w:hint="eastAsia"/>
          <w:b w:val="0"/>
          <w:bCs w:val="0"/>
          <w:sz w:val="24"/>
          <w:u w:val="none"/>
        </w:rPr>
      </w:pPr>
      <w:r>
        <w:rPr>
          <w:rFonts w:hint="eastAsia"/>
          <w:b w:val="0"/>
          <w:bCs w:val="0"/>
          <w:sz w:val="24"/>
          <w:u w:val="none"/>
        </w:rPr>
        <w:t>由模型（5-1）可知，模型需要的参数有：外泄污染物质量m</w:t>
      </w:r>
      <w:r>
        <w:rPr>
          <w:rFonts w:hint="eastAsia"/>
          <w:b w:val="0"/>
          <w:bCs w:val="0"/>
          <w:sz w:val="24"/>
          <w:u w:val="none"/>
          <w:vertAlign w:val="subscript"/>
        </w:rPr>
        <w:t>M</w:t>
      </w:r>
      <w:r>
        <w:rPr>
          <w:rFonts w:hint="eastAsia"/>
          <w:b w:val="0"/>
          <w:bCs w:val="0"/>
          <w:sz w:val="24"/>
          <w:u w:val="none"/>
        </w:rPr>
        <w:t>；含水层厚度M；有效孔隙度n</w:t>
      </w:r>
      <w:r>
        <w:rPr>
          <w:rFonts w:hint="eastAsia"/>
          <w:b w:val="0"/>
          <w:bCs w:val="0"/>
          <w:sz w:val="24"/>
          <w:u w:val="none"/>
          <w:vertAlign w:val="subscript"/>
        </w:rPr>
        <w:t>e</w:t>
      </w:r>
      <w:r>
        <w:rPr>
          <w:rFonts w:hint="eastAsia"/>
          <w:b w:val="0"/>
          <w:bCs w:val="0"/>
          <w:sz w:val="24"/>
          <w:u w:val="none"/>
        </w:rPr>
        <w:t>；水流的实际平均速度u；污染物在含水层中的纵向弥散系数D</w:t>
      </w:r>
      <w:r>
        <w:rPr>
          <w:rFonts w:hint="eastAsia"/>
          <w:b w:val="0"/>
          <w:bCs w:val="0"/>
          <w:sz w:val="24"/>
          <w:u w:val="none"/>
          <w:vertAlign w:val="subscript"/>
        </w:rPr>
        <w:t>L</w:t>
      </w:r>
      <w:r>
        <w:rPr>
          <w:rFonts w:hint="eastAsia"/>
          <w:b w:val="0"/>
          <w:bCs w:val="0"/>
          <w:sz w:val="24"/>
          <w:u w:val="none"/>
        </w:rPr>
        <w:t>、横向弥散系数D</w:t>
      </w:r>
      <w:r>
        <w:rPr>
          <w:rFonts w:hint="eastAsia"/>
          <w:b w:val="0"/>
          <w:bCs w:val="0"/>
          <w:sz w:val="24"/>
          <w:u w:val="none"/>
          <w:vertAlign w:val="subscript"/>
        </w:rPr>
        <w:t>T</w:t>
      </w:r>
      <w:r>
        <w:rPr>
          <w:rFonts w:hint="eastAsia"/>
          <w:b w:val="0"/>
          <w:bCs w:val="0"/>
          <w:sz w:val="24"/>
          <w:u w:val="none"/>
        </w:rPr>
        <w:t>。</w:t>
      </w:r>
    </w:p>
    <w:p w14:paraId="2DB97838">
      <w:pPr>
        <w:spacing w:line="360" w:lineRule="auto"/>
        <w:ind w:firstLine="480" w:firstLineChars="200"/>
        <w:rPr>
          <w:rFonts w:hint="eastAsia"/>
          <w:b w:val="0"/>
          <w:bCs w:val="0"/>
          <w:sz w:val="24"/>
          <w:u w:val="none"/>
        </w:rPr>
      </w:pPr>
      <w:r>
        <w:rPr>
          <w:rFonts w:hint="default" w:ascii="Times New Roman" w:hAnsi="Times New Roman" w:eastAsia="微软雅黑" w:cs="Times New Roman"/>
          <w:b w:val="0"/>
          <w:bCs w:val="0"/>
          <w:sz w:val="24"/>
          <w:u w:val="none"/>
        </w:rPr>
        <w:t>Ⅰ</w:t>
      </w:r>
      <w:r>
        <w:rPr>
          <w:rFonts w:hint="default" w:ascii="Times New Roman" w:hAnsi="Times New Roman" w:eastAsia="微软雅黑" w:cs="Times New Roman"/>
          <w:b w:val="0"/>
          <w:bCs w:val="0"/>
          <w:sz w:val="24"/>
          <w:u w:val="none"/>
          <w:lang w:val="en-US" w:eastAsia="zh-CN"/>
        </w:rPr>
        <w:t>.</w:t>
      </w:r>
      <w:r>
        <w:rPr>
          <w:rFonts w:hint="eastAsia"/>
          <w:b w:val="0"/>
          <w:bCs w:val="0"/>
          <w:sz w:val="24"/>
          <w:u w:val="none"/>
        </w:rPr>
        <w:t>承压含水层的厚度M：根据调查结果，项目区承压水含水层平均总厚度约为20m；</w:t>
      </w:r>
    </w:p>
    <w:p w14:paraId="5BEA4EEE">
      <w:pPr>
        <w:spacing w:line="360" w:lineRule="auto"/>
        <w:ind w:firstLine="480" w:firstLineChars="200"/>
        <w:rPr>
          <w:rFonts w:hint="eastAsia"/>
          <w:b w:val="0"/>
          <w:bCs w:val="0"/>
          <w:sz w:val="24"/>
          <w:u w:val="none"/>
        </w:rPr>
      </w:pPr>
      <w:r>
        <w:rPr>
          <w:rFonts w:hint="default" w:ascii="Times New Roman" w:hAnsi="Times New Roman" w:eastAsia="微软雅黑" w:cs="Times New Roman"/>
          <w:b w:val="0"/>
          <w:bCs w:val="0"/>
          <w:sz w:val="24"/>
          <w:u w:val="none"/>
        </w:rPr>
        <w:t>Ⅱ</w:t>
      </w:r>
      <w:r>
        <w:rPr>
          <w:rFonts w:hint="default" w:ascii="Times New Roman" w:hAnsi="Times New Roman" w:eastAsia="微软雅黑" w:cs="Times New Roman"/>
          <w:b w:val="0"/>
          <w:bCs w:val="0"/>
          <w:sz w:val="24"/>
          <w:u w:val="none"/>
          <w:lang w:val="en-US" w:eastAsia="zh-CN"/>
        </w:rPr>
        <w:t>.</w:t>
      </w:r>
      <w:r>
        <w:rPr>
          <w:rFonts w:hint="default" w:ascii="Times New Roman" w:hAnsi="Times New Roman" w:cs="Times New Roman"/>
          <w:b w:val="0"/>
          <w:bCs w:val="0"/>
          <w:sz w:val="24"/>
          <w:u w:val="none"/>
        </w:rPr>
        <w:t>长</w:t>
      </w:r>
      <w:r>
        <w:rPr>
          <w:rFonts w:hint="eastAsia"/>
          <w:b w:val="0"/>
          <w:bCs w:val="0"/>
          <w:sz w:val="24"/>
          <w:u w:val="none"/>
        </w:rPr>
        <w:t>度为M的线源瞬时注入的示踪剂质量m</w:t>
      </w:r>
      <w:r>
        <w:rPr>
          <w:rFonts w:hint="eastAsia"/>
          <w:b w:val="0"/>
          <w:bCs w:val="0"/>
          <w:sz w:val="24"/>
          <w:u w:val="none"/>
          <w:vertAlign w:val="subscript"/>
        </w:rPr>
        <w:t>M</w:t>
      </w:r>
      <w:r>
        <w:rPr>
          <w:rFonts w:hint="eastAsia"/>
          <w:b w:val="0"/>
          <w:bCs w:val="0"/>
          <w:sz w:val="24"/>
          <w:u w:val="none"/>
        </w:rPr>
        <w:t>：</w:t>
      </w:r>
    </w:p>
    <w:p w14:paraId="3468125D">
      <w:pPr>
        <w:spacing w:line="360" w:lineRule="auto"/>
        <w:ind w:firstLine="480" w:firstLineChars="200"/>
        <w:rPr>
          <w:rFonts w:hint="eastAsia"/>
          <w:b w:val="0"/>
          <w:bCs w:val="0"/>
          <w:sz w:val="24"/>
          <w:u w:val="none"/>
        </w:rPr>
      </w:pPr>
      <w:r>
        <w:rPr>
          <w:rFonts w:hint="eastAsia"/>
          <w:b w:val="0"/>
          <w:bCs w:val="0"/>
          <w:sz w:val="24"/>
          <w:u w:val="none"/>
        </w:rPr>
        <w:t>根据工程分析，</w:t>
      </w:r>
      <w:r>
        <w:rPr>
          <w:rFonts w:hint="eastAsia"/>
          <w:b w:val="0"/>
          <w:bCs w:val="0"/>
          <w:sz w:val="24"/>
          <w:highlight w:val="none"/>
          <w:u w:val="none"/>
          <w:lang w:eastAsia="zh-CN"/>
        </w:rPr>
        <w:t>本项目</w:t>
      </w:r>
      <w:r>
        <w:rPr>
          <w:rFonts w:hint="eastAsia"/>
          <w:color w:val="auto"/>
          <w:sz w:val="24"/>
          <w:szCs w:val="24"/>
          <w:highlight w:val="none"/>
          <w:lang w:val="en-US" w:eastAsia="zh-CN"/>
        </w:rPr>
        <w:t>甲磺酸钠</w:t>
      </w:r>
      <w:r>
        <w:rPr>
          <w:rFonts w:hint="eastAsia"/>
          <w:b w:val="0"/>
          <w:bCs w:val="0"/>
          <w:sz w:val="24"/>
          <w:highlight w:val="none"/>
          <w:u w:val="none"/>
          <w:lang w:val="en-US" w:eastAsia="zh-CN"/>
        </w:rPr>
        <w:t>吨袋容积为2t</w:t>
      </w:r>
      <w:r>
        <w:rPr>
          <w:rFonts w:hint="eastAsia"/>
          <w:b w:val="0"/>
          <w:bCs w:val="0"/>
          <w:sz w:val="24"/>
          <w:highlight w:val="none"/>
          <w:u w:val="none"/>
        </w:rPr>
        <w:t>，</w:t>
      </w:r>
      <w:r>
        <w:rPr>
          <w:rFonts w:hint="eastAsia"/>
          <w:b w:val="0"/>
          <w:bCs w:val="0"/>
          <w:sz w:val="24"/>
          <w:highlight w:val="none"/>
          <w:u w:val="none"/>
          <w:lang w:val="en-US" w:eastAsia="zh-CN"/>
        </w:rPr>
        <w:t>含水率约为3%，</w:t>
      </w:r>
      <w:r>
        <w:rPr>
          <w:rFonts w:hint="eastAsia"/>
          <w:b w:val="0"/>
          <w:bCs w:val="0"/>
          <w:sz w:val="24"/>
          <w:u w:val="none"/>
        </w:rPr>
        <w:t>非正常工况下泄漏量</w:t>
      </w:r>
      <w:r>
        <w:rPr>
          <w:rFonts w:hint="eastAsia"/>
          <w:b w:val="0"/>
          <w:bCs w:val="0"/>
          <w:sz w:val="24"/>
          <w:u w:val="none"/>
          <w:lang w:val="en-US" w:eastAsia="zh-CN"/>
        </w:rPr>
        <w:t>按最不利影响分析，一个吨袋完全破损造成渗滤液泄漏，则</w:t>
      </w:r>
      <w:r>
        <w:rPr>
          <w:rFonts w:hint="eastAsia"/>
          <w:b w:val="0"/>
          <w:bCs w:val="0"/>
          <w:sz w:val="24"/>
          <w:u w:val="none"/>
          <w:lang w:eastAsia="zh-CN"/>
        </w:rPr>
        <w:t>本项目</w:t>
      </w:r>
      <w:r>
        <w:rPr>
          <w:rFonts w:hint="eastAsia"/>
          <w:b w:val="0"/>
          <w:bCs w:val="0"/>
          <w:sz w:val="24"/>
          <w:u w:val="none"/>
        </w:rPr>
        <w:t>非正常工况下地下水污染源强计算结果见表5</w:t>
      </w:r>
      <w:r>
        <w:rPr>
          <w:rFonts w:hint="eastAsia"/>
          <w:b w:val="0"/>
          <w:bCs w:val="0"/>
          <w:sz w:val="24"/>
          <w:u w:val="none"/>
          <w:lang w:val="en-US" w:eastAsia="zh-CN"/>
        </w:rPr>
        <w:t>.2-20</w:t>
      </w:r>
      <w:r>
        <w:rPr>
          <w:rFonts w:hint="eastAsia"/>
          <w:b w:val="0"/>
          <w:bCs w:val="0"/>
          <w:sz w:val="24"/>
          <w:u w:val="none"/>
        </w:rPr>
        <w:t>。</w:t>
      </w:r>
    </w:p>
    <w:p w14:paraId="6EFF6FD7">
      <w:pPr>
        <w:jc w:val="center"/>
        <w:rPr>
          <w:b/>
          <w:bCs/>
          <w:sz w:val="24"/>
          <w:u w:val="none"/>
        </w:rPr>
      </w:pPr>
      <w:r>
        <w:rPr>
          <w:b/>
          <w:bCs/>
          <w:sz w:val="24"/>
          <w:u w:val="none"/>
        </w:rPr>
        <w:t>表5</w:t>
      </w:r>
      <w:r>
        <w:rPr>
          <w:rFonts w:hint="eastAsia"/>
          <w:b/>
          <w:bCs/>
          <w:sz w:val="24"/>
          <w:u w:val="none"/>
          <w:lang w:val="en-US" w:eastAsia="zh-CN"/>
        </w:rPr>
        <w:t>.2-20</w:t>
      </w:r>
      <w:r>
        <w:rPr>
          <w:b/>
          <w:bCs/>
          <w:sz w:val="24"/>
          <w:u w:val="none"/>
        </w:rPr>
        <w:t xml:space="preserve"> 本项目非正常工况下地下水污染源强</w:t>
      </w:r>
    </w:p>
    <w:tbl>
      <w:tblPr>
        <w:tblStyle w:val="39"/>
        <w:tblW w:w="5071" w:type="pct"/>
        <w:jc w:val="center"/>
        <w:tblBorders>
          <w:top w:val="single" w:color="auto" w:sz="18" w:space="0"/>
          <w:left w:val="none" w:color="auto" w:sz="0" w:space="0"/>
          <w:bottom w:val="single" w:color="auto" w:sz="18" w:space="0"/>
          <w:right w:val="none" w:color="auto" w:sz="0" w:space="0"/>
          <w:insideH w:val="single" w:color="000000" w:sz="2" w:space="0"/>
          <w:insideV w:val="single" w:color="000000" w:sz="6" w:space="0"/>
        </w:tblBorders>
        <w:tblLayout w:type="autofit"/>
        <w:tblCellMar>
          <w:top w:w="0" w:type="dxa"/>
          <w:left w:w="0" w:type="dxa"/>
          <w:bottom w:w="0" w:type="dxa"/>
          <w:right w:w="0" w:type="dxa"/>
        </w:tblCellMar>
      </w:tblPr>
      <w:tblGrid>
        <w:gridCol w:w="1205"/>
        <w:gridCol w:w="1459"/>
        <w:gridCol w:w="1740"/>
        <w:gridCol w:w="2087"/>
        <w:gridCol w:w="1927"/>
      </w:tblGrid>
      <w:tr w14:paraId="18FD98FF">
        <w:tblPrEx>
          <w:tblBorders>
            <w:top w:val="single" w:color="auto" w:sz="18" w:space="0"/>
            <w:left w:val="none" w:color="auto" w:sz="0" w:space="0"/>
            <w:bottom w:val="single" w:color="auto" w:sz="18"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0" w:hRule="atLeast"/>
          <w:jc w:val="center"/>
        </w:trPr>
        <w:tc>
          <w:tcPr>
            <w:tcW w:w="716" w:type="pct"/>
            <w:tcBorders>
              <w:tl2br w:val="nil"/>
              <w:tr2bl w:val="nil"/>
            </w:tcBorders>
            <w:noWrap w:val="0"/>
            <w:vAlign w:val="center"/>
          </w:tcPr>
          <w:p w14:paraId="35C89EF7">
            <w:pPr>
              <w:pStyle w:val="197"/>
              <w:tabs>
                <w:tab w:val="left" w:pos="1155"/>
              </w:tabs>
              <w:autoSpaceDE/>
              <w:autoSpaceDN/>
              <w:spacing w:before="0" w:after="0" w:line="240" w:lineRule="auto"/>
              <w:ind w:left="0" w:firstLine="0"/>
              <w:jc w:val="center"/>
              <w:rPr>
                <w:rFonts w:ascii="Times New Roman" w:hAnsi="Times New Roman" w:cs="Times New Roman"/>
                <w:b/>
                <w:bCs/>
                <w:color w:val="000000"/>
                <w:sz w:val="21"/>
                <w:szCs w:val="18"/>
                <w:highlight w:val="none"/>
                <w:u w:val="none"/>
              </w:rPr>
            </w:pPr>
            <w:r>
              <w:rPr>
                <w:rFonts w:ascii="Times New Roman" w:hAnsi="Times New Roman" w:cs="Times New Roman"/>
                <w:b/>
                <w:bCs/>
                <w:color w:val="000000"/>
                <w:sz w:val="21"/>
                <w:szCs w:val="18"/>
                <w:highlight w:val="none"/>
                <w:u w:val="none"/>
              </w:rPr>
              <w:t>类别</w:t>
            </w:r>
          </w:p>
        </w:tc>
        <w:tc>
          <w:tcPr>
            <w:tcW w:w="866" w:type="pct"/>
            <w:tcBorders>
              <w:tl2br w:val="nil"/>
              <w:tr2bl w:val="nil"/>
            </w:tcBorders>
            <w:noWrap w:val="0"/>
            <w:vAlign w:val="center"/>
          </w:tcPr>
          <w:p w14:paraId="19E8F9CB">
            <w:pPr>
              <w:pStyle w:val="197"/>
              <w:tabs>
                <w:tab w:val="left" w:pos="1155"/>
              </w:tabs>
              <w:autoSpaceDE/>
              <w:autoSpaceDN/>
              <w:spacing w:before="0" w:after="0" w:line="240" w:lineRule="auto"/>
              <w:ind w:left="0" w:firstLine="0"/>
              <w:jc w:val="center"/>
              <w:rPr>
                <w:rFonts w:ascii="Times New Roman" w:hAnsi="Times New Roman" w:cs="Times New Roman"/>
                <w:b/>
                <w:bCs/>
                <w:color w:val="000000"/>
                <w:sz w:val="21"/>
                <w:szCs w:val="18"/>
                <w:highlight w:val="none"/>
                <w:u w:val="none"/>
              </w:rPr>
            </w:pPr>
            <w:r>
              <w:rPr>
                <w:rFonts w:ascii="Times New Roman" w:hAnsi="Times New Roman" w:cs="Times New Roman"/>
                <w:b/>
                <w:bCs/>
                <w:color w:val="000000"/>
                <w:sz w:val="21"/>
                <w:szCs w:val="18"/>
                <w:highlight w:val="none"/>
                <w:u w:val="none"/>
              </w:rPr>
              <w:t>污染源及</w:t>
            </w:r>
            <w:r>
              <w:rPr>
                <w:rFonts w:ascii="Times New Roman" w:hAnsi="Times New Roman" w:cs="Times New Roman"/>
                <w:b/>
                <w:bCs/>
                <w:color w:val="000000"/>
                <w:sz w:val="21"/>
                <w:szCs w:val="18"/>
                <w:highlight w:val="none"/>
                <w:u w:val="none"/>
                <w:lang w:val="en-US"/>
              </w:rPr>
              <w:t>泄漏</w:t>
            </w:r>
            <w:r>
              <w:rPr>
                <w:rFonts w:ascii="Times New Roman" w:hAnsi="Times New Roman" w:cs="Times New Roman"/>
                <w:b/>
                <w:bCs/>
                <w:color w:val="000000"/>
                <w:sz w:val="21"/>
                <w:szCs w:val="18"/>
                <w:highlight w:val="none"/>
                <w:u w:val="none"/>
              </w:rPr>
              <w:t>量</w:t>
            </w:r>
          </w:p>
        </w:tc>
        <w:tc>
          <w:tcPr>
            <w:tcW w:w="1033" w:type="pct"/>
            <w:tcBorders>
              <w:tl2br w:val="nil"/>
              <w:tr2bl w:val="nil"/>
            </w:tcBorders>
            <w:noWrap w:val="0"/>
            <w:vAlign w:val="center"/>
          </w:tcPr>
          <w:p w14:paraId="222F9F62">
            <w:pPr>
              <w:pStyle w:val="197"/>
              <w:tabs>
                <w:tab w:val="left" w:pos="1155"/>
              </w:tabs>
              <w:autoSpaceDE/>
              <w:autoSpaceDN/>
              <w:spacing w:before="0" w:after="0" w:line="240" w:lineRule="auto"/>
              <w:ind w:left="0" w:firstLine="0"/>
              <w:jc w:val="center"/>
              <w:rPr>
                <w:rFonts w:ascii="Times New Roman" w:hAnsi="Times New Roman" w:cs="Times New Roman"/>
                <w:b/>
                <w:bCs/>
                <w:color w:val="000000"/>
                <w:sz w:val="21"/>
                <w:szCs w:val="18"/>
                <w:highlight w:val="none"/>
                <w:u w:val="none"/>
              </w:rPr>
            </w:pPr>
            <w:r>
              <w:rPr>
                <w:rFonts w:ascii="Times New Roman" w:hAnsi="Times New Roman" w:cs="Times New Roman"/>
                <w:b/>
                <w:bCs/>
                <w:color w:val="000000"/>
                <w:sz w:val="21"/>
                <w:szCs w:val="18"/>
                <w:highlight w:val="none"/>
                <w:u w:val="none"/>
              </w:rPr>
              <w:t>主要污染物</w:t>
            </w:r>
          </w:p>
        </w:tc>
        <w:tc>
          <w:tcPr>
            <w:tcW w:w="1239" w:type="pct"/>
            <w:tcBorders>
              <w:tl2br w:val="nil"/>
              <w:tr2bl w:val="nil"/>
            </w:tcBorders>
            <w:noWrap w:val="0"/>
            <w:vAlign w:val="center"/>
          </w:tcPr>
          <w:p w14:paraId="774012AB">
            <w:pPr>
              <w:pStyle w:val="197"/>
              <w:tabs>
                <w:tab w:val="left" w:pos="1155"/>
              </w:tabs>
              <w:autoSpaceDE/>
              <w:autoSpaceDN/>
              <w:spacing w:before="0" w:after="0" w:line="240" w:lineRule="auto"/>
              <w:ind w:left="0" w:firstLine="0"/>
              <w:jc w:val="center"/>
              <w:rPr>
                <w:rFonts w:ascii="Times New Roman" w:hAnsi="Times New Roman" w:cs="Times New Roman"/>
                <w:b/>
                <w:bCs/>
                <w:color w:val="000000"/>
                <w:sz w:val="21"/>
                <w:szCs w:val="18"/>
                <w:highlight w:val="none"/>
                <w:u w:val="none"/>
              </w:rPr>
            </w:pPr>
            <w:r>
              <w:rPr>
                <w:rFonts w:ascii="Times New Roman" w:hAnsi="Times New Roman" w:cs="Times New Roman"/>
                <w:b/>
                <w:bCs/>
                <w:color w:val="000000"/>
                <w:sz w:val="21"/>
                <w:szCs w:val="18"/>
                <w:highlight w:val="none"/>
                <w:u w:val="none"/>
              </w:rPr>
              <w:t>污染物浓度</w:t>
            </w:r>
            <w:r>
              <w:rPr>
                <w:rFonts w:hint="eastAsia" w:ascii="Times New Roman" w:hAnsi="Times New Roman" w:eastAsia="宋体" w:cs="Times New Roman"/>
                <w:b/>
                <w:bCs/>
                <w:color w:val="000000"/>
                <w:sz w:val="21"/>
                <w:szCs w:val="18"/>
                <w:highlight w:val="none"/>
                <w:u w:val="none"/>
                <w:lang w:val="en-US" w:eastAsia="zh-CN"/>
              </w:rPr>
              <w:t>m</w:t>
            </w:r>
            <w:r>
              <w:rPr>
                <w:rFonts w:ascii="Times New Roman" w:hAnsi="Times New Roman" w:cs="Times New Roman"/>
                <w:b/>
                <w:bCs/>
                <w:color w:val="000000"/>
                <w:sz w:val="21"/>
                <w:szCs w:val="18"/>
                <w:highlight w:val="none"/>
                <w:u w:val="none"/>
              </w:rPr>
              <w:t>g/L</w:t>
            </w:r>
          </w:p>
        </w:tc>
        <w:tc>
          <w:tcPr>
            <w:tcW w:w="1144" w:type="pct"/>
            <w:tcBorders>
              <w:tl2br w:val="nil"/>
              <w:tr2bl w:val="nil"/>
            </w:tcBorders>
            <w:noWrap w:val="0"/>
            <w:vAlign w:val="center"/>
          </w:tcPr>
          <w:p w14:paraId="0375B3A7">
            <w:pPr>
              <w:pStyle w:val="197"/>
              <w:tabs>
                <w:tab w:val="left" w:pos="1155"/>
              </w:tabs>
              <w:autoSpaceDE/>
              <w:autoSpaceDN/>
              <w:spacing w:before="0" w:after="0" w:line="240" w:lineRule="auto"/>
              <w:ind w:left="0" w:firstLine="0"/>
              <w:jc w:val="center"/>
              <w:rPr>
                <w:rFonts w:ascii="Times New Roman" w:hAnsi="Times New Roman" w:cs="Times New Roman"/>
                <w:b/>
                <w:bCs/>
                <w:color w:val="000000"/>
                <w:sz w:val="21"/>
                <w:szCs w:val="18"/>
                <w:highlight w:val="none"/>
                <w:u w:val="none"/>
              </w:rPr>
            </w:pPr>
            <w:r>
              <w:rPr>
                <w:rFonts w:ascii="Times New Roman" w:hAnsi="Times New Roman" w:cs="Times New Roman"/>
                <w:b/>
                <w:bCs/>
                <w:color w:val="000000"/>
                <w:sz w:val="21"/>
                <w:szCs w:val="18"/>
                <w:highlight w:val="none"/>
                <w:u w:val="none"/>
              </w:rPr>
              <w:t>污染物</w:t>
            </w:r>
            <w:r>
              <w:rPr>
                <w:rFonts w:ascii="Times New Roman" w:hAnsi="Times New Roman" w:cs="Times New Roman"/>
                <w:b/>
                <w:bCs/>
                <w:color w:val="000000"/>
                <w:sz w:val="21"/>
                <w:szCs w:val="18"/>
                <w:highlight w:val="none"/>
                <w:u w:val="none"/>
                <w:lang w:val="en-US"/>
              </w:rPr>
              <w:t>泄漏</w:t>
            </w:r>
            <w:r>
              <w:rPr>
                <w:rFonts w:ascii="Times New Roman" w:hAnsi="Times New Roman" w:cs="Times New Roman"/>
                <w:b/>
                <w:bCs/>
                <w:color w:val="000000"/>
                <w:sz w:val="21"/>
                <w:szCs w:val="18"/>
                <w:highlight w:val="none"/>
                <w:u w:val="none"/>
              </w:rPr>
              <w:t>量g/d</w:t>
            </w:r>
          </w:p>
        </w:tc>
      </w:tr>
      <w:tr w14:paraId="62E04F89">
        <w:tblPrEx>
          <w:tblBorders>
            <w:top w:val="single" w:color="auto" w:sz="18" w:space="0"/>
            <w:left w:val="none" w:color="auto" w:sz="0" w:space="0"/>
            <w:bottom w:val="single" w:color="auto" w:sz="18" w:space="0"/>
            <w:right w:val="none" w:color="auto" w:sz="0" w:space="0"/>
            <w:insideH w:val="single" w:color="000000" w:sz="2" w:space="0"/>
            <w:insideV w:val="single" w:color="000000" w:sz="6" w:space="0"/>
          </w:tblBorders>
          <w:tblCellMar>
            <w:top w:w="0" w:type="dxa"/>
            <w:left w:w="0" w:type="dxa"/>
            <w:bottom w:w="0" w:type="dxa"/>
            <w:right w:w="0" w:type="dxa"/>
          </w:tblCellMar>
        </w:tblPrEx>
        <w:trPr>
          <w:trHeight w:val="361" w:hRule="atLeast"/>
          <w:jc w:val="center"/>
        </w:trPr>
        <w:tc>
          <w:tcPr>
            <w:tcW w:w="716" w:type="pct"/>
            <w:tcBorders>
              <w:tl2br w:val="nil"/>
              <w:tr2bl w:val="nil"/>
            </w:tcBorders>
            <w:noWrap w:val="0"/>
            <w:vAlign w:val="center"/>
          </w:tcPr>
          <w:p w14:paraId="4C70900C">
            <w:pPr>
              <w:pStyle w:val="197"/>
              <w:tabs>
                <w:tab w:val="left" w:pos="1155"/>
              </w:tabs>
              <w:autoSpaceDE/>
              <w:autoSpaceDN/>
              <w:spacing w:before="0" w:after="0" w:line="240" w:lineRule="auto"/>
              <w:ind w:left="0" w:firstLine="0"/>
              <w:jc w:val="center"/>
              <w:rPr>
                <w:rFonts w:hint="eastAsia" w:ascii="Times New Roman" w:hAnsi="Times New Roman" w:eastAsia="宋体" w:cs="Times New Roman"/>
                <w:b w:val="0"/>
                <w:bCs w:val="0"/>
                <w:color w:val="000000"/>
                <w:sz w:val="21"/>
                <w:szCs w:val="18"/>
                <w:highlight w:val="none"/>
                <w:u w:val="none"/>
                <w:lang w:eastAsia="zh-CN"/>
              </w:rPr>
            </w:pPr>
            <w:r>
              <w:rPr>
                <w:rFonts w:hint="eastAsia" w:eastAsia="宋体" w:cs="Times New Roman"/>
                <w:b w:val="0"/>
                <w:bCs w:val="0"/>
                <w:color w:val="000000"/>
                <w:sz w:val="21"/>
                <w:szCs w:val="18"/>
                <w:highlight w:val="none"/>
                <w:u w:val="none"/>
                <w:lang w:val="en-US" w:eastAsia="zh-CN"/>
              </w:rPr>
              <w:t>危险废物</w:t>
            </w:r>
          </w:p>
        </w:tc>
        <w:tc>
          <w:tcPr>
            <w:tcW w:w="866" w:type="pct"/>
            <w:tcBorders>
              <w:tl2br w:val="nil"/>
              <w:tr2bl w:val="nil"/>
            </w:tcBorders>
            <w:noWrap w:val="0"/>
            <w:vAlign w:val="center"/>
          </w:tcPr>
          <w:p w14:paraId="73BB8A84">
            <w:pPr>
              <w:pStyle w:val="197"/>
              <w:tabs>
                <w:tab w:val="left" w:pos="1155"/>
              </w:tabs>
              <w:autoSpaceDE/>
              <w:autoSpaceDN/>
              <w:spacing w:before="0" w:after="0" w:line="240" w:lineRule="auto"/>
              <w:ind w:left="0" w:firstLine="0"/>
              <w:jc w:val="center"/>
              <w:rPr>
                <w:rFonts w:ascii="Times New Roman" w:hAnsi="Times New Roman" w:cs="Times New Roman"/>
                <w:b w:val="0"/>
                <w:bCs w:val="0"/>
                <w:color w:val="000000"/>
                <w:sz w:val="21"/>
                <w:szCs w:val="18"/>
                <w:highlight w:val="none"/>
                <w:u w:val="none"/>
              </w:rPr>
            </w:pPr>
            <w:r>
              <w:rPr>
                <w:rFonts w:hint="eastAsia" w:ascii="Times New Roman" w:hAnsi="Times New Roman" w:cs="Times New Roman"/>
                <w:b w:val="0"/>
                <w:bCs w:val="0"/>
                <w:color w:val="000000"/>
                <w:sz w:val="21"/>
                <w:szCs w:val="18"/>
                <w:highlight w:val="none"/>
                <w:u w:val="none"/>
                <w:lang w:val="en-US" w:eastAsia="zh-CN"/>
              </w:rPr>
              <w:t>0.6</w:t>
            </w:r>
            <w:r>
              <w:rPr>
                <w:rFonts w:ascii="Times New Roman" w:hAnsi="Times New Roman" w:cs="Times New Roman"/>
                <w:b w:val="0"/>
                <w:bCs w:val="0"/>
                <w:color w:val="000000"/>
                <w:sz w:val="21"/>
                <w:szCs w:val="18"/>
                <w:highlight w:val="none"/>
                <w:u w:val="none"/>
              </w:rPr>
              <w:t>m</w:t>
            </w:r>
            <w:r>
              <w:rPr>
                <w:rFonts w:ascii="Times New Roman" w:hAnsi="Times New Roman" w:cs="Times New Roman"/>
                <w:b w:val="0"/>
                <w:bCs w:val="0"/>
                <w:color w:val="000000"/>
                <w:sz w:val="21"/>
                <w:szCs w:val="18"/>
                <w:highlight w:val="none"/>
                <w:u w:val="none"/>
                <w:vertAlign w:val="superscript"/>
                <w:lang w:val="en-US"/>
              </w:rPr>
              <w:t>3</w:t>
            </w:r>
            <w:r>
              <w:rPr>
                <w:rFonts w:ascii="Times New Roman" w:hAnsi="Times New Roman" w:cs="Times New Roman"/>
                <w:b w:val="0"/>
                <w:bCs w:val="0"/>
                <w:color w:val="000000"/>
                <w:sz w:val="21"/>
                <w:szCs w:val="18"/>
                <w:highlight w:val="none"/>
                <w:u w:val="none"/>
              </w:rPr>
              <w:t>/d</w:t>
            </w:r>
          </w:p>
        </w:tc>
        <w:tc>
          <w:tcPr>
            <w:tcW w:w="1033" w:type="pct"/>
            <w:tcBorders>
              <w:tl2br w:val="nil"/>
              <w:tr2bl w:val="nil"/>
            </w:tcBorders>
            <w:noWrap w:val="0"/>
            <w:vAlign w:val="center"/>
          </w:tcPr>
          <w:p w14:paraId="1A5C1BF1">
            <w:pPr>
              <w:pStyle w:val="197"/>
              <w:tabs>
                <w:tab w:val="left" w:pos="1155"/>
              </w:tabs>
              <w:autoSpaceDE/>
              <w:autoSpaceDN/>
              <w:spacing w:before="0" w:after="0" w:line="240" w:lineRule="auto"/>
              <w:ind w:left="0" w:firstLine="0"/>
              <w:jc w:val="center"/>
              <w:rPr>
                <w:rFonts w:hint="default" w:ascii="Times New Roman" w:hAnsi="Times New Roman" w:eastAsia="宋体" w:cs="Times New Roman"/>
                <w:b w:val="0"/>
                <w:bCs w:val="0"/>
                <w:color w:val="000000"/>
                <w:sz w:val="21"/>
                <w:szCs w:val="18"/>
                <w:highlight w:val="none"/>
                <w:u w:val="none"/>
                <w:lang w:val="en-US" w:eastAsia="zh-CN"/>
              </w:rPr>
            </w:pPr>
            <w:r>
              <w:rPr>
                <w:rFonts w:hint="eastAsia" w:ascii="Times New Roman" w:hAnsi="Times New Roman" w:cs="Times New Roman"/>
                <w:b w:val="0"/>
                <w:bCs w:val="0"/>
                <w:color w:val="000000"/>
                <w:sz w:val="21"/>
                <w:szCs w:val="18"/>
                <w:highlight w:val="none"/>
                <w:u w:val="none"/>
                <w:lang w:val="en-US" w:eastAsia="zh-CN"/>
              </w:rPr>
              <w:t>甲磺酸钠</w:t>
            </w:r>
          </w:p>
        </w:tc>
        <w:tc>
          <w:tcPr>
            <w:tcW w:w="1239" w:type="pct"/>
            <w:tcBorders>
              <w:tl2br w:val="nil"/>
              <w:tr2bl w:val="nil"/>
            </w:tcBorders>
            <w:noWrap w:val="0"/>
            <w:vAlign w:val="center"/>
          </w:tcPr>
          <w:p w14:paraId="0C2C89AD">
            <w:pPr>
              <w:pStyle w:val="197"/>
              <w:tabs>
                <w:tab w:val="left" w:pos="1155"/>
              </w:tabs>
              <w:autoSpaceDE/>
              <w:autoSpaceDN/>
              <w:spacing w:before="0" w:after="0" w:line="240" w:lineRule="auto"/>
              <w:ind w:left="0" w:firstLine="0"/>
              <w:jc w:val="center"/>
              <w:rPr>
                <w:rFonts w:hint="default" w:ascii="Times New Roman" w:hAnsi="Times New Roman" w:eastAsia="宋体" w:cs="Times New Roman"/>
                <w:b w:val="0"/>
                <w:bCs w:val="0"/>
                <w:color w:val="000000"/>
                <w:sz w:val="21"/>
                <w:szCs w:val="18"/>
                <w:highlight w:val="none"/>
                <w:u w:val="none"/>
                <w:lang w:val="en-US" w:eastAsia="zh-CN"/>
              </w:rPr>
            </w:pPr>
            <w:r>
              <w:rPr>
                <w:rFonts w:hint="eastAsia" w:ascii="Times New Roman" w:hAnsi="Times New Roman" w:cs="Times New Roman"/>
                <w:b w:val="0"/>
                <w:bCs w:val="0"/>
                <w:color w:val="000000"/>
                <w:sz w:val="21"/>
                <w:szCs w:val="18"/>
                <w:highlight w:val="none"/>
                <w:u w:val="none"/>
                <w:lang w:val="en-US" w:eastAsia="zh-CN"/>
              </w:rPr>
              <w:t>119</w:t>
            </w:r>
            <w:r>
              <w:rPr>
                <w:rFonts w:hint="eastAsia" w:cs="Times New Roman"/>
                <w:b w:val="0"/>
                <w:bCs w:val="0"/>
                <w:color w:val="000000"/>
                <w:sz w:val="21"/>
                <w:szCs w:val="18"/>
                <w:highlight w:val="none"/>
                <w:u w:val="none"/>
                <w:lang w:val="en-US" w:eastAsia="zh-CN"/>
              </w:rPr>
              <w:t>0</w:t>
            </w:r>
          </w:p>
        </w:tc>
        <w:tc>
          <w:tcPr>
            <w:tcW w:w="1144" w:type="pct"/>
            <w:tcBorders>
              <w:tl2br w:val="nil"/>
              <w:tr2bl w:val="nil"/>
            </w:tcBorders>
            <w:noWrap w:val="0"/>
            <w:vAlign w:val="center"/>
          </w:tcPr>
          <w:p w14:paraId="0EE4AB68">
            <w:pPr>
              <w:pStyle w:val="197"/>
              <w:tabs>
                <w:tab w:val="left" w:pos="1155"/>
              </w:tabs>
              <w:autoSpaceDE/>
              <w:autoSpaceDN/>
              <w:spacing w:before="0" w:after="0" w:line="240" w:lineRule="auto"/>
              <w:ind w:left="0" w:firstLine="0"/>
              <w:jc w:val="center"/>
              <w:rPr>
                <w:rFonts w:hint="default" w:ascii="Times New Roman" w:hAnsi="Times New Roman" w:eastAsia="宋体" w:cs="Times New Roman"/>
                <w:b w:val="0"/>
                <w:bCs w:val="0"/>
                <w:color w:val="000000"/>
                <w:sz w:val="21"/>
                <w:szCs w:val="18"/>
                <w:highlight w:val="none"/>
                <w:u w:val="none"/>
                <w:lang w:val="en-US" w:eastAsia="zh-CN"/>
              </w:rPr>
            </w:pPr>
            <w:r>
              <w:rPr>
                <w:rFonts w:hint="eastAsia" w:ascii="Times New Roman" w:hAnsi="Times New Roman" w:eastAsia="宋体" w:cs="Times New Roman"/>
                <w:b w:val="0"/>
                <w:bCs w:val="0"/>
                <w:color w:val="000000"/>
                <w:sz w:val="21"/>
                <w:szCs w:val="18"/>
                <w:highlight w:val="none"/>
                <w:u w:val="none"/>
                <w:lang w:val="en-US" w:eastAsia="zh-CN"/>
              </w:rPr>
              <w:t>714</w:t>
            </w:r>
          </w:p>
        </w:tc>
      </w:tr>
    </w:tbl>
    <w:p w14:paraId="20C97285">
      <w:pPr>
        <w:spacing w:line="360" w:lineRule="auto"/>
        <w:ind w:firstLine="480" w:firstLineChars="200"/>
        <w:rPr>
          <w:rFonts w:hint="default" w:ascii="Times New Roman" w:hAnsi="Times New Roman" w:cs="Times New Roman"/>
          <w:b w:val="0"/>
          <w:bCs w:val="0"/>
          <w:sz w:val="24"/>
          <w:u w:val="none"/>
        </w:rPr>
      </w:pPr>
      <w:r>
        <w:rPr>
          <w:rFonts w:hint="eastAsia"/>
          <w:b w:val="0"/>
          <w:bCs w:val="0"/>
          <w:sz w:val="24"/>
          <w:u w:val="none"/>
        </w:rPr>
        <w:t>预测中把渗漏的量当成不被包气带吸附和降解而全部进入含水层计算，不考虑</w:t>
      </w:r>
      <w:r>
        <w:rPr>
          <w:rFonts w:hint="default" w:ascii="Times New Roman" w:hAnsi="Times New Roman" w:cs="Times New Roman"/>
          <w:b w:val="0"/>
          <w:bCs w:val="0"/>
          <w:sz w:val="24"/>
          <w:u w:val="none"/>
        </w:rPr>
        <w:t>渗透本身造成的时间滞后，预测对地下水的影响。</w:t>
      </w:r>
    </w:p>
    <w:p w14:paraId="163A467F">
      <w:pPr>
        <w:spacing w:line="360" w:lineRule="auto"/>
        <w:ind w:firstLine="480" w:firstLineChars="200"/>
        <w:rPr>
          <w:rFonts w:hint="default" w:ascii="Times New Roman" w:hAnsi="Times New Roman" w:cs="Times New Roman"/>
          <w:b w:val="0"/>
          <w:bCs w:val="0"/>
          <w:sz w:val="24"/>
          <w:u w:val="none"/>
        </w:rPr>
      </w:pPr>
      <w:r>
        <w:rPr>
          <w:rFonts w:hint="default" w:ascii="Times New Roman" w:hAnsi="Times New Roman" w:eastAsia="微软雅黑" w:cs="Times New Roman"/>
          <w:b w:val="0"/>
          <w:bCs w:val="0"/>
          <w:sz w:val="24"/>
          <w:u w:val="none"/>
        </w:rPr>
        <w:t>Ⅲ</w:t>
      </w:r>
      <w:r>
        <w:rPr>
          <w:rFonts w:hint="default" w:ascii="Times New Roman" w:hAnsi="Times New Roman" w:eastAsia="微软雅黑" w:cs="Times New Roman"/>
          <w:b w:val="0"/>
          <w:bCs w:val="0"/>
          <w:sz w:val="24"/>
          <w:u w:val="none"/>
          <w:lang w:val="en-US" w:eastAsia="zh-CN"/>
        </w:rPr>
        <w:t>.</w:t>
      </w:r>
      <w:r>
        <w:rPr>
          <w:rFonts w:hint="default" w:ascii="Times New Roman" w:hAnsi="Times New Roman" w:cs="Times New Roman"/>
          <w:b w:val="0"/>
          <w:bCs w:val="0"/>
          <w:sz w:val="24"/>
          <w:u w:val="none"/>
        </w:rPr>
        <w:t>有效孔隙度ne取经验值0.35；</w:t>
      </w:r>
    </w:p>
    <w:p w14:paraId="4F605BD8">
      <w:pPr>
        <w:spacing w:line="360" w:lineRule="auto"/>
        <w:ind w:firstLine="480" w:firstLineChars="200"/>
        <w:rPr>
          <w:rFonts w:hint="default" w:ascii="Times New Roman" w:hAnsi="Times New Roman" w:cs="Times New Roman"/>
          <w:b w:val="0"/>
          <w:bCs w:val="0"/>
          <w:sz w:val="24"/>
          <w:u w:val="none"/>
        </w:rPr>
      </w:pPr>
      <w:r>
        <w:rPr>
          <w:rFonts w:hint="default" w:ascii="Times New Roman" w:hAnsi="Times New Roman" w:eastAsia="微软雅黑" w:cs="Times New Roman"/>
          <w:b w:val="0"/>
          <w:bCs w:val="0"/>
          <w:sz w:val="24"/>
          <w:u w:val="none"/>
        </w:rPr>
        <w:t>Ⅳ</w:t>
      </w:r>
      <w:r>
        <w:rPr>
          <w:rFonts w:hint="default" w:ascii="Times New Roman" w:hAnsi="Times New Roman" w:eastAsia="微软雅黑" w:cs="Times New Roman"/>
          <w:b w:val="0"/>
          <w:bCs w:val="0"/>
          <w:sz w:val="24"/>
          <w:u w:val="none"/>
          <w:lang w:val="en-US" w:eastAsia="zh-CN"/>
        </w:rPr>
        <w:t>.</w:t>
      </w:r>
      <w:r>
        <w:rPr>
          <w:rFonts w:hint="default" w:ascii="Times New Roman" w:hAnsi="Times New Roman" w:cs="Times New Roman"/>
          <w:b w:val="0"/>
          <w:bCs w:val="0"/>
          <w:sz w:val="24"/>
          <w:u w:val="none"/>
        </w:rPr>
        <w:t>水流速度u；根据调查，本区域潜水含水层渗透系数K为6.72m/d，水力坡度I≈6‰，根据达西公式，地下水的渗透流速V=KI=6.72m/d×0.006=0.04m/d，平均实际流速u=V/n=0.04/0.35=0.11m/d；</w:t>
      </w:r>
    </w:p>
    <w:p w14:paraId="74BD0486">
      <w:pPr>
        <w:spacing w:line="360" w:lineRule="auto"/>
        <w:ind w:firstLine="480" w:firstLineChars="200"/>
        <w:rPr>
          <w:rFonts w:hint="default" w:ascii="Times New Roman" w:hAnsi="Times New Roman" w:cs="Times New Roman"/>
          <w:b w:val="0"/>
          <w:bCs w:val="0"/>
          <w:sz w:val="24"/>
          <w:u w:val="none"/>
        </w:rPr>
      </w:pPr>
      <w:r>
        <w:rPr>
          <w:rFonts w:hint="default" w:ascii="Times New Roman" w:hAnsi="Times New Roman" w:eastAsia="微软雅黑" w:cs="Times New Roman"/>
          <w:b w:val="0"/>
          <w:bCs w:val="0"/>
          <w:sz w:val="24"/>
          <w:u w:val="none"/>
        </w:rPr>
        <w:t>Ⅴ</w:t>
      </w:r>
      <w:r>
        <w:rPr>
          <w:rFonts w:hint="default" w:ascii="Times New Roman" w:hAnsi="Times New Roman" w:eastAsia="微软雅黑" w:cs="Times New Roman"/>
          <w:b w:val="0"/>
          <w:bCs w:val="0"/>
          <w:sz w:val="24"/>
          <w:u w:val="none"/>
          <w:lang w:val="en-US" w:eastAsia="zh-CN"/>
        </w:rPr>
        <w:t>.</w:t>
      </w:r>
      <w:r>
        <w:rPr>
          <w:rFonts w:hint="default" w:ascii="Times New Roman" w:hAnsi="Times New Roman" w:cs="Times New Roman"/>
          <w:b w:val="0"/>
          <w:bCs w:val="0"/>
          <w:sz w:val="24"/>
          <w:u w:val="none"/>
        </w:rPr>
        <w:t>纵向弥散系数DL；</w:t>
      </w:r>
    </w:p>
    <w:p w14:paraId="72317CB6">
      <w:pPr>
        <w:spacing w:line="360" w:lineRule="auto"/>
        <w:ind w:firstLine="480" w:firstLineChars="200"/>
        <w:rPr>
          <w:rFonts w:hint="default" w:ascii="Times New Roman" w:hAnsi="Times New Roman" w:cs="Times New Roman"/>
          <w:b w:val="0"/>
          <w:bCs w:val="0"/>
          <w:sz w:val="24"/>
          <w:u w:val="none"/>
        </w:rPr>
      </w:pPr>
      <w:r>
        <w:rPr>
          <w:rFonts w:hint="default" w:ascii="Times New Roman" w:hAnsi="Times New Roman" w:cs="Times New Roman"/>
          <w:b w:val="0"/>
          <w:bCs w:val="0"/>
          <w:sz w:val="24"/>
          <w:u w:val="none"/>
        </w:rPr>
        <w:t>一般弥散试验的结果受试验场地的尺度效应影响明显，其结果应用受到很大的局限性，因此，本次预测过程中所用的弥散度根据前人有关弥散度尺度效应的研究成果来确定。参考GelharL.W（1992年）在“A critical review of data on field-scaledispersion in aquifer”一文中对59个不同尺度的地区弥散度的研究成果，以及成建梅（2002年）在“考虑可信度的弥散尺度效应分析”一文中根据118个弥散资料对纵向弥散度与试验尺度数据回归分析所得到的回归方程。孔隙介质的二维数值模型关系见下图。结合区域水文地质条件特征，确定含水层纵向弥散度应介于10～100之间，本次弥散度参数取10。</w:t>
      </w:r>
    </w:p>
    <w:p w14:paraId="51A96F79">
      <w:pPr>
        <w:spacing w:line="240" w:lineRule="auto"/>
        <w:jc w:val="center"/>
        <w:rPr>
          <w:rFonts w:hint="default" w:ascii="Times New Roman" w:hAnsi="Times New Roman" w:cs="Times New Roman"/>
          <w:b/>
          <w:bCs/>
          <w:sz w:val="24"/>
          <w:u w:val="none"/>
        </w:rPr>
      </w:pPr>
      <w:r>
        <w:rPr>
          <w:rFonts w:hint="default" w:ascii="Times New Roman" w:hAnsi="Times New Roman" w:cs="Times New Roman"/>
          <w:b/>
          <w:bCs/>
          <w:color w:val="000000"/>
          <w:u w:val="none"/>
        </w:rPr>
        <w:drawing>
          <wp:inline distT="0" distB="0" distL="114300" distR="114300">
            <wp:extent cx="4431665" cy="2168525"/>
            <wp:effectExtent l="0" t="0" r="3175" b="10795"/>
            <wp:docPr id="3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9"/>
                    <pic:cNvPicPr>
                      <a:picLocks noChangeAspect="1"/>
                    </pic:cNvPicPr>
                  </pic:nvPicPr>
                  <pic:blipFill>
                    <a:blip r:embed="rId57"/>
                    <a:stretch>
                      <a:fillRect/>
                    </a:stretch>
                  </pic:blipFill>
                  <pic:spPr>
                    <a:xfrm>
                      <a:off x="0" y="0"/>
                      <a:ext cx="4431665" cy="2168525"/>
                    </a:xfrm>
                    <a:prstGeom prst="rect">
                      <a:avLst/>
                    </a:prstGeom>
                    <a:noFill/>
                    <a:ln>
                      <a:noFill/>
                    </a:ln>
                  </pic:spPr>
                </pic:pic>
              </a:graphicData>
            </a:graphic>
          </wp:inline>
        </w:drawing>
      </w:r>
    </w:p>
    <w:p w14:paraId="797FBAE1">
      <w:pPr>
        <w:spacing w:line="360" w:lineRule="auto"/>
        <w:jc w:val="center"/>
        <w:rPr>
          <w:rFonts w:hint="default" w:ascii="Times New Roman" w:hAnsi="Times New Roman" w:cs="Times New Roman"/>
          <w:b/>
          <w:bCs/>
          <w:sz w:val="24"/>
          <w:u w:val="none"/>
        </w:rPr>
      </w:pPr>
      <w:r>
        <w:rPr>
          <w:rFonts w:hint="default" w:ascii="Times New Roman" w:hAnsi="Times New Roman" w:cs="Times New Roman"/>
          <w:b/>
          <w:bCs/>
          <w:sz w:val="24"/>
          <w:u w:val="none"/>
        </w:rPr>
        <w:t>图5</w:t>
      </w:r>
      <w:r>
        <w:rPr>
          <w:rFonts w:hint="eastAsia" w:ascii="Times New Roman" w:hAnsi="Times New Roman" w:cs="Times New Roman"/>
          <w:b/>
          <w:bCs/>
          <w:sz w:val="24"/>
          <w:u w:val="none"/>
          <w:lang w:val="en-US" w:eastAsia="zh-CN"/>
        </w:rPr>
        <w:t xml:space="preserve">.2-5 </w:t>
      </w:r>
      <w:r>
        <w:rPr>
          <w:rFonts w:hint="default" w:ascii="Times New Roman" w:hAnsi="Times New Roman" w:cs="Times New Roman"/>
          <w:b/>
          <w:bCs/>
          <w:sz w:val="24"/>
          <w:u w:val="none"/>
        </w:rPr>
        <w:t>孔隙介质二维数值模型图</w:t>
      </w:r>
    </w:p>
    <w:p w14:paraId="2A044103">
      <w:pPr>
        <w:spacing w:line="360" w:lineRule="auto"/>
        <w:ind w:firstLine="480" w:firstLineChars="200"/>
        <w:rPr>
          <w:rFonts w:hint="default" w:ascii="Times New Roman" w:hAnsi="Times New Roman" w:cs="Times New Roman"/>
          <w:b w:val="0"/>
          <w:bCs w:val="0"/>
          <w:sz w:val="24"/>
          <w:u w:val="none"/>
        </w:rPr>
      </w:pPr>
      <w:r>
        <w:rPr>
          <w:rFonts w:hint="default" w:ascii="Times New Roman" w:hAnsi="Times New Roman" w:cs="Times New Roman"/>
          <w:b w:val="0"/>
          <w:bCs w:val="0"/>
          <w:sz w:val="24"/>
          <w:u w:val="none"/>
        </w:rPr>
        <w:t>模型计算中纵向弥散度选用10m。由此计算项目区含水层中的纵向弥散系数D</w:t>
      </w:r>
      <w:r>
        <w:rPr>
          <w:rFonts w:hint="default" w:ascii="Times New Roman" w:hAnsi="Times New Roman" w:cs="Times New Roman"/>
          <w:b w:val="0"/>
          <w:bCs w:val="0"/>
          <w:sz w:val="24"/>
          <w:u w:val="none"/>
          <w:vertAlign w:val="subscript"/>
        </w:rPr>
        <w:t>L</w:t>
      </w:r>
      <w:r>
        <w:rPr>
          <w:rFonts w:hint="default" w:ascii="Times New Roman" w:hAnsi="Times New Roman" w:cs="Times New Roman"/>
          <w:b w:val="0"/>
          <w:bCs w:val="0"/>
          <w:sz w:val="24"/>
          <w:u w:val="none"/>
        </w:rPr>
        <w:t>=α</w:t>
      </w:r>
      <w:r>
        <w:rPr>
          <w:rFonts w:hint="default" w:ascii="Times New Roman" w:hAnsi="Times New Roman" w:cs="Times New Roman"/>
          <w:b w:val="0"/>
          <w:bCs w:val="0"/>
          <w:sz w:val="24"/>
          <w:u w:val="none"/>
          <w:vertAlign w:val="subscript"/>
        </w:rPr>
        <w:t>L</w:t>
      </w:r>
      <w:r>
        <w:rPr>
          <w:rFonts w:hint="default" w:ascii="Times New Roman" w:hAnsi="Times New Roman" w:cs="Times New Roman"/>
          <w:b w:val="0"/>
          <w:bCs w:val="0"/>
          <w:sz w:val="24"/>
          <w:u w:val="none"/>
        </w:rPr>
        <w:t>×u=10×0.11m/d=1.1（m</w:t>
      </w:r>
      <w:r>
        <w:rPr>
          <w:rFonts w:hint="default" w:ascii="Times New Roman" w:hAnsi="Times New Roman" w:cs="Times New Roman"/>
          <w:b w:val="0"/>
          <w:bCs w:val="0"/>
          <w:sz w:val="24"/>
          <w:u w:val="none"/>
          <w:vertAlign w:val="superscript"/>
        </w:rPr>
        <w:t>2</w:t>
      </w:r>
      <w:r>
        <w:rPr>
          <w:rFonts w:hint="default" w:ascii="Times New Roman" w:hAnsi="Times New Roman" w:cs="Times New Roman"/>
          <w:b w:val="0"/>
          <w:bCs w:val="0"/>
          <w:sz w:val="24"/>
          <w:u w:val="none"/>
        </w:rPr>
        <w:t>/d）；</w:t>
      </w:r>
    </w:p>
    <w:p w14:paraId="67F5F5E6">
      <w:pPr>
        <w:spacing w:line="360" w:lineRule="auto"/>
        <w:ind w:firstLine="480" w:firstLineChars="200"/>
        <w:rPr>
          <w:rFonts w:hint="default" w:ascii="Times New Roman" w:hAnsi="Times New Roman" w:cs="Times New Roman"/>
          <w:b w:val="0"/>
          <w:bCs w:val="0"/>
          <w:sz w:val="24"/>
          <w:u w:val="none"/>
        </w:rPr>
      </w:pPr>
      <w:r>
        <w:rPr>
          <w:rFonts w:hint="default" w:ascii="Times New Roman" w:hAnsi="Times New Roman" w:eastAsia="微软雅黑" w:cs="Times New Roman"/>
          <w:b w:val="0"/>
          <w:bCs w:val="0"/>
          <w:sz w:val="24"/>
          <w:u w:val="none"/>
        </w:rPr>
        <w:t>Ⅵ</w:t>
      </w:r>
      <w:r>
        <w:rPr>
          <w:rFonts w:hint="default" w:ascii="Times New Roman" w:hAnsi="Times New Roman" w:eastAsia="微软雅黑" w:cs="Times New Roman"/>
          <w:b w:val="0"/>
          <w:bCs w:val="0"/>
          <w:sz w:val="24"/>
          <w:u w:val="none"/>
          <w:lang w:val="en-US" w:eastAsia="zh-CN"/>
        </w:rPr>
        <w:t>.</w:t>
      </w:r>
      <w:r>
        <w:rPr>
          <w:rFonts w:hint="default" w:ascii="Times New Roman" w:hAnsi="Times New Roman" w:cs="Times New Roman"/>
          <w:b w:val="0"/>
          <w:bCs w:val="0"/>
          <w:sz w:val="24"/>
          <w:u w:val="none"/>
        </w:rPr>
        <w:t>横向y方向的弥散系数DT：根据经验一般α</w:t>
      </w:r>
      <w:r>
        <w:rPr>
          <w:rFonts w:hint="default" w:ascii="Times New Roman" w:hAnsi="Times New Roman" w:cs="Times New Roman"/>
          <w:b w:val="0"/>
          <w:bCs w:val="0"/>
          <w:sz w:val="24"/>
          <w:u w:val="none"/>
          <w:vertAlign w:val="subscript"/>
        </w:rPr>
        <w:t>T</w:t>
      </w:r>
      <w:r>
        <w:rPr>
          <w:rFonts w:hint="default" w:ascii="Times New Roman" w:hAnsi="Times New Roman" w:cs="Times New Roman"/>
          <w:b w:val="0"/>
          <w:bCs w:val="0"/>
          <w:sz w:val="24"/>
          <w:u w:val="none"/>
        </w:rPr>
        <w:t>/α</w:t>
      </w:r>
      <w:r>
        <w:rPr>
          <w:rFonts w:hint="default" w:ascii="Times New Roman" w:hAnsi="Times New Roman" w:cs="Times New Roman"/>
          <w:b w:val="0"/>
          <w:bCs w:val="0"/>
          <w:sz w:val="24"/>
          <w:u w:val="none"/>
          <w:vertAlign w:val="subscript"/>
        </w:rPr>
        <w:t>L</w:t>
      </w:r>
      <w:r>
        <w:rPr>
          <w:rFonts w:hint="default" w:ascii="Times New Roman" w:hAnsi="Times New Roman" w:cs="Times New Roman"/>
          <w:b w:val="0"/>
          <w:bCs w:val="0"/>
          <w:sz w:val="24"/>
          <w:u w:val="none"/>
        </w:rPr>
        <w:t>=1，因此α</w:t>
      </w:r>
      <w:r>
        <w:rPr>
          <w:rFonts w:hint="default" w:ascii="Times New Roman" w:hAnsi="Times New Roman" w:cs="Times New Roman"/>
          <w:b w:val="0"/>
          <w:bCs w:val="0"/>
          <w:sz w:val="24"/>
          <w:u w:val="none"/>
          <w:vertAlign w:val="subscript"/>
        </w:rPr>
        <w:t>T</w:t>
      </w:r>
      <w:r>
        <w:rPr>
          <w:rFonts w:hint="default" w:ascii="Times New Roman" w:hAnsi="Times New Roman" w:cs="Times New Roman"/>
          <w:b w:val="0"/>
          <w:bCs w:val="0"/>
          <w:sz w:val="24"/>
          <w:u w:val="none"/>
        </w:rPr>
        <w:t>=0.1×α</w:t>
      </w:r>
      <w:r>
        <w:rPr>
          <w:rFonts w:hint="default" w:ascii="Times New Roman" w:hAnsi="Times New Roman" w:cs="Times New Roman"/>
          <w:b w:val="0"/>
          <w:bCs w:val="0"/>
          <w:sz w:val="24"/>
          <w:u w:val="none"/>
          <w:vertAlign w:val="subscript"/>
        </w:rPr>
        <w:t>L</w:t>
      </w:r>
      <w:r>
        <w:rPr>
          <w:rFonts w:hint="default" w:ascii="Times New Roman" w:hAnsi="Times New Roman" w:cs="Times New Roman"/>
          <w:b w:val="0"/>
          <w:bCs w:val="0"/>
          <w:sz w:val="24"/>
          <w:u w:val="none"/>
        </w:rPr>
        <w:t>=1m，则D</w:t>
      </w:r>
      <w:r>
        <w:rPr>
          <w:rFonts w:hint="default" w:ascii="Times New Roman" w:hAnsi="Times New Roman" w:cs="Times New Roman"/>
          <w:b w:val="0"/>
          <w:bCs w:val="0"/>
          <w:sz w:val="24"/>
          <w:u w:val="none"/>
          <w:vertAlign w:val="subscript"/>
        </w:rPr>
        <w:t>T</w:t>
      </w:r>
      <w:r>
        <w:rPr>
          <w:rFonts w:hint="default" w:ascii="Times New Roman" w:hAnsi="Times New Roman" w:cs="Times New Roman"/>
          <w:b w:val="0"/>
          <w:bCs w:val="0"/>
          <w:sz w:val="24"/>
          <w:u w:val="none"/>
        </w:rPr>
        <w:t>=0.11（m</w:t>
      </w:r>
      <w:r>
        <w:rPr>
          <w:rFonts w:hint="default" w:ascii="Times New Roman" w:hAnsi="Times New Roman" w:cs="Times New Roman"/>
          <w:b w:val="0"/>
          <w:bCs w:val="0"/>
          <w:sz w:val="24"/>
          <w:u w:val="none"/>
          <w:vertAlign w:val="superscript"/>
        </w:rPr>
        <w:t>2</w:t>
      </w:r>
      <w:r>
        <w:rPr>
          <w:rFonts w:hint="default" w:ascii="Times New Roman" w:hAnsi="Times New Roman" w:cs="Times New Roman"/>
          <w:b w:val="0"/>
          <w:bCs w:val="0"/>
          <w:sz w:val="24"/>
          <w:u w:val="none"/>
        </w:rPr>
        <w:t>/d）。</w:t>
      </w:r>
    </w:p>
    <w:p w14:paraId="184C1876">
      <w:pPr>
        <w:spacing w:line="360" w:lineRule="auto"/>
        <w:ind w:firstLine="480" w:firstLineChars="200"/>
        <w:rPr>
          <w:rFonts w:hint="eastAsia"/>
          <w:b w:val="0"/>
          <w:bCs w:val="0"/>
          <w:sz w:val="24"/>
          <w:u w:val="none"/>
        </w:rPr>
      </w:pPr>
      <w:r>
        <w:rPr>
          <w:rFonts w:hint="default" w:ascii="Times New Roman" w:hAnsi="Times New Roman" w:cs="Times New Roman"/>
          <w:b w:val="0"/>
          <w:bCs w:val="0"/>
          <w:sz w:val="24"/>
          <w:u w:val="none"/>
        </w:rPr>
        <w:t>本次评价选用的水文地质参数均通过查阅区域已有的数据，各参数取值见表</w:t>
      </w:r>
      <w:r>
        <w:rPr>
          <w:rFonts w:hint="eastAsia"/>
          <w:b w:val="0"/>
          <w:bCs w:val="0"/>
          <w:sz w:val="24"/>
          <w:u w:val="none"/>
        </w:rPr>
        <w:t>5</w:t>
      </w:r>
      <w:r>
        <w:rPr>
          <w:rFonts w:hint="eastAsia"/>
          <w:b w:val="0"/>
          <w:bCs w:val="0"/>
          <w:sz w:val="24"/>
          <w:u w:val="none"/>
          <w:lang w:val="en-US" w:eastAsia="zh-CN"/>
        </w:rPr>
        <w:t>.2-21</w:t>
      </w:r>
      <w:r>
        <w:rPr>
          <w:rFonts w:hint="eastAsia"/>
          <w:b w:val="0"/>
          <w:bCs w:val="0"/>
          <w:sz w:val="24"/>
          <w:u w:val="none"/>
        </w:rPr>
        <w:t>。</w:t>
      </w:r>
    </w:p>
    <w:p w14:paraId="68984BFA">
      <w:pPr>
        <w:jc w:val="center"/>
        <w:rPr>
          <w:b/>
          <w:bCs/>
          <w:sz w:val="24"/>
          <w:u w:val="none"/>
        </w:rPr>
      </w:pPr>
      <w:r>
        <w:rPr>
          <w:b/>
          <w:bCs/>
          <w:sz w:val="24"/>
          <w:u w:val="none"/>
        </w:rPr>
        <w:t>表5</w:t>
      </w:r>
      <w:r>
        <w:rPr>
          <w:rFonts w:hint="eastAsia"/>
          <w:b/>
          <w:bCs/>
          <w:sz w:val="24"/>
          <w:u w:val="none"/>
          <w:lang w:val="en-US" w:eastAsia="zh-CN"/>
        </w:rPr>
        <w:t>.2-21</w:t>
      </w:r>
      <w:r>
        <w:rPr>
          <w:b/>
          <w:bCs/>
          <w:sz w:val="24"/>
          <w:u w:val="none"/>
        </w:rPr>
        <w:t xml:space="preserve"> </w:t>
      </w:r>
      <w:r>
        <w:rPr>
          <w:rFonts w:hint="eastAsia"/>
          <w:b/>
          <w:bCs/>
          <w:sz w:val="24"/>
          <w:u w:val="none"/>
        </w:rPr>
        <w:t>地下水预测参数取值表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676"/>
        <w:gridCol w:w="1193"/>
        <w:gridCol w:w="1585"/>
        <w:gridCol w:w="1105"/>
        <w:gridCol w:w="1127"/>
        <w:gridCol w:w="1321"/>
        <w:gridCol w:w="1293"/>
      </w:tblGrid>
      <w:tr w14:paraId="6C1B006C">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PrEx>
        <w:trPr>
          <w:trHeight w:val="23" w:hRule="atLeast"/>
          <w:jc w:val="center"/>
        </w:trPr>
        <w:tc>
          <w:tcPr>
            <w:tcW w:w="407" w:type="pct"/>
            <w:tcBorders>
              <w:tl2br w:val="nil"/>
              <w:tr2bl w:val="nil"/>
            </w:tcBorders>
            <w:noWrap w:val="0"/>
            <w:vAlign w:val="center"/>
          </w:tcPr>
          <w:p w14:paraId="7EE4BBDF">
            <w:pPr>
              <w:pStyle w:val="197"/>
              <w:tabs>
                <w:tab w:val="left" w:pos="1155"/>
              </w:tabs>
              <w:autoSpaceDE/>
              <w:autoSpaceDN/>
              <w:spacing w:before="0" w:after="0" w:line="240" w:lineRule="auto"/>
              <w:ind w:left="0" w:leftChars="0" w:right="0" w:rightChars="0" w:firstLine="0" w:firstLineChars="0"/>
              <w:jc w:val="center"/>
              <w:rPr>
                <w:rFonts w:ascii="Times New Roman" w:hAnsi="Times New Roman" w:cs="Times New Roman"/>
                <w:b/>
                <w:bCs/>
                <w:sz w:val="21"/>
                <w:szCs w:val="21"/>
                <w:u w:val="none"/>
                <w:lang w:val="en-US"/>
              </w:rPr>
            </w:pPr>
            <w:r>
              <w:rPr>
                <w:rFonts w:ascii="Times New Roman" w:hAnsi="Times New Roman" w:cs="Times New Roman"/>
                <w:b/>
                <w:bCs/>
                <w:sz w:val="21"/>
                <w:szCs w:val="21"/>
                <w:u w:val="none"/>
                <w:lang w:val="en-US"/>
              </w:rPr>
              <w:t>参数名称</w:t>
            </w:r>
          </w:p>
        </w:tc>
        <w:tc>
          <w:tcPr>
            <w:tcW w:w="718" w:type="pct"/>
            <w:tcBorders>
              <w:tl2br w:val="nil"/>
              <w:tr2bl w:val="nil"/>
            </w:tcBorders>
            <w:noWrap w:val="0"/>
            <w:vAlign w:val="center"/>
          </w:tcPr>
          <w:p w14:paraId="19AFF37D">
            <w:pPr>
              <w:pStyle w:val="218"/>
              <w:widowControl w:val="0"/>
              <w:autoSpaceDE/>
              <w:autoSpaceDN/>
              <w:spacing w:before="0" w:after="0" w:line="240" w:lineRule="auto"/>
              <w:ind w:left="0" w:leftChars="0" w:right="0" w:rightChars="0" w:firstLine="0" w:firstLineChars="0"/>
              <w:jc w:val="center"/>
              <w:rPr>
                <w:b/>
                <w:bCs/>
                <w:color w:val="auto"/>
                <w:sz w:val="21"/>
                <w:szCs w:val="21"/>
                <w:u w:val="none"/>
              </w:rPr>
            </w:pPr>
            <w:r>
              <w:rPr>
                <w:b/>
                <w:bCs/>
                <w:color w:val="auto"/>
                <w:sz w:val="21"/>
                <w:szCs w:val="21"/>
                <w:u w:val="none"/>
              </w:rPr>
              <w:t>含水层厚度（M）</w:t>
            </w:r>
          </w:p>
        </w:tc>
        <w:tc>
          <w:tcPr>
            <w:tcW w:w="954" w:type="pct"/>
            <w:tcBorders>
              <w:tl2br w:val="nil"/>
              <w:tr2bl w:val="nil"/>
            </w:tcBorders>
            <w:noWrap w:val="0"/>
            <w:vAlign w:val="center"/>
          </w:tcPr>
          <w:p w14:paraId="4C7E9BE3">
            <w:pPr>
              <w:pStyle w:val="218"/>
              <w:widowControl w:val="0"/>
              <w:autoSpaceDE/>
              <w:autoSpaceDN/>
              <w:spacing w:before="0" w:after="0" w:line="240" w:lineRule="auto"/>
              <w:ind w:left="0" w:leftChars="0" w:right="0" w:rightChars="0" w:firstLine="0" w:firstLineChars="0"/>
              <w:jc w:val="center"/>
              <w:rPr>
                <w:b/>
                <w:bCs/>
                <w:color w:val="auto"/>
                <w:sz w:val="21"/>
                <w:szCs w:val="21"/>
                <w:u w:val="none"/>
              </w:rPr>
            </w:pPr>
            <w:r>
              <w:rPr>
                <w:b/>
                <w:bCs/>
                <w:color w:val="auto"/>
                <w:sz w:val="21"/>
                <w:szCs w:val="21"/>
                <w:u w:val="none"/>
              </w:rPr>
              <w:t>含水层渗透系数（K1）</w:t>
            </w:r>
          </w:p>
        </w:tc>
        <w:tc>
          <w:tcPr>
            <w:tcW w:w="665" w:type="pct"/>
            <w:tcBorders>
              <w:tl2br w:val="nil"/>
              <w:tr2bl w:val="nil"/>
            </w:tcBorders>
            <w:noWrap w:val="0"/>
            <w:vAlign w:val="center"/>
          </w:tcPr>
          <w:p w14:paraId="25D514A7">
            <w:pPr>
              <w:pStyle w:val="218"/>
              <w:widowControl w:val="0"/>
              <w:autoSpaceDE/>
              <w:autoSpaceDN/>
              <w:spacing w:before="0" w:after="0" w:line="240" w:lineRule="auto"/>
              <w:ind w:left="0" w:leftChars="0" w:right="0" w:rightChars="0" w:firstLine="0" w:firstLineChars="0"/>
              <w:jc w:val="center"/>
              <w:rPr>
                <w:b/>
                <w:bCs/>
                <w:color w:val="auto"/>
                <w:sz w:val="21"/>
                <w:szCs w:val="21"/>
                <w:u w:val="none"/>
              </w:rPr>
            </w:pPr>
            <w:r>
              <w:rPr>
                <w:b/>
                <w:bCs/>
                <w:color w:val="auto"/>
                <w:sz w:val="21"/>
                <w:szCs w:val="21"/>
                <w:u w:val="none"/>
              </w:rPr>
              <w:t>地下水流速（u）</w:t>
            </w:r>
          </w:p>
        </w:tc>
        <w:tc>
          <w:tcPr>
            <w:tcW w:w="678" w:type="pct"/>
            <w:tcBorders>
              <w:tl2br w:val="nil"/>
              <w:tr2bl w:val="nil"/>
            </w:tcBorders>
            <w:noWrap w:val="0"/>
            <w:vAlign w:val="center"/>
          </w:tcPr>
          <w:p w14:paraId="248E73F0">
            <w:pPr>
              <w:pStyle w:val="218"/>
              <w:widowControl w:val="0"/>
              <w:autoSpaceDE/>
              <w:autoSpaceDN/>
              <w:spacing w:before="0" w:after="0" w:line="240" w:lineRule="auto"/>
              <w:ind w:left="0" w:leftChars="0" w:right="0" w:rightChars="0" w:firstLine="0" w:firstLineChars="0"/>
              <w:jc w:val="center"/>
              <w:rPr>
                <w:b/>
                <w:bCs/>
                <w:color w:val="auto"/>
                <w:sz w:val="21"/>
                <w:szCs w:val="21"/>
                <w:u w:val="none"/>
              </w:rPr>
            </w:pPr>
            <w:r>
              <w:rPr>
                <w:b/>
                <w:bCs/>
                <w:color w:val="auto"/>
                <w:sz w:val="21"/>
                <w:szCs w:val="21"/>
                <w:u w:val="none"/>
              </w:rPr>
              <w:t>有效孔隙度（n）</w:t>
            </w:r>
          </w:p>
        </w:tc>
        <w:tc>
          <w:tcPr>
            <w:tcW w:w="795" w:type="pct"/>
            <w:tcBorders>
              <w:tl2br w:val="nil"/>
              <w:tr2bl w:val="nil"/>
            </w:tcBorders>
            <w:noWrap w:val="0"/>
            <w:vAlign w:val="center"/>
          </w:tcPr>
          <w:p w14:paraId="22C21C3C">
            <w:pPr>
              <w:pStyle w:val="218"/>
              <w:widowControl w:val="0"/>
              <w:autoSpaceDE/>
              <w:autoSpaceDN/>
              <w:spacing w:before="0" w:after="0" w:line="240" w:lineRule="auto"/>
              <w:ind w:left="0" w:leftChars="0" w:right="0" w:rightChars="0" w:firstLine="0" w:firstLineChars="0"/>
              <w:jc w:val="center"/>
              <w:rPr>
                <w:b/>
                <w:bCs/>
                <w:color w:val="auto"/>
                <w:sz w:val="21"/>
                <w:szCs w:val="21"/>
                <w:u w:val="none"/>
              </w:rPr>
            </w:pPr>
            <w:r>
              <w:rPr>
                <w:b/>
                <w:bCs/>
                <w:color w:val="auto"/>
                <w:sz w:val="21"/>
                <w:szCs w:val="21"/>
                <w:u w:val="none"/>
              </w:rPr>
              <w:t>纵向弥散系数（D</w:t>
            </w:r>
            <w:r>
              <w:rPr>
                <w:b/>
                <w:bCs/>
                <w:color w:val="auto"/>
                <w:sz w:val="21"/>
                <w:szCs w:val="21"/>
                <w:u w:val="none"/>
                <w:vertAlign w:val="subscript"/>
              </w:rPr>
              <w:t>L</w:t>
            </w:r>
            <w:r>
              <w:rPr>
                <w:b/>
                <w:bCs/>
                <w:color w:val="auto"/>
                <w:sz w:val="21"/>
                <w:szCs w:val="21"/>
                <w:u w:val="none"/>
              </w:rPr>
              <w:t>）</w:t>
            </w:r>
          </w:p>
        </w:tc>
        <w:tc>
          <w:tcPr>
            <w:tcW w:w="778" w:type="pct"/>
            <w:tcBorders>
              <w:tl2br w:val="nil"/>
              <w:tr2bl w:val="nil"/>
            </w:tcBorders>
            <w:noWrap w:val="0"/>
            <w:vAlign w:val="center"/>
          </w:tcPr>
          <w:p w14:paraId="53A91FE5">
            <w:pPr>
              <w:pStyle w:val="218"/>
              <w:widowControl w:val="0"/>
              <w:autoSpaceDE/>
              <w:autoSpaceDN/>
              <w:spacing w:before="0" w:after="0" w:line="240" w:lineRule="auto"/>
              <w:ind w:left="0" w:leftChars="0" w:right="0" w:rightChars="0" w:firstLine="0" w:firstLineChars="0"/>
              <w:jc w:val="center"/>
              <w:rPr>
                <w:b/>
                <w:bCs/>
                <w:color w:val="auto"/>
                <w:sz w:val="21"/>
                <w:szCs w:val="21"/>
                <w:u w:val="none"/>
              </w:rPr>
            </w:pPr>
            <w:r>
              <w:rPr>
                <w:b/>
                <w:bCs/>
                <w:color w:val="auto"/>
                <w:sz w:val="21"/>
                <w:szCs w:val="21"/>
                <w:u w:val="none"/>
              </w:rPr>
              <w:t>横向弥散系数（D</w:t>
            </w:r>
            <w:r>
              <w:rPr>
                <w:b/>
                <w:bCs/>
                <w:color w:val="auto"/>
                <w:sz w:val="21"/>
                <w:szCs w:val="21"/>
                <w:u w:val="none"/>
                <w:vertAlign w:val="subscript"/>
              </w:rPr>
              <w:t>T</w:t>
            </w:r>
            <w:r>
              <w:rPr>
                <w:b/>
                <w:bCs/>
                <w:color w:val="auto"/>
                <w:sz w:val="21"/>
                <w:szCs w:val="21"/>
                <w:u w:val="none"/>
              </w:rPr>
              <w:t>）</w:t>
            </w:r>
          </w:p>
        </w:tc>
      </w:tr>
      <w:tr w14:paraId="44F61F92">
        <w:tblPrEx>
          <w:tblBorders>
            <w:top w:val="single" w:color="auto" w:sz="18" w:space="0"/>
            <w:left w:val="none" w:color="auto" w:sz="0" w:space="0"/>
            <w:bottom w:val="single" w:color="auto"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07" w:type="pct"/>
            <w:tcBorders>
              <w:tl2br w:val="nil"/>
              <w:tr2bl w:val="nil"/>
            </w:tcBorders>
            <w:noWrap w:val="0"/>
            <w:vAlign w:val="center"/>
          </w:tcPr>
          <w:p w14:paraId="510C833D">
            <w:pPr>
              <w:pStyle w:val="197"/>
              <w:tabs>
                <w:tab w:val="left" w:pos="1155"/>
              </w:tabs>
              <w:autoSpaceDE/>
              <w:autoSpaceDN/>
              <w:spacing w:before="0" w:after="0" w:line="240" w:lineRule="auto"/>
              <w:ind w:left="0" w:leftChars="0" w:right="0" w:rightChars="0" w:firstLine="0" w:firstLineChars="0"/>
              <w:jc w:val="center"/>
              <w:rPr>
                <w:rFonts w:ascii="Times New Roman" w:hAnsi="Times New Roman" w:cs="Times New Roman"/>
                <w:b w:val="0"/>
                <w:bCs w:val="0"/>
                <w:sz w:val="21"/>
                <w:szCs w:val="21"/>
                <w:u w:val="none"/>
                <w:lang w:val="en-US"/>
              </w:rPr>
            </w:pPr>
            <w:r>
              <w:rPr>
                <w:rFonts w:ascii="Times New Roman" w:hAnsi="Times New Roman" w:cs="Times New Roman"/>
                <w:b w:val="0"/>
                <w:bCs w:val="0"/>
                <w:sz w:val="21"/>
                <w:szCs w:val="21"/>
                <w:u w:val="none"/>
                <w:lang w:val="en-US"/>
              </w:rPr>
              <w:t>数值</w:t>
            </w:r>
          </w:p>
        </w:tc>
        <w:tc>
          <w:tcPr>
            <w:tcW w:w="718" w:type="pct"/>
            <w:tcBorders>
              <w:tl2br w:val="nil"/>
              <w:tr2bl w:val="nil"/>
            </w:tcBorders>
            <w:noWrap w:val="0"/>
            <w:vAlign w:val="center"/>
          </w:tcPr>
          <w:p w14:paraId="35EEBC51">
            <w:pPr>
              <w:pStyle w:val="197"/>
              <w:tabs>
                <w:tab w:val="left" w:pos="1155"/>
              </w:tabs>
              <w:autoSpaceDE/>
              <w:autoSpaceDN/>
              <w:spacing w:before="0" w:after="0" w:line="240" w:lineRule="auto"/>
              <w:ind w:left="0" w:leftChars="0" w:right="0" w:rightChars="0" w:firstLine="0" w:firstLineChars="0"/>
              <w:jc w:val="center"/>
              <w:rPr>
                <w:rFonts w:ascii="Times New Roman" w:hAnsi="Times New Roman" w:cs="Times New Roman"/>
                <w:b w:val="0"/>
                <w:bCs w:val="0"/>
                <w:sz w:val="21"/>
                <w:szCs w:val="21"/>
                <w:u w:val="none"/>
                <w:lang w:val="en-US"/>
              </w:rPr>
            </w:pPr>
            <w:r>
              <w:rPr>
                <w:rFonts w:ascii="Times New Roman" w:hAnsi="Times New Roman" w:cs="Times New Roman"/>
                <w:b w:val="0"/>
                <w:bCs w:val="0"/>
                <w:sz w:val="21"/>
                <w:szCs w:val="21"/>
                <w:u w:val="none"/>
                <w:lang w:val="en-US"/>
              </w:rPr>
              <w:t>20m</w:t>
            </w:r>
          </w:p>
        </w:tc>
        <w:tc>
          <w:tcPr>
            <w:tcW w:w="954" w:type="pct"/>
            <w:tcBorders>
              <w:tl2br w:val="nil"/>
              <w:tr2bl w:val="nil"/>
            </w:tcBorders>
            <w:noWrap w:val="0"/>
            <w:vAlign w:val="center"/>
          </w:tcPr>
          <w:p w14:paraId="784ECF30">
            <w:pPr>
              <w:pStyle w:val="197"/>
              <w:tabs>
                <w:tab w:val="left" w:pos="1155"/>
              </w:tabs>
              <w:autoSpaceDE/>
              <w:autoSpaceDN/>
              <w:spacing w:before="0" w:after="0" w:line="240" w:lineRule="auto"/>
              <w:ind w:left="0" w:leftChars="0" w:right="0" w:rightChars="0" w:firstLine="0" w:firstLineChars="0"/>
              <w:jc w:val="center"/>
              <w:rPr>
                <w:rFonts w:ascii="Times New Roman" w:hAnsi="Times New Roman" w:cs="Times New Roman"/>
                <w:b w:val="0"/>
                <w:bCs w:val="0"/>
                <w:sz w:val="21"/>
                <w:szCs w:val="21"/>
                <w:u w:val="none"/>
                <w:lang w:val="en-US"/>
              </w:rPr>
            </w:pPr>
            <w:r>
              <w:rPr>
                <w:rFonts w:hint="eastAsia" w:ascii="Times New Roman" w:hAnsi="Times New Roman" w:cs="Times New Roman"/>
                <w:b w:val="0"/>
                <w:bCs w:val="0"/>
                <w:sz w:val="21"/>
                <w:szCs w:val="21"/>
                <w:u w:val="none"/>
                <w:lang w:val="en-US"/>
              </w:rPr>
              <w:t>6.72</w:t>
            </w:r>
            <w:r>
              <w:rPr>
                <w:rFonts w:ascii="Times New Roman" w:hAnsi="Times New Roman" w:cs="Times New Roman"/>
                <w:b w:val="0"/>
                <w:bCs w:val="0"/>
                <w:sz w:val="21"/>
                <w:szCs w:val="21"/>
                <w:u w:val="none"/>
                <w:lang w:val="en-US"/>
              </w:rPr>
              <w:t>m/d</w:t>
            </w:r>
          </w:p>
        </w:tc>
        <w:tc>
          <w:tcPr>
            <w:tcW w:w="665" w:type="pct"/>
            <w:tcBorders>
              <w:tl2br w:val="nil"/>
              <w:tr2bl w:val="nil"/>
            </w:tcBorders>
            <w:noWrap w:val="0"/>
            <w:vAlign w:val="center"/>
          </w:tcPr>
          <w:p w14:paraId="461CF45A">
            <w:pPr>
              <w:pStyle w:val="197"/>
              <w:tabs>
                <w:tab w:val="left" w:pos="1155"/>
              </w:tabs>
              <w:autoSpaceDE/>
              <w:autoSpaceDN/>
              <w:spacing w:before="0" w:after="0" w:line="240" w:lineRule="auto"/>
              <w:ind w:left="0" w:leftChars="0" w:right="0" w:rightChars="0" w:firstLine="0" w:firstLineChars="0"/>
              <w:jc w:val="center"/>
              <w:rPr>
                <w:rFonts w:ascii="Times New Roman" w:hAnsi="Times New Roman" w:cs="Times New Roman"/>
                <w:b w:val="0"/>
                <w:bCs w:val="0"/>
                <w:sz w:val="21"/>
                <w:szCs w:val="21"/>
                <w:u w:val="none"/>
                <w:lang w:val="en-US"/>
              </w:rPr>
            </w:pPr>
            <w:r>
              <w:rPr>
                <w:rFonts w:ascii="Times New Roman" w:hAnsi="Times New Roman" w:cs="Times New Roman"/>
                <w:b w:val="0"/>
                <w:bCs w:val="0"/>
                <w:sz w:val="21"/>
                <w:szCs w:val="21"/>
                <w:u w:val="none"/>
                <w:lang w:val="en-US"/>
              </w:rPr>
              <w:t>0.</w:t>
            </w:r>
            <w:r>
              <w:rPr>
                <w:rFonts w:hint="eastAsia" w:ascii="Times New Roman" w:hAnsi="Times New Roman" w:cs="Times New Roman"/>
                <w:b w:val="0"/>
                <w:bCs w:val="0"/>
                <w:sz w:val="21"/>
                <w:szCs w:val="21"/>
                <w:u w:val="none"/>
                <w:lang w:val="en-US"/>
              </w:rPr>
              <w:t>11</w:t>
            </w:r>
            <w:r>
              <w:rPr>
                <w:rFonts w:ascii="Times New Roman" w:hAnsi="Times New Roman" w:cs="Times New Roman"/>
                <w:b w:val="0"/>
                <w:bCs w:val="0"/>
                <w:sz w:val="21"/>
                <w:szCs w:val="21"/>
                <w:u w:val="none"/>
                <w:lang w:val="en-US"/>
              </w:rPr>
              <w:t>m/d</w:t>
            </w:r>
          </w:p>
        </w:tc>
        <w:tc>
          <w:tcPr>
            <w:tcW w:w="678" w:type="pct"/>
            <w:tcBorders>
              <w:tl2br w:val="nil"/>
              <w:tr2bl w:val="nil"/>
            </w:tcBorders>
            <w:noWrap w:val="0"/>
            <w:vAlign w:val="center"/>
          </w:tcPr>
          <w:p w14:paraId="301C9E64">
            <w:pPr>
              <w:pStyle w:val="197"/>
              <w:tabs>
                <w:tab w:val="left" w:pos="1155"/>
              </w:tabs>
              <w:autoSpaceDE/>
              <w:autoSpaceDN/>
              <w:spacing w:before="0" w:after="0" w:line="240" w:lineRule="auto"/>
              <w:ind w:left="0" w:leftChars="0" w:right="0" w:rightChars="0" w:firstLine="0" w:firstLineChars="0"/>
              <w:jc w:val="center"/>
              <w:rPr>
                <w:rFonts w:ascii="Times New Roman" w:hAnsi="Times New Roman" w:cs="Times New Roman"/>
                <w:b w:val="0"/>
                <w:bCs w:val="0"/>
                <w:sz w:val="21"/>
                <w:szCs w:val="21"/>
                <w:u w:val="none"/>
                <w:lang w:val="en-US"/>
              </w:rPr>
            </w:pPr>
            <w:r>
              <w:rPr>
                <w:rFonts w:ascii="Times New Roman" w:hAnsi="Times New Roman" w:cs="Times New Roman"/>
                <w:b w:val="0"/>
                <w:bCs w:val="0"/>
                <w:sz w:val="21"/>
                <w:szCs w:val="21"/>
                <w:u w:val="none"/>
                <w:lang w:val="en-US"/>
              </w:rPr>
              <w:t>0.35</w:t>
            </w:r>
          </w:p>
        </w:tc>
        <w:tc>
          <w:tcPr>
            <w:tcW w:w="795" w:type="pct"/>
            <w:tcBorders>
              <w:tl2br w:val="nil"/>
              <w:tr2bl w:val="nil"/>
            </w:tcBorders>
            <w:noWrap w:val="0"/>
            <w:vAlign w:val="center"/>
          </w:tcPr>
          <w:p w14:paraId="01F4A8AA">
            <w:pPr>
              <w:pStyle w:val="197"/>
              <w:tabs>
                <w:tab w:val="left" w:pos="1155"/>
              </w:tabs>
              <w:autoSpaceDE/>
              <w:autoSpaceDN/>
              <w:spacing w:before="0" w:after="0" w:line="240" w:lineRule="auto"/>
              <w:ind w:left="0" w:leftChars="0" w:right="0" w:rightChars="0" w:firstLine="0" w:firstLineChars="0"/>
              <w:jc w:val="center"/>
              <w:rPr>
                <w:rFonts w:ascii="Times New Roman" w:hAnsi="Times New Roman" w:cs="Times New Roman"/>
                <w:b w:val="0"/>
                <w:bCs w:val="0"/>
                <w:sz w:val="21"/>
                <w:szCs w:val="21"/>
                <w:u w:val="none"/>
                <w:lang w:val="en-US"/>
              </w:rPr>
            </w:pPr>
            <w:r>
              <w:rPr>
                <w:rFonts w:hint="eastAsia" w:ascii="Times New Roman" w:hAnsi="Times New Roman" w:cs="Times New Roman"/>
                <w:b w:val="0"/>
                <w:bCs w:val="0"/>
                <w:sz w:val="21"/>
                <w:szCs w:val="21"/>
                <w:u w:val="none"/>
                <w:lang w:val="en-US"/>
              </w:rPr>
              <w:t>1.1</w:t>
            </w:r>
            <w:r>
              <w:rPr>
                <w:rFonts w:ascii="Times New Roman" w:hAnsi="Times New Roman" w:cs="Times New Roman"/>
                <w:b w:val="0"/>
                <w:bCs w:val="0"/>
                <w:sz w:val="21"/>
                <w:szCs w:val="21"/>
                <w:u w:val="none"/>
                <w:lang w:val="en-US"/>
              </w:rPr>
              <w:t>m</w:t>
            </w:r>
            <w:r>
              <w:rPr>
                <w:rFonts w:ascii="Times New Roman" w:hAnsi="Times New Roman" w:cs="Times New Roman"/>
                <w:b w:val="0"/>
                <w:bCs w:val="0"/>
                <w:sz w:val="21"/>
                <w:szCs w:val="21"/>
                <w:u w:val="none"/>
                <w:vertAlign w:val="superscript"/>
                <w:lang w:val="en-US"/>
              </w:rPr>
              <w:t>2</w:t>
            </w:r>
            <w:r>
              <w:rPr>
                <w:rFonts w:ascii="Times New Roman" w:hAnsi="Times New Roman" w:cs="Times New Roman"/>
                <w:b w:val="0"/>
                <w:bCs w:val="0"/>
                <w:sz w:val="21"/>
                <w:szCs w:val="21"/>
                <w:u w:val="none"/>
                <w:lang w:val="en-US"/>
              </w:rPr>
              <w:t>/d</w:t>
            </w:r>
          </w:p>
        </w:tc>
        <w:tc>
          <w:tcPr>
            <w:tcW w:w="778" w:type="pct"/>
            <w:tcBorders>
              <w:tl2br w:val="nil"/>
              <w:tr2bl w:val="nil"/>
            </w:tcBorders>
            <w:noWrap w:val="0"/>
            <w:vAlign w:val="center"/>
          </w:tcPr>
          <w:p w14:paraId="121BD77E">
            <w:pPr>
              <w:pStyle w:val="197"/>
              <w:tabs>
                <w:tab w:val="left" w:pos="1155"/>
              </w:tabs>
              <w:autoSpaceDE/>
              <w:autoSpaceDN/>
              <w:spacing w:before="0" w:after="0" w:line="240" w:lineRule="auto"/>
              <w:ind w:left="0" w:leftChars="0" w:right="0" w:rightChars="0" w:firstLine="0" w:firstLineChars="0"/>
              <w:jc w:val="center"/>
              <w:rPr>
                <w:rFonts w:ascii="Times New Roman" w:hAnsi="Times New Roman" w:cs="Times New Roman"/>
                <w:b w:val="0"/>
                <w:bCs w:val="0"/>
                <w:sz w:val="21"/>
                <w:szCs w:val="21"/>
                <w:u w:val="none"/>
                <w:lang w:val="en-US"/>
              </w:rPr>
            </w:pPr>
            <w:r>
              <w:rPr>
                <w:rFonts w:ascii="Times New Roman" w:hAnsi="Times New Roman" w:cs="Times New Roman"/>
                <w:b w:val="0"/>
                <w:bCs w:val="0"/>
                <w:sz w:val="21"/>
                <w:szCs w:val="21"/>
                <w:u w:val="none"/>
                <w:lang w:val="en-US"/>
              </w:rPr>
              <w:t>0.</w:t>
            </w:r>
            <w:r>
              <w:rPr>
                <w:rFonts w:hint="eastAsia" w:ascii="Times New Roman" w:hAnsi="Times New Roman" w:cs="Times New Roman"/>
                <w:b w:val="0"/>
                <w:bCs w:val="0"/>
                <w:sz w:val="21"/>
                <w:szCs w:val="21"/>
                <w:u w:val="none"/>
                <w:lang w:val="en-US"/>
              </w:rPr>
              <w:t>11</w:t>
            </w:r>
            <w:r>
              <w:rPr>
                <w:rFonts w:ascii="Times New Roman" w:hAnsi="Times New Roman" w:cs="Times New Roman"/>
                <w:b w:val="0"/>
                <w:bCs w:val="0"/>
                <w:sz w:val="21"/>
                <w:szCs w:val="21"/>
                <w:u w:val="none"/>
                <w:lang w:val="en-US"/>
              </w:rPr>
              <w:t>m</w:t>
            </w:r>
            <w:r>
              <w:rPr>
                <w:rFonts w:ascii="Times New Roman" w:hAnsi="Times New Roman" w:cs="Times New Roman"/>
                <w:b w:val="0"/>
                <w:bCs w:val="0"/>
                <w:sz w:val="21"/>
                <w:szCs w:val="21"/>
                <w:u w:val="none"/>
                <w:vertAlign w:val="superscript"/>
                <w:lang w:val="en-US"/>
              </w:rPr>
              <w:t>2</w:t>
            </w:r>
            <w:r>
              <w:rPr>
                <w:rFonts w:ascii="Times New Roman" w:hAnsi="Times New Roman" w:cs="Times New Roman"/>
                <w:b w:val="0"/>
                <w:bCs w:val="0"/>
                <w:sz w:val="21"/>
                <w:szCs w:val="21"/>
                <w:u w:val="none"/>
                <w:lang w:val="en-US"/>
              </w:rPr>
              <w:t>/d</w:t>
            </w:r>
          </w:p>
        </w:tc>
      </w:tr>
    </w:tbl>
    <w:p w14:paraId="42B094C3">
      <w:pPr>
        <w:spacing w:line="360" w:lineRule="auto"/>
        <w:ind w:firstLine="480" w:firstLineChars="200"/>
        <w:rPr>
          <w:rFonts w:hint="eastAsia"/>
          <w:b w:val="0"/>
          <w:bCs w:val="0"/>
          <w:sz w:val="24"/>
          <w:u w:val="none"/>
        </w:rPr>
      </w:pPr>
      <w:r>
        <w:rPr>
          <w:rFonts w:hint="eastAsia"/>
          <w:b w:val="0"/>
          <w:bCs w:val="0"/>
          <w:sz w:val="24"/>
          <w:u w:val="none"/>
          <w:lang w:val="en-US" w:eastAsia="zh-CN"/>
        </w:rPr>
        <w:t>⑥</w:t>
      </w:r>
      <w:r>
        <w:rPr>
          <w:rFonts w:hint="eastAsia"/>
          <w:b w:val="0"/>
          <w:bCs w:val="0"/>
          <w:sz w:val="24"/>
          <w:u w:val="none"/>
        </w:rPr>
        <w:t>预测结果</w:t>
      </w:r>
    </w:p>
    <w:p w14:paraId="48E2F790">
      <w:pPr>
        <w:spacing w:line="360" w:lineRule="auto"/>
        <w:ind w:firstLine="480" w:firstLineChars="200"/>
        <w:rPr>
          <w:rFonts w:hint="eastAsia"/>
          <w:b w:val="0"/>
          <w:bCs w:val="0"/>
          <w:sz w:val="24"/>
          <w:u w:val="none"/>
        </w:rPr>
      </w:pPr>
      <w:r>
        <w:rPr>
          <w:rFonts w:hint="eastAsia"/>
          <w:b w:val="0"/>
          <w:bCs w:val="0"/>
          <w:sz w:val="24"/>
          <w:u w:val="none"/>
        </w:rPr>
        <w:t>本次模拟预测在非正常状况下泄漏时，污染物在地下水中的迁移过程。</w:t>
      </w:r>
    </w:p>
    <w:p w14:paraId="5B6BFBC0">
      <w:pPr>
        <w:spacing w:line="360" w:lineRule="auto"/>
        <w:ind w:firstLine="480" w:firstLineChars="200"/>
        <w:rPr>
          <w:rFonts w:hint="eastAsia"/>
          <w:b w:val="0"/>
          <w:bCs w:val="0"/>
          <w:sz w:val="24"/>
          <w:highlight w:val="none"/>
          <w:u w:val="none"/>
        </w:rPr>
      </w:pPr>
      <w:r>
        <w:rPr>
          <w:rFonts w:hint="eastAsia"/>
          <w:color w:val="auto"/>
          <w:sz w:val="24"/>
          <w:szCs w:val="24"/>
          <w:highlight w:val="none"/>
          <w:lang w:val="en-US" w:eastAsia="zh-CN"/>
        </w:rPr>
        <w:t>甲磺酸钠</w:t>
      </w:r>
      <w:r>
        <w:rPr>
          <w:rFonts w:hint="eastAsia"/>
          <w:b w:val="0"/>
          <w:bCs w:val="0"/>
          <w:sz w:val="24"/>
          <w:highlight w:val="none"/>
          <w:u w:val="none"/>
        </w:rPr>
        <w:t>在地下水中运移100天时</w:t>
      </w:r>
      <w:r>
        <w:rPr>
          <w:rFonts w:hint="eastAsia"/>
          <w:b w:val="0"/>
          <w:bCs w:val="0"/>
          <w:sz w:val="24"/>
          <w:highlight w:val="none"/>
          <w:u w:val="none"/>
          <w:lang w:eastAsia="zh-CN"/>
        </w:rPr>
        <w:t>，</w:t>
      </w:r>
      <w:r>
        <w:rPr>
          <w:rFonts w:hint="eastAsia"/>
          <w:color w:val="auto"/>
          <w:sz w:val="24"/>
          <w:szCs w:val="24"/>
          <w:highlight w:val="none"/>
          <w:lang w:val="en-US" w:eastAsia="zh-CN"/>
        </w:rPr>
        <w:t>甲磺酸钠</w:t>
      </w:r>
      <w:r>
        <w:rPr>
          <w:rFonts w:hint="eastAsia"/>
          <w:b w:val="0"/>
          <w:bCs w:val="0"/>
          <w:sz w:val="24"/>
          <w:highlight w:val="none"/>
          <w:u w:val="none"/>
        </w:rPr>
        <w:t>浓度在下游1</w:t>
      </w:r>
      <w:r>
        <w:rPr>
          <w:rFonts w:hint="eastAsia"/>
          <w:b w:val="0"/>
          <w:bCs w:val="0"/>
          <w:sz w:val="24"/>
          <w:highlight w:val="none"/>
          <w:u w:val="none"/>
          <w:lang w:val="en-US" w:eastAsia="zh-CN"/>
        </w:rPr>
        <w:t>0</w:t>
      </w:r>
      <w:r>
        <w:rPr>
          <w:rFonts w:hint="eastAsia"/>
          <w:b w:val="0"/>
          <w:bCs w:val="0"/>
          <w:sz w:val="24"/>
          <w:highlight w:val="none"/>
          <w:u w:val="none"/>
        </w:rPr>
        <w:t>m处达到最大，最大浓度为</w:t>
      </w:r>
      <w:r>
        <w:rPr>
          <w:rFonts w:hint="eastAsia"/>
          <w:b w:val="0"/>
          <w:bCs w:val="0"/>
          <w:sz w:val="24"/>
          <w:highlight w:val="none"/>
          <w:u w:val="none"/>
          <w:lang w:val="en-US" w:eastAsia="zh-CN"/>
        </w:rPr>
        <w:t>0.234</w:t>
      </w:r>
      <w:r>
        <w:rPr>
          <w:rFonts w:hint="eastAsia"/>
          <w:b w:val="0"/>
          <w:bCs w:val="0"/>
          <w:sz w:val="24"/>
          <w:highlight w:val="none"/>
          <w:u w:val="none"/>
        </w:rPr>
        <w:t>mg/L，</w:t>
      </w:r>
      <w:r>
        <w:rPr>
          <w:rFonts w:hint="eastAsia"/>
          <w:b w:val="0"/>
          <w:bCs w:val="0"/>
          <w:sz w:val="24"/>
          <w:highlight w:val="none"/>
          <w:u w:val="none"/>
          <w:lang w:val="en-US" w:eastAsia="zh-CN"/>
        </w:rPr>
        <w:t>到下游190m处浓度接近0</w:t>
      </w:r>
      <w:r>
        <w:rPr>
          <w:rFonts w:hint="eastAsia"/>
          <w:b w:val="0"/>
          <w:bCs w:val="0"/>
          <w:sz w:val="24"/>
          <w:highlight w:val="none"/>
          <w:u w:val="none"/>
        </w:rPr>
        <w:t>；</w:t>
      </w:r>
    </w:p>
    <w:p w14:paraId="6CB473ED">
      <w:pPr>
        <w:spacing w:line="360" w:lineRule="auto"/>
        <w:ind w:firstLine="480" w:firstLineChars="200"/>
        <w:rPr>
          <w:rFonts w:hint="eastAsia"/>
          <w:b w:val="0"/>
          <w:bCs w:val="0"/>
          <w:sz w:val="24"/>
          <w:highlight w:val="none"/>
          <w:u w:val="none"/>
        </w:rPr>
      </w:pPr>
      <w:r>
        <w:rPr>
          <w:rFonts w:hint="eastAsia"/>
          <w:color w:val="auto"/>
          <w:sz w:val="24"/>
          <w:szCs w:val="24"/>
          <w:highlight w:val="none"/>
          <w:lang w:val="en-US" w:eastAsia="zh-CN"/>
        </w:rPr>
        <w:t>甲磺酸钠</w:t>
      </w:r>
      <w:r>
        <w:rPr>
          <w:rFonts w:hint="eastAsia"/>
          <w:b w:val="0"/>
          <w:bCs w:val="0"/>
          <w:sz w:val="24"/>
          <w:highlight w:val="none"/>
          <w:u w:val="none"/>
        </w:rPr>
        <w:t>在地下水中运移365天时，</w:t>
      </w:r>
      <w:r>
        <w:rPr>
          <w:rFonts w:hint="eastAsia"/>
          <w:color w:val="auto"/>
          <w:sz w:val="24"/>
          <w:szCs w:val="24"/>
          <w:highlight w:val="none"/>
          <w:lang w:val="en-US" w:eastAsia="zh-CN"/>
        </w:rPr>
        <w:t>甲磺酸钠</w:t>
      </w:r>
      <w:r>
        <w:rPr>
          <w:rFonts w:hint="eastAsia"/>
          <w:b w:val="0"/>
          <w:bCs w:val="0"/>
          <w:sz w:val="24"/>
          <w:highlight w:val="none"/>
          <w:u w:val="none"/>
        </w:rPr>
        <w:t>浓度在下游</w:t>
      </w:r>
      <w:r>
        <w:rPr>
          <w:rFonts w:hint="eastAsia"/>
          <w:b w:val="0"/>
          <w:bCs w:val="0"/>
          <w:sz w:val="24"/>
          <w:highlight w:val="none"/>
          <w:u w:val="none"/>
          <w:lang w:val="en-US" w:eastAsia="zh-CN"/>
        </w:rPr>
        <w:t>40</w:t>
      </w:r>
      <w:r>
        <w:rPr>
          <w:rFonts w:hint="eastAsia"/>
          <w:b w:val="0"/>
          <w:bCs w:val="0"/>
          <w:sz w:val="24"/>
          <w:highlight w:val="none"/>
          <w:u w:val="none"/>
        </w:rPr>
        <w:t>m处达到最大，最大浓度为</w:t>
      </w:r>
      <w:r>
        <w:rPr>
          <w:rFonts w:hint="eastAsia"/>
          <w:b w:val="0"/>
          <w:bCs w:val="0"/>
          <w:sz w:val="24"/>
          <w:highlight w:val="none"/>
          <w:u w:val="none"/>
          <w:lang w:val="en-US" w:eastAsia="zh-CN"/>
        </w:rPr>
        <w:t>0.064</w:t>
      </w:r>
      <w:r>
        <w:rPr>
          <w:rFonts w:hint="eastAsia"/>
          <w:b w:val="0"/>
          <w:bCs w:val="0"/>
          <w:sz w:val="24"/>
          <w:highlight w:val="none"/>
          <w:u w:val="none"/>
        </w:rPr>
        <w:t>mg/L，</w:t>
      </w:r>
      <w:r>
        <w:rPr>
          <w:rFonts w:hint="eastAsia"/>
          <w:b w:val="0"/>
          <w:bCs w:val="0"/>
          <w:sz w:val="24"/>
          <w:highlight w:val="none"/>
          <w:u w:val="none"/>
          <w:lang w:val="en-US" w:eastAsia="zh-CN"/>
        </w:rPr>
        <w:t>到下游500m处浓度接近0</w:t>
      </w:r>
      <w:r>
        <w:rPr>
          <w:rFonts w:hint="eastAsia"/>
          <w:b w:val="0"/>
          <w:bCs w:val="0"/>
          <w:sz w:val="24"/>
          <w:highlight w:val="none"/>
          <w:u w:val="none"/>
        </w:rPr>
        <w:t>；</w:t>
      </w:r>
    </w:p>
    <w:p w14:paraId="75527A62">
      <w:pPr>
        <w:spacing w:line="360" w:lineRule="auto"/>
        <w:ind w:firstLine="480" w:firstLineChars="200"/>
        <w:rPr>
          <w:rFonts w:hint="eastAsia"/>
          <w:b w:val="0"/>
          <w:bCs w:val="0"/>
          <w:sz w:val="24"/>
          <w:highlight w:val="none"/>
          <w:u w:val="none"/>
        </w:rPr>
      </w:pPr>
      <w:r>
        <w:rPr>
          <w:rFonts w:hint="eastAsia"/>
          <w:color w:val="auto"/>
          <w:sz w:val="24"/>
          <w:szCs w:val="24"/>
          <w:highlight w:val="none"/>
          <w:lang w:val="en-US" w:eastAsia="zh-CN"/>
        </w:rPr>
        <w:t>甲磺酸钠</w:t>
      </w:r>
      <w:r>
        <w:rPr>
          <w:rFonts w:hint="eastAsia"/>
          <w:b w:val="0"/>
          <w:bCs w:val="0"/>
          <w:sz w:val="24"/>
          <w:highlight w:val="none"/>
          <w:u w:val="none"/>
        </w:rPr>
        <w:t>在地下水中运移1000天时，</w:t>
      </w:r>
      <w:r>
        <w:rPr>
          <w:rFonts w:hint="eastAsia"/>
          <w:color w:val="auto"/>
          <w:sz w:val="24"/>
          <w:szCs w:val="24"/>
          <w:highlight w:val="none"/>
          <w:lang w:val="en-US" w:eastAsia="zh-CN"/>
        </w:rPr>
        <w:t>甲磺酸钠</w:t>
      </w:r>
      <w:r>
        <w:rPr>
          <w:rFonts w:hint="eastAsia"/>
          <w:b w:val="0"/>
          <w:bCs w:val="0"/>
          <w:sz w:val="24"/>
          <w:highlight w:val="none"/>
          <w:u w:val="none"/>
        </w:rPr>
        <w:t>浓度在下游110m处达到最大，最大浓度为</w:t>
      </w:r>
      <w:r>
        <w:rPr>
          <w:rFonts w:hint="eastAsia"/>
          <w:b w:val="0"/>
          <w:bCs w:val="0"/>
          <w:sz w:val="24"/>
          <w:highlight w:val="none"/>
          <w:u w:val="none"/>
          <w:lang w:val="en-US" w:eastAsia="zh-CN"/>
        </w:rPr>
        <w:t>0.0233</w:t>
      </w:r>
      <w:r>
        <w:rPr>
          <w:rFonts w:hint="eastAsia"/>
          <w:b w:val="0"/>
          <w:bCs w:val="0"/>
          <w:sz w:val="24"/>
          <w:highlight w:val="none"/>
          <w:u w:val="none"/>
        </w:rPr>
        <w:t>mg/L，</w:t>
      </w:r>
      <w:r>
        <w:rPr>
          <w:rFonts w:hint="eastAsia"/>
          <w:b w:val="0"/>
          <w:bCs w:val="0"/>
          <w:sz w:val="24"/>
          <w:highlight w:val="none"/>
          <w:u w:val="none"/>
          <w:lang w:val="en-US" w:eastAsia="zh-CN"/>
        </w:rPr>
        <w:t>到下游300m处浓度接近0</w:t>
      </w:r>
      <w:r>
        <w:rPr>
          <w:rFonts w:hint="eastAsia"/>
          <w:b w:val="0"/>
          <w:bCs w:val="0"/>
          <w:sz w:val="24"/>
          <w:highlight w:val="none"/>
          <w:u w:val="none"/>
        </w:rPr>
        <w:t>。</w:t>
      </w:r>
    </w:p>
    <w:p w14:paraId="319246F2">
      <w:pPr>
        <w:spacing w:line="240" w:lineRule="auto"/>
        <w:rPr>
          <w:rFonts w:hint="eastAsia"/>
          <w:b w:val="0"/>
          <w:bCs w:val="0"/>
          <w:sz w:val="24"/>
          <w:highlight w:val="none"/>
          <w:u w:val="none"/>
          <w:lang w:val="en-US" w:eastAsia="zh-CN"/>
        </w:rPr>
      </w:pPr>
      <w:r>
        <w:drawing>
          <wp:inline distT="0" distB="0" distL="114300" distR="114300">
            <wp:extent cx="5219700" cy="3024505"/>
            <wp:effectExtent l="0" t="0" r="7620" b="8255"/>
            <wp:docPr id="47"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0"/>
                    <pic:cNvPicPr>
                      <a:picLocks noChangeAspect="1"/>
                    </pic:cNvPicPr>
                  </pic:nvPicPr>
                  <pic:blipFill>
                    <a:blip r:embed="rId58"/>
                    <a:stretch>
                      <a:fillRect/>
                    </a:stretch>
                  </pic:blipFill>
                  <pic:spPr>
                    <a:xfrm>
                      <a:off x="0" y="0"/>
                      <a:ext cx="5219700" cy="3024505"/>
                    </a:xfrm>
                    <a:prstGeom prst="rect">
                      <a:avLst/>
                    </a:prstGeom>
                    <a:noFill/>
                    <a:ln>
                      <a:noFill/>
                    </a:ln>
                  </pic:spPr>
                </pic:pic>
              </a:graphicData>
            </a:graphic>
          </wp:inline>
        </w:drawing>
      </w:r>
    </w:p>
    <w:p w14:paraId="52ABB47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val="0"/>
          <w:bCs w:val="0"/>
          <w:sz w:val="24"/>
          <w:highlight w:val="none"/>
          <w:u w:val="none"/>
        </w:rPr>
      </w:pPr>
      <w:r>
        <w:rPr>
          <w:b/>
          <w:bCs/>
          <w:sz w:val="24"/>
          <w:szCs w:val="24"/>
          <w:highlight w:val="none"/>
          <w:u w:val="none"/>
        </w:rPr>
        <w:t>图5</w:t>
      </w:r>
      <w:r>
        <w:rPr>
          <w:rFonts w:hint="eastAsia"/>
          <w:b/>
          <w:bCs/>
          <w:sz w:val="24"/>
          <w:szCs w:val="24"/>
          <w:highlight w:val="none"/>
          <w:u w:val="none"/>
          <w:lang w:val="en-US" w:eastAsia="zh-CN"/>
        </w:rPr>
        <w:t>.2-6</w:t>
      </w:r>
      <w:r>
        <w:rPr>
          <w:b/>
          <w:bCs/>
          <w:sz w:val="24"/>
          <w:szCs w:val="24"/>
          <w:highlight w:val="none"/>
          <w:u w:val="none"/>
        </w:rPr>
        <w:t xml:space="preserve"> 泄漏100天</w:t>
      </w:r>
      <w:r>
        <w:rPr>
          <w:rFonts w:hint="eastAsia"/>
          <w:b/>
          <w:bCs/>
          <w:sz w:val="24"/>
          <w:szCs w:val="24"/>
          <w:highlight w:val="none"/>
          <w:u w:val="none"/>
          <w:lang w:val="en-US" w:eastAsia="zh-CN"/>
        </w:rPr>
        <w:t>甲磺酸钠</w:t>
      </w:r>
      <w:r>
        <w:rPr>
          <w:b/>
          <w:bCs/>
          <w:sz w:val="24"/>
          <w:szCs w:val="24"/>
          <w:highlight w:val="none"/>
          <w:u w:val="none"/>
        </w:rPr>
        <w:t>运移预测结果</w:t>
      </w:r>
    </w:p>
    <w:p w14:paraId="211D6730">
      <w:pPr>
        <w:spacing w:line="240" w:lineRule="auto"/>
        <w:jc w:val="center"/>
        <w:rPr>
          <w:rFonts w:hint="eastAsia"/>
          <w:b w:val="0"/>
          <w:bCs w:val="0"/>
          <w:sz w:val="24"/>
          <w:highlight w:val="none"/>
          <w:u w:val="none"/>
          <w:lang w:val="en-US" w:eastAsia="zh-CN"/>
        </w:rPr>
      </w:pPr>
      <w:r>
        <w:drawing>
          <wp:inline distT="0" distB="0" distL="114300" distR="114300">
            <wp:extent cx="5219700" cy="3034665"/>
            <wp:effectExtent l="0" t="0" r="7620" b="13335"/>
            <wp:docPr id="4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9"/>
                    <pic:cNvPicPr>
                      <a:picLocks noChangeAspect="1"/>
                    </pic:cNvPicPr>
                  </pic:nvPicPr>
                  <pic:blipFill>
                    <a:blip r:embed="rId59"/>
                    <a:stretch>
                      <a:fillRect/>
                    </a:stretch>
                  </pic:blipFill>
                  <pic:spPr>
                    <a:xfrm>
                      <a:off x="0" y="0"/>
                      <a:ext cx="5219700" cy="3034665"/>
                    </a:xfrm>
                    <a:prstGeom prst="rect">
                      <a:avLst/>
                    </a:prstGeom>
                    <a:noFill/>
                    <a:ln>
                      <a:noFill/>
                    </a:ln>
                  </pic:spPr>
                </pic:pic>
              </a:graphicData>
            </a:graphic>
          </wp:inline>
        </w:drawing>
      </w:r>
    </w:p>
    <w:p w14:paraId="6553F389">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val="0"/>
          <w:bCs w:val="0"/>
          <w:sz w:val="24"/>
          <w:highlight w:val="none"/>
          <w:u w:val="none"/>
        </w:rPr>
      </w:pPr>
      <w:r>
        <w:rPr>
          <w:b/>
          <w:bCs/>
          <w:sz w:val="24"/>
          <w:szCs w:val="24"/>
          <w:highlight w:val="none"/>
          <w:u w:val="none"/>
        </w:rPr>
        <w:t>图5</w:t>
      </w:r>
      <w:r>
        <w:rPr>
          <w:rFonts w:hint="eastAsia"/>
          <w:b/>
          <w:bCs/>
          <w:sz w:val="24"/>
          <w:szCs w:val="24"/>
          <w:highlight w:val="none"/>
          <w:u w:val="none"/>
          <w:lang w:val="en-US" w:eastAsia="zh-CN"/>
        </w:rPr>
        <w:t>.2-7</w:t>
      </w:r>
      <w:r>
        <w:rPr>
          <w:b/>
          <w:bCs/>
          <w:sz w:val="24"/>
          <w:szCs w:val="24"/>
          <w:highlight w:val="none"/>
          <w:u w:val="none"/>
        </w:rPr>
        <w:t xml:space="preserve"> 泄</w:t>
      </w:r>
      <w:r>
        <w:rPr>
          <w:rFonts w:ascii="Times New Roman" w:hAnsi="Times New Roman" w:eastAsia="宋体" w:cs="Times New Roman"/>
          <w:b/>
          <w:bCs/>
          <w:sz w:val="24"/>
          <w:szCs w:val="24"/>
          <w:highlight w:val="none"/>
          <w:u w:val="none"/>
        </w:rPr>
        <w:t>漏</w:t>
      </w:r>
      <w:r>
        <w:rPr>
          <w:rFonts w:hint="eastAsia" w:ascii="Times New Roman" w:hAnsi="Times New Roman" w:eastAsia="宋体" w:cs="Times New Roman"/>
          <w:b/>
          <w:bCs/>
          <w:sz w:val="24"/>
          <w:szCs w:val="24"/>
          <w:highlight w:val="none"/>
          <w:u w:val="none"/>
          <w:lang w:val="en-US" w:eastAsia="zh-CN"/>
        </w:rPr>
        <w:t>365</w:t>
      </w:r>
      <w:r>
        <w:rPr>
          <w:rFonts w:ascii="Times New Roman" w:hAnsi="Times New Roman" w:eastAsia="宋体" w:cs="Times New Roman"/>
          <w:b/>
          <w:bCs/>
          <w:sz w:val="24"/>
          <w:szCs w:val="24"/>
          <w:highlight w:val="none"/>
          <w:u w:val="none"/>
        </w:rPr>
        <w:t>天</w:t>
      </w:r>
      <w:r>
        <w:rPr>
          <w:rFonts w:hint="eastAsia" w:ascii="Times New Roman" w:hAnsi="Times New Roman" w:eastAsia="宋体" w:cs="Times New Roman"/>
          <w:b/>
          <w:bCs/>
          <w:sz w:val="24"/>
          <w:szCs w:val="24"/>
          <w:highlight w:val="none"/>
          <w:u w:val="none"/>
          <w:lang w:val="en-US" w:eastAsia="zh-CN"/>
        </w:rPr>
        <w:t>甲磺酸钠</w:t>
      </w:r>
      <w:r>
        <w:rPr>
          <w:rFonts w:ascii="Times New Roman" w:hAnsi="Times New Roman" w:eastAsia="宋体" w:cs="Times New Roman"/>
          <w:b/>
          <w:bCs/>
          <w:sz w:val="24"/>
          <w:szCs w:val="24"/>
          <w:highlight w:val="none"/>
          <w:u w:val="none"/>
        </w:rPr>
        <w:t>运移预测结</w:t>
      </w:r>
      <w:r>
        <w:rPr>
          <w:b/>
          <w:bCs/>
          <w:sz w:val="24"/>
          <w:szCs w:val="24"/>
          <w:highlight w:val="none"/>
          <w:u w:val="none"/>
        </w:rPr>
        <w:t>果</w:t>
      </w:r>
    </w:p>
    <w:p w14:paraId="224082F9">
      <w:pPr>
        <w:spacing w:line="240" w:lineRule="auto"/>
        <w:jc w:val="center"/>
        <w:rPr>
          <w:rFonts w:hint="eastAsia"/>
          <w:b w:val="0"/>
          <w:bCs w:val="0"/>
          <w:sz w:val="24"/>
          <w:highlight w:val="none"/>
          <w:u w:val="none"/>
          <w:lang w:val="en-US" w:eastAsia="zh-CN"/>
        </w:rPr>
      </w:pPr>
      <w:r>
        <w:drawing>
          <wp:inline distT="0" distB="0" distL="114300" distR="114300">
            <wp:extent cx="5219700" cy="3053715"/>
            <wp:effectExtent l="0" t="0" r="7620" b="9525"/>
            <wp:docPr id="4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8"/>
                    <pic:cNvPicPr>
                      <a:picLocks noChangeAspect="1"/>
                    </pic:cNvPicPr>
                  </pic:nvPicPr>
                  <pic:blipFill>
                    <a:blip r:embed="rId60"/>
                    <a:stretch>
                      <a:fillRect/>
                    </a:stretch>
                  </pic:blipFill>
                  <pic:spPr>
                    <a:xfrm>
                      <a:off x="0" y="0"/>
                      <a:ext cx="5219700" cy="3053715"/>
                    </a:xfrm>
                    <a:prstGeom prst="rect">
                      <a:avLst/>
                    </a:prstGeom>
                    <a:noFill/>
                    <a:ln>
                      <a:noFill/>
                    </a:ln>
                  </pic:spPr>
                </pic:pic>
              </a:graphicData>
            </a:graphic>
          </wp:inline>
        </w:drawing>
      </w:r>
    </w:p>
    <w:p w14:paraId="029AD72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bCs/>
          <w:sz w:val="24"/>
          <w:szCs w:val="24"/>
          <w:highlight w:val="none"/>
          <w:u w:val="none"/>
        </w:rPr>
      </w:pPr>
      <w:r>
        <w:rPr>
          <w:b/>
          <w:bCs/>
          <w:sz w:val="24"/>
          <w:szCs w:val="24"/>
          <w:highlight w:val="none"/>
          <w:u w:val="none"/>
        </w:rPr>
        <w:t>图5</w:t>
      </w:r>
      <w:r>
        <w:rPr>
          <w:rFonts w:hint="eastAsia"/>
          <w:b/>
          <w:bCs/>
          <w:sz w:val="24"/>
          <w:szCs w:val="24"/>
          <w:highlight w:val="none"/>
          <w:u w:val="none"/>
          <w:lang w:val="en-US" w:eastAsia="zh-CN"/>
        </w:rPr>
        <w:t>.2-8</w:t>
      </w:r>
      <w:r>
        <w:rPr>
          <w:rFonts w:ascii="Times New Roman" w:hAnsi="Times New Roman" w:eastAsia="宋体" w:cs="Times New Roman"/>
          <w:b/>
          <w:bCs/>
          <w:sz w:val="24"/>
          <w:szCs w:val="24"/>
          <w:highlight w:val="none"/>
          <w:u w:val="none"/>
        </w:rPr>
        <w:t xml:space="preserve"> 泄漏1000天</w:t>
      </w:r>
      <w:r>
        <w:rPr>
          <w:rFonts w:hint="eastAsia" w:ascii="Times New Roman" w:hAnsi="Times New Roman" w:eastAsia="宋体" w:cs="Times New Roman"/>
          <w:b/>
          <w:bCs/>
          <w:sz w:val="24"/>
          <w:szCs w:val="24"/>
          <w:highlight w:val="none"/>
          <w:u w:val="none"/>
          <w:lang w:val="en-US" w:eastAsia="zh-CN"/>
        </w:rPr>
        <w:t>甲磺酸钠</w:t>
      </w:r>
      <w:r>
        <w:rPr>
          <w:rFonts w:ascii="Times New Roman" w:hAnsi="Times New Roman" w:eastAsia="宋体" w:cs="Times New Roman"/>
          <w:b/>
          <w:bCs/>
          <w:sz w:val="24"/>
          <w:szCs w:val="24"/>
          <w:highlight w:val="none"/>
          <w:u w:val="none"/>
        </w:rPr>
        <w:t>运移预</w:t>
      </w:r>
      <w:r>
        <w:rPr>
          <w:b/>
          <w:bCs/>
          <w:sz w:val="24"/>
          <w:szCs w:val="24"/>
          <w:highlight w:val="none"/>
          <w:u w:val="none"/>
        </w:rPr>
        <w:t>测结果</w:t>
      </w:r>
    </w:p>
    <w:p w14:paraId="6D3CEC04">
      <w:pPr>
        <w:spacing w:line="360" w:lineRule="auto"/>
        <w:ind w:firstLine="480" w:firstLineChars="200"/>
        <w:rPr>
          <w:rFonts w:hint="eastAsia"/>
          <w:b w:val="0"/>
          <w:bCs/>
          <w:sz w:val="24"/>
          <w:highlight w:val="none"/>
          <w:u w:val="none"/>
          <w:lang w:val="en-US" w:eastAsia="zh-CN"/>
        </w:rPr>
      </w:pPr>
      <w:r>
        <w:rPr>
          <w:rFonts w:hint="eastAsia"/>
          <w:b w:val="0"/>
          <w:bCs/>
          <w:sz w:val="24"/>
          <w:highlight w:val="none"/>
          <w:u w:val="none"/>
          <w:lang w:val="en-US" w:eastAsia="zh-CN"/>
        </w:rPr>
        <w:t>（3）地下水评价结论</w:t>
      </w:r>
    </w:p>
    <w:p w14:paraId="63E5EFB6">
      <w:pPr>
        <w:spacing w:line="360" w:lineRule="auto"/>
        <w:ind w:firstLine="480" w:firstLineChars="200"/>
        <w:rPr>
          <w:rFonts w:hint="default" w:ascii="Times New Roman" w:hAnsi="Times New Roman" w:eastAsia="宋体" w:cs="Times New Roman"/>
          <w:b w:val="0"/>
          <w:bCs/>
          <w:sz w:val="24"/>
          <w:highlight w:val="none"/>
          <w:u w:val="none"/>
          <w:lang w:val="en-US" w:eastAsia="zh-CN"/>
        </w:rPr>
      </w:pPr>
      <w:r>
        <w:rPr>
          <w:rFonts w:hint="eastAsia"/>
          <w:b w:val="0"/>
          <w:bCs/>
          <w:sz w:val="24"/>
          <w:highlight w:val="none"/>
          <w:u w:val="none"/>
          <w:lang w:val="en-US" w:eastAsia="zh-CN"/>
        </w:rPr>
        <w:t>本项目在现有厂区回转窑尾空地进行建设，工程边界距离厂界最近距离为76m（距离厂区东厂界76m、南厂界468m、西厂界274m、北厂界255m）</w:t>
      </w:r>
      <w:r>
        <w:rPr>
          <w:rFonts w:hint="eastAsia"/>
          <w:b w:val="0"/>
          <w:bCs/>
          <w:sz w:val="24"/>
          <w:u w:val="none"/>
          <w:lang w:val="en-US" w:eastAsia="zh-CN"/>
        </w:rPr>
        <w:t>，厂界东侧紧邻</w:t>
      </w:r>
      <w:r>
        <w:rPr>
          <w:rFonts w:hint="eastAsia"/>
          <w:sz w:val="24"/>
          <w:szCs w:val="24"/>
        </w:rPr>
        <w:t>新疆兴发化工有限公司</w:t>
      </w:r>
      <w:r>
        <w:rPr>
          <w:rFonts w:hint="eastAsia"/>
          <w:b w:val="0"/>
          <w:bCs/>
          <w:sz w:val="24"/>
          <w:u w:val="none"/>
          <w:lang w:val="en-US" w:eastAsia="zh-CN"/>
        </w:rPr>
        <w:t>，且位于化工产业集中区，评价范围内没有地下水敏感目标，因此，评价认为，</w:t>
      </w:r>
      <w:r>
        <w:rPr>
          <w:rFonts w:hint="eastAsia"/>
          <w:b w:val="0"/>
          <w:bCs/>
          <w:sz w:val="24"/>
          <w:highlight w:val="none"/>
          <w:u w:val="none"/>
          <w:lang w:val="en-US" w:eastAsia="zh-CN"/>
        </w:rPr>
        <w:t>非正常工况泄漏污染地</w:t>
      </w:r>
      <w:r>
        <w:rPr>
          <w:rFonts w:hint="default" w:ascii="Times New Roman" w:hAnsi="Times New Roman" w:cs="Times New Roman"/>
          <w:b w:val="0"/>
          <w:bCs/>
          <w:sz w:val="24"/>
          <w:highlight w:val="none"/>
          <w:u w:val="none"/>
          <w:lang w:val="en-US" w:eastAsia="zh-CN"/>
        </w:rPr>
        <w:t>下水时</w:t>
      </w:r>
      <w:r>
        <w:rPr>
          <w:rFonts w:hint="default" w:ascii="Times New Roman" w:hAnsi="Times New Roman" w:cs="Times New Roman"/>
          <w:b w:val="0"/>
          <w:bCs/>
          <w:sz w:val="24"/>
          <w:u w:val="none"/>
          <w:lang w:val="en-US" w:eastAsia="zh-CN"/>
        </w:rPr>
        <w:t>，除厂界内小范围以外地区甲磺酸钠</w:t>
      </w:r>
      <w:r>
        <w:rPr>
          <w:rFonts w:hint="eastAsia" w:cs="Times New Roman"/>
          <w:b w:val="0"/>
          <w:bCs/>
          <w:sz w:val="24"/>
          <w:u w:val="none"/>
          <w:lang w:val="en-US" w:eastAsia="zh-CN"/>
        </w:rPr>
        <w:t>（以钠计）</w:t>
      </w:r>
      <w:r>
        <w:rPr>
          <w:rFonts w:hint="default" w:ascii="Times New Roman" w:hAnsi="Times New Roman" w:cs="Times New Roman"/>
          <w:b w:val="0"/>
          <w:bCs/>
          <w:sz w:val="24"/>
          <w:u w:val="none"/>
          <w:lang w:val="en-US" w:eastAsia="zh-CN"/>
        </w:rPr>
        <w:t>浓度部分超标（</w:t>
      </w:r>
      <w:r>
        <w:rPr>
          <w:rFonts w:hint="eastAsia" w:cs="Times New Roman"/>
          <w:b w:val="0"/>
          <w:bCs/>
          <w:sz w:val="24"/>
          <w:u w:val="none"/>
          <w:lang w:val="en-US" w:eastAsia="zh-CN"/>
        </w:rPr>
        <w:t>钠</w:t>
      </w:r>
      <w:r>
        <w:rPr>
          <w:rFonts w:hint="default" w:ascii="Times New Roman" w:hAnsi="Times New Roman" w:cs="Times New Roman"/>
          <w:b w:val="0"/>
          <w:bCs/>
          <w:sz w:val="24"/>
          <w:u w:val="none"/>
          <w:lang w:val="en-US" w:eastAsia="zh-CN"/>
        </w:rPr>
        <w:t>标准浓度限制≤</w:t>
      </w:r>
      <w:r>
        <w:rPr>
          <w:rFonts w:hint="eastAsia" w:cs="Times New Roman"/>
          <w:b w:val="0"/>
          <w:bCs/>
          <w:sz w:val="24"/>
          <w:u w:val="none"/>
          <w:lang w:val="en-US" w:eastAsia="zh-CN"/>
        </w:rPr>
        <w:t>200</w:t>
      </w:r>
      <w:r>
        <w:rPr>
          <w:rFonts w:hint="default" w:ascii="Times New Roman" w:hAnsi="Times New Roman" w:cs="Times New Roman"/>
          <w:b w:val="0"/>
          <w:bCs/>
          <w:sz w:val="24"/>
          <w:u w:val="none"/>
          <w:lang w:val="en-US" w:eastAsia="zh-CN"/>
        </w:rPr>
        <w:t>mg/L</w:t>
      </w:r>
      <w:r>
        <w:rPr>
          <w:rFonts w:hint="eastAsia" w:cs="Times New Roman"/>
          <w:b w:val="0"/>
          <w:bCs/>
          <w:sz w:val="24"/>
          <w:u w:val="none"/>
          <w:lang w:val="en-US" w:eastAsia="zh-CN"/>
        </w:rPr>
        <w:t>，</w:t>
      </w:r>
      <w:r>
        <w:rPr>
          <w:rFonts w:hint="default" w:ascii="Times New Roman" w:hAnsi="Times New Roman" w:cs="Times New Roman"/>
          <w:b w:val="0"/>
          <w:bCs/>
          <w:sz w:val="24"/>
          <w:u w:val="none"/>
          <w:lang w:val="en-US" w:eastAsia="zh-CN"/>
        </w:rPr>
        <w:t>周边地下水水质均能满足《地下水质量标准》（GB/T14848-2017）中的</w:t>
      </w:r>
      <w:r>
        <w:rPr>
          <w:rFonts w:hint="default" w:ascii="Times New Roman" w:hAnsi="Times New Roman" w:eastAsia="宋体" w:cs="Times New Roman"/>
          <w:b w:val="0"/>
          <w:bCs/>
          <w:sz w:val="24"/>
          <w:highlight w:val="none"/>
          <w:u w:val="none"/>
          <w:lang w:val="en-US" w:eastAsia="zh-CN"/>
        </w:rPr>
        <w:t>Ⅲ类标准要求。</w:t>
      </w:r>
    </w:p>
    <w:p w14:paraId="1C0E6687">
      <w:pPr>
        <w:spacing w:line="360" w:lineRule="auto"/>
        <w:ind w:firstLine="480" w:firstLineChars="200"/>
      </w:pPr>
      <w:r>
        <w:rPr>
          <w:rFonts w:hint="eastAsia" w:ascii="Times New Roman" w:hAnsi="Times New Roman" w:eastAsia="宋体" w:cs="Times New Roman"/>
          <w:b w:val="0"/>
          <w:bCs/>
          <w:sz w:val="24"/>
          <w:highlight w:val="none"/>
          <w:u w:val="none"/>
          <w:lang w:val="en-US" w:eastAsia="zh-CN"/>
        </w:rPr>
        <w:t>由污染途径及应对措施分析可知，工程对可能造成地下水影响的各个途径均进行了有效预防，在确保各项防渗措施得以落实，并加强维护和场区环境管理的前提下，可有效控制场内的废水污染物下渗现象，避免污染地下水，因此工程对区域地下水环境影响较小。</w:t>
      </w:r>
    </w:p>
    <w:p w14:paraId="5E72B6CB">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eastAsia="zh-CN"/>
        </w:rPr>
      </w:pPr>
      <w:r>
        <w:rPr>
          <w:rFonts w:hint="default" w:ascii="Times New Roman" w:hAnsi="Times New Roman" w:eastAsia="宋体" w:cs="Times New Roman"/>
          <w:b/>
          <w:bCs w:val="0"/>
          <w:kern w:val="2"/>
          <w:sz w:val="24"/>
          <w:szCs w:val="24"/>
          <w:highlight w:val="none"/>
        </w:rPr>
        <w:t>5.2.4声环境影响预测与评价</w:t>
      </w:r>
    </w:p>
    <w:p w14:paraId="13A92916">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eastAsia" w:ascii="Times New Roman" w:hAnsi="Times New Roman" w:eastAsia="宋体" w:cs="Times New Roman"/>
          <w:b/>
          <w:bCs/>
          <w:sz w:val="24"/>
          <w:szCs w:val="16"/>
          <w:highlight w:val="none"/>
          <w:lang w:val="en-US" w:eastAsia="zh-CN"/>
        </w:rPr>
      </w:pPr>
      <w:r>
        <w:rPr>
          <w:rFonts w:hint="eastAsia" w:ascii="Times New Roman" w:hAnsi="Times New Roman" w:eastAsia="宋体" w:cs="Times New Roman"/>
          <w:b/>
          <w:bCs/>
          <w:sz w:val="24"/>
          <w:szCs w:val="16"/>
          <w:highlight w:val="none"/>
          <w:lang w:val="en-US" w:eastAsia="zh-CN"/>
        </w:rPr>
        <w:t>5.2.4.1本项目噪声源</w:t>
      </w:r>
    </w:p>
    <w:p w14:paraId="1FC3A864">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sectPr>
          <w:headerReference r:id="rId6" w:type="default"/>
          <w:pgSz w:w="11906" w:h="16838"/>
          <w:pgMar w:top="1440" w:right="1803" w:bottom="1440" w:left="1803" w:header="1021" w:footer="1021" w:gutter="0"/>
          <w:pgBorders>
            <w:top w:val="none" w:sz="0" w:space="0"/>
            <w:left w:val="none" w:sz="0" w:space="0"/>
            <w:bottom w:val="none" w:sz="0" w:space="0"/>
            <w:right w:val="none" w:sz="0" w:space="0"/>
          </w:pgBorders>
          <w:pgNumType w:fmt="decimal"/>
          <w:cols w:space="720" w:num="1"/>
          <w:docGrid w:linePitch="312" w:charSpace="0"/>
        </w:sectPr>
      </w:pPr>
      <w:r>
        <w:rPr>
          <w:rFonts w:hint="default" w:ascii="Times New Roman" w:hAnsi="Times New Roman" w:eastAsia="宋体" w:cs="Times New Roman"/>
          <w:sz w:val="24"/>
          <w:szCs w:val="24"/>
          <w:highlight w:val="none"/>
        </w:rPr>
        <w:t>本项目新增设备主要布局于</w:t>
      </w:r>
      <w:r>
        <w:rPr>
          <w:rFonts w:hint="eastAsia" w:cs="Times New Roman"/>
          <w:sz w:val="24"/>
          <w:szCs w:val="24"/>
          <w:highlight w:val="none"/>
          <w:lang w:val="en-US" w:eastAsia="zh-CN"/>
        </w:rPr>
        <w:t>上料</w:t>
      </w:r>
      <w:r>
        <w:rPr>
          <w:rFonts w:hint="default" w:ascii="Times New Roman" w:hAnsi="Times New Roman" w:eastAsia="宋体" w:cs="Times New Roman"/>
          <w:sz w:val="24"/>
          <w:szCs w:val="24"/>
          <w:highlight w:val="none"/>
        </w:rPr>
        <w:t>车间内，</w:t>
      </w:r>
      <w:r>
        <w:rPr>
          <w:rFonts w:hint="eastAsia" w:cs="Times New Roman"/>
          <w:sz w:val="24"/>
          <w:szCs w:val="24"/>
          <w:highlight w:val="none"/>
          <w:lang w:val="en-US" w:eastAsia="zh-CN"/>
        </w:rPr>
        <w:t>上料</w:t>
      </w:r>
      <w:r>
        <w:rPr>
          <w:rFonts w:hint="default" w:ascii="Times New Roman" w:hAnsi="Times New Roman" w:eastAsia="宋体" w:cs="Times New Roman"/>
          <w:sz w:val="24"/>
          <w:szCs w:val="24"/>
          <w:highlight w:val="none"/>
        </w:rPr>
        <w:t>车间主要噪声源强包括打散机、输送装置、风机、泵等，噪声声压级在8</w:t>
      </w:r>
      <w:r>
        <w:rPr>
          <w:rFonts w:hint="eastAsia" w:cs="Times New Roman"/>
          <w:sz w:val="24"/>
          <w:szCs w:val="24"/>
          <w:highlight w:val="none"/>
          <w:lang w:val="en-US" w:eastAsia="zh-CN"/>
        </w:rPr>
        <w:t>0</w:t>
      </w:r>
      <w:r>
        <w:rPr>
          <w:rFonts w:hint="default" w:ascii="Times New Roman" w:hAnsi="Times New Roman" w:eastAsia="宋体" w:cs="Times New Roman"/>
          <w:sz w:val="24"/>
          <w:szCs w:val="24"/>
          <w:highlight w:val="none"/>
        </w:rPr>
        <w:t>～9</w:t>
      </w:r>
      <w:r>
        <w:rPr>
          <w:rFonts w:hint="eastAsia" w:cs="Times New Roman"/>
          <w:sz w:val="24"/>
          <w:szCs w:val="24"/>
          <w:highlight w:val="none"/>
          <w:lang w:val="en-US" w:eastAsia="zh-CN"/>
        </w:rPr>
        <w:t>0</w:t>
      </w:r>
      <w:r>
        <w:rPr>
          <w:rFonts w:hint="default" w:ascii="Times New Roman" w:hAnsi="Times New Roman" w:eastAsia="宋体" w:cs="Times New Roman"/>
          <w:sz w:val="24"/>
          <w:szCs w:val="24"/>
          <w:highlight w:val="none"/>
        </w:rPr>
        <w:t>dB（A）之间。项目噪声源强调查清单见表5</w:t>
      </w:r>
      <w:r>
        <w:rPr>
          <w:rFonts w:hint="eastAsia" w:cs="Times New Roman"/>
          <w:sz w:val="24"/>
          <w:szCs w:val="24"/>
          <w:highlight w:val="none"/>
          <w:lang w:val="en-US" w:eastAsia="zh-CN"/>
        </w:rPr>
        <w:t>.2-25</w:t>
      </w:r>
      <w:r>
        <w:rPr>
          <w:rFonts w:hint="default" w:ascii="Times New Roman" w:hAnsi="Times New Roman" w:eastAsia="宋体" w:cs="Times New Roman"/>
          <w:sz w:val="24"/>
          <w:szCs w:val="24"/>
          <w:highlight w:val="none"/>
        </w:rPr>
        <w:t>。</w:t>
      </w:r>
    </w:p>
    <w:p w14:paraId="588232C1">
      <w:pPr>
        <w:keepNext w:val="0"/>
        <w:keepLines w:val="0"/>
        <w:pageBreakBefore w:val="0"/>
        <w:widowControl w:val="0"/>
        <w:kinsoku/>
        <w:wordWrap/>
        <w:overflowPunct/>
        <w:topLinePunct w:val="0"/>
        <w:autoSpaceDE/>
        <w:autoSpaceDN/>
        <w:bidi w:val="0"/>
        <w:adjustRightInd/>
        <w:snapToGrid/>
        <w:jc w:val="center"/>
        <w:textAlignment w:val="auto"/>
        <w:rPr>
          <w:rFonts w:hint="eastAsia"/>
          <w:b/>
          <w:bCs/>
          <w:sz w:val="24"/>
          <w:szCs w:val="24"/>
          <w:highlight w:val="none"/>
          <w:u w:val="none"/>
        </w:rPr>
      </w:pPr>
      <w:r>
        <w:rPr>
          <w:rFonts w:hint="eastAsia"/>
          <w:b/>
          <w:bCs/>
          <w:sz w:val="24"/>
          <w:szCs w:val="24"/>
          <w:highlight w:val="none"/>
          <w:u w:val="none"/>
        </w:rPr>
        <w:t>表</w:t>
      </w:r>
      <w:r>
        <w:rPr>
          <w:rFonts w:hint="eastAsia"/>
          <w:b/>
          <w:bCs/>
          <w:sz w:val="24"/>
          <w:szCs w:val="24"/>
          <w:highlight w:val="none"/>
          <w:u w:val="none"/>
          <w:lang w:val="en-US" w:eastAsia="zh-CN"/>
        </w:rPr>
        <w:t>5.2-22</w:t>
      </w:r>
      <w:r>
        <w:rPr>
          <w:rFonts w:hint="eastAsia"/>
          <w:b/>
          <w:bCs/>
          <w:sz w:val="24"/>
          <w:szCs w:val="24"/>
          <w:highlight w:val="none"/>
          <w:u w:val="none"/>
        </w:rPr>
        <w:t xml:space="preserve"> 本项目噪声源强</w:t>
      </w:r>
      <w:r>
        <w:rPr>
          <w:rFonts w:hint="eastAsia"/>
          <w:b/>
          <w:bCs/>
          <w:sz w:val="24"/>
          <w:szCs w:val="24"/>
          <w:highlight w:val="none"/>
          <w:u w:val="none"/>
          <w:lang w:eastAsia="zh-CN"/>
        </w:rPr>
        <w:t>（室内声源）</w:t>
      </w:r>
      <w:r>
        <w:rPr>
          <w:rFonts w:hint="eastAsia"/>
          <w:b/>
          <w:bCs/>
          <w:sz w:val="24"/>
          <w:szCs w:val="24"/>
          <w:highlight w:val="none"/>
          <w:u w:val="none"/>
        </w:rPr>
        <w:t>一览表</w:t>
      </w:r>
    </w:p>
    <w:tbl>
      <w:tblPr>
        <w:tblStyle w:val="40"/>
        <w:tblW w:w="4996"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2" w:space="0"/>
        </w:tblBorders>
        <w:tblLayout w:type="autofit"/>
        <w:tblCellMar>
          <w:top w:w="0" w:type="dxa"/>
          <w:left w:w="108" w:type="dxa"/>
          <w:bottom w:w="0" w:type="dxa"/>
          <w:right w:w="108" w:type="dxa"/>
        </w:tblCellMar>
      </w:tblPr>
      <w:tblGrid>
        <w:gridCol w:w="432"/>
        <w:gridCol w:w="503"/>
        <w:gridCol w:w="690"/>
        <w:gridCol w:w="767"/>
        <w:gridCol w:w="918"/>
        <w:gridCol w:w="640"/>
        <w:gridCol w:w="765"/>
        <w:gridCol w:w="567"/>
        <w:gridCol w:w="465"/>
        <w:gridCol w:w="465"/>
        <w:gridCol w:w="513"/>
        <w:gridCol w:w="510"/>
        <w:gridCol w:w="578"/>
        <w:gridCol w:w="578"/>
        <w:gridCol w:w="578"/>
        <w:gridCol w:w="623"/>
        <w:gridCol w:w="541"/>
        <w:gridCol w:w="768"/>
        <w:gridCol w:w="578"/>
        <w:gridCol w:w="581"/>
        <w:gridCol w:w="581"/>
        <w:gridCol w:w="584"/>
        <w:gridCol w:w="938"/>
      </w:tblGrid>
      <w:tr w14:paraId="57754D52">
        <w:tblPrEx>
          <w:tblBorders>
            <w:top w:val="single" w:color="auto" w:sz="18" w:space="0"/>
            <w:left w:val="none" w:color="auto" w:sz="0" w:space="0"/>
            <w:bottom w:val="single" w:color="auto" w:sz="18"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859" w:hRule="atLeast"/>
        </w:trPr>
        <w:tc>
          <w:tcPr>
            <w:tcW w:w="153" w:type="pct"/>
            <w:vMerge w:val="restart"/>
            <w:tcBorders>
              <w:tl2br w:val="nil"/>
              <w:tr2bl w:val="nil"/>
            </w:tcBorders>
            <w:noWrap w:val="0"/>
            <w:vAlign w:val="center"/>
          </w:tcPr>
          <w:p w14:paraId="0A309E38">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default" w:ascii="Times New Roman" w:hAnsi="Times New Roman" w:eastAsia="宋体" w:cs="Times New Roman"/>
                <w:b/>
                <w:bCs/>
                <w:color w:val="auto"/>
                <w:sz w:val="21"/>
                <w:szCs w:val="21"/>
                <w:u w:val="none"/>
                <w:vertAlign w:val="baseline"/>
                <w:lang w:val="en-US" w:eastAsia="zh-CN"/>
              </w:rPr>
              <w:t>序号</w:t>
            </w:r>
          </w:p>
        </w:tc>
        <w:tc>
          <w:tcPr>
            <w:tcW w:w="178" w:type="pct"/>
            <w:vMerge w:val="restart"/>
            <w:tcBorders>
              <w:tl2br w:val="nil"/>
              <w:tr2bl w:val="nil"/>
            </w:tcBorders>
            <w:noWrap w:val="0"/>
            <w:vAlign w:val="center"/>
          </w:tcPr>
          <w:p w14:paraId="26DB6576">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建筑物名称</w:t>
            </w:r>
          </w:p>
        </w:tc>
        <w:tc>
          <w:tcPr>
            <w:tcW w:w="244" w:type="pct"/>
            <w:vMerge w:val="restart"/>
            <w:tcBorders>
              <w:tl2br w:val="nil"/>
              <w:tr2bl w:val="nil"/>
            </w:tcBorders>
            <w:noWrap w:val="0"/>
            <w:vAlign w:val="center"/>
          </w:tcPr>
          <w:p w14:paraId="3916C72F">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声源名称</w:t>
            </w:r>
          </w:p>
        </w:tc>
        <w:tc>
          <w:tcPr>
            <w:tcW w:w="271" w:type="pct"/>
            <w:vMerge w:val="restart"/>
            <w:tcBorders>
              <w:tl2br w:val="nil"/>
              <w:tr2bl w:val="nil"/>
            </w:tcBorders>
            <w:noWrap w:val="0"/>
            <w:vAlign w:val="center"/>
          </w:tcPr>
          <w:p w14:paraId="2B24F08D">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声功率级dB(A)</w:t>
            </w:r>
          </w:p>
        </w:tc>
        <w:tc>
          <w:tcPr>
            <w:tcW w:w="324" w:type="pct"/>
            <w:vMerge w:val="restart"/>
            <w:tcBorders>
              <w:tl2br w:val="nil"/>
              <w:tr2bl w:val="nil"/>
            </w:tcBorders>
            <w:noWrap w:val="0"/>
            <w:vAlign w:val="center"/>
          </w:tcPr>
          <w:p w14:paraId="2E855A4A">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声源控制措施</w:t>
            </w:r>
          </w:p>
        </w:tc>
        <w:tc>
          <w:tcPr>
            <w:tcW w:w="696" w:type="pct"/>
            <w:gridSpan w:val="3"/>
            <w:tcBorders>
              <w:tl2br w:val="nil"/>
              <w:tr2bl w:val="nil"/>
            </w:tcBorders>
            <w:noWrap w:val="0"/>
            <w:vAlign w:val="center"/>
          </w:tcPr>
          <w:p w14:paraId="0E8F2F3A">
            <w:pPr>
              <w:adjustRightInd w:val="0"/>
              <w:snapToGrid w:val="0"/>
              <w:jc w:val="center"/>
              <w:rPr>
                <w:rFonts w:hint="eastAsia"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空间相对位置(m)</w:t>
            </w:r>
          </w:p>
        </w:tc>
        <w:tc>
          <w:tcPr>
            <w:tcW w:w="689" w:type="pct"/>
            <w:gridSpan w:val="4"/>
            <w:tcBorders>
              <w:tl2br w:val="nil"/>
              <w:tr2bl w:val="nil"/>
            </w:tcBorders>
            <w:noWrap w:val="0"/>
            <w:vAlign w:val="center"/>
          </w:tcPr>
          <w:p w14:paraId="10217E4A">
            <w:pPr>
              <w:adjustRightInd w:val="0"/>
              <w:snapToGrid w:val="0"/>
              <w:jc w:val="center"/>
              <w:rPr>
                <w:rFonts w:hint="eastAsia"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距室内边界距离(m)</w:t>
            </w:r>
          </w:p>
        </w:tc>
        <w:tc>
          <w:tcPr>
            <w:tcW w:w="832" w:type="pct"/>
            <w:gridSpan w:val="4"/>
            <w:tcBorders>
              <w:tl2br w:val="nil"/>
              <w:tr2bl w:val="nil"/>
            </w:tcBorders>
            <w:noWrap w:val="0"/>
            <w:vAlign w:val="center"/>
          </w:tcPr>
          <w:p w14:paraId="6D2DEA0F">
            <w:pPr>
              <w:adjustRightInd w:val="0"/>
              <w:snapToGrid w:val="0"/>
              <w:jc w:val="center"/>
              <w:rPr>
                <w:rFonts w:hint="eastAsia"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室内边界声级dB(A)</w:t>
            </w:r>
          </w:p>
        </w:tc>
        <w:tc>
          <w:tcPr>
            <w:tcW w:w="191" w:type="pct"/>
            <w:vMerge w:val="restart"/>
            <w:tcBorders>
              <w:tl2br w:val="nil"/>
              <w:tr2bl w:val="nil"/>
            </w:tcBorders>
            <w:noWrap w:val="0"/>
            <w:vAlign w:val="center"/>
          </w:tcPr>
          <w:p w14:paraId="65773E93">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运行时段</w:t>
            </w:r>
          </w:p>
        </w:tc>
        <w:tc>
          <w:tcPr>
            <w:tcW w:w="271" w:type="pct"/>
            <w:vMerge w:val="restart"/>
            <w:tcBorders>
              <w:tl2br w:val="nil"/>
              <w:tr2bl w:val="nil"/>
            </w:tcBorders>
            <w:noWrap w:val="0"/>
            <w:vAlign w:val="center"/>
          </w:tcPr>
          <w:p w14:paraId="16DADCD1">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建筑物插入损失dB(A)</w:t>
            </w:r>
          </w:p>
        </w:tc>
        <w:tc>
          <w:tcPr>
            <w:tcW w:w="1145" w:type="pct"/>
            <w:gridSpan w:val="5"/>
            <w:tcBorders>
              <w:tl2br w:val="nil"/>
              <w:tr2bl w:val="nil"/>
            </w:tcBorders>
            <w:noWrap w:val="0"/>
            <w:vAlign w:val="center"/>
          </w:tcPr>
          <w:p w14:paraId="1208B8F5">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建筑物外噪声</w:t>
            </w:r>
          </w:p>
        </w:tc>
      </w:tr>
      <w:tr w14:paraId="27D01A54">
        <w:tblPrEx>
          <w:tblBorders>
            <w:top w:val="single" w:color="auto" w:sz="18" w:space="0"/>
            <w:left w:val="none" w:color="auto" w:sz="0" w:space="0"/>
            <w:bottom w:val="single" w:color="auto" w:sz="18"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405" w:hRule="atLeast"/>
        </w:trPr>
        <w:tc>
          <w:tcPr>
            <w:tcW w:w="153" w:type="pct"/>
            <w:vMerge w:val="continue"/>
            <w:tcBorders>
              <w:tl2br w:val="nil"/>
              <w:tr2bl w:val="nil"/>
            </w:tcBorders>
            <w:noWrap w:val="0"/>
            <w:vAlign w:val="center"/>
          </w:tcPr>
          <w:p w14:paraId="7153A0CD">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p>
        </w:tc>
        <w:tc>
          <w:tcPr>
            <w:tcW w:w="178" w:type="pct"/>
            <w:vMerge w:val="continue"/>
            <w:tcBorders>
              <w:tl2br w:val="nil"/>
              <w:tr2bl w:val="nil"/>
            </w:tcBorders>
            <w:noWrap w:val="0"/>
            <w:vAlign w:val="center"/>
          </w:tcPr>
          <w:p w14:paraId="3E2904E3">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p>
        </w:tc>
        <w:tc>
          <w:tcPr>
            <w:tcW w:w="244" w:type="pct"/>
            <w:vMerge w:val="continue"/>
            <w:tcBorders>
              <w:tl2br w:val="nil"/>
              <w:tr2bl w:val="nil"/>
            </w:tcBorders>
            <w:noWrap w:val="0"/>
            <w:vAlign w:val="center"/>
          </w:tcPr>
          <w:p w14:paraId="6A7B808C">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p>
        </w:tc>
        <w:tc>
          <w:tcPr>
            <w:tcW w:w="271" w:type="pct"/>
            <w:vMerge w:val="continue"/>
            <w:tcBorders>
              <w:tl2br w:val="nil"/>
              <w:tr2bl w:val="nil"/>
            </w:tcBorders>
            <w:noWrap w:val="0"/>
            <w:vAlign w:val="center"/>
          </w:tcPr>
          <w:p w14:paraId="3CE28FA5">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p>
        </w:tc>
        <w:tc>
          <w:tcPr>
            <w:tcW w:w="324" w:type="pct"/>
            <w:vMerge w:val="continue"/>
            <w:tcBorders>
              <w:tl2br w:val="nil"/>
              <w:tr2bl w:val="nil"/>
            </w:tcBorders>
            <w:noWrap w:val="0"/>
            <w:vAlign w:val="center"/>
          </w:tcPr>
          <w:p w14:paraId="6DAFF7BC">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p>
        </w:tc>
        <w:tc>
          <w:tcPr>
            <w:tcW w:w="226" w:type="pct"/>
            <w:vMerge w:val="restart"/>
            <w:tcBorders>
              <w:tl2br w:val="nil"/>
              <w:tr2bl w:val="nil"/>
            </w:tcBorders>
            <w:noWrap w:val="0"/>
            <w:vAlign w:val="center"/>
          </w:tcPr>
          <w:p w14:paraId="160B85B7">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X</w:t>
            </w:r>
          </w:p>
        </w:tc>
        <w:tc>
          <w:tcPr>
            <w:tcW w:w="270" w:type="pct"/>
            <w:vMerge w:val="restart"/>
            <w:tcBorders>
              <w:tl2br w:val="nil"/>
              <w:tr2bl w:val="nil"/>
            </w:tcBorders>
            <w:noWrap w:val="0"/>
            <w:vAlign w:val="center"/>
          </w:tcPr>
          <w:p w14:paraId="546C8BF5">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Y</w:t>
            </w:r>
          </w:p>
        </w:tc>
        <w:tc>
          <w:tcPr>
            <w:tcW w:w="199" w:type="pct"/>
            <w:vMerge w:val="restart"/>
            <w:tcBorders>
              <w:tl2br w:val="nil"/>
              <w:tr2bl w:val="nil"/>
            </w:tcBorders>
            <w:noWrap w:val="0"/>
            <w:vAlign w:val="center"/>
          </w:tcPr>
          <w:p w14:paraId="017EDDC2">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Z</w:t>
            </w:r>
          </w:p>
        </w:tc>
        <w:tc>
          <w:tcPr>
            <w:tcW w:w="164" w:type="pct"/>
            <w:vMerge w:val="restart"/>
            <w:tcBorders>
              <w:tl2br w:val="nil"/>
              <w:tr2bl w:val="nil"/>
            </w:tcBorders>
            <w:noWrap w:val="0"/>
            <w:vAlign w:val="center"/>
          </w:tcPr>
          <w:p w14:paraId="1C5C491A">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东</w:t>
            </w:r>
          </w:p>
        </w:tc>
        <w:tc>
          <w:tcPr>
            <w:tcW w:w="164" w:type="pct"/>
            <w:vMerge w:val="restart"/>
            <w:tcBorders>
              <w:tl2br w:val="nil"/>
              <w:tr2bl w:val="nil"/>
            </w:tcBorders>
            <w:noWrap w:val="0"/>
            <w:vAlign w:val="center"/>
          </w:tcPr>
          <w:p w14:paraId="570A0B1B">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南</w:t>
            </w:r>
          </w:p>
        </w:tc>
        <w:tc>
          <w:tcPr>
            <w:tcW w:w="181" w:type="pct"/>
            <w:vMerge w:val="restart"/>
            <w:tcBorders>
              <w:tl2br w:val="nil"/>
              <w:tr2bl w:val="nil"/>
            </w:tcBorders>
            <w:noWrap w:val="0"/>
            <w:vAlign w:val="center"/>
          </w:tcPr>
          <w:p w14:paraId="707DA4E6">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西</w:t>
            </w:r>
          </w:p>
        </w:tc>
        <w:tc>
          <w:tcPr>
            <w:tcW w:w="179" w:type="pct"/>
            <w:vMerge w:val="restart"/>
            <w:tcBorders>
              <w:tl2br w:val="nil"/>
              <w:tr2bl w:val="nil"/>
            </w:tcBorders>
            <w:noWrap w:val="0"/>
            <w:vAlign w:val="center"/>
          </w:tcPr>
          <w:p w14:paraId="1733EE16">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北</w:t>
            </w:r>
          </w:p>
        </w:tc>
        <w:tc>
          <w:tcPr>
            <w:tcW w:w="204" w:type="pct"/>
            <w:vMerge w:val="restart"/>
            <w:tcBorders>
              <w:tl2br w:val="nil"/>
              <w:tr2bl w:val="nil"/>
            </w:tcBorders>
            <w:noWrap w:val="0"/>
            <w:vAlign w:val="center"/>
          </w:tcPr>
          <w:p w14:paraId="7C4AA25E">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东</w:t>
            </w:r>
          </w:p>
        </w:tc>
        <w:tc>
          <w:tcPr>
            <w:tcW w:w="204" w:type="pct"/>
            <w:vMerge w:val="restart"/>
            <w:tcBorders>
              <w:tl2br w:val="nil"/>
              <w:tr2bl w:val="nil"/>
            </w:tcBorders>
            <w:noWrap w:val="0"/>
            <w:vAlign w:val="center"/>
          </w:tcPr>
          <w:p w14:paraId="3CA7AFD6">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南</w:t>
            </w:r>
          </w:p>
        </w:tc>
        <w:tc>
          <w:tcPr>
            <w:tcW w:w="204" w:type="pct"/>
            <w:vMerge w:val="restart"/>
            <w:tcBorders>
              <w:tl2br w:val="nil"/>
              <w:tr2bl w:val="nil"/>
            </w:tcBorders>
            <w:noWrap w:val="0"/>
            <w:vAlign w:val="center"/>
          </w:tcPr>
          <w:p w14:paraId="29583AA2">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西</w:t>
            </w:r>
          </w:p>
        </w:tc>
        <w:tc>
          <w:tcPr>
            <w:tcW w:w="217" w:type="pct"/>
            <w:vMerge w:val="restart"/>
            <w:tcBorders>
              <w:tl2br w:val="nil"/>
              <w:tr2bl w:val="nil"/>
            </w:tcBorders>
            <w:noWrap w:val="0"/>
            <w:vAlign w:val="center"/>
          </w:tcPr>
          <w:p w14:paraId="2609DE78">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北</w:t>
            </w:r>
          </w:p>
        </w:tc>
        <w:tc>
          <w:tcPr>
            <w:tcW w:w="191" w:type="pct"/>
            <w:vMerge w:val="continue"/>
            <w:tcBorders>
              <w:tl2br w:val="nil"/>
              <w:tr2bl w:val="nil"/>
            </w:tcBorders>
            <w:noWrap w:val="0"/>
            <w:vAlign w:val="center"/>
          </w:tcPr>
          <w:p w14:paraId="7528A847">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p>
        </w:tc>
        <w:tc>
          <w:tcPr>
            <w:tcW w:w="271" w:type="pct"/>
            <w:vMerge w:val="continue"/>
            <w:tcBorders>
              <w:tl2br w:val="nil"/>
              <w:tr2bl w:val="nil"/>
            </w:tcBorders>
            <w:noWrap w:val="0"/>
            <w:vAlign w:val="center"/>
          </w:tcPr>
          <w:p w14:paraId="697C52DD">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p>
        </w:tc>
        <w:tc>
          <w:tcPr>
            <w:tcW w:w="820" w:type="pct"/>
            <w:gridSpan w:val="4"/>
            <w:tcBorders>
              <w:tl2br w:val="nil"/>
              <w:tr2bl w:val="nil"/>
            </w:tcBorders>
            <w:noWrap w:val="0"/>
            <w:vAlign w:val="center"/>
          </w:tcPr>
          <w:p w14:paraId="62FF455B">
            <w:pPr>
              <w:adjustRightInd w:val="0"/>
              <w:snapToGrid w:val="0"/>
              <w:jc w:val="center"/>
              <w:rPr>
                <w:rFonts w:hint="eastAsia"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声压级dB(A)</w:t>
            </w:r>
          </w:p>
        </w:tc>
        <w:tc>
          <w:tcPr>
            <w:tcW w:w="325" w:type="pct"/>
            <w:vMerge w:val="restart"/>
            <w:tcBorders>
              <w:tl2br w:val="nil"/>
              <w:tr2bl w:val="nil"/>
            </w:tcBorders>
            <w:noWrap w:val="0"/>
            <w:vAlign w:val="center"/>
          </w:tcPr>
          <w:p w14:paraId="26E1A722">
            <w:pPr>
              <w:adjustRightInd w:val="0"/>
              <w:snapToGrid w:val="0"/>
              <w:jc w:val="center"/>
              <w:rPr>
                <w:rFonts w:hint="default" w:ascii="Times New Roman" w:hAnsi="Times New Roman" w:eastAsia="宋体" w:cs="Times New Roman"/>
                <w:b/>
                <w:bCs/>
                <w:color w:val="auto"/>
                <w:sz w:val="21"/>
                <w:szCs w:val="21"/>
                <w:u w:val="none"/>
                <w:vertAlign w:val="baseline"/>
                <w:lang w:val="en-US" w:eastAsia="zh-CN"/>
              </w:rPr>
            </w:pPr>
            <w:r>
              <w:rPr>
                <w:rFonts w:hint="eastAsia" w:ascii="Times New Roman" w:hAnsi="Times New Roman" w:eastAsia="宋体" w:cs="Times New Roman"/>
                <w:b/>
                <w:bCs/>
                <w:color w:val="auto"/>
                <w:sz w:val="21"/>
                <w:szCs w:val="21"/>
                <w:u w:val="none"/>
                <w:vertAlign w:val="baseline"/>
                <w:lang w:val="en-US" w:eastAsia="zh-CN"/>
              </w:rPr>
              <w:t>建筑物外距离(m)</w:t>
            </w:r>
          </w:p>
        </w:tc>
      </w:tr>
      <w:tr w14:paraId="0CEB4199">
        <w:tblPrEx>
          <w:tblBorders>
            <w:top w:val="single" w:color="auto" w:sz="18" w:space="0"/>
            <w:left w:val="none" w:color="auto" w:sz="0" w:space="0"/>
            <w:bottom w:val="single" w:color="auto" w:sz="18"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598" w:hRule="atLeast"/>
        </w:trPr>
        <w:tc>
          <w:tcPr>
            <w:tcW w:w="153" w:type="pct"/>
            <w:vMerge w:val="continue"/>
            <w:tcBorders>
              <w:tl2br w:val="nil"/>
              <w:tr2bl w:val="nil"/>
            </w:tcBorders>
            <w:noWrap w:val="0"/>
            <w:vAlign w:val="center"/>
          </w:tcPr>
          <w:p w14:paraId="6417AA1E">
            <w:pPr>
              <w:adjustRightInd w:val="0"/>
              <w:snapToGrid w:val="0"/>
              <w:jc w:val="center"/>
              <w:rPr>
                <w:b w:val="0"/>
                <w:bCs w:val="0"/>
                <w:color w:val="auto"/>
                <w:sz w:val="21"/>
                <w:szCs w:val="21"/>
                <w:u w:val="none"/>
              </w:rPr>
            </w:pPr>
          </w:p>
        </w:tc>
        <w:tc>
          <w:tcPr>
            <w:tcW w:w="178" w:type="pct"/>
            <w:vMerge w:val="continue"/>
            <w:tcBorders>
              <w:tl2br w:val="nil"/>
              <w:tr2bl w:val="nil"/>
            </w:tcBorders>
            <w:noWrap w:val="0"/>
            <w:vAlign w:val="center"/>
          </w:tcPr>
          <w:p w14:paraId="2722EF09">
            <w:pPr>
              <w:adjustRightInd w:val="0"/>
              <w:snapToGrid w:val="0"/>
              <w:jc w:val="center"/>
              <w:rPr>
                <w:b w:val="0"/>
                <w:bCs w:val="0"/>
                <w:color w:val="auto"/>
                <w:sz w:val="21"/>
                <w:szCs w:val="21"/>
                <w:u w:val="none"/>
              </w:rPr>
            </w:pPr>
          </w:p>
        </w:tc>
        <w:tc>
          <w:tcPr>
            <w:tcW w:w="244" w:type="pct"/>
            <w:vMerge w:val="continue"/>
            <w:tcBorders>
              <w:tl2br w:val="nil"/>
              <w:tr2bl w:val="nil"/>
            </w:tcBorders>
            <w:noWrap w:val="0"/>
            <w:vAlign w:val="center"/>
          </w:tcPr>
          <w:p w14:paraId="49B55D31">
            <w:pPr>
              <w:adjustRightInd w:val="0"/>
              <w:snapToGrid w:val="0"/>
              <w:jc w:val="center"/>
              <w:rPr>
                <w:b w:val="0"/>
                <w:bCs w:val="0"/>
                <w:color w:val="auto"/>
                <w:sz w:val="21"/>
                <w:szCs w:val="21"/>
                <w:u w:val="none"/>
              </w:rPr>
            </w:pPr>
          </w:p>
        </w:tc>
        <w:tc>
          <w:tcPr>
            <w:tcW w:w="271" w:type="pct"/>
            <w:vMerge w:val="continue"/>
            <w:tcBorders>
              <w:tl2br w:val="nil"/>
              <w:tr2bl w:val="nil"/>
            </w:tcBorders>
            <w:noWrap w:val="0"/>
            <w:vAlign w:val="center"/>
          </w:tcPr>
          <w:p w14:paraId="78698825">
            <w:pPr>
              <w:adjustRightInd w:val="0"/>
              <w:snapToGrid w:val="0"/>
              <w:jc w:val="center"/>
              <w:rPr>
                <w:b w:val="0"/>
                <w:bCs w:val="0"/>
                <w:color w:val="auto"/>
                <w:sz w:val="21"/>
                <w:szCs w:val="21"/>
                <w:u w:val="none"/>
              </w:rPr>
            </w:pPr>
          </w:p>
        </w:tc>
        <w:tc>
          <w:tcPr>
            <w:tcW w:w="324" w:type="pct"/>
            <w:vMerge w:val="continue"/>
            <w:tcBorders>
              <w:tl2br w:val="nil"/>
              <w:tr2bl w:val="nil"/>
            </w:tcBorders>
            <w:noWrap w:val="0"/>
            <w:vAlign w:val="center"/>
          </w:tcPr>
          <w:p w14:paraId="38434591">
            <w:pPr>
              <w:adjustRightInd w:val="0"/>
              <w:snapToGrid w:val="0"/>
              <w:jc w:val="center"/>
              <w:rPr>
                <w:b w:val="0"/>
                <w:bCs w:val="0"/>
                <w:color w:val="auto"/>
                <w:sz w:val="21"/>
                <w:szCs w:val="21"/>
                <w:u w:val="none"/>
              </w:rPr>
            </w:pPr>
          </w:p>
        </w:tc>
        <w:tc>
          <w:tcPr>
            <w:tcW w:w="226" w:type="pct"/>
            <w:vMerge w:val="continue"/>
            <w:tcBorders>
              <w:tl2br w:val="nil"/>
              <w:tr2bl w:val="nil"/>
            </w:tcBorders>
            <w:noWrap w:val="0"/>
            <w:vAlign w:val="center"/>
          </w:tcPr>
          <w:p w14:paraId="4C73322E">
            <w:pPr>
              <w:adjustRightInd w:val="0"/>
              <w:snapToGrid w:val="0"/>
              <w:jc w:val="center"/>
              <w:rPr>
                <w:b w:val="0"/>
                <w:bCs w:val="0"/>
                <w:color w:val="auto"/>
                <w:sz w:val="21"/>
                <w:szCs w:val="21"/>
                <w:u w:val="none"/>
              </w:rPr>
            </w:pPr>
          </w:p>
        </w:tc>
        <w:tc>
          <w:tcPr>
            <w:tcW w:w="270" w:type="pct"/>
            <w:vMerge w:val="continue"/>
            <w:tcBorders>
              <w:tl2br w:val="nil"/>
              <w:tr2bl w:val="nil"/>
            </w:tcBorders>
            <w:noWrap w:val="0"/>
            <w:vAlign w:val="center"/>
          </w:tcPr>
          <w:p w14:paraId="316B5D3F">
            <w:pPr>
              <w:adjustRightInd w:val="0"/>
              <w:snapToGrid w:val="0"/>
              <w:jc w:val="center"/>
              <w:rPr>
                <w:b w:val="0"/>
                <w:bCs w:val="0"/>
                <w:color w:val="auto"/>
                <w:sz w:val="21"/>
                <w:szCs w:val="21"/>
                <w:u w:val="none"/>
              </w:rPr>
            </w:pPr>
          </w:p>
        </w:tc>
        <w:tc>
          <w:tcPr>
            <w:tcW w:w="199" w:type="pct"/>
            <w:vMerge w:val="continue"/>
            <w:tcBorders>
              <w:tl2br w:val="nil"/>
              <w:tr2bl w:val="nil"/>
            </w:tcBorders>
            <w:noWrap w:val="0"/>
            <w:vAlign w:val="center"/>
          </w:tcPr>
          <w:p w14:paraId="35BA4C3F">
            <w:pPr>
              <w:adjustRightInd w:val="0"/>
              <w:snapToGrid w:val="0"/>
              <w:jc w:val="center"/>
              <w:rPr>
                <w:b w:val="0"/>
                <w:bCs w:val="0"/>
                <w:color w:val="auto"/>
                <w:sz w:val="21"/>
                <w:szCs w:val="21"/>
                <w:u w:val="none"/>
              </w:rPr>
            </w:pPr>
          </w:p>
        </w:tc>
        <w:tc>
          <w:tcPr>
            <w:tcW w:w="164" w:type="pct"/>
            <w:vMerge w:val="continue"/>
            <w:tcBorders>
              <w:tl2br w:val="nil"/>
              <w:tr2bl w:val="nil"/>
            </w:tcBorders>
            <w:noWrap w:val="0"/>
            <w:vAlign w:val="center"/>
          </w:tcPr>
          <w:p w14:paraId="6799076F">
            <w:pPr>
              <w:adjustRightInd w:val="0"/>
              <w:snapToGrid w:val="0"/>
              <w:jc w:val="center"/>
              <w:rPr>
                <w:b w:val="0"/>
                <w:bCs w:val="0"/>
                <w:color w:val="auto"/>
                <w:sz w:val="21"/>
                <w:szCs w:val="21"/>
                <w:u w:val="none"/>
              </w:rPr>
            </w:pPr>
          </w:p>
        </w:tc>
        <w:tc>
          <w:tcPr>
            <w:tcW w:w="164" w:type="pct"/>
            <w:vMerge w:val="continue"/>
            <w:tcBorders>
              <w:tl2br w:val="nil"/>
              <w:tr2bl w:val="nil"/>
            </w:tcBorders>
            <w:noWrap w:val="0"/>
            <w:vAlign w:val="center"/>
          </w:tcPr>
          <w:p w14:paraId="1014A7F1">
            <w:pPr>
              <w:adjustRightInd w:val="0"/>
              <w:snapToGrid w:val="0"/>
              <w:jc w:val="center"/>
              <w:rPr>
                <w:b w:val="0"/>
                <w:bCs w:val="0"/>
                <w:color w:val="auto"/>
                <w:sz w:val="21"/>
                <w:szCs w:val="21"/>
                <w:u w:val="none"/>
              </w:rPr>
            </w:pPr>
          </w:p>
        </w:tc>
        <w:tc>
          <w:tcPr>
            <w:tcW w:w="181" w:type="pct"/>
            <w:vMerge w:val="continue"/>
            <w:tcBorders>
              <w:tl2br w:val="nil"/>
              <w:tr2bl w:val="nil"/>
            </w:tcBorders>
            <w:noWrap w:val="0"/>
            <w:vAlign w:val="center"/>
          </w:tcPr>
          <w:p w14:paraId="12357D64">
            <w:pPr>
              <w:adjustRightInd w:val="0"/>
              <w:snapToGrid w:val="0"/>
              <w:jc w:val="center"/>
              <w:rPr>
                <w:b w:val="0"/>
                <w:bCs w:val="0"/>
                <w:color w:val="auto"/>
                <w:sz w:val="21"/>
                <w:szCs w:val="21"/>
                <w:u w:val="none"/>
              </w:rPr>
            </w:pPr>
          </w:p>
        </w:tc>
        <w:tc>
          <w:tcPr>
            <w:tcW w:w="179" w:type="pct"/>
            <w:vMerge w:val="continue"/>
            <w:tcBorders>
              <w:tl2br w:val="nil"/>
              <w:tr2bl w:val="nil"/>
            </w:tcBorders>
            <w:noWrap w:val="0"/>
            <w:vAlign w:val="center"/>
          </w:tcPr>
          <w:p w14:paraId="72D84FEC">
            <w:pPr>
              <w:adjustRightInd w:val="0"/>
              <w:snapToGrid w:val="0"/>
              <w:jc w:val="center"/>
              <w:rPr>
                <w:b w:val="0"/>
                <w:bCs w:val="0"/>
                <w:color w:val="auto"/>
                <w:sz w:val="21"/>
                <w:szCs w:val="21"/>
                <w:u w:val="none"/>
              </w:rPr>
            </w:pPr>
          </w:p>
        </w:tc>
        <w:tc>
          <w:tcPr>
            <w:tcW w:w="204" w:type="pct"/>
            <w:vMerge w:val="continue"/>
            <w:tcBorders>
              <w:tl2br w:val="nil"/>
              <w:tr2bl w:val="nil"/>
            </w:tcBorders>
            <w:noWrap w:val="0"/>
            <w:vAlign w:val="center"/>
          </w:tcPr>
          <w:p w14:paraId="027D1AEA">
            <w:pPr>
              <w:adjustRightInd w:val="0"/>
              <w:snapToGrid w:val="0"/>
              <w:jc w:val="center"/>
              <w:rPr>
                <w:b w:val="0"/>
                <w:bCs w:val="0"/>
                <w:color w:val="auto"/>
                <w:sz w:val="21"/>
                <w:szCs w:val="21"/>
                <w:u w:val="none"/>
              </w:rPr>
            </w:pPr>
          </w:p>
        </w:tc>
        <w:tc>
          <w:tcPr>
            <w:tcW w:w="204" w:type="pct"/>
            <w:vMerge w:val="continue"/>
            <w:tcBorders>
              <w:tl2br w:val="nil"/>
              <w:tr2bl w:val="nil"/>
            </w:tcBorders>
            <w:noWrap w:val="0"/>
            <w:vAlign w:val="center"/>
          </w:tcPr>
          <w:p w14:paraId="473185A9">
            <w:pPr>
              <w:adjustRightInd w:val="0"/>
              <w:snapToGrid w:val="0"/>
              <w:jc w:val="center"/>
              <w:rPr>
                <w:b w:val="0"/>
                <w:bCs w:val="0"/>
                <w:color w:val="auto"/>
                <w:sz w:val="21"/>
                <w:szCs w:val="21"/>
                <w:u w:val="none"/>
              </w:rPr>
            </w:pPr>
          </w:p>
        </w:tc>
        <w:tc>
          <w:tcPr>
            <w:tcW w:w="204" w:type="pct"/>
            <w:vMerge w:val="continue"/>
            <w:tcBorders>
              <w:tl2br w:val="nil"/>
              <w:tr2bl w:val="nil"/>
            </w:tcBorders>
            <w:noWrap w:val="0"/>
            <w:vAlign w:val="center"/>
          </w:tcPr>
          <w:p w14:paraId="7CC6007E">
            <w:pPr>
              <w:adjustRightInd w:val="0"/>
              <w:snapToGrid w:val="0"/>
              <w:jc w:val="center"/>
              <w:rPr>
                <w:b w:val="0"/>
                <w:bCs w:val="0"/>
                <w:color w:val="auto"/>
                <w:sz w:val="21"/>
                <w:szCs w:val="21"/>
                <w:u w:val="none"/>
              </w:rPr>
            </w:pPr>
          </w:p>
        </w:tc>
        <w:tc>
          <w:tcPr>
            <w:tcW w:w="217" w:type="pct"/>
            <w:vMerge w:val="continue"/>
            <w:tcBorders>
              <w:tl2br w:val="nil"/>
              <w:tr2bl w:val="nil"/>
            </w:tcBorders>
            <w:noWrap w:val="0"/>
            <w:vAlign w:val="center"/>
          </w:tcPr>
          <w:p w14:paraId="17D23FEC">
            <w:pPr>
              <w:adjustRightInd w:val="0"/>
              <w:snapToGrid w:val="0"/>
              <w:jc w:val="center"/>
              <w:rPr>
                <w:b w:val="0"/>
                <w:bCs w:val="0"/>
                <w:color w:val="auto"/>
                <w:sz w:val="21"/>
                <w:szCs w:val="21"/>
                <w:u w:val="none"/>
              </w:rPr>
            </w:pPr>
          </w:p>
        </w:tc>
        <w:tc>
          <w:tcPr>
            <w:tcW w:w="191" w:type="pct"/>
            <w:vMerge w:val="continue"/>
            <w:tcBorders>
              <w:tl2br w:val="nil"/>
              <w:tr2bl w:val="nil"/>
            </w:tcBorders>
            <w:noWrap w:val="0"/>
            <w:vAlign w:val="center"/>
          </w:tcPr>
          <w:p w14:paraId="506C81CD">
            <w:pPr>
              <w:adjustRightInd w:val="0"/>
              <w:snapToGrid w:val="0"/>
              <w:jc w:val="center"/>
              <w:rPr>
                <w:b w:val="0"/>
                <w:bCs w:val="0"/>
                <w:color w:val="auto"/>
                <w:sz w:val="21"/>
                <w:szCs w:val="21"/>
                <w:u w:val="none"/>
              </w:rPr>
            </w:pPr>
          </w:p>
        </w:tc>
        <w:tc>
          <w:tcPr>
            <w:tcW w:w="271" w:type="pct"/>
            <w:vMerge w:val="continue"/>
            <w:tcBorders>
              <w:tl2br w:val="nil"/>
              <w:tr2bl w:val="nil"/>
            </w:tcBorders>
            <w:noWrap w:val="0"/>
            <w:vAlign w:val="center"/>
          </w:tcPr>
          <w:p w14:paraId="06D6E91D">
            <w:pPr>
              <w:adjustRightInd w:val="0"/>
              <w:snapToGrid w:val="0"/>
              <w:jc w:val="center"/>
              <w:rPr>
                <w:b w:val="0"/>
                <w:bCs w:val="0"/>
                <w:color w:val="auto"/>
                <w:sz w:val="21"/>
                <w:szCs w:val="21"/>
                <w:u w:val="none"/>
              </w:rPr>
            </w:pPr>
          </w:p>
        </w:tc>
        <w:tc>
          <w:tcPr>
            <w:tcW w:w="204" w:type="pct"/>
            <w:tcBorders>
              <w:tl2br w:val="nil"/>
              <w:tr2bl w:val="nil"/>
            </w:tcBorders>
            <w:noWrap w:val="0"/>
            <w:vAlign w:val="center"/>
          </w:tcPr>
          <w:p w14:paraId="427BC714">
            <w:pPr>
              <w:adjustRightInd w:val="0"/>
              <w:snapToGrid w:val="0"/>
              <w:jc w:val="center"/>
              <w:rPr>
                <w:b/>
                <w:bCs/>
                <w:color w:val="auto"/>
                <w:sz w:val="21"/>
                <w:szCs w:val="21"/>
                <w:u w:val="none"/>
              </w:rPr>
            </w:pPr>
            <w:r>
              <w:rPr>
                <w:rFonts w:hint="eastAsia" w:ascii="Times New Roman" w:hAnsi="Times New Roman" w:eastAsia="宋体" w:cs="Times New Roman"/>
                <w:b/>
                <w:bCs/>
                <w:color w:val="auto"/>
                <w:sz w:val="21"/>
                <w:szCs w:val="21"/>
                <w:u w:val="none"/>
                <w:vertAlign w:val="baseline"/>
                <w:lang w:val="en-US" w:eastAsia="zh-CN"/>
              </w:rPr>
              <w:t>东</w:t>
            </w:r>
          </w:p>
        </w:tc>
        <w:tc>
          <w:tcPr>
            <w:tcW w:w="205" w:type="pct"/>
            <w:tcBorders>
              <w:tl2br w:val="nil"/>
              <w:tr2bl w:val="nil"/>
            </w:tcBorders>
            <w:noWrap w:val="0"/>
            <w:vAlign w:val="center"/>
          </w:tcPr>
          <w:p w14:paraId="43733401">
            <w:pPr>
              <w:adjustRightInd w:val="0"/>
              <w:snapToGrid w:val="0"/>
              <w:jc w:val="center"/>
              <w:rPr>
                <w:b/>
                <w:bCs/>
                <w:color w:val="auto"/>
                <w:sz w:val="21"/>
                <w:szCs w:val="21"/>
                <w:u w:val="none"/>
              </w:rPr>
            </w:pPr>
            <w:r>
              <w:rPr>
                <w:rFonts w:hint="eastAsia" w:ascii="Times New Roman" w:hAnsi="Times New Roman" w:eastAsia="宋体" w:cs="Times New Roman"/>
                <w:b/>
                <w:bCs/>
                <w:color w:val="auto"/>
                <w:sz w:val="21"/>
                <w:szCs w:val="21"/>
                <w:u w:val="none"/>
                <w:vertAlign w:val="baseline"/>
                <w:lang w:val="en-US" w:eastAsia="zh-CN"/>
              </w:rPr>
              <w:t>南</w:t>
            </w:r>
          </w:p>
        </w:tc>
        <w:tc>
          <w:tcPr>
            <w:tcW w:w="205" w:type="pct"/>
            <w:tcBorders>
              <w:tl2br w:val="nil"/>
              <w:tr2bl w:val="nil"/>
            </w:tcBorders>
            <w:noWrap w:val="0"/>
            <w:vAlign w:val="center"/>
          </w:tcPr>
          <w:p w14:paraId="3F9BA4DC">
            <w:pPr>
              <w:adjustRightInd w:val="0"/>
              <w:snapToGrid w:val="0"/>
              <w:jc w:val="center"/>
              <w:rPr>
                <w:b/>
                <w:bCs/>
                <w:color w:val="auto"/>
                <w:sz w:val="21"/>
                <w:szCs w:val="21"/>
                <w:u w:val="none"/>
              </w:rPr>
            </w:pPr>
            <w:r>
              <w:rPr>
                <w:rFonts w:hint="eastAsia" w:ascii="Times New Roman" w:hAnsi="Times New Roman" w:eastAsia="宋体" w:cs="Times New Roman"/>
                <w:b/>
                <w:bCs/>
                <w:color w:val="auto"/>
                <w:sz w:val="21"/>
                <w:szCs w:val="21"/>
                <w:u w:val="none"/>
                <w:vertAlign w:val="baseline"/>
                <w:lang w:val="en-US" w:eastAsia="zh-CN"/>
              </w:rPr>
              <w:t>西</w:t>
            </w:r>
          </w:p>
        </w:tc>
        <w:tc>
          <w:tcPr>
            <w:tcW w:w="205" w:type="pct"/>
            <w:tcBorders>
              <w:tl2br w:val="nil"/>
              <w:tr2bl w:val="nil"/>
            </w:tcBorders>
            <w:noWrap w:val="0"/>
            <w:vAlign w:val="center"/>
          </w:tcPr>
          <w:p w14:paraId="61F5F623">
            <w:pPr>
              <w:adjustRightInd w:val="0"/>
              <w:snapToGrid w:val="0"/>
              <w:jc w:val="center"/>
              <w:rPr>
                <w:b/>
                <w:bCs/>
                <w:color w:val="auto"/>
                <w:sz w:val="21"/>
                <w:szCs w:val="21"/>
                <w:u w:val="none"/>
              </w:rPr>
            </w:pPr>
            <w:r>
              <w:rPr>
                <w:rFonts w:hint="eastAsia" w:ascii="Times New Roman" w:hAnsi="Times New Roman" w:eastAsia="宋体" w:cs="Times New Roman"/>
                <w:b/>
                <w:bCs/>
                <w:color w:val="auto"/>
                <w:sz w:val="21"/>
                <w:szCs w:val="21"/>
                <w:u w:val="none"/>
                <w:vertAlign w:val="baseline"/>
                <w:lang w:val="en-US" w:eastAsia="zh-CN"/>
              </w:rPr>
              <w:t>北</w:t>
            </w:r>
          </w:p>
        </w:tc>
        <w:tc>
          <w:tcPr>
            <w:tcW w:w="325" w:type="pct"/>
            <w:vMerge w:val="continue"/>
            <w:tcBorders>
              <w:tl2br w:val="nil"/>
              <w:tr2bl w:val="nil"/>
            </w:tcBorders>
            <w:noWrap w:val="0"/>
            <w:vAlign w:val="center"/>
          </w:tcPr>
          <w:p w14:paraId="0D0F7079">
            <w:pPr>
              <w:adjustRightInd w:val="0"/>
              <w:snapToGrid w:val="0"/>
              <w:jc w:val="center"/>
              <w:rPr>
                <w:b w:val="0"/>
                <w:bCs w:val="0"/>
                <w:color w:val="auto"/>
                <w:sz w:val="21"/>
                <w:szCs w:val="21"/>
                <w:u w:val="none"/>
              </w:rPr>
            </w:pPr>
          </w:p>
        </w:tc>
      </w:tr>
      <w:tr w14:paraId="191CFFE5">
        <w:tblPrEx>
          <w:tblBorders>
            <w:top w:val="single" w:color="auto" w:sz="18" w:space="0"/>
            <w:left w:val="none" w:color="auto" w:sz="0" w:space="0"/>
            <w:bottom w:val="single" w:color="auto" w:sz="18"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24" w:hRule="atLeast"/>
        </w:trPr>
        <w:tc>
          <w:tcPr>
            <w:tcW w:w="153" w:type="pct"/>
            <w:tcBorders>
              <w:tl2br w:val="nil"/>
              <w:tr2bl w:val="nil"/>
            </w:tcBorders>
            <w:noWrap w:val="0"/>
            <w:vAlign w:val="center"/>
          </w:tcPr>
          <w:p w14:paraId="17AF5949">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1</w:t>
            </w:r>
          </w:p>
        </w:tc>
        <w:tc>
          <w:tcPr>
            <w:tcW w:w="178" w:type="pct"/>
            <w:vMerge w:val="restart"/>
            <w:tcBorders>
              <w:tl2br w:val="nil"/>
              <w:tr2bl w:val="nil"/>
            </w:tcBorders>
            <w:noWrap w:val="0"/>
            <w:vAlign w:val="center"/>
          </w:tcPr>
          <w:p w14:paraId="0F0665BA">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cs="Times New Roman"/>
                <w:b w:val="0"/>
                <w:bCs w:val="0"/>
                <w:color w:val="auto"/>
                <w:sz w:val="21"/>
                <w:szCs w:val="21"/>
                <w:u w:val="none"/>
                <w:vertAlign w:val="baseline"/>
                <w:lang w:val="en-US" w:eastAsia="zh-CN"/>
              </w:rPr>
              <w:t>投料</w:t>
            </w:r>
            <w:r>
              <w:rPr>
                <w:rFonts w:hint="eastAsia" w:ascii="Times New Roman" w:hAnsi="Times New Roman" w:eastAsia="宋体" w:cs="Times New Roman"/>
                <w:b w:val="0"/>
                <w:bCs w:val="0"/>
                <w:color w:val="auto"/>
                <w:sz w:val="21"/>
                <w:szCs w:val="21"/>
                <w:u w:val="none"/>
                <w:vertAlign w:val="baseline"/>
                <w:lang w:val="en-US" w:eastAsia="zh-CN"/>
              </w:rPr>
              <w:t>车间</w:t>
            </w:r>
          </w:p>
        </w:tc>
        <w:tc>
          <w:tcPr>
            <w:tcW w:w="244" w:type="pct"/>
            <w:tcBorders>
              <w:tl2br w:val="nil"/>
              <w:tr2bl w:val="nil"/>
            </w:tcBorders>
            <w:shd w:val="clear" w:color="auto" w:fill="auto"/>
            <w:noWrap w:val="0"/>
            <w:vAlign w:val="center"/>
          </w:tcPr>
          <w:p w14:paraId="10F861C4">
            <w:pPr>
              <w:widowControl/>
              <w:autoSpaceDE/>
              <w:autoSpaceDN/>
              <w:spacing w:before="0" w:after="0" w:line="240" w:lineRule="auto"/>
              <w:ind w:left="0" w:leftChars="0" w:firstLine="0" w:firstLineChars="0"/>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打散机</w:t>
            </w:r>
          </w:p>
        </w:tc>
        <w:tc>
          <w:tcPr>
            <w:tcW w:w="753" w:type="dxa"/>
            <w:tcBorders>
              <w:tl2br w:val="nil"/>
              <w:tr2bl w:val="nil"/>
            </w:tcBorders>
            <w:noWrap w:val="0"/>
            <w:vAlign w:val="center"/>
          </w:tcPr>
          <w:p w14:paraId="591257DC">
            <w:pPr>
              <w:pStyle w:val="52"/>
              <w:spacing w:before="0" w:after="0" w:line="240" w:lineRule="auto"/>
              <w:ind w:left="0" w:leftChars="0" w:firstLine="0" w:firstLineChars="0"/>
              <w:rPr>
                <w:rFonts w:hint="default"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color w:val="000000" w:themeColor="text1"/>
                <w:sz w:val="21"/>
                <w:szCs w:val="21"/>
                <w14:textFill>
                  <w14:solidFill>
                    <w14:schemeClr w14:val="tx1"/>
                  </w14:solidFill>
                </w14:textFill>
              </w:rPr>
              <w:t>90</w:t>
            </w:r>
          </w:p>
        </w:tc>
        <w:tc>
          <w:tcPr>
            <w:tcW w:w="901" w:type="dxa"/>
            <w:tcBorders>
              <w:tl2br w:val="nil"/>
              <w:tr2bl w:val="nil"/>
            </w:tcBorders>
            <w:noWrap w:val="0"/>
            <w:vAlign w:val="center"/>
          </w:tcPr>
          <w:p w14:paraId="38BA34F0">
            <w:pPr>
              <w:pStyle w:val="52"/>
              <w:spacing w:before="0" w:after="0" w:line="240" w:lineRule="auto"/>
              <w:ind w:left="0" w:leftChars="0" w:firstLine="0" w:firstLineChars="0"/>
              <w:rPr>
                <w:rFonts w:hint="default"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color w:val="000000" w:themeColor="text1"/>
                <w:sz w:val="21"/>
                <w:szCs w:val="21"/>
                <w14:textFill>
                  <w14:solidFill>
                    <w14:schemeClr w14:val="tx1"/>
                  </w14:solidFill>
                </w14:textFill>
              </w:rPr>
              <w:t>基础减振、隔声</w:t>
            </w:r>
          </w:p>
        </w:tc>
        <w:tc>
          <w:tcPr>
            <w:tcW w:w="226" w:type="pct"/>
            <w:tcBorders>
              <w:tl2br w:val="nil"/>
              <w:tr2bl w:val="nil"/>
            </w:tcBorders>
            <w:noWrap w:val="0"/>
            <w:vAlign w:val="center"/>
          </w:tcPr>
          <w:p w14:paraId="2C130B55">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417</w:t>
            </w:r>
          </w:p>
        </w:tc>
        <w:tc>
          <w:tcPr>
            <w:tcW w:w="270" w:type="pct"/>
            <w:tcBorders>
              <w:tl2br w:val="nil"/>
              <w:tr2bl w:val="nil"/>
            </w:tcBorders>
            <w:noWrap w:val="0"/>
            <w:vAlign w:val="center"/>
          </w:tcPr>
          <w:p w14:paraId="19B486C1">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390</w:t>
            </w:r>
          </w:p>
        </w:tc>
        <w:tc>
          <w:tcPr>
            <w:tcW w:w="199" w:type="pct"/>
            <w:tcBorders>
              <w:tl2br w:val="nil"/>
              <w:tr2bl w:val="nil"/>
            </w:tcBorders>
            <w:noWrap w:val="0"/>
            <w:vAlign w:val="center"/>
          </w:tcPr>
          <w:p w14:paraId="06ADACF1">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3</w:t>
            </w:r>
          </w:p>
        </w:tc>
        <w:tc>
          <w:tcPr>
            <w:tcW w:w="164" w:type="pct"/>
            <w:tcBorders>
              <w:tl2br w:val="nil"/>
              <w:tr2bl w:val="nil"/>
            </w:tcBorders>
            <w:noWrap w:val="0"/>
            <w:vAlign w:val="center"/>
          </w:tcPr>
          <w:p w14:paraId="2DFBEDCF">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6</w:t>
            </w:r>
          </w:p>
        </w:tc>
        <w:tc>
          <w:tcPr>
            <w:tcW w:w="164" w:type="pct"/>
            <w:tcBorders>
              <w:tl2br w:val="nil"/>
              <w:tr2bl w:val="nil"/>
            </w:tcBorders>
            <w:noWrap w:val="0"/>
            <w:vAlign w:val="center"/>
          </w:tcPr>
          <w:p w14:paraId="38532399">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5</w:t>
            </w:r>
          </w:p>
        </w:tc>
        <w:tc>
          <w:tcPr>
            <w:tcW w:w="181" w:type="pct"/>
            <w:tcBorders>
              <w:tl2br w:val="nil"/>
              <w:tr2bl w:val="nil"/>
            </w:tcBorders>
            <w:noWrap w:val="0"/>
            <w:vAlign w:val="center"/>
          </w:tcPr>
          <w:p w14:paraId="0B0A9F8F">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4</w:t>
            </w:r>
          </w:p>
        </w:tc>
        <w:tc>
          <w:tcPr>
            <w:tcW w:w="179" w:type="pct"/>
            <w:tcBorders>
              <w:tl2br w:val="nil"/>
              <w:tr2bl w:val="nil"/>
            </w:tcBorders>
            <w:noWrap w:val="0"/>
            <w:vAlign w:val="center"/>
          </w:tcPr>
          <w:p w14:paraId="54DD3DD8">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3</w:t>
            </w:r>
          </w:p>
        </w:tc>
        <w:tc>
          <w:tcPr>
            <w:tcW w:w="204" w:type="pct"/>
            <w:tcBorders>
              <w:tl2br w:val="nil"/>
              <w:tr2bl w:val="nil"/>
            </w:tcBorders>
            <w:noWrap w:val="0"/>
            <w:vAlign w:val="center"/>
          </w:tcPr>
          <w:p w14:paraId="3C1288A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74</w:t>
            </w:r>
          </w:p>
        </w:tc>
        <w:tc>
          <w:tcPr>
            <w:tcW w:w="204" w:type="pct"/>
            <w:tcBorders>
              <w:tl2br w:val="nil"/>
              <w:tr2bl w:val="nil"/>
            </w:tcBorders>
            <w:noWrap w:val="0"/>
            <w:vAlign w:val="center"/>
          </w:tcPr>
          <w:p w14:paraId="30FCFB3E">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76</w:t>
            </w:r>
          </w:p>
        </w:tc>
        <w:tc>
          <w:tcPr>
            <w:tcW w:w="204" w:type="pct"/>
            <w:tcBorders>
              <w:tl2br w:val="nil"/>
              <w:tr2bl w:val="nil"/>
            </w:tcBorders>
            <w:noWrap w:val="0"/>
            <w:vAlign w:val="center"/>
          </w:tcPr>
          <w:p w14:paraId="4A921DAC">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78</w:t>
            </w:r>
          </w:p>
        </w:tc>
        <w:tc>
          <w:tcPr>
            <w:tcW w:w="217" w:type="pct"/>
            <w:tcBorders>
              <w:tl2br w:val="nil"/>
              <w:tr2bl w:val="nil"/>
            </w:tcBorders>
            <w:noWrap w:val="0"/>
            <w:vAlign w:val="center"/>
          </w:tcPr>
          <w:p w14:paraId="3963F568">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80</w:t>
            </w:r>
          </w:p>
        </w:tc>
        <w:tc>
          <w:tcPr>
            <w:tcW w:w="191" w:type="pct"/>
            <w:vMerge w:val="restart"/>
            <w:tcBorders>
              <w:tl2br w:val="nil"/>
              <w:tr2bl w:val="nil"/>
            </w:tcBorders>
            <w:noWrap w:val="0"/>
            <w:vAlign w:val="center"/>
          </w:tcPr>
          <w:p w14:paraId="682F75A3">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24h</w:t>
            </w:r>
          </w:p>
        </w:tc>
        <w:tc>
          <w:tcPr>
            <w:tcW w:w="271" w:type="pct"/>
            <w:tcBorders>
              <w:tl2br w:val="nil"/>
              <w:tr2bl w:val="nil"/>
            </w:tcBorders>
            <w:noWrap w:val="0"/>
            <w:vAlign w:val="center"/>
          </w:tcPr>
          <w:p w14:paraId="7601654D">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20</w:t>
            </w:r>
          </w:p>
        </w:tc>
        <w:tc>
          <w:tcPr>
            <w:tcW w:w="204" w:type="pct"/>
            <w:tcBorders>
              <w:tl2br w:val="nil"/>
              <w:tr2bl w:val="nil"/>
            </w:tcBorders>
            <w:noWrap w:val="0"/>
            <w:vAlign w:val="center"/>
          </w:tcPr>
          <w:p w14:paraId="1270076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w:t>
            </w:r>
          </w:p>
        </w:tc>
        <w:tc>
          <w:tcPr>
            <w:tcW w:w="205" w:type="pct"/>
            <w:tcBorders>
              <w:tl2br w:val="nil"/>
              <w:tr2bl w:val="nil"/>
            </w:tcBorders>
            <w:noWrap w:val="0"/>
            <w:vAlign w:val="center"/>
          </w:tcPr>
          <w:p w14:paraId="6D54B8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56</w:t>
            </w:r>
          </w:p>
        </w:tc>
        <w:tc>
          <w:tcPr>
            <w:tcW w:w="205" w:type="pct"/>
            <w:tcBorders>
              <w:tl2br w:val="nil"/>
              <w:tr2bl w:val="nil"/>
            </w:tcBorders>
            <w:noWrap w:val="0"/>
            <w:vAlign w:val="center"/>
          </w:tcPr>
          <w:p w14:paraId="3F6F8D2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58</w:t>
            </w:r>
          </w:p>
        </w:tc>
        <w:tc>
          <w:tcPr>
            <w:tcW w:w="205" w:type="pct"/>
            <w:tcBorders>
              <w:tl2br w:val="nil"/>
              <w:tr2bl w:val="nil"/>
            </w:tcBorders>
            <w:noWrap w:val="0"/>
            <w:vAlign w:val="center"/>
          </w:tcPr>
          <w:p w14:paraId="4E6A62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w:t>
            </w:r>
          </w:p>
        </w:tc>
        <w:tc>
          <w:tcPr>
            <w:tcW w:w="325" w:type="pct"/>
            <w:tcBorders>
              <w:tl2br w:val="nil"/>
              <w:tr2bl w:val="nil"/>
            </w:tcBorders>
            <w:noWrap w:val="0"/>
            <w:vAlign w:val="center"/>
          </w:tcPr>
          <w:p w14:paraId="75D26DA5">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1</w:t>
            </w:r>
          </w:p>
        </w:tc>
      </w:tr>
      <w:tr w14:paraId="5F905EDD">
        <w:tblPrEx>
          <w:tblBorders>
            <w:top w:val="single" w:color="auto" w:sz="18" w:space="0"/>
            <w:left w:val="none" w:color="auto" w:sz="0" w:space="0"/>
            <w:bottom w:val="single" w:color="auto" w:sz="18"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24" w:hRule="atLeast"/>
        </w:trPr>
        <w:tc>
          <w:tcPr>
            <w:tcW w:w="153" w:type="pct"/>
            <w:tcBorders>
              <w:tl2br w:val="nil"/>
              <w:tr2bl w:val="nil"/>
            </w:tcBorders>
            <w:noWrap w:val="0"/>
            <w:vAlign w:val="center"/>
          </w:tcPr>
          <w:p w14:paraId="6FF09A6D">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2</w:t>
            </w:r>
          </w:p>
        </w:tc>
        <w:tc>
          <w:tcPr>
            <w:tcW w:w="178" w:type="pct"/>
            <w:vMerge w:val="continue"/>
            <w:tcBorders>
              <w:tl2br w:val="nil"/>
              <w:tr2bl w:val="nil"/>
            </w:tcBorders>
            <w:noWrap w:val="0"/>
            <w:vAlign w:val="center"/>
          </w:tcPr>
          <w:p w14:paraId="267DA5BC">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p>
        </w:tc>
        <w:tc>
          <w:tcPr>
            <w:tcW w:w="244" w:type="pct"/>
            <w:tcBorders>
              <w:tl2br w:val="nil"/>
              <w:tr2bl w:val="nil"/>
            </w:tcBorders>
            <w:shd w:val="clear" w:color="auto" w:fill="auto"/>
            <w:noWrap w:val="0"/>
            <w:vAlign w:val="center"/>
          </w:tcPr>
          <w:p w14:paraId="0349C66B">
            <w:pPr>
              <w:widowControl/>
              <w:autoSpaceDE/>
              <w:autoSpaceDN/>
              <w:spacing w:before="0" w:after="0" w:line="240" w:lineRule="auto"/>
              <w:ind w:left="0" w:leftChars="0" w:firstLine="0" w:firstLineChars="0"/>
              <w:jc w:val="cente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输送装置</w:t>
            </w:r>
          </w:p>
        </w:tc>
        <w:tc>
          <w:tcPr>
            <w:tcW w:w="753" w:type="dxa"/>
            <w:tcBorders>
              <w:tl2br w:val="nil"/>
              <w:tr2bl w:val="nil"/>
            </w:tcBorders>
            <w:noWrap w:val="0"/>
            <w:vAlign w:val="center"/>
          </w:tcPr>
          <w:p w14:paraId="26EB6389">
            <w:pPr>
              <w:pStyle w:val="52"/>
              <w:spacing w:before="0" w:after="0" w:line="240" w:lineRule="auto"/>
              <w:ind w:left="0" w:leftChars="0" w:firstLine="0" w:firstLineChars="0"/>
              <w:rPr>
                <w:rFonts w:hint="eastAsia"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color w:val="000000" w:themeColor="text1"/>
                <w:sz w:val="21"/>
                <w:szCs w:val="21"/>
                <w14:textFill>
                  <w14:solidFill>
                    <w14:schemeClr w14:val="tx1"/>
                  </w14:solidFill>
                </w14:textFill>
              </w:rPr>
              <w:t>8</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0</w:t>
            </w:r>
          </w:p>
        </w:tc>
        <w:tc>
          <w:tcPr>
            <w:tcW w:w="901" w:type="dxa"/>
            <w:tcBorders>
              <w:tl2br w:val="nil"/>
              <w:tr2bl w:val="nil"/>
            </w:tcBorders>
            <w:noWrap w:val="0"/>
            <w:vAlign w:val="center"/>
          </w:tcPr>
          <w:p w14:paraId="11416B2B">
            <w:pPr>
              <w:pStyle w:val="52"/>
              <w:spacing w:before="0" w:after="0" w:line="240" w:lineRule="auto"/>
              <w:ind w:left="0" w:leftChars="0" w:firstLine="0" w:firstLineChars="0"/>
              <w:rPr>
                <w:rFonts w:hint="eastAsia"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color w:val="000000" w:themeColor="text1"/>
                <w:sz w:val="21"/>
                <w:szCs w:val="21"/>
                <w14:textFill>
                  <w14:solidFill>
                    <w14:schemeClr w14:val="tx1"/>
                  </w14:solidFill>
                </w14:textFill>
              </w:rPr>
              <w:t>基础减振、隔声</w:t>
            </w:r>
          </w:p>
        </w:tc>
        <w:tc>
          <w:tcPr>
            <w:tcW w:w="226" w:type="pct"/>
            <w:tcBorders>
              <w:tl2br w:val="nil"/>
              <w:tr2bl w:val="nil"/>
            </w:tcBorders>
            <w:noWrap w:val="0"/>
            <w:vAlign w:val="center"/>
          </w:tcPr>
          <w:p w14:paraId="75926910">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417</w:t>
            </w:r>
          </w:p>
        </w:tc>
        <w:tc>
          <w:tcPr>
            <w:tcW w:w="270" w:type="pct"/>
            <w:tcBorders>
              <w:tl2br w:val="nil"/>
              <w:tr2bl w:val="nil"/>
            </w:tcBorders>
            <w:noWrap w:val="0"/>
            <w:vAlign w:val="center"/>
          </w:tcPr>
          <w:p w14:paraId="517C2A2C">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385</w:t>
            </w:r>
          </w:p>
        </w:tc>
        <w:tc>
          <w:tcPr>
            <w:tcW w:w="199" w:type="pct"/>
            <w:tcBorders>
              <w:tl2br w:val="nil"/>
              <w:tr2bl w:val="nil"/>
            </w:tcBorders>
            <w:noWrap w:val="0"/>
            <w:vAlign w:val="center"/>
          </w:tcPr>
          <w:p w14:paraId="0C733964">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3</w:t>
            </w:r>
          </w:p>
        </w:tc>
        <w:tc>
          <w:tcPr>
            <w:tcW w:w="164" w:type="pct"/>
            <w:tcBorders>
              <w:tl2br w:val="nil"/>
              <w:tr2bl w:val="nil"/>
            </w:tcBorders>
            <w:noWrap w:val="0"/>
            <w:vAlign w:val="center"/>
          </w:tcPr>
          <w:p w14:paraId="3B034E28">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6</w:t>
            </w:r>
          </w:p>
        </w:tc>
        <w:tc>
          <w:tcPr>
            <w:tcW w:w="164" w:type="pct"/>
            <w:tcBorders>
              <w:tl2br w:val="nil"/>
              <w:tr2bl w:val="nil"/>
            </w:tcBorders>
            <w:noWrap w:val="0"/>
            <w:vAlign w:val="center"/>
          </w:tcPr>
          <w:p w14:paraId="47A98B00">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w:t>
            </w:r>
          </w:p>
        </w:tc>
        <w:tc>
          <w:tcPr>
            <w:tcW w:w="181" w:type="pct"/>
            <w:tcBorders>
              <w:tl2br w:val="nil"/>
              <w:tr2bl w:val="nil"/>
            </w:tcBorders>
            <w:noWrap w:val="0"/>
            <w:vAlign w:val="center"/>
          </w:tcPr>
          <w:p w14:paraId="1DACA7DC">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4</w:t>
            </w:r>
          </w:p>
        </w:tc>
        <w:tc>
          <w:tcPr>
            <w:tcW w:w="179" w:type="pct"/>
            <w:tcBorders>
              <w:tl2br w:val="nil"/>
              <w:tr2bl w:val="nil"/>
            </w:tcBorders>
            <w:noWrap w:val="0"/>
            <w:vAlign w:val="center"/>
          </w:tcPr>
          <w:p w14:paraId="6AAC6004">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2</w:t>
            </w:r>
          </w:p>
        </w:tc>
        <w:tc>
          <w:tcPr>
            <w:tcW w:w="204" w:type="pct"/>
            <w:tcBorders>
              <w:tl2br w:val="nil"/>
              <w:tr2bl w:val="nil"/>
            </w:tcBorders>
            <w:noWrap w:val="0"/>
            <w:vAlign w:val="center"/>
          </w:tcPr>
          <w:p w14:paraId="5BEF1343">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64</w:t>
            </w:r>
          </w:p>
        </w:tc>
        <w:tc>
          <w:tcPr>
            <w:tcW w:w="204" w:type="pct"/>
            <w:tcBorders>
              <w:tl2br w:val="nil"/>
              <w:tr2bl w:val="nil"/>
            </w:tcBorders>
            <w:noWrap w:val="0"/>
            <w:vAlign w:val="center"/>
          </w:tcPr>
          <w:p w14:paraId="7416A189">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63</w:t>
            </w:r>
          </w:p>
        </w:tc>
        <w:tc>
          <w:tcPr>
            <w:tcW w:w="204" w:type="pct"/>
            <w:tcBorders>
              <w:tl2br w:val="nil"/>
              <w:tr2bl w:val="nil"/>
            </w:tcBorders>
            <w:noWrap w:val="0"/>
            <w:vAlign w:val="center"/>
          </w:tcPr>
          <w:p w14:paraId="079A3617">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68</w:t>
            </w:r>
          </w:p>
        </w:tc>
        <w:tc>
          <w:tcPr>
            <w:tcW w:w="217" w:type="pct"/>
            <w:tcBorders>
              <w:tl2br w:val="nil"/>
              <w:tr2bl w:val="nil"/>
            </w:tcBorders>
            <w:noWrap w:val="0"/>
            <w:vAlign w:val="center"/>
          </w:tcPr>
          <w:p w14:paraId="3F0813BB">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74</w:t>
            </w:r>
          </w:p>
        </w:tc>
        <w:tc>
          <w:tcPr>
            <w:tcW w:w="191" w:type="pct"/>
            <w:vMerge w:val="continue"/>
            <w:tcBorders>
              <w:tl2br w:val="nil"/>
              <w:tr2bl w:val="nil"/>
            </w:tcBorders>
            <w:noWrap w:val="0"/>
            <w:vAlign w:val="center"/>
          </w:tcPr>
          <w:p w14:paraId="325D1263">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p>
        </w:tc>
        <w:tc>
          <w:tcPr>
            <w:tcW w:w="271" w:type="pct"/>
            <w:tcBorders>
              <w:tl2br w:val="nil"/>
              <w:tr2bl w:val="nil"/>
            </w:tcBorders>
            <w:noWrap w:val="0"/>
            <w:vAlign w:val="center"/>
          </w:tcPr>
          <w:p w14:paraId="5FB0DB6E">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20</w:t>
            </w:r>
          </w:p>
        </w:tc>
        <w:tc>
          <w:tcPr>
            <w:tcW w:w="204" w:type="pct"/>
            <w:tcBorders>
              <w:tl2br w:val="nil"/>
              <w:tr2bl w:val="nil"/>
            </w:tcBorders>
            <w:noWrap w:val="0"/>
            <w:vAlign w:val="center"/>
          </w:tcPr>
          <w:p w14:paraId="574146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44</w:t>
            </w:r>
          </w:p>
        </w:tc>
        <w:tc>
          <w:tcPr>
            <w:tcW w:w="205" w:type="pct"/>
            <w:tcBorders>
              <w:tl2br w:val="nil"/>
              <w:tr2bl w:val="nil"/>
            </w:tcBorders>
            <w:noWrap w:val="0"/>
            <w:vAlign w:val="center"/>
          </w:tcPr>
          <w:p w14:paraId="27B7AD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43</w:t>
            </w:r>
          </w:p>
        </w:tc>
        <w:tc>
          <w:tcPr>
            <w:tcW w:w="205" w:type="pct"/>
            <w:tcBorders>
              <w:tl2br w:val="nil"/>
              <w:tr2bl w:val="nil"/>
            </w:tcBorders>
            <w:noWrap w:val="0"/>
            <w:vAlign w:val="center"/>
          </w:tcPr>
          <w:p w14:paraId="144ED9C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48</w:t>
            </w:r>
          </w:p>
        </w:tc>
        <w:tc>
          <w:tcPr>
            <w:tcW w:w="205" w:type="pct"/>
            <w:tcBorders>
              <w:tl2br w:val="nil"/>
              <w:tr2bl w:val="nil"/>
            </w:tcBorders>
            <w:noWrap w:val="0"/>
            <w:vAlign w:val="center"/>
          </w:tcPr>
          <w:p w14:paraId="1A38B4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54</w:t>
            </w:r>
          </w:p>
        </w:tc>
        <w:tc>
          <w:tcPr>
            <w:tcW w:w="325" w:type="pct"/>
            <w:tcBorders>
              <w:tl2br w:val="nil"/>
              <w:tr2bl w:val="nil"/>
            </w:tcBorders>
            <w:noWrap w:val="0"/>
            <w:vAlign w:val="center"/>
          </w:tcPr>
          <w:p w14:paraId="30AB87DB">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1</w:t>
            </w:r>
          </w:p>
        </w:tc>
      </w:tr>
      <w:tr w14:paraId="5284D9AC">
        <w:tblPrEx>
          <w:tblBorders>
            <w:top w:val="single" w:color="auto" w:sz="18" w:space="0"/>
            <w:left w:val="none" w:color="auto" w:sz="0" w:space="0"/>
            <w:bottom w:val="single" w:color="auto" w:sz="18"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24" w:hRule="atLeast"/>
        </w:trPr>
        <w:tc>
          <w:tcPr>
            <w:tcW w:w="153" w:type="pct"/>
            <w:tcBorders>
              <w:tl2br w:val="nil"/>
              <w:tr2bl w:val="nil"/>
            </w:tcBorders>
            <w:noWrap w:val="0"/>
            <w:vAlign w:val="center"/>
          </w:tcPr>
          <w:p w14:paraId="42F30DA7">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3</w:t>
            </w:r>
          </w:p>
        </w:tc>
        <w:tc>
          <w:tcPr>
            <w:tcW w:w="178" w:type="pct"/>
            <w:vMerge w:val="continue"/>
            <w:tcBorders>
              <w:tl2br w:val="nil"/>
              <w:tr2bl w:val="nil"/>
            </w:tcBorders>
            <w:noWrap w:val="0"/>
            <w:vAlign w:val="center"/>
          </w:tcPr>
          <w:p w14:paraId="5665FEAA">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p>
        </w:tc>
        <w:tc>
          <w:tcPr>
            <w:tcW w:w="244" w:type="pct"/>
            <w:tcBorders>
              <w:tl2br w:val="nil"/>
              <w:tr2bl w:val="nil"/>
            </w:tcBorders>
            <w:shd w:val="clear" w:color="auto" w:fill="auto"/>
            <w:noWrap w:val="0"/>
            <w:vAlign w:val="center"/>
          </w:tcPr>
          <w:p w14:paraId="46FDDABB">
            <w:pPr>
              <w:widowControl/>
              <w:autoSpaceDE/>
              <w:autoSpaceDN/>
              <w:spacing w:before="0" w:after="0" w:line="240" w:lineRule="auto"/>
              <w:ind w:left="0" w:leftChars="0" w:firstLine="0" w:firstLineChars="0"/>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泵类</w:t>
            </w:r>
          </w:p>
        </w:tc>
        <w:tc>
          <w:tcPr>
            <w:tcW w:w="753" w:type="dxa"/>
            <w:tcBorders>
              <w:tl2br w:val="nil"/>
              <w:tr2bl w:val="nil"/>
            </w:tcBorders>
            <w:noWrap w:val="0"/>
            <w:vAlign w:val="center"/>
          </w:tcPr>
          <w:p w14:paraId="3208BC00">
            <w:pPr>
              <w:pStyle w:val="52"/>
              <w:spacing w:before="0" w:after="0" w:line="240" w:lineRule="auto"/>
              <w:ind w:left="0" w:leftChars="0" w:firstLine="0" w:firstLineChars="0"/>
              <w:rPr>
                <w:rFonts w:hint="eastAsia"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color w:val="000000" w:themeColor="text1"/>
                <w:sz w:val="21"/>
                <w:szCs w:val="21"/>
                <w14:textFill>
                  <w14:solidFill>
                    <w14:schemeClr w14:val="tx1"/>
                  </w14:solidFill>
                </w14:textFill>
              </w:rPr>
              <w:t>85</w:t>
            </w:r>
          </w:p>
        </w:tc>
        <w:tc>
          <w:tcPr>
            <w:tcW w:w="901" w:type="dxa"/>
            <w:tcBorders>
              <w:tl2br w:val="nil"/>
              <w:tr2bl w:val="nil"/>
            </w:tcBorders>
            <w:noWrap w:val="0"/>
            <w:vAlign w:val="center"/>
          </w:tcPr>
          <w:p w14:paraId="1F1FAC45">
            <w:pPr>
              <w:pStyle w:val="52"/>
              <w:spacing w:before="0" w:after="0" w:line="240" w:lineRule="auto"/>
              <w:ind w:left="0" w:leftChars="0" w:firstLine="0" w:firstLineChars="0"/>
              <w:rPr>
                <w:rFonts w:hint="eastAsia"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color w:val="000000" w:themeColor="text1"/>
                <w:sz w:val="21"/>
                <w:szCs w:val="21"/>
                <w14:textFill>
                  <w14:solidFill>
                    <w14:schemeClr w14:val="tx1"/>
                  </w14:solidFill>
                </w14:textFill>
              </w:rPr>
              <w:t>基础减振、隔声</w:t>
            </w:r>
          </w:p>
        </w:tc>
        <w:tc>
          <w:tcPr>
            <w:tcW w:w="226" w:type="pct"/>
            <w:tcBorders>
              <w:tl2br w:val="nil"/>
              <w:tr2bl w:val="nil"/>
            </w:tcBorders>
            <w:noWrap w:val="0"/>
            <w:vAlign w:val="center"/>
          </w:tcPr>
          <w:p w14:paraId="665E1234">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421</w:t>
            </w:r>
          </w:p>
        </w:tc>
        <w:tc>
          <w:tcPr>
            <w:tcW w:w="270" w:type="pct"/>
            <w:tcBorders>
              <w:tl2br w:val="nil"/>
              <w:tr2bl w:val="nil"/>
            </w:tcBorders>
            <w:noWrap w:val="0"/>
            <w:vAlign w:val="center"/>
          </w:tcPr>
          <w:p w14:paraId="06011576">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387</w:t>
            </w:r>
          </w:p>
        </w:tc>
        <w:tc>
          <w:tcPr>
            <w:tcW w:w="199" w:type="pct"/>
            <w:tcBorders>
              <w:tl2br w:val="nil"/>
              <w:tr2bl w:val="nil"/>
            </w:tcBorders>
            <w:noWrap w:val="0"/>
            <w:vAlign w:val="center"/>
          </w:tcPr>
          <w:p w14:paraId="22475F61">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2</w:t>
            </w:r>
          </w:p>
        </w:tc>
        <w:tc>
          <w:tcPr>
            <w:tcW w:w="164" w:type="pct"/>
            <w:tcBorders>
              <w:tl2br w:val="nil"/>
              <w:tr2bl w:val="nil"/>
            </w:tcBorders>
            <w:noWrap w:val="0"/>
            <w:vAlign w:val="center"/>
          </w:tcPr>
          <w:p w14:paraId="0EB77BFB">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3</w:t>
            </w:r>
          </w:p>
        </w:tc>
        <w:tc>
          <w:tcPr>
            <w:tcW w:w="164" w:type="pct"/>
            <w:tcBorders>
              <w:tl2br w:val="nil"/>
              <w:tr2bl w:val="nil"/>
            </w:tcBorders>
            <w:noWrap w:val="0"/>
            <w:vAlign w:val="center"/>
          </w:tcPr>
          <w:p w14:paraId="6DB6A85F">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w:t>
            </w:r>
          </w:p>
        </w:tc>
        <w:tc>
          <w:tcPr>
            <w:tcW w:w="181" w:type="pct"/>
            <w:tcBorders>
              <w:tl2br w:val="nil"/>
              <w:tr2bl w:val="nil"/>
            </w:tcBorders>
            <w:noWrap w:val="0"/>
            <w:vAlign w:val="center"/>
          </w:tcPr>
          <w:p w14:paraId="57ED83DB">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w:t>
            </w:r>
          </w:p>
        </w:tc>
        <w:tc>
          <w:tcPr>
            <w:tcW w:w="179" w:type="pct"/>
            <w:tcBorders>
              <w:tl2br w:val="nil"/>
              <w:tr2bl w:val="nil"/>
            </w:tcBorders>
            <w:noWrap w:val="0"/>
            <w:vAlign w:val="center"/>
          </w:tcPr>
          <w:p w14:paraId="611845D3">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2</w:t>
            </w:r>
          </w:p>
        </w:tc>
        <w:tc>
          <w:tcPr>
            <w:tcW w:w="204" w:type="pct"/>
            <w:tcBorders>
              <w:tl2br w:val="nil"/>
              <w:tr2bl w:val="nil"/>
            </w:tcBorders>
            <w:noWrap w:val="0"/>
            <w:vAlign w:val="center"/>
          </w:tcPr>
          <w:p w14:paraId="525269C4">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75</w:t>
            </w:r>
          </w:p>
        </w:tc>
        <w:tc>
          <w:tcPr>
            <w:tcW w:w="204" w:type="pct"/>
            <w:tcBorders>
              <w:tl2br w:val="nil"/>
              <w:tr2bl w:val="nil"/>
            </w:tcBorders>
            <w:noWrap w:val="0"/>
            <w:vAlign w:val="center"/>
          </w:tcPr>
          <w:p w14:paraId="2783520F">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68</w:t>
            </w:r>
          </w:p>
        </w:tc>
        <w:tc>
          <w:tcPr>
            <w:tcW w:w="204" w:type="pct"/>
            <w:tcBorders>
              <w:tl2br w:val="nil"/>
              <w:tr2bl w:val="nil"/>
            </w:tcBorders>
            <w:noWrap w:val="0"/>
            <w:vAlign w:val="center"/>
          </w:tcPr>
          <w:p w14:paraId="01318BC3">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68</w:t>
            </w:r>
          </w:p>
        </w:tc>
        <w:tc>
          <w:tcPr>
            <w:tcW w:w="217" w:type="pct"/>
            <w:tcBorders>
              <w:tl2br w:val="nil"/>
              <w:tr2bl w:val="nil"/>
            </w:tcBorders>
            <w:noWrap w:val="0"/>
            <w:vAlign w:val="center"/>
          </w:tcPr>
          <w:p w14:paraId="4F731426">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75</w:t>
            </w:r>
          </w:p>
        </w:tc>
        <w:tc>
          <w:tcPr>
            <w:tcW w:w="191" w:type="pct"/>
            <w:vMerge w:val="continue"/>
            <w:tcBorders>
              <w:tl2br w:val="nil"/>
              <w:tr2bl w:val="nil"/>
            </w:tcBorders>
            <w:noWrap w:val="0"/>
            <w:vAlign w:val="center"/>
          </w:tcPr>
          <w:p w14:paraId="4864A41E">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p>
        </w:tc>
        <w:tc>
          <w:tcPr>
            <w:tcW w:w="271" w:type="pct"/>
            <w:tcBorders>
              <w:tl2br w:val="nil"/>
              <w:tr2bl w:val="nil"/>
            </w:tcBorders>
            <w:noWrap w:val="0"/>
            <w:vAlign w:val="center"/>
          </w:tcPr>
          <w:p w14:paraId="66B15A53">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20</w:t>
            </w:r>
          </w:p>
        </w:tc>
        <w:tc>
          <w:tcPr>
            <w:tcW w:w="204" w:type="pct"/>
            <w:tcBorders>
              <w:tl2br w:val="nil"/>
              <w:tr2bl w:val="nil"/>
            </w:tcBorders>
            <w:noWrap w:val="0"/>
            <w:vAlign w:val="center"/>
          </w:tcPr>
          <w:p w14:paraId="01F132E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55</w:t>
            </w:r>
          </w:p>
        </w:tc>
        <w:tc>
          <w:tcPr>
            <w:tcW w:w="205" w:type="pct"/>
            <w:tcBorders>
              <w:tl2br w:val="nil"/>
              <w:tr2bl w:val="nil"/>
            </w:tcBorders>
            <w:noWrap w:val="0"/>
            <w:vAlign w:val="center"/>
          </w:tcPr>
          <w:p w14:paraId="37D324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48</w:t>
            </w:r>
          </w:p>
        </w:tc>
        <w:tc>
          <w:tcPr>
            <w:tcW w:w="205" w:type="pct"/>
            <w:tcBorders>
              <w:tl2br w:val="nil"/>
              <w:tr2bl w:val="nil"/>
            </w:tcBorders>
            <w:noWrap w:val="0"/>
            <w:vAlign w:val="center"/>
          </w:tcPr>
          <w:p w14:paraId="338C7BD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48</w:t>
            </w:r>
          </w:p>
        </w:tc>
        <w:tc>
          <w:tcPr>
            <w:tcW w:w="205" w:type="pct"/>
            <w:tcBorders>
              <w:tl2br w:val="nil"/>
              <w:tr2bl w:val="nil"/>
            </w:tcBorders>
            <w:noWrap w:val="0"/>
            <w:vAlign w:val="center"/>
          </w:tcPr>
          <w:p w14:paraId="6DBFCE1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55</w:t>
            </w:r>
          </w:p>
        </w:tc>
        <w:tc>
          <w:tcPr>
            <w:tcW w:w="325" w:type="pct"/>
            <w:tcBorders>
              <w:tl2br w:val="nil"/>
              <w:tr2bl w:val="nil"/>
            </w:tcBorders>
            <w:noWrap w:val="0"/>
            <w:vAlign w:val="center"/>
          </w:tcPr>
          <w:p w14:paraId="3D604BEF">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1</w:t>
            </w:r>
          </w:p>
        </w:tc>
      </w:tr>
      <w:tr w14:paraId="3D767BA4">
        <w:tblPrEx>
          <w:tblBorders>
            <w:top w:val="single" w:color="auto" w:sz="18" w:space="0"/>
            <w:left w:val="none" w:color="auto" w:sz="0" w:space="0"/>
            <w:bottom w:val="single" w:color="auto" w:sz="18"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624" w:hRule="atLeast"/>
        </w:trPr>
        <w:tc>
          <w:tcPr>
            <w:tcW w:w="153" w:type="pct"/>
            <w:tcBorders>
              <w:tl2br w:val="nil"/>
              <w:tr2bl w:val="nil"/>
            </w:tcBorders>
            <w:noWrap w:val="0"/>
            <w:vAlign w:val="center"/>
          </w:tcPr>
          <w:p w14:paraId="35352B57">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4</w:t>
            </w:r>
          </w:p>
        </w:tc>
        <w:tc>
          <w:tcPr>
            <w:tcW w:w="178" w:type="pct"/>
            <w:vMerge w:val="continue"/>
            <w:tcBorders>
              <w:tl2br w:val="nil"/>
              <w:tr2bl w:val="nil"/>
            </w:tcBorders>
            <w:noWrap w:val="0"/>
            <w:vAlign w:val="center"/>
          </w:tcPr>
          <w:p w14:paraId="454007D8">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p>
        </w:tc>
        <w:tc>
          <w:tcPr>
            <w:tcW w:w="244" w:type="pct"/>
            <w:tcBorders>
              <w:tl2br w:val="nil"/>
              <w:tr2bl w:val="nil"/>
            </w:tcBorders>
            <w:shd w:val="clear" w:color="auto" w:fill="auto"/>
            <w:noWrap w:val="0"/>
            <w:vAlign w:val="center"/>
          </w:tcPr>
          <w:p w14:paraId="2B5A5D0E">
            <w:pPr>
              <w:widowControl/>
              <w:autoSpaceDE/>
              <w:autoSpaceDN/>
              <w:spacing w:before="0" w:after="0" w:line="240" w:lineRule="auto"/>
              <w:ind w:left="0" w:leftChars="0" w:firstLine="0" w:firstLineChars="0"/>
              <w:jc w:val="cente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风机</w:t>
            </w:r>
          </w:p>
        </w:tc>
        <w:tc>
          <w:tcPr>
            <w:tcW w:w="753" w:type="dxa"/>
            <w:tcBorders>
              <w:tl2br w:val="nil"/>
              <w:tr2bl w:val="nil"/>
            </w:tcBorders>
            <w:noWrap w:val="0"/>
            <w:vAlign w:val="center"/>
          </w:tcPr>
          <w:p w14:paraId="00C650F1">
            <w:pPr>
              <w:pStyle w:val="52"/>
              <w:spacing w:before="0" w:after="0" w:line="240" w:lineRule="auto"/>
              <w:ind w:left="0" w:leftChars="0" w:firstLine="0" w:firstLineChars="0"/>
              <w:rPr>
                <w:rFonts w:hint="eastAsia"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color w:val="000000" w:themeColor="text1"/>
                <w:sz w:val="21"/>
                <w:szCs w:val="21"/>
                <w14:textFill>
                  <w14:solidFill>
                    <w14:schemeClr w14:val="tx1"/>
                  </w14:solidFill>
                </w14:textFill>
              </w:rPr>
              <w:t>90</w:t>
            </w:r>
          </w:p>
        </w:tc>
        <w:tc>
          <w:tcPr>
            <w:tcW w:w="901" w:type="dxa"/>
            <w:tcBorders>
              <w:tl2br w:val="nil"/>
              <w:tr2bl w:val="nil"/>
            </w:tcBorders>
            <w:noWrap w:val="0"/>
            <w:vAlign w:val="center"/>
          </w:tcPr>
          <w:p w14:paraId="508AA806">
            <w:pPr>
              <w:pStyle w:val="52"/>
              <w:spacing w:before="0" w:after="0" w:line="240" w:lineRule="auto"/>
              <w:ind w:left="0" w:leftChars="0" w:firstLine="0" w:firstLineChars="0"/>
              <w:rPr>
                <w:rFonts w:hint="eastAsia" w:ascii="Times New Roman" w:hAnsi="Times New Roman" w:eastAsia="宋体" w:cs="Times New Roman"/>
                <w:b w:val="0"/>
                <w:bCs w:val="0"/>
                <w:color w:val="auto"/>
                <w:sz w:val="21"/>
                <w:szCs w:val="21"/>
                <w:u w:val="none"/>
                <w:vertAlign w:val="baseline"/>
                <w:lang w:val="en-US" w:eastAsia="zh-CN"/>
              </w:rPr>
            </w:pPr>
            <w:r>
              <w:rPr>
                <w:rFonts w:hint="default" w:ascii="Times New Roman" w:hAnsi="Times New Roman" w:eastAsia="宋体" w:cs="Times New Roman"/>
                <w:color w:val="000000" w:themeColor="text1"/>
                <w:sz w:val="21"/>
                <w:szCs w:val="21"/>
                <w14:textFill>
                  <w14:solidFill>
                    <w14:schemeClr w14:val="tx1"/>
                  </w14:solidFill>
                </w14:textFill>
              </w:rPr>
              <w:t>基础减振、隔声</w:t>
            </w:r>
          </w:p>
        </w:tc>
        <w:tc>
          <w:tcPr>
            <w:tcW w:w="226" w:type="pct"/>
            <w:tcBorders>
              <w:tl2br w:val="nil"/>
              <w:tr2bl w:val="nil"/>
            </w:tcBorders>
            <w:noWrap w:val="0"/>
            <w:vAlign w:val="center"/>
          </w:tcPr>
          <w:p w14:paraId="7E7EF186">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423</w:t>
            </w:r>
          </w:p>
        </w:tc>
        <w:tc>
          <w:tcPr>
            <w:tcW w:w="270" w:type="pct"/>
            <w:tcBorders>
              <w:tl2br w:val="nil"/>
              <w:tr2bl w:val="nil"/>
            </w:tcBorders>
            <w:noWrap w:val="0"/>
            <w:vAlign w:val="center"/>
          </w:tcPr>
          <w:p w14:paraId="441563DC">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383</w:t>
            </w:r>
          </w:p>
        </w:tc>
        <w:tc>
          <w:tcPr>
            <w:tcW w:w="199" w:type="pct"/>
            <w:tcBorders>
              <w:tl2br w:val="nil"/>
              <w:tr2bl w:val="nil"/>
            </w:tcBorders>
            <w:noWrap w:val="0"/>
            <w:vAlign w:val="center"/>
          </w:tcPr>
          <w:p w14:paraId="4139DB84">
            <w:pPr>
              <w:adjustRightInd w:val="0"/>
              <w:snapToGrid w:val="0"/>
              <w:jc w:val="center"/>
              <w:rPr>
                <w:rFonts w:hint="default" w:ascii="Times New Roman" w:hAnsi="Times New Roman" w:eastAsia="宋体" w:cs="Times New Roman"/>
                <w:b w:val="0"/>
                <w:bCs w:val="0"/>
                <w:color w:val="auto"/>
                <w:sz w:val="21"/>
                <w:szCs w:val="21"/>
                <w:highlight w:val="none"/>
                <w:u w:val="none"/>
                <w:vertAlign w:val="baseline"/>
                <w:lang w:val="en-US" w:eastAsia="zh-CN"/>
              </w:rPr>
            </w:pPr>
            <w:r>
              <w:rPr>
                <w:rFonts w:hint="eastAsia" w:ascii="Times New Roman" w:hAnsi="Times New Roman" w:eastAsia="宋体" w:cs="Times New Roman"/>
                <w:b w:val="0"/>
                <w:bCs w:val="0"/>
                <w:color w:val="auto"/>
                <w:sz w:val="21"/>
                <w:szCs w:val="21"/>
                <w:highlight w:val="none"/>
                <w:u w:val="none"/>
                <w:vertAlign w:val="baseline"/>
                <w:lang w:val="en-US" w:eastAsia="zh-CN"/>
              </w:rPr>
              <w:t>2.5</w:t>
            </w:r>
          </w:p>
        </w:tc>
        <w:tc>
          <w:tcPr>
            <w:tcW w:w="164" w:type="pct"/>
            <w:tcBorders>
              <w:tl2br w:val="nil"/>
              <w:tr2bl w:val="nil"/>
            </w:tcBorders>
            <w:noWrap w:val="0"/>
            <w:vAlign w:val="center"/>
          </w:tcPr>
          <w:p w14:paraId="2F2C78B6">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3</w:t>
            </w:r>
          </w:p>
        </w:tc>
        <w:tc>
          <w:tcPr>
            <w:tcW w:w="164" w:type="pct"/>
            <w:tcBorders>
              <w:tl2br w:val="nil"/>
              <w:tr2bl w:val="nil"/>
            </w:tcBorders>
            <w:noWrap w:val="0"/>
            <w:vAlign w:val="center"/>
          </w:tcPr>
          <w:p w14:paraId="04AFDD36">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1</w:t>
            </w:r>
          </w:p>
        </w:tc>
        <w:tc>
          <w:tcPr>
            <w:tcW w:w="181" w:type="pct"/>
            <w:tcBorders>
              <w:tl2br w:val="nil"/>
              <w:tr2bl w:val="nil"/>
            </w:tcBorders>
            <w:noWrap w:val="0"/>
            <w:vAlign w:val="center"/>
          </w:tcPr>
          <w:p w14:paraId="2E2420BF">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w:t>
            </w:r>
          </w:p>
        </w:tc>
        <w:tc>
          <w:tcPr>
            <w:tcW w:w="179" w:type="pct"/>
            <w:tcBorders>
              <w:tl2br w:val="nil"/>
              <w:tr2bl w:val="nil"/>
            </w:tcBorders>
            <w:noWrap w:val="0"/>
            <w:vAlign w:val="center"/>
          </w:tcPr>
          <w:p w14:paraId="0CD23E0C">
            <w:pPr>
              <w:adjustRightInd w:val="0"/>
              <w:snapToGrid w:val="0"/>
              <w:jc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8</w:t>
            </w:r>
          </w:p>
        </w:tc>
        <w:tc>
          <w:tcPr>
            <w:tcW w:w="204" w:type="pct"/>
            <w:tcBorders>
              <w:tl2br w:val="nil"/>
              <w:tr2bl w:val="nil"/>
            </w:tcBorders>
            <w:noWrap w:val="0"/>
            <w:vAlign w:val="center"/>
          </w:tcPr>
          <w:p w14:paraId="5948233D">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80</w:t>
            </w:r>
          </w:p>
        </w:tc>
        <w:tc>
          <w:tcPr>
            <w:tcW w:w="204" w:type="pct"/>
            <w:tcBorders>
              <w:tl2br w:val="nil"/>
              <w:tr2bl w:val="nil"/>
            </w:tcBorders>
            <w:noWrap w:val="0"/>
            <w:vAlign w:val="center"/>
          </w:tcPr>
          <w:p w14:paraId="693476E0">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90</w:t>
            </w:r>
          </w:p>
        </w:tc>
        <w:tc>
          <w:tcPr>
            <w:tcW w:w="204" w:type="pct"/>
            <w:tcBorders>
              <w:tl2br w:val="nil"/>
              <w:tr2bl w:val="nil"/>
            </w:tcBorders>
            <w:noWrap w:val="0"/>
            <w:vAlign w:val="center"/>
          </w:tcPr>
          <w:p w14:paraId="3FE9622A">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73</w:t>
            </w:r>
          </w:p>
        </w:tc>
        <w:tc>
          <w:tcPr>
            <w:tcW w:w="217" w:type="pct"/>
            <w:tcBorders>
              <w:tl2br w:val="nil"/>
              <w:tr2bl w:val="nil"/>
            </w:tcBorders>
            <w:noWrap w:val="0"/>
            <w:vAlign w:val="center"/>
          </w:tcPr>
          <w:p w14:paraId="015738C3">
            <w:pPr>
              <w:keepNext w:val="0"/>
              <w:keepLines w:val="0"/>
              <w:widowControl/>
              <w:suppressLineNumbers w:val="0"/>
              <w:jc w:val="center"/>
              <w:textAlignment w:val="center"/>
              <w:rPr>
                <w:rFonts w:hint="default"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72</w:t>
            </w:r>
          </w:p>
        </w:tc>
        <w:tc>
          <w:tcPr>
            <w:tcW w:w="191" w:type="pct"/>
            <w:vMerge w:val="continue"/>
            <w:tcBorders>
              <w:tl2br w:val="nil"/>
              <w:tr2bl w:val="nil"/>
            </w:tcBorders>
            <w:noWrap w:val="0"/>
            <w:vAlign w:val="center"/>
          </w:tcPr>
          <w:p w14:paraId="3AD490C5">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p>
        </w:tc>
        <w:tc>
          <w:tcPr>
            <w:tcW w:w="271" w:type="pct"/>
            <w:tcBorders>
              <w:tl2br w:val="nil"/>
              <w:tr2bl w:val="nil"/>
            </w:tcBorders>
            <w:noWrap w:val="0"/>
            <w:vAlign w:val="center"/>
          </w:tcPr>
          <w:p w14:paraId="45CEC415">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20</w:t>
            </w:r>
          </w:p>
        </w:tc>
        <w:tc>
          <w:tcPr>
            <w:tcW w:w="204" w:type="pct"/>
            <w:tcBorders>
              <w:tl2br w:val="nil"/>
              <w:tr2bl w:val="nil"/>
            </w:tcBorders>
            <w:noWrap w:val="0"/>
            <w:vAlign w:val="center"/>
          </w:tcPr>
          <w:p w14:paraId="39FBF5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60</w:t>
            </w:r>
          </w:p>
        </w:tc>
        <w:tc>
          <w:tcPr>
            <w:tcW w:w="205" w:type="pct"/>
            <w:tcBorders>
              <w:tl2br w:val="nil"/>
              <w:tr2bl w:val="nil"/>
            </w:tcBorders>
            <w:noWrap w:val="0"/>
            <w:vAlign w:val="center"/>
          </w:tcPr>
          <w:p w14:paraId="4695502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70</w:t>
            </w:r>
          </w:p>
        </w:tc>
        <w:tc>
          <w:tcPr>
            <w:tcW w:w="205" w:type="pct"/>
            <w:tcBorders>
              <w:tl2br w:val="nil"/>
              <w:tr2bl w:val="nil"/>
            </w:tcBorders>
            <w:noWrap w:val="0"/>
            <w:vAlign w:val="center"/>
          </w:tcPr>
          <w:p w14:paraId="340439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53</w:t>
            </w:r>
          </w:p>
        </w:tc>
        <w:tc>
          <w:tcPr>
            <w:tcW w:w="205" w:type="pct"/>
            <w:tcBorders>
              <w:tl2br w:val="nil"/>
              <w:tr2bl w:val="nil"/>
            </w:tcBorders>
            <w:noWrap w:val="0"/>
            <w:vAlign w:val="center"/>
          </w:tcPr>
          <w:p w14:paraId="0CE843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000000"/>
                <w:kern w:val="0"/>
                <w:sz w:val="21"/>
                <w:szCs w:val="21"/>
                <w:u w:val="none"/>
                <w:lang w:val="en-US" w:eastAsia="zh-CN" w:bidi="ar"/>
              </w:rPr>
              <w:t>52</w:t>
            </w:r>
          </w:p>
        </w:tc>
        <w:tc>
          <w:tcPr>
            <w:tcW w:w="325" w:type="pct"/>
            <w:tcBorders>
              <w:tl2br w:val="nil"/>
              <w:tr2bl w:val="nil"/>
            </w:tcBorders>
            <w:noWrap w:val="0"/>
            <w:vAlign w:val="center"/>
          </w:tcPr>
          <w:p w14:paraId="6B044852">
            <w:pPr>
              <w:adjustRightInd w:val="0"/>
              <w:snapToGrid w:val="0"/>
              <w:jc w:val="center"/>
              <w:rPr>
                <w:rFonts w:hint="eastAsia" w:ascii="Times New Roman" w:hAnsi="Times New Roman" w:eastAsia="宋体" w:cs="Times New Roman"/>
                <w:b w:val="0"/>
                <w:bCs w:val="0"/>
                <w:color w:val="auto"/>
                <w:sz w:val="21"/>
                <w:szCs w:val="21"/>
                <w:u w:val="none"/>
                <w:vertAlign w:val="baseline"/>
                <w:lang w:val="en-US" w:eastAsia="zh-CN"/>
              </w:rPr>
            </w:pPr>
            <w:r>
              <w:rPr>
                <w:rFonts w:hint="eastAsia" w:ascii="Times New Roman" w:hAnsi="Times New Roman" w:eastAsia="宋体" w:cs="Times New Roman"/>
                <w:b w:val="0"/>
                <w:bCs w:val="0"/>
                <w:color w:val="auto"/>
                <w:sz w:val="21"/>
                <w:szCs w:val="21"/>
                <w:u w:val="none"/>
                <w:vertAlign w:val="baseline"/>
                <w:lang w:val="en-US" w:eastAsia="zh-CN"/>
              </w:rPr>
              <w:t>1</w:t>
            </w:r>
          </w:p>
        </w:tc>
      </w:tr>
      <w:tr w14:paraId="06CFCB7B">
        <w:tblPrEx>
          <w:tblBorders>
            <w:top w:val="single" w:color="auto" w:sz="18" w:space="0"/>
            <w:left w:val="none" w:color="auto" w:sz="0" w:space="0"/>
            <w:bottom w:val="single" w:color="auto" w:sz="18" w:space="0"/>
            <w:right w:val="none" w:color="auto" w:sz="0" w:space="0"/>
            <w:insideH w:val="single" w:color="auto" w:sz="4" w:space="0"/>
            <w:insideV w:val="single" w:color="auto" w:sz="2" w:space="0"/>
          </w:tblBorders>
          <w:tblCellMar>
            <w:top w:w="0" w:type="dxa"/>
            <w:left w:w="108" w:type="dxa"/>
            <w:bottom w:w="0" w:type="dxa"/>
            <w:right w:w="108" w:type="dxa"/>
          </w:tblCellMar>
        </w:tblPrEx>
        <w:trPr>
          <w:trHeight w:val="90" w:hRule="atLeast"/>
        </w:trPr>
        <w:tc>
          <w:tcPr>
            <w:tcW w:w="5000" w:type="pct"/>
            <w:gridSpan w:val="23"/>
            <w:tcBorders>
              <w:tl2br w:val="nil"/>
              <w:tr2bl w:val="nil"/>
            </w:tcBorders>
            <w:noWrap w:val="0"/>
            <w:vAlign w:val="center"/>
          </w:tcPr>
          <w:p w14:paraId="30E30163">
            <w:pPr>
              <w:adjustRightInd w:val="0"/>
              <w:snapToGrid w:val="0"/>
              <w:jc w:val="left"/>
              <w:rPr>
                <w:rFonts w:hint="default" w:ascii="Times New Roman" w:hAnsi="Times New Roman" w:eastAsia="宋体" w:cs="Times New Roman"/>
                <w:b w:val="0"/>
                <w:bCs w:val="0"/>
                <w:color w:val="auto"/>
                <w:sz w:val="18"/>
                <w:szCs w:val="18"/>
                <w:u w:val="none"/>
                <w:vertAlign w:val="baseline"/>
                <w:lang w:val="en-US" w:eastAsia="zh-CN"/>
              </w:rPr>
            </w:pPr>
            <w:r>
              <w:rPr>
                <w:rFonts w:hint="eastAsia" w:ascii="Times New Roman" w:hAnsi="Times New Roman" w:eastAsia="宋体" w:cs="Times New Roman"/>
                <w:color w:val="000000" w:themeColor="text1"/>
                <w:sz w:val="18"/>
                <w:szCs w:val="18"/>
                <w:lang w:val="en-US" w:eastAsia="zh-CN"/>
                <w14:textFill>
                  <w14:solidFill>
                    <w14:schemeClr w14:val="tx1"/>
                  </w14:solidFill>
                </w14:textFill>
              </w:rPr>
              <w:t>注：已厂界西南角为原点，</w:t>
            </w:r>
            <w:r>
              <w:rPr>
                <w:rFonts w:hint="eastAsia" w:ascii="Times New Roman" w:hAnsi="Times New Roman" w:eastAsia="宋体" w:cs="Times New Roman"/>
                <w:b w:val="0"/>
                <w:bCs w:val="0"/>
                <w:color w:val="auto"/>
                <w:sz w:val="18"/>
                <w:szCs w:val="18"/>
                <w:u w:val="none"/>
                <w:vertAlign w:val="baseline"/>
                <w:lang w:val="en-US" w:eastAsia="zh-CN"/>
              </w:rPr>
              <w:t>X轴正向为东方向，Y轴正向为北方向。</w:t>
            </w:r>
          </w:p>
        </w:tc>
      </w:tr>
    </w:tbl>
    <w:p w14:paraId="72AFEF23">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sectPr>
          <w:pgSz w:w="16838" w:h="11906" w:orient="landscape"/>
          <w:pgMar w:top="1803" w:right="1440" w:bottom="1803" w:left="1440" w:header="1021" w:footer="1021" w:gutter="0"/>
          <w:pgBorders>
            <w:top w:val="none" w:sz="0" w:space="0"/>
            <w:left w:val="none" w:sz="0" w:space="0"/>
            <w:bottom w:val="none" w:sz="0" w:space="0"/>
            <w:right w:val="none" w:sz="0" w:space="0"/>
          </w:pgBorders>
          <w:pgNumType w:fmt="decimal"/>
          <w:cols w:space="720" w:num="1"/>
          <w:docGrid w:linePitch="312" w:charSpace="0"/>
        </w:sectPr>
      </w:pPr>
    </w:p>
    <w:p w14:paraId="197A7B02">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lang w:val="en-US" w:eastAsia="zh-CN"/>
        </w:rPr>
      </w:pPr>
      <w:bookmarkStart w:id="214" w:name="_Toc6881"/>
      <w:bookmarkStart w:id="215" w:name="_Toc11735"/>
      <w:r>
        <w:rPr>
          <w:rFonts w:hint="default" w:ascii="Times New Roman" w:hAnsi="Times New Roman" w:eastAsia="宋体" w:cs="Times New Roman"/>
          <w:b/>
          <w:bCs/>
          <w:sz w:val="24"/>
          <w:szCs w:val="16"/>
          <w:highlight w:val="none"/>
          <w:lang w:val="en-US" w:eastAsia="zh-CN"/>
        </w:rPr>
        <w:t>5.</w:t>
      </w:r>
      <w:r>
        <w:rPr>
          <w:rFonts w:hint="eastAsia" w:ascii="Times New Roman" w:hAnsi="Times New Roman" w:eastAsia="宋体" w:cs="Times New Roman"/>
          <w:b/>
          <w:bCs/>
          <w:sz w:val="24"/>
          <w:szCs w:val="16"/>
          <w:highlight w:val="none"/>
          <w:lang w:val="en-US" w:eastAsia="zh-CN"/>
        </w:rPr>
        <w:t>2.4.2</w:t>
      </w:r>
      <w:r>
        <w:rPr>
          <w:rFonts w:hint="default" w:ascii="Times New Roman" w:hAnsi="Times New Roman" w:eastAsia="宋体" w:cs="Times New Roman"/>
          <w:b/>
          <w:bCs/>
          <w:sz w:val="24"/>
          <w:szCs w:val="16"/>
          <w:highlight w:val="none"/>
          <w:lang w:val="en-US" w:eastAsia="zh-CN"/>
        </w:rPr>
        <w:t>评价等级</w:t>
      </w:r>
      <w:bookmarkEnd w:id="214"/>
      <w:bookmarkEnd w:id="215"/>
    </w:p>
    <w:p w14:paraId="58A73012">
      <w:pPr>
        <w:keepNext w:val="0"/>
        <w:keepLines w:val="0"/>
        <w:pageBreakBefore w:val="0"/>
        <w:widowControl/>
        <w:kinsoku/>
        <w:wordWrap w:val="0"/>
        <w:overflowPunct/>
        <w:topLinePunct/>
        <w:autoSpaceDE/>
        <w:autoSpaceDN/>
        <w:bidi w:val="0"/>
        <w:adjustRightInd w:val="0"/>
        <w:snapToGrid w:val="0"/>
        <w:spacing w:line="360" w:lineRule="auto"/>
        <w:ind w:left="0" w:leftChars="0" w:firstLine="480" w:firstLineChars="200"/>
        <w:textAlignment w:val="auto"/>
        <w:outlineLvl w:val="9"/>
        <w:rPr>
          <w:rFonts w:hint="default" w:ascii="Times New Roman" w:hAnsi="Times New Roman" w:eastAsia="宋体" w:cs="Times New Roman"/>
          <w:color w:val="000000"/>
          <w:sz w:val="24"/>
          <w:szCs w:val="24"/>
        </w:rPr>
      </w:pPr>
      <w:r>
        <w:rPr>
          <w:sz w:val="24"/>
        </w:rPr>
        <w:t>根据《环境影响评价技术导则</w:t>
      </w:r>
      <w:r>
        <w:rPr>
          <w:rFonts w:hint="eastAsia"/>
          <w:sz w:val="24"/>
        </w:rPr>
        <w:t xml:space="preserve"> </w:t>
      </w:r>
      <w:r>
        <w:rPr>
          <w:sz w:val="24"/>
        </w:rPr>
        <w:t>声环境》（HJ2.4-20</w:t>
      </w:r>
      <w:r>
        <w:rPr>
          <w:rFonts w:hint="eastAsia"/>
          <w:sz w:val="24"/>
        </w:rPr>
        <w:t>21</w:t>
      </w:r>
      <w:r>
        <w:rPr>
          <w:sz w:val="24"/>
        </w:rPr>
        <w:t>）中有关声环境影响评价工作等级的划分原则，本项目所处的声环境功能区为《声环境质量标准》（GB3096-2008）规定的</w:t>
      </w:r>
      <w:r>
        <w:rPr>
          <w:rFonts w:hint="eastAsia"/>
          <w:sz w:val="24"/>
        </w:rPr>
        <w:t>3</w:t>
      </w:r>
      <w:r>
        <w:rPr>
          <w:sz w:val="24"/>
        </w:rPr>
        <w:t>类地区，确定本次声环境评价等级为</w:t>
      </w:r>
      <w:r>
        <w:rPr>
          <w:rFonts w:hint="eastAsia"/>
          <w:sz w:val="24"/>
        </w:rPr>
        <w:t>三</w:t>
      </w:r>
      <w:r>
        <w:rPr>
          <w:sz w:val="24"/>
        </w:rPr>
        <w:t>级。</w:t>
      </w:r>
    </w:p>
    <w:p w14:paraId="5F442322">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lang w:val="en-US" w:eastAsia="zh-CN"/>
        </w:rPr>
      </w:pPr>
      <w:bookmarkStart w:id="216" w:name="_Toc12386"/>
      <w:bookmarkStart w:id="217" w:name="_Toc12724"/>
      <w:r>
        <w:rPr>
          <w:rFonts w:hint="default" w:ascii="Times New Roman" w:hAnsi="Times New Roman" w:eastAsia="宋体" w:cs="Times New Roman"/>
          <w:b/>
          <w:bCs/>
          <w:sz w:val="24"/>
          <w:szCs w:val="16"/>
          <w:highlight w:val="none"/>
          <w:lang w:val="en-US" w:eastAsia="zh-CN"/>
        </w:rPr>
        <w:t>5.</w:t>
      </w:r>
      <w:r>
        <w:rPr>
          <w:rFonts w:hint="eastAsia" w:ascii="Times New Roman" w:hAnsi="Times New Roman" w:eastAsia="宋体" w:cs="Times New Roman"/>
          <w:b/>
          <w:bCs/>
          <w:sz w:val="24"/>
          <w:szCs w:val="16"/>
          <w:highlight w:val="none"/>
          <w:lang w:val="en-US" w:eastAsia="zh-CN"/>
        </w:rPr>
        <w:t>2.4.3</w:t>
      </w:r>
      <w:r>
        <w:rPr>
          <w:rFonts w:hint="default" w:ascii="Times New Roman" w:hAnsi="Times New Roman" w:eastAsia="宋体" w:cs="Times New Roman"/>
          <w:b/>
          <w:bCs/>
          <w:sz w:val="24"/>
          <w:szCs w:val="16"/>
          <w:highlight w:val="none"/>
          <w:lang w:val="en-US" w:eastAsia="zh-CN"/>
        </w:rPr>
        <w:t>噪声影响预测与分析</w:t>
      </w:r>
      <w:bookmarkEnd w:id="216"/>
      <w:bookmarkEnd w:id="217"/>
    </w:p>
    <w:p w14:paraId="4ED2A65D">
      <w:pPr>
        <w:keepNext w:val="0"/>
        <w:keepLines w:val="0"/>
        <w:pageBreakBefore w:val="0"/>
        <w:widowControl/>
        <w:kinsoku/>
        <w:wordWrap w:val="0"/>
        <w:overflowPunct/>
        <w:topLinePunct/>
        <w:autoSpaceDE/>
        <w:autoSpaceDN/>
        <w:bidi w:val="0"/>
        <w:adjustRightInd w:val="0"/>
        <w:snapToGrid w:val="0"/>
        <w:spacing w:line="360" w:lineRule="auto"/>
        <w:ind w:left="0" w:leftChars="0" w:firstLine="480" w:firstLineChars="200"/>
        <w:textAlignment w:val="auto"/>
        <w:outlineLvl w:val="9"/>
        <w:rPr>
          <w:rFonts w:hint="default" w:cs="Times New Roman"/>
          <w:color w:val="000000"/>
          <w:sz w:val="24"/>
          <w:szCs w:val="24"/>
          <w:lang w:val="en-US" w:eastAsia="zh-CN"/>
        </w:rPr>
      </w:pPr>
      <w:r>
        <w:rPr>
          <w:rFonts w:hint="eastAsia" w:cs="Times New Roman"/>
          <w:color w:val="000000"/>
          <w:sz w:val="24"/>
          <w:szCs w:val="24"/>
          <w:lang w:val="en-US" w:eastAsia="zh-CN"/>
        </w:rPr>
        <w:t>（1）预测模式</w:t>
      </w:r>
    </w:p>
    <w:p w14:paraId="5BA323F1">
      <w:pPr>
        <w:keepNext w:val="0"/>
        <w:keepLines w:val="0"/>
        <w:pageBreakBefore w:val="0"/>
        <w:widowControl/>
        <w:kinsoku/>
        <w:wordWrap w:val="0"/>
        <w:overflowPunct/>
        <w:topLinePunct/>
        <w:autoSpaceDE/>
        <w:autoSpaceDN/>
        <w:bidi w:val="0"/>
        <w:adjustRightInd w:val="0"/>
        <w:snapToGrid w:val="0"/>
        <w:spacing w:line="360" w:lineRule="auto"/>
        <w:ind w:left="0" w:leftChars="0" w:firstLine="480" w:firstLineChars="200"/>
        <w:textAlignment w:val="auto"/>
        <w:outlineLvl w:val="9"/>
        <w:rPr>
          <w:rFonts w:hint="default" w:ascii="Times New Roman" w:hAnsi="Times New Roman" w:cs="Times New Roman"/>
          <w:color w:val="000000"/>
          <w:sz w:val="24"/>
          <w:szCs w:val="24"/>
        </w:rPr>
      </w:pPr>
      <w:r>
        <w:rPr>
          <w:rFonts w:hint="eastAsia" w:cs="Times New Roman"/>
          <w:color w:val="000000"/>
          <w:sz w:val="24"/>
          <w:szCs w:val="24"/>
          <w:lang w:val="en-US" w:eastAsia="zh-CN"/>
        </w:rPr>
        <w:t>本次评价噪声</w:t>
      </w:r>
      <w:r>
        <w:rPr>
          <w:rFonts w:hint="default" w:ascii="Times New Roman" w:hAnsi="Times New Roman" w:eastAsia="宋体" w:cs="Times New Roman"/>
          <w:color w:val="000000"/>
          <w:sz w:val="24"/>
          <w:szCs w:val="24"/>
        </w:rPr>
        <w:t>预测采用</w:t>
      </w:r>
      <w:r>
        <w:rPr>
          <w:rFonts w:hint="default" w:ascii="Times New Roman" w:hAnsi="Times New Roman" w:cs="Times New Roman"/>
          <w:color w:val="000000"/>
          <w:sz w:val="24"/>
          <w:szCs w:val="24"/>
        </w:rPr>
        <w:t>《环境影响评价技术导则</w:t>
      </w:r>
      <w:r>
        <w:rPr>
          <w:rFonts w:hint="default" w:ascii="Times New Roman" w:hAnsi="Times New Roman" w:cs="Times New Roman"/>
          <w:color w:val="000000"/>
          <w:sz w:val="24"/>
          <w:szCs w:val="24"/>
          <w:lang w:val="en-US" w:eastAsia="zh-CN"/>
        </w:rPr>
        <w:t xml:space="preserve"> </w:t>
      </w:r>
      <w:r>
        <w:rPr>
          <w:rFonts w:hint="default" w:ascii="Times New Roman" w:hAnsi="Times New Roman" w:cs="Times New Roman"/>
          <w:color w:val="000000"/>
          <w:sz w:val="24"/>
          <w:szCs w:val="24"/>
        </w:rPr>
        <w:t>声环境》（</w:t>
      </w:r>
      <w:r>
        <w:rPr>
          <w:rFonts w:hint="default" w:ascii="Times New Roman" w:hAnsi="Times New Roman" w:cs="Times New Roman"/>
          <w:color w:val="000000"/>
          <w:sz w:val="24"/>
          <w:szCs w:val="24"/>
          <w:lang w:val="en-GB"/>
        </w:rPr>
        <w:t>HJ2.4-20</w:t>
      </w:r>
      <w:r>
        <w:rPr>
          <w:rFonts w:hint="default" w:ascii="Times New Roman" w:hAnsi="Times New Roman" w:cs="Times New Roman"/>
          <w:color w:val="000000"/>
          <w:sz w:val="24"/>
          <w:szCs w:val="24"/>
          <w:lang w:val="en-US" w:eastAsia="zh-CN"/>
        </w:rPr>
        <w:t>21</w:t>
      </w:r>
      <w:r>
        <w:rPr>
          <w:rFonts w:hint="default" w:ascii="Times New Roman" w:hAnsi="Times New Roman" w:cs="Times New Roman"/>
          <w:color w:val="000000"/>
          <w:sz w:val="24"/>
          <w:szCs w:val="24"/>
          <w:lang w:val="en-GB"/>
        </w:rPr>
        <w:t>）</w:t>
      </w:r>
      <w:r>
        <w:rPr>
          <w:rFonts w:hint="default" w:ascii="Times New Roman" w:hAnsi="Times New Roman" w:cs="Times New Roman"/>
          <w:color w:val="000000"/>
          <w:sz w:val="24"/>
          <w:szCs w:val="24"/>
        </w:rPr>
        <w:t>中的工业噪声预测模式。</w:t>
      </w:r>
    </w:p>
    <w:p w14:paraId="55048B13">
      <w:pPr>
        <w:pStyle w:val="209"/>
        <w:keepNext w:val="0"/>
        <w:keepLines w:val="0"/>
        <w:pageBreakBefore w:val="0"/>
        <w:widowControl/>
        <w:kinsoku/>
        <w:wordWrap w:val="0"/>
        <w:overflowPunct/>
        <w:topLinePunct/>
        <w:autoSpaceDE/>
        <w:autoSpaceDN/>
        <w:bidi w:val="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①计算某个室内声源在靠近围护结构处的倍频带声压级：</w:t>
      </w:r>
    </w:p>
    <w:p w14:paraId="1FD5C118">
      <w:pPr>
        <w:pStyle w:val="209"/>
        <w:keepNext w:val="0"/>
        <w:keepLines w:val="0"/>
        <w:pageBreakBefore w:val="0"/>
        <w:widowControl/>
        <w:kinsoku/>
        <w:wordWrap w:val="0"/>
        <w:overflowPunct/>
        <w:topLinePunct/>
        <w:autoSpaceDE/>
        <w:autoSpaceDN/>
        <w:bidi w:val="0"/>
        <w:outlineLvl w:val="9"/>
        <w:rPr>
          <w:rFonts w:hint="default" w:ascii="Times New Roman" w:hAnsi="Times New Roman" w:cs="Times New Roman"/>
          <w:b/>
          <w:bCs/>
          <w:color w:val="000000"/>
          <w:sz w:val="24"/>
          <w:szCs w:val="24"/>
          <w:lang w:val="en-US"/>
        </w:rPr>
      </w:pPr>
      <w:r>
        <w:rPr>
          <w:rFonts w:hint="default" w:ascii="Times New Roman" w:hAnsi="Times New Roman" w:cs="Times New Roman"/>
          <w:color w:val="000000"/>
          <w:sz w:val="24"/>
          <w:szCs w:val="24"/>
        </w:rPr>
        <w:pict>
          <v:shape id="对象 2105" o:spid="_x0000_s1028" o:spt="75" type="#_x0000_t75" style="position:absolute;left:0pt;margin-left:141.3pt;margin-top:-3.55pt;height:38pt;width:150.95pt;z-index:-251621376;mso-width-relative:page;mso-height-relative:page;" o:ole="t" filled="f" o:preferrelative="t" stroked="f" coordsize="21600,21600">
            <v:path/>
            <v:fill on="f" focussize="0,0"/>
            <v:stroke on="f"/>
            <v:imagedata r:id="rId62" o:title=""/>
            <o:lock v:ext="edit" aspectratio="t"/>
          </v:shape>
          <o:OLEObject Type="Embed" ProgID="Equation.3" ShapeID="对象 2105" DrawAspect="Content" ObjectID="_1468075737" r:id="rId61">
            <o:LockedField>false</o:LockedField>
          </o:OLEObject>
        </w:pict>
      </w:r>
    </w:p>
    <w:p w14:paraId="6AB9F8E9">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p>
    <w:p w14:paraId="2B178B68">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式中：L</w:t>
      </w:r>
      <w:r>
        <w:rPr>
          <w:rFonts w:hint="default" w:ascii="Times New Roman" w:hAnsi="Times New Roman" w:cs="Times New Roman"/>
          <w:color w:val="000000"/>
          <w:sz w:val="24"/>
          <w:szCs w:val="24"/>
          <w:vertAlign w:val="subscript"/>
        </w:rPr>
        <w:t>oct,1</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某个室内声源在靠近围护结构处产生的倍频带声压级，dB；</w:t>
      </w:r>
    </w:p>
    <w:p w14:paraId="7A0F0FDA">
      <w:pPr>
        <w:pStyle w:val="209"/>
        <w:keepNext w:val="0"/>
        <w:keepLines w:val="0"/>
        <w:pageBreakBefore w:val="0"/>
        <w:widowControl/>
        <w:kinsoku/>
        <w:wordWrap w:val="0"/>
        <w:overflowPunct/>
        <w:topLinePunct/>
        <w:autoSpaceDE/>
        <w:autoSpaceDN/>
        <w:bidi w:val="0"/>
        <w:ind w:left="0" w:leftChars="0" w:firstLine="1200" w:firstLineChars="50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L</w:t>
      </w:r>
      <w:r>
        <w:rPr>
          <w:rFonts w:hint="default" w:ascii="Times New Roman" w:hAnsi="Times New Roman" w:cs="Times New Roman"/>
          <w:color w:val="000000"/>
          <w:sz w:val="24"/>
          <w:szCs w:val="24"/>
          <w:vertAlign w:val="subscript"/>
        </w:rPr>
        <w:t>w oct</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某个声源的倍频带声功率级，dB；</w:t>
      </w:r>
    </w:p>
    <w:p w14:paraId="6982B10B">
      <w:pPr>
        <w:pStyle w:val="209"/>
        <w:keepNext w:val="0"/>
        <w:keepLines w:val="0"/>
        <w:pageBreakBefore w:val="0"/>
        <w:widowControl/>
        <w:kinsoku/>
        <w:wordWrap w:val="0"/>
        <w:overflowPunct/>
        <w:topLinePunct/>
        <w:autoSpaceDE/>
        <w:autoSpaceDN/>
        <w:bidi w:val="0"/>
        <w:ind w:left="0" w:leftChars="0" w:firstLine="1200" w:firstLineChars="50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r</w:t>
      </w:r>
      <w:r>
        <w:rPr>
          <w:rFonts w:hint="default" w:ascii="Times New Roman" w:hAnsi="Times New Roman" w:cs="Times New Roman"/>
          <w:color w:val="000000"/>
          <w:sz w:val="24"/>
          <w:szCs w:val="24"/>
          <w:vertAlign w:val="subscript"/>
        </w:rPr>
        <w:t>1</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室内某个声源与靠近围护结构处的距离，m；</w:t>
      </w:r>
    </w:p>
    <w:p w14:paraId="43AA8517">
      <w:pPr>
        <w:pStyle w:val="209"/>
        <w:keepNext w:val="0"/>
        <w:keepLines w:val="0"/>
        <w:pageBreakBefore w:val="0"/>
        <w:widowControl/>
        <w:kinsoku/>
        <w:wordWrap w:val="0"/>
        <w:overflowPunct/>
        <w:topLinePunct/>
        <w:autoSpaceDE/>
        <w:autoSpaceDN/>
        <w:bidi w:val="0"/>
        <w:ind w:left="0" w:leftChars="0" w:firstLine="1200" w:firstLineChars="50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R</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房间常数；</w:t>
      </w:r>
    </w:p>
    <w:p w14:paraId="23586FA5">
      <w:pPr>
        <w:pStyle w:val="209"/>
        <w:keepNext w:val="0"/>
        <w:keepLines w:val="0"/>
        <w:pageBreakBefore w:val="0"/>
        <w:widowControl/>
        <w:kinsoku/>
        <w:wordWrap w:val="0"/>
        <w:overflowPunct/>
        <w:topLinePunct/>
        <w:autoSpaceDE/>
        <w:autoSpaceDN/>
        <w:bidi w:val="0"/>
        <w:ind w:left="0" w:leftChars="0" w:firstLine="1200" w:firstLineChars="50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Q</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方向性因子，无量纲值。</w:t>
      </w:r>
    </w:p>
    <w:p w14:paraId="4871CF15">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②计算所有室内声源在靠近围护结构处产生的总倍频带声压级：</w:t>
      </w:r>
    </w:p>
    <w:p w14:paraId="14CFDADB">
      <w:pPr>
        <w:pStyle w:val="209"/>
        <w:keepNext w:val="0"/>
        <w:keepLines w:val="0"/>
        <w:pageBreakBefore w:val="0"/>
        <w:widowControl/>
        <w:kinsoku/>
        <w:wordWrap w:val="0"/>
        <w:overflowPunct/>
        <w:topLinePunct/>
        <w:autoSpaceDE/>
        <w:autoSpaceDN/>
        <w:bidi w:val="0"/>
        <w:spacing w:line="240" w:lineRule="auto"/>
        <w:ind w:left="0" w:leftChars="0" w:firstLine="0" w:firstLineChars="0"/>
        <w:jc w:val="center"/>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object>
          <v:shape id="_x0000_i1037" o:spt="75" type="#_x0000_t75" style="height:36pt;width:139.95pt;" o:ole="t" filled="f" o:preferrelative="t" stroked="f" coordsize="21600,21600">
            <v:path/>
            <v:fill on="f" focussize="0,0"/>
            <v:stroke on="f"/>
            <v:imagedata r:id="rId64" o:title=""/>
            <o:lock v:ext="edit" aspectratio="t"/>
            <w10:wrap type="none"/>
            <w10:anchorlock/>
          </v:shape>
          <o:OLEObject Type="Embed" ProgID="Equation.3" ShapeID="_x0000_i1037" DrawAspect="Content" ObjectID="_1468075738" r:id="rId63">
            <o:LockedField>false</o:LockedField>
          </o:OLEObject>
        </w:object>
      </w:r>
    </w:p>
    <w:p w14:paraId="0AD757DF">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③计算室外靠近围护结构处的声压级：</w:t>
      </w:r>
    </w:p>
    <w:p w14:paraId="0AC25A64">
      <w:pPr>
        <w:pStyle w:val="209"/>
        <w:keepNext w:val="0"/>
        <w:keepLines w:val="0"/>
        <w:pageBreakBefore w:val="0"/>
        <w:widowControl/>
        <w:kinsoku/>
        <w:wordWrap w:val="0"/>
        <w:overflowPunct/>
        <w:topLinePunct/>
        <w:autoSpaceDE/>
        <w:autoSpaceDN/>
        <w:bidi w:val="0"/>
        <w:spacing w:line="240" w:lineRule="auto"/>
        <w:ind w:left="0" w:leftChars="0" w:firstLine="0" w:firstLineChars="0"/>
        <w:jc w:val="center"/>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object>
          <v:shape id="_x0000_i1038" o:spt="75" type="#_x0000_t75" style="height:19pt;width:147pt;" o:ole="t" filled="f" o:preferrelative="t" stroked="f" coordsize="21600,21600">
            <v:path/>
            <v:fill on="f" focussize="0,0"/>
            <v:stroke on="f"/>
            <v:imagedata r:id="rId66" o:title=""/>
            <o:lock v:ext="edit" aspectratio="t"/>
            <w10:wrap type="none"/>
            <w10:anchorlock/>
          </v:shape>
          <o:OLEObject Type="Embed" ProgID="Equation.3" ShapeID="_x0000_i1038" DrawAspect="Content" ObjectID="_1468075739" r:id="rId65">
            <o:LockedField>false</o:LockedField>
          </o:OLEObject>
        </w:object>
      </w:r>
    </w:p>
    <w:p w14:paraId="1BD329B8">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④将室外声级L</w:t>
      </w:r>
      <w:r>
        <w:rPr>
          <w:rFonts w:hint="default" w:ascii="Times New Roman" w:hAnsi="Times New Roman" w:cs="Times New Roman"/>
          <w:color w:val="000000"/>
          <w:sz w:val="24"/>
          <w:szCs w:val="24"/>
          <w:vertAlign w:val="subscript"/>
        </w:rPr>
        <w:t>oct, 2</w:t>
      </w:r>
      <w:r>
        <w:rPr>
          <w:rFonts w:hint="default" w:ascii="Times New Roman" w:hAnsi="Times New Roman" w:cs="Times New Roman"/>
          <w:color w:val="000000"/>
          <w:sz w:val="24"/>
          <w:szCs w:val="24"/>
        </w:rPr>
        <w:t>(T)和透声面积换算成等效的室外声源，计算等效声源第i个倍频带的声功率级L</w:t>
      </w:r>
      <w:r>
        <w:rPr>
          <w:rFonts w:hint="default" w:ascii="Times New Roman" w:hAnsi="Times New Roman" w:cs="Times New Roman"/>
          <w:color w:val="000000"/>
          <w:sz w:val="24"/>
          <w:szCs w:val="24"/>
          <w:vertAlign w:val="subscript"/>
        </w:rPr>
        <w:t>w oct</w:t>
      </w:r>
      <w:r>
        <w:rPr>
          <w:rFonts w:hint="default" w:ascii="Times New Roman" w:hAnsi="Times New Roman" w:cs="Times New Roman"/>
          <w:color w:val="000000"/>
          <w:sz w:val="24"/>
          <w:szCs w:val="24"/>
        </w:rPr>
        <w:t>：</w:t>
      </w:r>
    </w:p>
    <w:p w14:paraId="261DAE81">
      <w:pPr>
        <w:pStyle w:val="209"/>
        <w:keepNext w:val="0"/>
        <w:keepLines w:val="0"/>
        <w:pageBreakBefore w:val="0"/>
        <w:widowControl/>
        <w:kinsoku/>
        <w:wordWrap w:val="0"/>
        <w:overflowPunct/>
        <w:topLinePunct/>
        <w:autoSpaceDE/>
        <w:autoSpaceDN/>
        <w:bidi w:val="0"/>
        <w:spacing w:line="240" w:lineRule="auto"/>
        <w:ind w:left="0" w:leftChars="0" w:firstLine="0" w:firstLineChars="0"/>
        <w:jc w:val="center"/>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object>
          <v:shape id="_x0000_i1039" o:spt="75" type="#_x0000_t75" style="height:19.35pt;width:151.5pt;" o:ole="t" filled="f" o:preferrelative="t" stroked="f" coordsize="21600,21600">
            <v:path/>
            <v:fill on="f" focussize="0,0"/>
            <v:stroke on="f"/>
            <v:imagedata r:id="rId68" o:title=""/>
            <o:lock v:ext="edit" aspectratio="t"/>
            <w10:wrap type="none"/>
            <w10:anchorlock/>
          </v:shape>
          <o:OLEObject Type="Embed" ProgID="Equation.3" ShapeID="_x0000_i1039" DrawAspect="Content" ObjectID="_1468075740" r:id="rId67">
            <o:LockedField>false</o:LockedField>
          </o:OLEObject>
        </w:object>
      </w:r>
    </w:p>
    <w:p w14:paraId="22A424F0">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式中：S</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透声面积，m</w:t>
      </w:r>
      <w:r>
        <w:rPr>
          <w:rFonts w:hint="default" w:ascii="Times New Roman" w:hAnsi="Times New Roman" w:cs="Times New Roman"/>
          <w:color w:val="000000"/>
          <w:sz w:val="24"/>
          <w:szCs w:val="24"/>
          <w:vertAlign w:val="superscript"/>
        </w:rPr>
        <w:t>2</w:t>
      </w:r>
      <w:r>
        <w:rPr>
          <w:rFonts w:hint="default" w:ascii="Times New Roman" w:hAnsi="Times New Roman" w:cs="Times New Roman"/>
          <w:color w:val="000000"/>
          <w:sz w:val="24"/>
          <w:szCs w:val="24"/>
        </w:rPr>
        <w:t>。</w:t>
      </w:r>
    </w:p>
    <w:p w14:paraId="1C873E78">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⑤等效室外声源的位置为围护结构的位置，其倍频带声功率级为L</w:t>
      </w:r>
      <w:r>
        <w:rPr>
          <w:rFonts w:hint="default" w:ascii="Times New Roman" w:hAnsi="Times New Roman" w:cs="Times New Roman"/>
          <w:color w:val="000000"/>
          <w:sz w:val="24"/>
          <w:szCs w:val="24"/>
          <w:vertAlign w:val="subscript"/>
        </w:rPr>
        <w:t>w oct</w:t>
      </w:r>
      <w:r>
        <w:rPr>
          <w:rFonts w:hint="default" w:ascii="Times New Roman" w:hAnsi="Times New Roman" w:cs="Times New Roman"/>
          <w:color w:val="000000"/>
          <w:sz w:val="24"/>
          <w:szCs w:val="24"/>
        </w:rPr>
        <w:t>，由此按室外声源方法计算等效室外声源在预测点产生的声级。</w:t>
      </w:r>
    </w:p>
    <w:p w14:paraId="113D2035">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⑥计算某个室外声源在预测点产生的倍频带声压级：</w:t>
      </w:r>
    </w:p>
    <w:p w14:paraId="0A259FA5">
      <w:pPr>
        <w:pStyle w:val="209"/>
        <w:keepNext w:val="0"/>
        <w:keepLines w:val="0"/>
        <w:pageBreakBefore w:val="0"/>
        <w:widowControl/>
        <w:kinsoku/>
        <w:wordWrap w:val="0"/>
        <w:overflowPunct/>
        <w:topLinePunct/>
        <w:autoSpaceDE/>
        <w:autoSpaceDN/>
        <w:bidi w:val="0"/>
        <w:spacing w:line="240" w:lineRule="auto"/>
        <w:ind w:left="0" w:leftChars="0" w:firstLine="0" w:firstLineChars="0"/>
        <w:jc w:val="center"/>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object>
          <v:shape id="_x0000_i1040" o:spt="75" type="#_x0000_t75" style="height:18pt;width:171pt;" o:ole="t" filled="f" o:preferrelative="t" stroked="f" coordsize="21600,21600">
            <v:path/>
            <v:fill on="f" focussize="0,0"/>
            <v:stroke on="f"/>
            <v:imagedata r:id="rId70" o:title=""/>
            <o:lock v:ext="edit" aspectratio="t"/>
            <w10:wrap type="none"/>
            <w10:anchorlock/>
          </v:shape>
          <o:OLEObject Type="Embed" ProgID="Equation.3" ShapeID="_x0000_i1040" DrawAspect="Content" ObjectID="_1468075741" r:id="rId69">
            <o:LockedField>false</o:LockedField>
          </o:OLEObject>
        </w:object>
      </w:r>
    </w:p>
    <w:p w14:paraId="5E35B894">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式中：L</w:t>
      </w:r>
      <w:r>
        <w:rPr>
          <w:rFonts w:hint="default" w:ascii="Times New Roman" w:hAnsi="Times New Roman" w:cs="Times New Roman"/>
          <w:color w:val="000000"/>
          <w:sz w:val="24"/>
          <w:szCs w:val="24"/>
          <w:vertAlign w:val="subscript"/>
        </w:rPr>
        <w:t>oct (r)</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点声源在预测点产生的倍频带声压级，dB；</w:t>
      </w:r>
    </w:p>
    <w:p w14:paraId="012FF6AC">
      <w:pPr>
        <w:pStyle w:val="209"/>
        <w:keepNext w:val="0"/>
        <w:keepLines w:val="0"/>
        <w:pageBreakBefore w:val="0"/>
        <w:widowControl/>
        <w:kinsoku/>
        <w:wordWrap w:val="0"/>
        <w:overflowPunct/>
        <w:topLinePunct/>
        <w:autoSpaceDE/>
        <w:autoSpaceDN/>
        <w:bidi w:val="0"/>
        <w:ind w:left="0" w:leftChars="0" w:firstLine="1200" w:firstLineChars="50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L</w:t>
      </w:r>
      <w:r>
        <w:rPr>
          <w:rFonts w:hint="default" w:ascii="Times New Roman" w:hAnsi="Times New Roman" w:cs="Times New Roman"/>
          <w:color w:val="000000"/>
          <w:sz w:val="24"/>
          <w:szCs w:val="24"/>
          <w:vertAlign w:val="subscript"/>
        </w:rPr>
        <w:t>oct</w:t>
      </w:r>
      <w:r>
        <w:rPr>
          <w:rFonts w:hint="default" w:ascii="Times New Roman" w:hAnsi="Times New Roman" w:cs="Times New Roman"/>
          <w:color w:val="000000"/>
          <w:sz w:val="24"/>
          <w:szCs w:val="24"/>
        </w:rPr>
        <w:t>(r</w:t>
      </w:r>
      <w:r>
        <w:rPr>
          <w:rFonts w:hint="default" w:ascii="Times New Roman" w:hAnsi="Times New Roman" w:cs="Times New Roman"/>
          <w:color w:val="000000"/>
          <w:sz w:val="24"/>
          <w:szCs w:val="24"/>
          <w:vertAlign w:val="subscript"/>
        </w:rPr>
        <w:t>0</w:t>
      </w:r>
      <w:r>
        <w:rPr>
          <w:rFonts w:hint="default" w:ascii="Times New Roman" w:hAnsi="Times New Roman" w:cs="Times New Roman"/>
          <w:color w:val="000000"/>
          <w:sz w:val="24"/>
          <w:szCs w:val="24"/>
        </w:rPr>
        <w:t>)</w:t>
      </w:r>
      <w:r>
        <w:rPr>
          <w:rFonts w:hint="default" w:ascii="Times New Roman" w:hAnsi="Times New Roman" w:cs="Times New Roman"/>
          <w:color w:val="000000"/>
          <w:sz w:val="24"/>
          <w:szCs w:val="24"/>
        </w:rPr>
        <w:sym w:font="Symbol" w:char="F0BE"/>
      </w:r>
      <w:r>
        <w:rPr>
          <w:rFonts w:hint="default" w:ascii="Times New Roman" w:hAnsi="Times New Roman" w:cs="Times New Roman"/>
          <w:color w:val="000000"/>
          <w:sz w:val="24"/>
          <w:szCs w:val="24"/>
        </w:rPr>
        <w:t>参考位置r</w:t>
      </w:r>
      <w:r>
        <w:rPr>
          <w:rFonts w:hint="default" w:ascii="Times New Roman" w:hAnsi="Times New Roman" w:cs="Times New Roman"/>
          <w:color w:val="000000"/>
          <w:sz w:val="24"/>
          <w:szCs w:val="24"/>
          <w:vertAlign w:val="subscript"/>
        </w:rPr>
        <w:t>0</w:t>
      </w:r>
      <w:r>
        <w:rPr>
          <w:rFonts w:hint="default" w:ascii="Times New Roman" w:hAnsi="Times New Roman" w:cs="Times New Roman"/>
          <w:color w:val="000000"/>
          <w:sz w:val="24"/>
          <w:szCs w:val="24"/>
        </w:rPr>
        <w:t>处的倍频带声压级，dB；</w:t>
      </w:r>
    </w:p>
    <w:p w14:paraId="7006E26C">
      <w:pPr>
        <w:pStyle w:val="209"/>
        <w:keepNext w:val="0"/>
        <w:keepLines w:val="0"/>
        <w:pageBreakBefore w:val="0"/>
        <w:widowControl/>
        <w:kinsoku/>
        <w:wordWrap w:val="0"/>
        <w:overflowPunct/>
        <w:topLinePunct/>
        <w:autoSpaceDE/>
        <w:autoSpaceDN/>
        <w:bidi w:val="0"/>
        <w:ind w:left="0" w:leftChars="0" w:firstLine="1200" w:firstLineChars="50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R</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预测点距声源的距离，m；</w:t>
      </w:r>
    </w:p>
    <w:p w14:paraId="76B49782">
      <w:pPr>
        <w:pStyle w:val="209"/>
        <w:keepNext w:val="0"/>
        <w:keepLines w:val="0"/>
        <w:pageBreakBefore w:val="0"/>
        <w:widowControl/>
        <w:kinsoku/>
        <w:wordWrap w:val="0"/>
        <w:overflowPunct/>
        <w:topLinePunct/>
        <w:autoSpaceDE/>
        <w:autoSpaceDN/>
        <w:bidi w:val="0"/>
        <w:ind w:left="0" w:leftChars="0" w:firstLine="1200" w:firstLineChars="50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vertAlign w:val="baseline"/>
          <w:lang w:val="en-US" w:eastAsia="zh-CN"/>
        </w:rPr>
        <w:t>r</w:t>
      </w:r>
      <w:r>
        <w:rPr>
          <w:rFonts w:hint="default" w:ascii="Times New Roman" w:hAnsi="Times New Roman" w:cs="Times New Roman"/>
          <w:color w:val="000000"/>
          <w:sz w:val="24"/>
          <w:szCs w:val="24"/>
          <w:vertAlign w:val="subscript"/>
        </w:rPr>
        <w:t>0</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参考位置距声源的距离，m；</w:t>
      </w:r>
    </w:p>
    <w:p w14:paraId="1D18BEE7">
      <w:pPr>
        <w:pStyle w:val="209"/>
        <w:keepNext w:val="0"/>
        <w:keepLines w:val="0"/>
        <w:pageBreakBefore w:val="0"/>
        <w:widowControl/>
        <w:kinsoku/>
        <w:wordWrap w:val="0"/>
        <w:overflowPunct/>
        <w:topLinePunct/>
        <w:autoSpaceDE/>
        <w:autoSpaceDN/>
        <w:bidi w:val="0"/>
        <w:ind w:left="0" w:leftChars="0" w:firstLine="1200" w:firstLineChars="50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sym w:font="Symbol" w:char="F044"/>
      </w:r>
      <w:r>
        <w:rPr>
          <w:rFonts w:hint="default" w:ascii="Times New Roman" w:hAnsi="Times New Roman" w:cs="Times New Roman"/>
          <w:color w:val="000000"/>
          <w:sz w:val="24"/>
          <w:szCs w:val="24"/>
        </w:rPr>
        <w:t>L</w:t>
      </w:r>
      <w:r>
        <w:rPr>
          <w:rFonts w:hint="default" w:ascii="Times New Roman" w:hAnsi="Times New Roman" w:cs="Times New Roman"/>
          <w:color w:val="000000"/>
          <w:sz w:val="24"/>
          <w:szCs w:val="24"/>
          <w:vertAlign w:val="subscript"/>
        </w:rPr>
        <w:t>oct</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各种因素引起的衰减量(包括声屏障、遮挡物、空气吸收、地面效应引起的衰减量，计算方法详见导则)。</w:t>
      </w:r>
    </w:p>
    <w:p w14:paraId="3B088DC6">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⑦由各倍频带声压级合成计算该声源产生的A声级Leq(A)。</w:t>
      </w:r>
    </w:p>
    <w:p w14:paraId="2F4B142E">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⑧计算总声压级</w:t>
      </w:r>
    </w:p>
    <w:p w14:paraId="5E2E96E4">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t>设第i个室外声源在预测点产生的A声级为LA</w:t>
      </w:r>
      <w:r>
        <w:rPr>
          <w:rFonts w:hint="default" w:ascii="Times New Roman" w:hAnsi="Times New Roman" w:cs="Times New Roman"/>
          <w:color w:val="000000"/>
          <w:sz w:val="24"/>
          <w:szCs w:val="24"/>
          <w:vertAlign w:val="subscript"/>
        </w:rPr>
        <w:t>in,i</w:t>
      </w:r>
      <w:r>
        <w:rPr>
          <w:rFonts w:hint="default" w:ascii="Times New Roman" w:hAnsi="Times New Roman" w:cs="Times New Roman"/>
          <w:color w:val="000000"/>
          <w:sz w:val="24"/>
          <w:szCs w:val="24"/>
        </w:rPr>
        <w:t>，在T时间内该声源工作时间为tin</w:t>
      </w:r>
      <w:r>
        <w:rPr>
          <w:rFonts w:hint="default" w:ascii="Times New Roman" w:hAnsi="Times New Roman" w:cs="Times New Roman"/>
          <w:color w:val="000000"/>
          <w:sz w:val="24"/>
          <w:szCs w:val="24"/>
          <w:lang w:val="en-US" w:eastAsia="zh-CN"/>
        </w:rPr>
        <w:t>,</w:t>
      </w:r>
      <w:r>
        <w:rPr>
          <w:rFonts w:hint="default" w:ascii="Times New Roman" w:hAnsi="Times New Roman" w:cs="Times New Roman"/>
          <w:color w:val="000000"/>
          <w:sz w:val="24"/>
          <w:szCs w:val="24"/>
        </w:rPr>
        <w:t>i；第j个等效室外声源在预测点产生的A声级为LA</w:t>
      </w:r>
      <w:r>
        <w:rPr>
          <w:rFonts w:hint="default" w:ascii="Times New Roman" w:hAnsi="Times New Roman" w:cs="Times New Roman"/>
          <w:color w:val="000000"/>
          <w:sz w:val="24"/>
          <w:szCs w:val="24"/>
          <w:vertAlign w:val="subscript"/>
        </w:rPr>
        <w:t>out,j</w:t>
      </w:r>
      <w:r>
        <w:rPr>
          <w:rFonts w:hint="default" w:ascii="Times New Roman" w:hAnsi="Times New Roman" w:cs="Times New Roman"/>
          <w:color w:val="000000"/>
          <w:sz w:val="24"/>
          <w:szCs w:val="24"/>
        </w:rPr>
        <w:t>，在T时间内该声源工作时间为tout,j，则预测点的总等效声级为：</w:t>
      </w:r>
    </w:p>
    <w:p w14:paraId="5A41B40D">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r>
        <w:rPr>
          <w:rFonts w:hint="default" w:ascii="Times New Roman" w:hAnsi="Times New Roman" w:cs="Times New Roman"/>
          <w:color w:val="000000"/>
          <w:sz w:val="24"/>
          <w:szCs w:val="24"/>
        </w:rPr>
        <w:pict>
          <v:shape id="对象 2084" o:spid="_x0000_s1029" o:spt="75" type="#_x0000_t75" style="position:absolute;left:0pt;margin-left:77.55pt;margin-top:-5.75pt;height:38pt;width:249pt;z-index:-251620352;mso-width-relative:page;mso-height-relative:page;" o:ole="t" filled="f" o:preferrelative="t" stroked="f" coordsize="21600,21600">
            <v:path/>
            <v:fill on="f" focussize="0,0"/>
            <v:stroke on="f"/>
            <v:imagedata r:id="rId72" o:title=""/>
            <o:lock v:ext="edit" aspectratio="t"/>
          </v:shape>
          <o:OLEObject Type="Embed" ProgID="Equation.3" ShapeID="对象 2084" DrawAspect="Content" ObjectID="_1468075742" r:id="rId71">
            <o:LockedField>false</o:LockedField>
          </o:OLEObject>
        </w:pict>
      </w:r>
    </w:p>
    <w:p w14:paraId="52ACF700">
      <w:pPr>
        <w:pStyle w:val="209"/>
        <w:keepNext w:val="0"/>
        <w:keepLines w:val="0"/>
        <w:pageBreakBefore w:val="0"/>
        <w:widowControl/>
        <w:kinsoku/>
        <w:wordWrap w:val="0"/>
        <w:overflowPunct/>
        <w:topLinePunct/>
        <w:autoSpaceDE/>
        <w:autoSpaceDN/>
        <w:bidi w:val="0"/>
        <w:ind w:left="0" w:leftChars="0"/>
        <w:outlineLvl w:val="9"/>
        <w:rPr>
          <w:rFonts w:hint="default" w:ascii="Times New Roman" w:hAnsi="Times New Roman" w:cs="Times New Roman"/>
          <w:color w:val="000000"/>
          <w:sz w:val="24"/>
          <w:szCs w:val="24"/>
        </w:rPr>
      </w:pPr>
    </w:p>
    <w:p w14:paraId="6D4A512C">
      <w:pPr>
        <w:pStyle w:val="209"/>
        <w:keepNext w:val="0"/>
        <w:keepLines w:val="0"/>
        <w:pageBreakBefore w:val="0"/>
        <w:widowControl/>
        <w:kinsoku/>
        <w:wordWrap w:val="0"/>
        <w:overflowPunct/>
        <w:topLinePunct/>
        <w:autoSpaceDE/>
        <w:autoSpaceDN/>
        <w:bidi w:val="0"/>
        <w:adjustRightInd w:val="0"/>
        <w:snapToGrid w:val="0"/>
        <w:textAlignment w:val="baseline"/>
        <w:outlineLvl w:val="9"/>
        <w:rPr>
          <w:rFonts w:hint="default" w:ascii="Times New Roman" w:hAnsi="Times New Roman" w:eastAsia="宋体" w:cs="Times New Roman"/>
          <w:color w:val="000000"/>
          <w:sz w:val="24"/>
          <w:szCs w:val="24"/>
        </w:rPr>
      </w:pPr>
      <w:r>
        <w:rPr>
          <w:rFonts w:hint="default" w:ascii="Times New Roman" w:hAnsi="Times New Roman" w:cs="Times New Roman"/>
          <w:color w:val="000000"/>
          <w:sz w:val="24"/>
          <w:szCs w:val="24"/>
        </w:rPr>
        <w:t>式</w:t>
      </w:r>
      <w:r>
        <w:rPr>
          <w:rFonts w:hint="default" w:ascii="Times New Roman" w:hAnsi="Times New Roman" w:eastAsia="宋体" w:cs="Times New Roman"/>
          <w:color w:val="000000"/>
          <w:sz w:val="24"/>
          <w:szCs w:val="24"/>
        </w:rPr>
        <w:t>中：T</w:t>
      </w:r>
      <w:r>
        <w:rPr>
          <w:rFonts w:hint="default"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rPr>
        <w:t>计算等效声级的时间，h；</w:t>
      </w:r>
    </w:p>
    <w:p w14:paraId="012ECBDE">
      <w:pPr>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000000"/>
          <w:sz w:val="24"/>
          <w:szCs w:val="24"/>
        </w:rPr>
        <w:t>N</w:t>
      </w:r>
      <w:r>
        <w:rPr>
          <w:rFonts w:hint="default" w:ascii="Times New Roman" w:hAnsi="Times New Roman" w:cs="Times New Roman"/>
          <w:color w:val="000000"/>
          <w:sz w:val="24"/>
          <w:szCs w:val="24"/>
          <w:lang w:val="en-US" w:eastAsia="zh-CN"/>
        </w:rPr>
        <w:t>-</w:t>
      </w:r>
      <w:r>
        <w:rPr>
          <w:rFonts w:hint="default" w:ascii="Times New Roman" w:hAnsi="Times New Roman" w:eastAsia="宋体" w:cs="Times New Roman"/>
          <w:color w:val="000000"/>
          <w:sz w:val="24"/>
          <w:szCs w:val="24"/>
        </w:rPr>
        <w:t>室外声源个数，M为等效室外声源个数。</w:t>
      </w:r>
    </w:p>
    <w:p w14:paraId="0DCBD377">
      <w:pPr>
        <w:pStyle w:val="1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lang w:val="en-US" w:eastAsia="zh-CN"/>
        </w:rPr>
      </w:pPr>
      <w:r>
        <w:rPr>
          <w:rFonts w:hint="default" w:ascii="Times New Roman" w:hAnsi="Times New Roman" w:cs="Times New Roman"/>
          <w:color w:val="auto"/>
          <w:sz w:val="24"/>
          <w:szCs w:val="32"/>
          <w:lang w:eastAsia="zh-CN"/>
        </w:rPr>
        <w:t>（</w:t>
      </w:r>
      <w:r>
        <w:rPr>
          <w:rFonts w:hint="eastAsia" w:hAnsi="Times New Roman" w:cs="Times New Roman"/>
          <w:color w:val="auto"/>
          <w:sz w:val="24"/>
          <w:szCs w:val="32"/>
          <w:lang w:val="en-US" w:eastAsia="zh-CN"/>
        </w:rPr>
        <w:t>2</w:t>
      </w:r>
      <w:r>
        <w:rPr>
          <w:rFonts w:hint="default" w:ascii="Times New Roman" w:hAnsi="Times New Roman" w:cs="Times New Roman"/>
          <w:color w:val="auto"/>
          <w:sz w:val="24"/>
          <w:szCs w:val="32"/>
          <w:lang w:eastAsia="zh-CN"/>
        </w:rPr>
        <w:t>）</w:t>
      </w:r>
      <w:r>
        <w:rPr>
          <w:rFonts w:hint="default" w:ascii="Times New Roman" w:hAnsi="Times New Roman" w:cs="Times New Roman"/>
          <w:color w:val="auto"/>
          <w:sz w:val="24"/>
          <w:szCs w:val="32"/>
          <w:lang w:val="en-US" w:eastAsia="zh-CN"/>
        </w:rPr>
        <w:t>预测结果</w:t>
      </w:r>
    </w:p>
    <w:p w14:paraId="78A0C6A5">
      <w:pPr>
        <w:pStyle w:val="18"/>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根据预测模式计算出各噪声源传播至企业边界处的噪声贡献强度，结果见下表：</w:t>
      </w:r>
    </w:p>
    <w:p w14:paraId="4678B0BB">
      <w:pPr>
        <w:pStyle w:val="18"/>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4"/>
          <w:szCs w:val="32"/>
        </w:rPr>
      </w:pPr>
      <w:r>
        <w:rPr>
          <w:rFonts w:hint="default" w:ascii="Times New Roman" w:hAnsi="Times New Roman" w:eastAsia="宋体" w:cs="Times New Roman"/>
          <w:b/>
          <w:bCs/>
          <w:color w:val="auto"/>
          <w:sz w:val="24"/>
          <w:szCs w:val="32"/>
        </w:rPr>
        <w:t>表</w:t>
      </w:r>
      <w:r>
        <w:rPr>
          <w:rFonts w:hint="eastAsia" w:hAnsi="Times New Roman" w:cs="Times New Roman"/>
          <w:b/>
          <w:bCs/>
          <w:color w:val="auto"/>
          <w:sz w:val="24"/>
          <w:szCs w:val="32"/>
          <w:lang w:val="en-US" w:eastAsia="zh-CN"/>
        </w:rPr>
        <w:t>5.2-23</w:t>
      </w:r>
      <w:r>
        <w:rPr>
          <w:rFonts w:hint="default" w:ascii="Times New Roman" w:hAnsi="Times New Roman" w:eastAsia="宋体" w:cs="Times New Roman"/>
          <w:b/>
          <w:bCs/>
          <w:color w:val="auto"/>
          <w:sz w:val="24"/>
          <w:szCs w:val="32"/>
        </w:rPr>
        <w:t xml:space="preserve"> 厂界噪声预测结果与达标分析表</w:t>
      </w:r>
    </w:p>
    <w:tbl>
      <w:tblPr>
        <w:tblStyle w:val="204"/>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678"/>
        <w:gridCol w:w="681"/>
        <w:gridCol w:w="792"/>
        <w:gridCol w:w="1133"/>
        <w:gridCol w:w="1134"/>
        <w:gridCol w:w="1134"/>
        <w:gridCol w:w="1134"/>
        <w:gridCol w:w="944"/>
      </w:tblGrid>
      <w:tr w14:paraId="1DA9FBA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520" w:type="pct"/>
            <w:vMerge w:val="restart"/>
            <w:tcBorders>
              <w:tl2br w:val="nil"/>
              <w:tr2bl w:val="nil"/>
            </w:tcBorders>
            <w:vAlign w:val="center"/>
          </w:tcPr>
          <w:p w14:paraId="0E3E716E">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预测方位</w:t>
            </w:r>
          </w:p>
        </w:tc>
        <w:tc>
          <w:tcPr>
            <w:tcW w:w="798" w:type="pct"/>
            <w:gridSpan w:val="2"/>
            <w:tcBorders>
              <w:tl2br w:val="nil"/>
              <w:tr2bl w:val="nil"/>
            </w:tcBorders>
            <w:vAlign w:val="center"/>
          </w:tcPr>
          <w:p w14:paraId="440DA44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空间相对位置/m</w:t>
            </w:r>
          </w:p>
        </w:tc>
        <w:tc>
          <w:tcPr>
            <w:tcW w:w="465" w:type="pct"/>
            <w:vMerge w:val="restart"/>
            <w:tcBorders>
              <w:tl2br w:val="nil"/>
              <w:tr2bl w:val="nil"/>
            </w:tcBorders>
            <w:vAlign w:val="center"/>
          </w:tcPr>
          <w:p w14:paraId="7EA21FEF">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时段</w:t>
            </w:r>
          </w:p>
        </w:tc>
        <w:tc>
          <w:tcPr>
            <w:tcW w:w="665" w:type="pct"/>
            <w:vMerge w:val="restart"/>
            <w:tcBorders>
              <w:tl2br w:val="nil"/>
              <w:tr2bl w:val="nil"/>
            </w:tcBorders>
            <w:vAlign w:val="center"/>
          </w:tcPr>
          <w:p w14:paraId="04FC6B8C">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贡献值[dB(A)]</w:t>
            </w:r>
          </w:p>
        </w:tc>
        <w:tc>
          <w:tcPr>
            <w:tcW w:w="666" w:type="pct"/>
            <w:vMerge w:val="restart"/>
            <w:tcBorders>
              <w:tl2br w:val="nil"/>
              <w:tr2bl w:val="nil"/>
            </w:tcBorders>
            <w:vAlign w:val="center"/>
          </w:tcPr>
          <w:p w14:paraId="59680F1A">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现状值[dB(A)]</w:t>
            </w:r>
          </w:p>
        </w:tc>
        <w:tc>
          <w:tcPr>
            <w:tcW w:w="666" w:type="pct"/>
            <w:vMerge w:val="restart"/>
            <w:tcBorders>
              <w:tl2br w:val="nil"/>
              <w:tr2bl w:val="nil"/>
            </w:tcBorders>
            <w:vAlign w:val="center"/>
          </w:tcPr>
          <w:p w14:paraId="5B39E16D">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预测值[dB(A)]</w:t>
            </w:r>
          </w:p>
        </w:tc>
        <w:tc>
          <w:tcPr>
            <w:tcW w:w="666" w:type="pct"/>
            <w:vMerge w:val="restart"/>
            <w:tcBorders>
              <w:tl2br w:val="nil"/>
              <w:tr2bl w:val="nil"/>
            </w:tcBorders>
            <w:vAlign w:val="center"/>
          </w:tcPr>
          <w:p w14:paraId="05FA5B39">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标准限值[dB(A)]</w:t>
            </w:r>
          </w:p>
        </w:tc>
        <w:tc>
          <w:tcPr>
            <w:tcW w:w="554" w:type="pct"/>
            <w:vMerge w:val="restart"/>
            <w:tcBorders>
              <w:tl2br w:val="nil"/>
              <w:tr2bl w:val="nil"/>
            </w:tcBorders>
            <w:vAlign w:val="center"/>
          </w:tcPr>
          <w:p w14:paraId="53F6B0B4">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达标情况</w:t>
            </w:r>
          </w:p>
        </w:tc>
      </w:tr>
      <w:tr w14:paraId="1C14DF4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trPr>
        <w:tc>
          <w:tcPr>
            <w:tcW w:w="520" w:type="pct"/>
            <w:vMerge w:val="continue"/>
            <w:tcBorders>
              <w:tl2br w:val="nil"/>
              <w:tr2bl w:val="nil"/>
            </w:tcBorders>
            <w:vAlign w:val="center"/>
          </w:tcPr>
          <w:p w14:paraId="3FD2479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398" w:type="pct"/>
            <w:tcBorders>
              <w:tl2br w:val="nil"/>
              <w:tr2bl w:val="nil"/>
            </w:tcBorders>
            <w:vAlign w:val="center"/>
          </w:tcPr>
          <w:p w14:paraId="15A00DED">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X</w:t>
            </w:r>
          </w:p>
        </w:tc>
        <w:tc>
          <w:tcPr>
            <w:tcW w:w="400" w:type="pct"/>
            <w:tcBorders>
              <w:tl2br w:val="nil"/>
              <w:tr2bl w:val="nil"/>
            </w:tcBorders>
            <w:vAlign w:val="center"/>
          </w:tcPr>
          <w:p w14:paraId="4B1894C2">
            <w:pPr>
              <w:pStyle w:val="52"/>
              <w:spacing w:before="0" w:after="0" w:line="240" w:lineRule="auto"/>
              <w:ind w:left="0" w:firstLine="0"/>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Y</w:t>
            </w:r>
          </w:p>
        </w:tc>
        <w:tc>
          <w:tcPr>
            <w:tcW w:w="465" w:type="pct"/>
            <w:vMerge w:val="continue"/>
            <w:tcBorders>
              <w:tl2br w:val="nil"/>
              <w:tr2bl w:val="nil"/>
            </w:tcBorders>
            <w:vAlign w:val="center"/>
          </w:tcPr>
          <w:p w14:paraId="4E76CBE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665" w:type="pct"/>
            <w:vMerge w:val="continue"/>
            <w:tcBorders>
              <w:tl2br w:val="nil"/>
              <w:tr2bl w:val="nil"/>
            </w:tcBorders>
            <w:vAlign w:val="center"/>
          </w:tcPr>
          <w:p w14:paraId="5487892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666" w:type="pct"/>
            <w:vMerge w:val="continue"/>
            <w:tcBorders>
              <w:tl2br w:val="nil"/>
              <w:tr2bl w:val="nil"/>
            </w:tcBorders>
            <w:vAlign w:val="center"/>
          </w:tcPr>
          <w:p w14:paraId="1FE6DA04">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666" w:type="pct"/>
            <w:vMerge w:val="continue"/>
            <w:tcBorders>
              <w:tl2br w:val="nil"/>
              <w:tr2bl w:val="nil"/>
            </w:tcBorders>
            <w:vAlign w:val="center"/>
          </w:tcPr>
          <w:p w14:paraId="71A0222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666" w:type="pct"/>
            <w:vMerge w:val="continue"/>
            <w:tcBorders>
              <w:tl2br w:val="nil"/>
              <w:tr2bl w:val="nil"/>
            </w:tcBorders>
            <w:vAlign w:val="center"/>
          </w:tcPr>
          <w:p w14:paraId="3D048D6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554" w:type="pct"/>
            <w:vMerge w:val="continue"/>
            <w:tcBorders>
              <w:tl2br w:val="nil"/>
              <w:tr2bl w:val="nil"/>
            </w:tcBorders>
            <w:vAlign w:val="center"/>
          </w:tcPr>
          <w:p w14:paraId="74BCD24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r>
      <w:tr w14:paraId="4F87E4E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0" w:type="pct"/>
            <w:vMerge w:val="restart"/>
            <w:tcBorders>
              <w:tl2br w:val="nil"/>
              <w:tr2bl w:val="nil"/>
            </w:tcBorders>
            <w:vAlign w:val="center"/>
          </w:tcPr>
          <w:p w14:paraId="1BD627B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东厂界</w:t>
            </w:r>
          </w:p>
        </w:tc>
        <w:tc>
          <w:tcPr>
            <w:tcW w:w="398" w:type="pct"/>
            <w:vMerge w:val="restart"/>
            <w:tcBorders>
              <w:tl2br w:val="nil"/>
              <w:tr2bl w:val="nil"/>
            </w:tcBorders>
            <w:vAlign w:val="center"/>
          </w:tcPr>
          <w:p w14:paraId="2B0C9893">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4</w:t>
            </w:r>
            <w:r>
              <w:rPr>
                <w:rFonts w:hint="eastAsia" w:cs="Times New Roman"/>
                <w:color w:val="000000" w:themeColor="text1"/>
                <w:sz w:val="21"/>
                <w:szCs w:val="21"/>
                <w:lang w:val="en-US" w:eastAsia="zh-CN"/>
                <w14:textFill>
                  <w14:solidFill>
                    <w14:schemeClr w14:val="tx1"/>
                  </w14:solidFill>
                </w14:textFill>
              </w:rPr>
              <w:t>90</w:t>
            </w:r>
          </w:p>
        </w:tc>
        <w:tc>
          <w:tcPr>
            <w:tcW w:w="400" w:type="pct"/>
            <w:vMerge w:val="restart"/>
            <w:tcBorders>
              <w:tl2br w:val="nil"/>
              <w:tr2bl w:val="nil"/>
            </w:tcBorders>
            <w:vAlign w:val="center"/>
          </w:tcPr>
          <w:p w14:paraId="23D0A989">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380</w:t>
            </w:r>
          </w:p>
        </w:tc>
        <w:tc>
          <w:tcPr>
            <w:tcW w:w="465" w:type="pct"/>
            <w:tcBorders>
              <w:tl2br w:val="nil"/>
              <w:tr2bl w:val="nil"/>
            </w:tcBorders>
            <w:vAlign w:val="center"/>
          </w:tcPr>
          <w:p w14:paraId="44EE845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昼间</w:t>
            </w:r>
          </w:p>
        </w:tc>
        <w:tc>
          <w:tcPr>
            <w:tcW w:w="665" w:type="pct"/>
            <w:tcBorders>
              <w:tl2br w:val="nil"/>
              <w:tr2bl w:val="nil"/>
            </w:tcBorders>
            <w:vAlign w:val="center"/>
          </w:tcPr>
          <w:p w14:paraId="40F417B7">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35.9</w:t>
            </w:r>
          </w:p>
        </w:tc>
        <w:tc>
          <w:tcPr>
            <w:tcW w:w="666" w:type="pct"/>
            <w:tcBorders>
              <w:tl2br w:val="nil"/>
              <w:tr2bl w:val="nil"/>
            </w:tcBorders>
            <w:vAlign w:val="center"/>
          </w:tcPr>
          <w:p w14:paraId="686A1E1C">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49.3</w:t>
            </w:r>
          </w:p>
        </w:tc>
        <w:tc>
          <w:tcPr>
            <w:tcW w:w="666" w:type="pct"/>
            <w:tcBorders>
              <w:tl2br w:val="nil"/>
              <w:tr2bl w:val="nil"/>
            </w:tcBorders>
            <w:vAlign w:val="center"/>
          </w:tcPr>
          <w:p w14:paraId="7CBFF541">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49.5</w:t>
            </w:r>
          </w:p>
        </w:tc>
        <w:tc>
          <w:tcPr>
            <w:tcW w:w="666" w:type="pct"/>
            <w:tcBorders>
              <w:tl2br w:val="nil"/>
              <w:tr2bl w:val="nil"/>
            </w:tcBorders>
            <w:vAlign w:val="center"/>
          </w:tcPr>
          <w:p w14:paraId="2EB1950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65</w:t>
            </w:r>
          </w:p>
        </w:tc>
        <w:tc>
          <w:tcPr>
            <w:tcW w:w="554" w:type="pct"/>
            <w:tcBorders>
              <w:tl2br w:val="nil"/>
              <w:tr2bl w:val="nil"/>
            </w:tcBorders>
            <w:vAlign w:val="center"/>
          </w:tcPr>
          <w:p w14:paraId="5CDDA84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477E7CC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0" w:type="pct"/>
            <w:vMerge w:val="continue"/>
            <w:tcBorders>
              <w:tl2br w:val="nil"/>
              <w:tr2bl w:val="nil"/>
            </w:tcBorders>
            <w:vAlign w:val="center"/>
          </w:tcPr>
          <w:p w14:paraId="470BAD98">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398" w:type="pct"/>
            <w:vMerge w:val="continue"/>
            <w:tcBorders>
              <w:tl2br w:val="nil"/>
              <w:tr2bl w:val="nil"/>
            </w:tcBorders>
            <w:vAlign w:val="center"/>
          </w:tcPr>
          <w:p w14:paraId="475265C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00" w:type="pct"/>
            <w:vMerge w:val="continue"/>
            <w:tcBorders>
              <w:tl2br w:val="nil"/>
              <w:tr2bl w:val="nil"/>
            </w:tcBorders>
            <w:vAlign w:val="center"/>
          </w:tcPr>
          <w:p w14:paraId="12AEB64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65" w:type="pct"/>
            <w:tcBorders>
              <w:tl2br w:val="nil"/>
              <w:tr2bl w:val="nil"/>
            </w:tcBorders>
            <w:vAlign w:val="center"/>
          </w:tcPr>
          <w:p w14:paraId="4B45B28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夜间</w:t>
            </w:r>
          </w:p>
        </w:tc>
        <w:tc>
          <w:tcPr>
            <w:tcW w:w="665" w:type="pct"/>
            <w:tcBorders>
              <w:tl2br w:val="nil"/>
              <w:tr2bl w:val="nil"/>
            </w:tcBorders>
            <w:vAlign w:val="center"/>
          </w:tcPr>
          <w:p w14:paraId="12BC9B88">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35.9</w:t>
            </w:r>
          </w:p>
        </w:tc>
        <w:tc>
          <w:tcPr>
            <w:tcW w:w="666" w:type="pct"/>
            <w:tcBorders>
              <w:tl2br w:val="nil"/>
              <w:tr2bl w:val="nil"/>
            </w:tcBorders>
            <w:vAlign w:val="center"/>
          </w:tcPr>
          <w:p w14:paraId="4F08E883">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40.8</w:t>
            </w:r>
          </w:p>
        </w:tc>
        <w:tc>
          <w:tcPr>
            <w:tcW w:w="666" w:type="pct"/>
            <w:tcBorders>
              <w:tl2br w:val="nil"/>
              <w:tr2bl w:val="nil"/>
            </w:tcBorders>
            <w:vAlign w:val="center"/>
          </w:tcPr>
          <w:p w14:paraId="2A92645B">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42.0</w:t>
            </w:r>
          </w:p>
        </w:tc>
        <w:tc>
          <w:tcPr>
            <w:tcW w:w="666" w:type="pct"/>
            <w:tcBorders>
              <w:tl2br w:val="nil"/>
              <w:tr2bl w:val="nil"/>
            </w:tcBorders>
            <w:vAlign w:val="center"/>
          </w:tcPr>
          <w:p w14:paraId="68A4EA0F">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55</w:t>
            </w:r>
          </w:p>
        </w:tc>
        <w:tc>
          <w:tcPr>
            <w:tcW w:w="554" w:type="pct"/>
            <w:tcBorders>
              <w:tl2br w:val="nil"/>
              <w:tr2bl w:val="nil"/>
            </w:tcBorders>
            <w:vAlign w:val="center"/>
          </w:tcPr>
          <w:p w14:paraId="6891DA6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78F0A9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0" w:type="pct"/>
            <w:vMerge w:val="restart"/>
            <w:tcBorders>
              <w:tl2br w:val="nil"/>
              <w:tr2bl w:val="nil"/>
            </w:tcBorders>
            <w:vAlign w:val="center"/>
          </w:tcPr>
          <w:p w14:paraId="6909F28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南厂界</w:t>
            </w:r>
          </w:p>
        </w:tc>
        <w:tc>
          <w:tcPr>
            <w:tcW w:w="398" w:type="pct"/>
            <w:vMerge w:val="restart"/>
            <w:tcBorders>
              <w:tl2br w:val="nil"/>
              <w:tr2bl w:val="nil"/>
            </w:tcBorders>
            <w:vAlign w:val="center"/>
          </w:tcPr>
          <w:p w14:paraId="2430396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245</w:t>
            </w:r>
          </w:p>
        </w:tc>
        <w:tc>
          <w:tcPr>
            <w:tcW w:w="400" w:type="pct"/>
            <w:vMerge w:val="restart"/>
            <w:tcBorders>
              <w:tl2br w:val="nil"/>
              <w:tr2bl w:val="nil"/>
            </w:tcBorders>
            <w:vAlign w:val="center"/>
          </w:tcPr>
          <w:p w14:paraId="48EBF78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13</w:t>
            </w:r>
          </w:p>
        </w:tc>
        <w:tc>
          <w:tcPr>
            <w:tcW w:w="465" w:type="pct"/>
            <w:tcBorders>
              <w:tl2br w:val="nil"/>
              <w:tr2bl w:val="nil"/>
            </w:tcBorders>
            <w:vAlign w:val="center"/>
          </w:tcPr>
          <w:p w14:paraId="7A40377D">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昼间</w:t>
            </w:r>
          </w:p>
        </w:tc>
        <w:tc>
          <w:tcPr>
            <w:tcW w:w="665" w:type="pct"/>
            <w:tcBorders>
              <w:tl2br w:val="nil"/>
              <w:tr2bl w:val="nil"/>
            </w:tcBorders>
            <w:vAlign w:val="center"/>
          </w:tcPr>
          <w:p w14:paraId="17F8252F">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25.8</w:t>
            </w:r>
          </w:p>
        </w:tc>
        <w:tc>
          <w:tcPr>
            <w:tcW w:w="666" w:type="pct"/>
            <w:tcBorders>
              <w:tl2br w:val="nil"/>
              <w:tr2bl w:val="nil"/>
            </w:tcBorders>
            <w:vAlign w:val="center"/>
          </w:tcPr>
          <w:p w14:paraId="1E593A1A">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50.2</w:t>
            </w:r>
          </w:p>
        </w:tc>
        <w:tc>
          <w:tcPr>
            <w:tcW w:w="666" w:type="pct"/>
            <w:tcBorders>
              <w:tl2br w:val="nil"/>
              <w:tr2bl w:val="nil"/>
            </w:tcBorders>
            <w:vAlign w:val="center"/>
          </w:tcPr>
          <w:p w14:paraId="33D73D07">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50.3</w:t>
            </w:r>
          </w:p>
        </w:tc>
        <w:tc>
          <w:tcPr>
            <w:tcW w:w="666" w:type="pct"/>
            <w:tcBorders>
              <w:tl2br w:val="nil"/>
              <w:tr2bl w:val="nil"/>
            </w:tcBorders>
            <w:vAlign w:val="center"/>
          </w:tcPr>
          <w:p w14:paraId="497565B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65</w:t>
            </w:r>
          </w:p>
        </w:tc>
        <w:tc>
          <w:tcPr>
            <w:tcW w:w="554" w:type="pct"/>
            <w:tcBorders>
              <w:tl2br w:val="nil"/>
              <w:tr2bl w:val="nil"/>
            </w:tcBorders>
            <w:vAlign w:val="center"/>
          </w:tcPr>
          <w:p w14:paraId="4251E78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721E86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0" w:type="pct"/>
            <w:vMerge w:val="continue"/>
            <w:tcBorders>
              <w:tl2br w:val="nil"/>
              <w:tr2bl w:val="nil"/>
            </w:tcBorders>
            <w:vAlign w:val="center"/>
          </w:tcPr>
          <w:p w14:paraId="7F11948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398" w:type="pct"/>
            <w:vMerge w:val="continue"/>
            <w:tcBorders>
              <w:tl2br w:val="nil"/>
              <w:tr2bl w:val="nil"/>
            </w:tcBorders>
            <w:vAlign w:val="center"/>
          </w:tcPr>
          <w:p w14:paraId="46A78E3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00" w:type="pct"/>
            <w:vMerge w:val="continue"/>
            <w:tcBorders>
              <w:tl2br w:val="nil"/>
              <w:tr2bl w:val="nil"/>
            </w:tcBorders>
            <w:vAlign w:val="center"/>
          </w:tcPr>
          <w:p w14:paraId="236FEFC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65" w:type="pct"/>
            <w:tcBorders>
              <w:tl2br w:val="nil"/>
              <w:tr2bl w:val="nil"/>
            </w:tcBorders>
            <w:vAlign w:val="center"/>
          </w:tcPr>
          <w:p w14:paraId="267D694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夜间</w:t>
            </w:r>
          </w:p>
        </w:tc>
        <w:tc>
          <w:tcPr>
            <w:tcW w:w="665" w:type="pct"/>
            <w:tcBorders>
              <w:tl2br w:val="nil"/>
              <w:tr2bl w:val="nil"/>
            </w:tcBorders>
            <w:vAlign w:val="center"/>
          </w:tcPr>
          <w:p w14:paraId="09DDA52E">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25.8</w:t>
            </w:r>
          </w:p>
        </w:tc>
        <w:tc>
          <w:tcPr>
            <w:tcW w:w="666" w:type="pct"/>
            <w:tcBorders>
              <w:tl2br w:val="nil"/>
              <w:tr2bl w:val="nil"/>
            </w:tcBorders>
            <w:vAlign w:val="center"/>
          </w:tcPr>
          <w:p w14:paraId="144F6AF6">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40.9</w:t>
            </w:r>
          </w:p>
        </w:tc>
        <w:tc>
          <w:tcPr>
            <w:tcW w:w="666" w:type="pct"/>
            <w:tcBorders>
              <w:tl2br w:val="nil"/>
              <w:tr2bl w:val="nil"/>
            </w:tcBorders>
            <w:vAlign w:val="center"/>
          </w:tcPr>
          <w:p w14:paraId="565A9AAC">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41.0</w:t>
            </w:r>
          </w:p>
        </w:tc>
        <w:tc>
          <w:tcPr>
            <w:tcW w:w="666" w:type="pct"/>
            <w:tcBorders>
              <w:tl2br w:val="nil"/>
              <w:tr2bl w:val="nil"/>
            </w:tcBorders>
            <w:vAlign w:val="center"/>
          </w:tcPr>
          <w:p w14:paraId="643E6C9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55</w:t>
            </w:r>
          </w:p>
        </w:tc>
        <w:tc>
          <w:tcPr>
            <w:tcW w:w="554" w:type="pct"/>
            <w:tcBorders>
              <w:tl2br w:val="nil"/>
              <w:tr2bl w:val="nil"/>
            </w:tcBorders>
            <w:vAlign w:val="center"/>
          </w:tcPr>
          <w:p w14:paraId="2098330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3012016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0" w:type="pct"/>
            <w:vMerge w:val="restart"/>
            <w:tcBorders>
              <w:tl2br w:val="nil"/>
              <w:tr2bl w:val="nil"/>
            </w:tcBorders>
            <w:vAlign w:val="center"/>
          </w:tcPr>
          <w:p w14:paraId="0AEA8C2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西厂界</w:t>
            </w:r>
          </w:p>
        </w:tc>
        <w:tc>
          <w:tcPr>
            <w:tcW w:w="398" w:type="pct"/>
            <w:vMerge w:val="restart"/>
            <w:tcBorders>
              <w:tl2br w:val="nil"/>
              <w:tr2bl w:val="nil"/>
            </w:tcBorders>
            <w:vAlign w:val="center"/>
          </w:tcPr>
          <w:p w14:paraId="70A76138">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120</w:t>
            </w:r>
          </w:p>
        </w:tc>
        <w:tc>
          <w:tcPr>
            <w:tcW w:w="400" w:type="pct"/>
            <w:vMerge w:val="restart"/>
            <w:tcBorders>
              <w:tl2br w:val="nil"/>
              <w:tr2bl w:val="nil"/>
            </w:tcBorders>
            <w:vAlign w:val="center"/>
          </w:tcPr>
          <w:p w14:paraId="41F10739">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380</w:t>
            </w:r>
          </w:p>
        </w:tc>
        <w:tc>
          <w:tcPr>
            <w:tcW w:w="465" w:type="pct"/>
            <w:tcBorders>
              <w:tl2br w:val="nil"/>
              <w:tr2bl w:val="nil"/>
            </w:tcBorders>
            <w:vAlign w:val="center"/>
          </w:tcPr>
          <w:p w14:paraId="6FD6AAE7">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昼间</w:t>
            </w:r>
          </w:p>
        </w:tc>
        <w:tc>
          <w:tcPr>
            <w:tcW w:w="665" w:type="pct"/>
            <w:tcBorders>
              <w:tl2br w:val="nil"/>
              <w:tr2bl w:val="nil"/>
            </w:tcBorders>
            <w:vAlign w:val="center"/>
          </w:tcPr>
          <w:p w14:paraId="71DF25A6">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25.5</w:t>
            </w:r>
          </w:p>
        </w:tc>
        <w:tc>
          <w:tcPr>
            <w:tcW w:w="666" w:type="pct"/>
            <w:tcBorders>
              <w:tl2br w:val="nil"/>
              <w:tr2bl w:val="nil"/>
            </w:tcBorders>
            <w:vAlign w:val="center"/>
          </w:tcPr>
          <w:p w14:paraId="4EB1EDD7">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51.5</w:t>
            </w:r>
          </w:p>
        </w:tc>
        <w:tc>
          <w:tcPr>
            <w:tcW w:w="666" w:type="pct"/>
            <w:tcBorders>
              <w:tl2br w:val="nil"/>
              <w:tr2bl w:val="nil"/>
            </w:tcBorders>
            <w:vAlign w:val="center"/>
          </w:tcPr>
          <w:p w14:paraId="4D0F32E5">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51.6</w:t>
            </w:r>
          </w:p>
        </w:tc>
        <w:tc>
          <w:tcPr>
            <w:tcW w:w="666" w:type="pct"/>
            <w:tcBorders>
              <w:tl2br w:val="nil"/>
              <w:tr2bl w:val="nil"/>
            </w:tcBorders>
            <w:vAlign w:val="center"/>
          </w:tcPr>
          <w:p w14:paraId="11CB244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65</w:t>
            </w:r>
          </w:p>
        </w:tc>
        <w:tc>
          <w:tcPr>
            <w:tcW w:w="554" w:type="pct"/>
            <w:tcBorders>
              <w:tl2br w:val="nil"/>
              <w:tr2bl w:val="nil"/>
            </w:tcBorders>
            <w:vAlign w:val="center"/>
          </w:tcPr>
          <w:p w14:paraId="691C3691">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20F7731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0" w:type="pct"/>
            <w:vMerge w:val="continue"/>
            <w:tcBorders>
              <w:tl2br w:val="nil"/>
              <w:tr2bl w:val="nil"/>
            </w:tcBorders>
            <w:vAlign w:val="center"/>
          </w:tcPr>
          <w:p w14:paraId="16B1B62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398" w:type="pct"/>
            <w:vMerge w:val="continue"/>
            <w:tcBorders>
              <w:tl2br w:val="nil"/>
              <w:tr2bl w:val="nil"/>
            </w:tcBorders>
            <w:vAlign w:val="center"/>
          </w:tcPr>
          <w:p w14:paraId="4DBA5B9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00" w:type="pct"/>
            <w:vMerge w:val="continue"/>
            <w:tcBorders>
              <w:tl2br w:val="nil"/>
              <w:tr2bl w:val="nil"/>
            </w:tcBorders>
            <w:vAlign w:val="center"/>
          </w:tcPr>
          <w:p w14:paraId="6192822E">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65" w:type="pct"/>
            <w:tcBorders>
              <w:tl2br w:val="nil"/>
              <w:tr2bl w:val="nil"/>
            </w:tcBorders>
            <w:vAlign w:val="center"/>
          </w:tcPr>
          <w:p w14:paraId="6D48C2E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夜间</w:t>
            </w:r>
          </w:p>
        </w:tc>
        <w:tc>
          <w:tcPr>
            <w:tcW w:w="665" w:type="pct"/>
            <w:tcBorders>
              <w:tl2br w:val="nil"/>
              <w:tr2bl w:val="nil"/>
            </w:tcBorders>
            <w:vAlign w:val="center"/>
          </w:tcPr>
          <w:p w14:paraId="4D5BD90D">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25.5</w:t>
            </w:r>
          </w:p>
        </w:tc>
        <w:tc>
          <w:tcPr>
            <w:tcW w:w="666" w:type="pct"/>
            <w:tcBorders>
              <w:tl2br w:val="nil"/>
              <w:tr2bl w:val="nil"/>
            </w:tcBorders>
            <w:vAlign w:val="center"/>
          </w:tcPr>
          <w:p w14:paraId="5AEEF3A3">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40.3</w:t>
            </w:r>
          </w:p>
        </w:tc>
        <w:tc>
          <w:tcPr>
            <w:tcW w:w="666" w:type="pct"/>
            <w:tcBorders>
              <w:tl2br w:val="nil"/>
              <w:tr2bl w:val="nil"/>
            </w:tcBorders>
            <w:vAlign w:val="center"/>
          </w:tcPr>
          <w:p w14:paraId="36F44D82">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40.4</w:t>
            </w:r>
          </w:p>
        </w:tc>
        <w:tc>
          <w:tcPr>
            <w:tcW w:w="666" w:type="pct"/>
            <w:tcBorders>
              <w:tl2br w:val="nil"/>
              <w:tr2bl w:val="nil"/>
            </w:tcBorders>
            <w:vAlign w:val="center"/>
          </w:tcPr>
          <w:p w14:paraId="0491860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55</w:t>
            </w:r>
          </w:p>
        </w:tc>
        <w:tc>
          <w:tcPr>
            <w:tcW w:w="554" w:type="pct"/>
            <w:tcBorders>
              <w:tl2br w:val="nil"/>
              <w:tr2bl w:val="nil"/>
            </w:tcBorders>
            <w:vAlign w:val="center"/>
          </w:tcPr>
          <w:p w14:paraId="736C9602">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776CCA7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0" w:type="pct"/>
            <w:vMerge w:val="restart"/>
            <w:tcBorders>
              <w:tl2br w:val="nil"/>
              <w:tr2bl w:val="nil"/>
            </w:tcBorders>
            <w:vAlign w:val="center"/>
          </w:tcPr>
          <w:p w14:paraId="6AC9B3F3">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北厂界</w:t>
            </w:r>
          </w:p>
        </w:tc>
        <w:tc>
          <w:tcPr>
            <w:tcW w:w="398" w:type="pct"/>
            <w:vMerge w:val="restart"/>
            <w:tcBorders>
              <w:tl2br w:val="nil"/>
              <w:tr2bl w:val="nil"/>
            </w:tcBorders>
            <w:vAlign w:val="center"/>
          </w:tcPr>
          <w:p w14:paraId="3061DD17">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25</w:t>
            </w:r>
          </w:p>
        </w:tc>
        <w:tc>
          <w:tcPr>
            <w:tcW w:w="400" w:type="pct"/>
            <w:vMerge w:val="restart"/>
            <w:tcBorders>
              <w:tl2br w:val="nil"/>
              <w:tr2bl w:val="nil"/>
            </w:tcBorders>
            <w:vAlign w:val="center"/>
          </w:tcPr>
          <w:p w14:paraId="50FF82C2">
            <w:pPr>
              <w:pStyle w:val="52"/>
              <w:spacing w:before="0" w:after="0" w:line="240" w:lineRule="auto"/>
              <w:ind w:left="0" w:firstLine="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-100</w:t>
            </w:r>
          </w:p>
        </w:tc>
        <w:tc>
          <w:tcPr>
            <w:tcW w:w="465" w:type="pct"/>
            <w:tcBorders>
              <w:tl2br w:val="nil"/>
              <w:tr2bl w:val="nil"/>
            </w:tcBorders>
            <w:vAlign w:val="center"/>
          </w:tcPr>
          <w:p w14:paraId="7C1F9945">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昼间</w:t>
            </w:r>
          </w:p>
        </w:tc>
        <w:tc>
          <w:tcPr>
            <w:tcW w:w="665" w:type="pct"/>
            <w:tcBorders>
              <w:tl2br w:val="nil"/>
              <w:tr2bl w:val="nil"/>
            </w:tcBorders>
            <w:vAlign w:val="center"/>
          </w:tcPr>
          <w:p w14:paraId="0107ACE2">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21.7</w:t>
            </w:r>
          </w:p>
        </w:tc>
        <w:tc>
          <w:tcPr>
            <w:tcW w:w="666" w:type="pct"/>
            <w:tcBorders>
              <w:tl2br w:val="nil"/>
              <w:tr2bl w:val="nil"/>
            </w:tcBorders>
            <w:vAlign w:val="center"/>
          </w:tcPr>
          <w:p w14:paraId="6F9E04E6">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45.9</w:t>
            </w:r>
          </w:p>
        </w:tc>
        <w:tc>
          <w:tcPr>
            <w:tcW w:w="666" w:type="pct"/>
            <w:tcBorders>
              <w:tl2br w:val="nil"/>
              <w:tr2bl w:val="nil"/>
            </w:tcBorders>
            <w:vAlign w:val="center"/>
          </w:tcPr>
          <w:p w14:paraId="10430921">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46.0</w:t>
            </w:r>
          </w:p>
        </w:tc>
        <w:tc>
          <w:tcPr>
            <w:tcW w:w="666" w:type="pct"/>
            <w:tcBorders>
              <w:tl2br w:val="nil"/>
              <w:tr2bl w:val="nil"/>
            </w:tcBorders>
            <w:vAlign w:val="center"/>
          </w:tcPr>
          <w:p w14:paraId="325B703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65</w:t>
            </w:r>
          </w:p>
        </w:tc>
        <w:tc>
          <w:tcPr>
            <w:tcW w:w="554" w:type="pct"/>
            <w:tcBorders>
              <w:tl2br w:val="nil"/>
              <w:tr2bl w:val="nil"/>
            </w:tcBorders>
            <w:vAlign w:val="center"/>
          </w:tcPr>
          <w:p w14:paraId="2F892B6C">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r w14:paraId="4B96C7A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20" w:type="pct"/>
            <w:vMerge w:val="continue"/>
            <w:tcBorders>
              <w:tl2br w:val="nil"/>
              <w:tr2bl w:val="nil"/>
            </w:tcBorders>
            <w:vAlign w:val="center"/>
          </w:tcPr>
          <w:p w14:paraId="052DF89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398" w:type="pct"/>
            <w:vMerge w:val="continue"/>
            <w:tcBorders>
              <w:tl2br w:val="nil"/>
              <w:tr2bl w:val="nil"/>
            </w:tcBorders>
            <w:vAlign w:val="center"/>
          </w:tcPr>
          <w:p w14:paraId="43B66409">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00" w:type="pct"/>
            <w:vMerge w:val="continue"/>
            <w:tcBorders>
              <w:tl2br w:val="nil"/>
              <w:tr2bl w:val="nil"/>
            </w:tcBorders>
            <w:vAlign w:val="center"/>
          </w:tcPr>
          <w:p w14:paraId="5A04C0F6">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p>
        </w:tc>
        <w:tc>
          <w:tcPr>
            <w:tcW w:w="465" w:type="pct"/>
            <w:tcBorders>
              <w:tl2br w:val="nil"/>
              <w:tr2bl w:val="nil"/>
            </w:tcBorders>
            <w:vAlign w:val="center"/>
          </w:tcPr>
          <w:p w14:paraId="0245FCA0">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夜间</w:t>
            </w:r>
          </w:p>
        </w:tc>
        <w:tc>
          <w:tcPr>
            <w:tcW w:w="665" w:type="pct"/>
            <w:tcBorders>
              <w:tl2br w:val="nil"/>
              <w:tr2bl w:val="nil"/>
            </w:tcBorders>
            <w:vAlign w:val="center"/>
          </w:tcPr>
          <w:p w14:paraId="45328A3C">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21.8</w:t>
            </w:r>
          </w:p>
        </w:tc>
        <w:tc>
          <w:tcPr>
            <w:tcW w:w="666" w:type="pct"/>
            <w:tcBorders>
              <w:tl2br w:val="nil"/>
              <w:tr2bl w:val="nil"/>
            </w:tcBorders>
            <w:vAlign w:val="center"/>
          </w:tcPr>
          <w:p w14:paraId="65019093">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40.6</w:t>
            </w:r>
          </w:p>
        </w:tc>
        <w:tc>
          <w:tcPr>
            <w:tcW w:w="666" w:type="pct"/>
            <w:tcBorders>
              <w:tl2br w:val="nil"/>
              <w:tr2bl w:val="nil"/>
            </w:tcBorders>
            <w:vAlign w:val="center"/>
          </w:tcPr>
          <w:p w14:paraId="0CB7DFC7">
            <w:pPr>
              <w:pStyle w:val="52"/>
              <w:spacing w:before="0" w:after="0" w:line="240" w:lineRule="auto"/>
              <w:ind w:left="0" w:firstLine="0"/>
              <w:rPr>
                <w:rFonts w:hint="default" w:ascii="Times New Roman" w:hAnsi="Times New Roman" w:eastAsia="宋体" w:cs="Times New Roman"/>
                <w:color w:val="000000" w:themeColor="text1"/>
                <w:sz w:val="21"/>
                <w:szCs w:val="21"/>
                <w:highlight w:val="none"/>
                <w:lang w:val="en-US" w:eastAsia="zh-CN"/>
                <w14:textFill>
                  <w14:solidFill>
                    <w14:schemeClr w14:val="tx1"/>
                  </w14:solidFill>
                </w14:textFill>
              </w:rPr>
            </w:pPr>
            <w:r>
              <w:rPr>
                <w:rFonts w:hint="eastAsia" w:cs="Times New Roman"/>
                <w:color w:val="000000" w:themeColor="text1"/>
                <w:sz w:val="21"/>
                <w:szCs w:val="21"/>
                <w:highlight w:val="none"/>
                <w:lang w:val="en-US" w:eastAsia="zh-CN"/>
                <w14:textFill>
                  <w14:solidFill>
                    <w14:schemeClr w14:val="tx1"/>
                  </w14:solidFill>
                </w14:textFill>
              </w:rPr>
              <w:t>40.7</w:t>
            </w:r>
          </w:p>
        </w:tc>
        <w:tc>
          <w:tcPr>
            <w:tcW w:w="666" w:type="pct"/>
            <w:tcBorders>
              <w:tl2br w:val="nil"/>
              <w:tr2bl w:val="nil"/>
            </w:tcBorders>
            <w:vAlign w:val="center"/>
          </w:tcPr>
          <w:p w14:paraId="4140B1AA">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55</w:t>
            </w:r>
          </w:p>
        </w:tc>
        <w:tc>
          <w:tcPr>
            <w:tcW w:w="554" w:type="pct"/>
            <w:tcBorders>
              <w:tl2br w:val="nil"/>
              <w:tr2bl w:val="nil"/>
            </w:tcBorders>
            <w:vAlign w:val="center"/>
          </w:tcPr>
          <w:p w14:paraId="53ACE30B">
            <w:pPr>
              <w:pStyle w:val="52"/>
              <w:spacing w:before="0" w:after="0" w:line="240" w:lineRule="auto"/>
              <w:ind w:left="0" w:firstLine="0"/>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达标</w:t>
            </w:r>
          </w:p>
        </w:tc>
      </w:tr>
    </w:tbl>
    <w:p w14:paraId="1F412D6A">
      <w:pPr>
        <w:keepNext w:val="0"/>
        <w:keepLines w:val="0"/>
        <w:pageBreakBefore w:val="0"/>
        <w:widowControl/>
        <w:kinsoku/>
        <w:wordWrap/>
        <w:overflowPunct/>
        <w:topLinePunct w:val="0"/>
        <w:autoSpaceDE/>
        <w:autoSpaceDN/>
        <w:bidi w:val="0"/>
        <w:adjustRightInd/>
        <w:snapToGrid w:val="0"/>
        <w:spacing w:before="157" w:beforeLines="50"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32"/>
        </w:rPr>
        <w:t>由上表可知，</w:t>
      </w:r>
      <w:r>
        <w:rPr>
          <w:b w:val="0"/>
          <w:bCs w:val="0"/>
          <w:sz w:val="24"/>
          <w:u w:val="none"/>
        </w:rPr>
        <w:t>本项目</w:t>
      </w:r>
      <w:r>
        <w:rPr>
          <w:rFonts w:hint="eastAsia"/>
          <w:b w:val="0"/>
          <w:bCs w:val="0"/>
          <w:sz w:val="24"/>
          <w:u w:val="none"/>
          <w:lang w:eastAsia="zh-CN"/>
        </w:rPr>
        <w:t>建成后全厂</w:t>
      </w:r>
      <w:r>
        <w:rPr>
          <w:b w:val="0"/>
          <w:bCs w:val="0"/>
          <w:sz w:val="24"/>
          <w:u w:val="none"/>
        </w:rPr>
        <w:t>各厂界噪声</w:t>
      </w:r>
      <w:r>
        <w:rPr>
          <w:rFonts w:hint="eastAsia"/>
          <w:b w:val="0"/>
          <w:bCs w:val="0"/>
          <w:sz w:val="24"/>
          <w:u w:val="none"/>
          <w:lang w:eastAsia="zh-CN"/>
        </w:rPr>
        <w:t>贡献</w:t>
      </w:r>
      <w:r>
        <w:rPr>
          <w:b w:val="0"/>
          <w:bCs w:val="0"/>
          <w:sz w:val="24"/>
          <w:u w:val="none"/>
        </w:rPr>
        <w:t>值均能满足《工业企业厂界环境噪声排放标准》（GB12348-2008）</w:t>
      </w:r>
      <w:r>
        <w:rPr>
          <w:rFonts w:hint="eastAsia"/>
          <w:b w:val="0"/>
          <w:bCs w:val="0"/>
          <w:sz w:val="24"/>
          <w:u w:val="none"/>
        </w:rPr>
        <w:t>3</w:t>
      </w:r>
      <w:r>
        <w:rPr>
          <w:b w:val="0"/>
          <w:bCs w:val="0"/>
          <w:sz w:val="24"/>
          <w:u w:val="none"/>
        </w:rPr>
        <w:t>类（昼间≤6</w:t>
      </w:r>
      <w:r>
        <w:rPr>
          <w:rFonts w:hint="eastAsia"/>
          <w:b w:val="0"/>
          <w:bCs w:val="0"/>
          <w:sz w:val="24"/>
          <w:u w:val="none"/>
        </w:rPr>
        <w:t>5</w:t>
      </w:r>
      <w:r>
        <w:rPr>
          <w:b w:val="0"/>
          <w:bCs w:val="0"/>
          <w:sz w:val="24"/>
          <w:u w:val="none"/>
        </w:rPr>
        <w:t>dB(A)、夜间≤5</w:t>
      </w:r>
      <w:r>
        <w:rPr>
          <w:rFonts w:hint="eastAsia"/>
          <w:b w:val="0"/>
          <w:bCs w:val="0"/>
          <w:sz w:val="24"/>
          <w:u w:val="none"/>
        </w:rPr>
        <w:t>5</w:t>
      </w:r>
      <w:r>
        <w:rPr>
          <w:b w:val="0"/>
          <w:bCs w:val="0"/>
          <w:sz w:val="24"/>
          <w:u w:val="none"/>
        </w:rPr>
        <w:t>dB(A)）要求。</w:t>
      </w:r>
    </w:p>
    <w:p w14:paraId="7C6D39D3">
      <w:pPr>
        <w:spacing w:line="360" w:lineRule="auto"/>
        <w:ind w:firstLine="480" w:firstLineChars="200"/>
        <w:rPr>
          <w:rFonts w:hint="default" w:ascii="Times New Roman" w:hAnsi="Times New Roman" w:eastAsia="宋体" w:cs="Times New Roman"/>
          <w:color w:val="auto"/>
          <w:sz w:val="24"/>
          <w:szCs w:val="32"/>
          <w:lang w:val="en-US" w:eastAsia="zh-CN"/>
        </w:rPr>
      </w:pPr>
      <w:r>
        <w:rPr>
          <w:rFonts w:hint="default" w:ascii="Times New Roman" w:hAnsi="Times New Roman" w:cs="Times New Roman"/>
          <w:color w:val="auto"/>
          <w:sz w:val="24"/>
          <w:szCs w:val="32"/>
          <w:lang w:eastAsia="zh-CN"/>
        </w:rPr>
        <w:t>（</w:t>
      </w:r>
      <w:r>
        <w:rPr>
          <w:rFonts w:hint="eastAsia" w:cs="Times New Roman"/>
          <w:color w:val="auto"/>
          <w:sz w:val="24"/>
          <w:szCs w:val="32"/>
          <w:lang w:val="en-US" w:eastAsia="zh-CN"/>
        </w:rPr>
        <w:t>3</w:t>
      </w:r>
      <w:r>
        <w:rPr>
          <w:rFonts w:hint="default" w:ascii="Times New Roman" w:hAnsi="Times New Roman" w:cs="Times New Roman"/>
          <w:color w:val="auto"/>
          <w:sz w:val="24"/>
          <w:szCs w:val="32"/>
          <w:lang w:eastAsia="zh-CN"/>
        </w:rPr>
        <w:t>）</w:t>
      </w:r>
      <w:r>
        <w:rPr>
          <w:rFonts w:hint="default" w:ascii="Times New Roman" w:hAnsi="Times New Roman" w:cs="Times New Roman"/>
          <w:color w:val="auto"/>
          <w:sz w:val="24"/>
          <w:szCs w:val="32"/>
          <w:lang w:val="en-US" w:eastAsia="zh-CN"/>
        </w:rPr>
        <w:t>小结</w:t>
      </w:r>
    </w:p>
    <w:p w14:paraId="04C136D1">
      <w:pPr>
        <w:spacing w:line="360" w:lineRule="auto"/>
        <w:ind w:firstLine="480" w:firstLineChars="200"/>
        <w:rPr>
          <w:rFonts w:hint="default" w:ascii="Times New Roman" w:hAnsi="Times New Roman" w:eastAsia="宋体" w:cs="Times New Roman"/>
          <w:color w:val="auto"/>
          <w:sz w:val="24"/>
          <w:szCs w:val="32"/>
        </w:rPr>
      </w:pPr>
      <w:r>
        <w:rPr>
          <w:rFonts w:hint="default" w:ascii="Times New Roman" w:hAnsi="Times New Roman" w:eastAsia="宋体" w:cs="Times New Roman"/>
          <w:color w:val="auto"/>
          <w:sz w:val="24"/>
          <w:szCs w:val="32"/>
        </w:rPr>
        <w:t>本</w:t>
      </w:r>
      <w:r>
        <w:rPr>
          <w:rFonts w:hint="default" w:ascii="Times New Roman" w:hAnsi="Times New Roman" w:cs="Times New Roman"/>
          <w:color w:val="auto"/>
          <w:sz w:val="24"/>
          <w:szCs w:val="32"/>
          <w:lang w:val="en-US" w:eastAsia="zh-CN"/>
        </w:rPr>
        <w:t>项目</w:t>
      </w:r>
      <w:r>
        <w:rPr>
          <w:rFonts w:hint="default" w:ascii="Times New Roman" w:hAnsi="Times New Roman" w:eastAsia="宋体" w:cs="Times New Roman"/>
          <w:color w:val="auto"/>
          <w:sz w:val="24"/>
          <w:szCs w:val="32"/>
        </w:rPr>
        <w:t>声环境影响评价自查表见5.2-</w:t>
      </w:r>
      <w:r>
        <w:rPr>
          <w:rFonts w:hint="eastAsia" w:cs="Times New Roman"/>
          <w:color w:val="auto"/>
          <w:sz w:val="24"/>
          <w:szCs w:val="32"/>
          <w:lang w:val="en-US" w:eastAsia="zh-CN"/>
        </w:rPr>
        <w:t>24</w:t>
      </w:r>
      <w:r>
        <w:rPr>
          <w:rFonts w:hint="default" w:ascii="Times New Roman" w:hAnsi="Times New Roman" w:eastAsia="宋体" w:cs="Times New Roman"/>
          <w:color w:val="auto"/>
          <w:sz w:val="24"/>
          <w:szCs w:val="32"/>
        </w:rPr>
        <w:t>。</w:t>
      </w:r>
    </w:p>
    <w:p w14:paraId="23A84F67">
      <w:pPr>
        <w:spacing w:line="240" w:lineRule="auto"/>
        <w:ind w:left="0" w:leftChars="0" w:right="0" w:rightChars="0" w:firstLine="0" w:firstLineChars="0"/>
        <w:jc w:val="center"/>
        <w:rPr>
          <w:rFonts w:hint="default" w:ascii="Times New Roman" w:hAnsi="Times New Roman" w:eastAsia="宋体" w:cs="Times New Roman"/>
          <w:b/>
          <w:bCs/>
          <w:color w:val="auto"/>
          <w:sz w:val="24"/>
          <w:szCs w:val="32"/>
          <w:highlight w:val="none"/>
        </w:rPr>
      </w:pPr>
      <w:r>
        <w:rPr>
          <w:rFonts w:hint="default" w:ascii="Times New Roman" w:hAnsi="Times New Roman" w:eastAsia="宋体" w:cs="Times New Roman"/>
          <w:b/>
          <w:bCs/>
          <w:color w:val="auto"/>
          <w:sz w:val="24"/>
          <w:szCs w:val="32"/>
          <w:highlight w:val="none"/>
        </w:rPr>
        <w:t>表5.2-</w:t>
      </w:r>
      <w:r>
        <w:rPr>
          <w:rFonts w:hint="eastAsia" w:cs="Times New Roman"/>
          <w:b/>
          <w:bCs/>
          <w:color w:val="auto"/>
          <w:sz w:val="24"/>
          <w:szCs w:val="32"/>
          <w:highlight w:val="none"/>
          <w:lang w:val="en-US" w:eastAsia="zh-CN"/>
        </w:rPr>
        <w:t>24</w:t>
      </w:r>
      <w:r>
        <w:rPr>
          <w:rFonts w:hint="default" w:ascii="Times New Roman" w:hAnsi="Times New Roman" w:eastAsia="宋体" w:cs="Times New Roman"/>
          <w:b/>
          <w:bCs/>
          <w:color w:val="auto"/>
          <w:sz w:val="24"/>
          <w:szCs w:val="32"/>
          <w:highlight w:val="none"/>
        </w:rPr>
        <w:t xml:space="preserve"> 声环境影响评价自查表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1379"/>
        <w:gridCol w:w="2146"/>
        <w:gridCol w:w="994"/>
        <w:gridCol w:w="376"/>
        <w:gridCol w:w="199"/>
        <w:gridCol w:w="175"/>
        <w:gridCol w:w="733"/>
        <w:gridCol w:w="58"/>
        <w:gridCol w:w="716"/>
        <w:gridCol w:w="409"/>
        <w:gridCol w:w="362"/>
        <w:gridCol w:w="4"/>
        <w:gridCol w:w="800"/>
      </w:tblGrid>
      <w:tr w14:paraId="0990418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2110" w:type="pct"/>
            <w:gridSpan w:val="2"/>
            <w:tcBorders>
              <w:tl2br w:val="nil"/>
              <w:tr2bl w:val="nil"/>
            </w:tcBorders>
            <w:noWrap/>
            <w:vAlign w:val="center"/>
          </w:tcPr>
          <w:p w14:paraId="46438471">
            <w:pPr>
              <w:pStyle w:val="197"/>
              <w:autoSpaceDE/>
              <w:autoSpaceDN/>
              <w:spacing w:before="0" w:after="0" w:line="240" w:lineRule="auto"/>
              <w:ind w:left="0" w:firstLine="0"/>
              <w:jc w:val="center"/>
              <w:rPr>
                <w:rFonts w:hint="default" w:ascii="Times New Roman" w:hAnsi="Times New Roman" w:eastAsia="宋体" w:cs="Times New Roman"/>
                <w:b/>
                <w:bCs/>
                <w:color w:val="auto"/>
                <w:spacing w:val="-10"/>
                <w:sz w:val="21"/>
                <w:szCs w:val="21"/>
                <w:highlight w:val="none"/>
                <w:lang w:val="en-US"/>
              </w:rPr>
            </w:pPr>
            <w:r>
              <w:rPr>
                <w:rFonts w:hint="default" w:ascii="Times New Roman" w:hAnsi="Times New Roman" w:eastAsia="宋体" w:cs="Times New Roman"/>
                <w:b/>
                <w:bCs/>
                <w:color w:val="auto"/>
                <w:spacing w:val="-10"/>
                <w:sz w:val="21"/>
                <w:szCs w:val="21"/>
                <w:highlight w:val="none"/>
              </w:rPr>
              <w:t>工作</w:t>
            </w:r>
            <w:r>
              <w:rPr>
                <w:rFonts w:hint="default" w:ascii="Times New Roman" w:hAnsi="Times New Roman" w:eastAsia="宋体" w:cs="Times New Roman"/>
                <w:b/>
                <w:bCs/>
                <w:color w:val="auto"/>
                <w:spacing w:val="-10"/>
                <w:sz w:val="21"/>
                <w:szCs w:val="21"/>
                <w:highlight w:val="none"/>
                <w:lang w:val="en-US"/>
              </w:rPr>
              <w:t>内容</w:t>
            </w:r>
          </w:p>
        </w:tc>
        <w:tc>
          <w:tcPr>
            <w:tcW w:w="2889" w:type="pct"/>
            <w:gridSpan w:val="11"/>
            <w:tcBorders>
              <w:tl2br w:val="nil"/>
              <w:tr2bl w:val="nil"/>
            </w:tcBorders>
            <w:noWrap/>
            <w:vAlign w:val="center"/>
          </w:tcPr>
          <w:p w14:paraId="5C1C4FAD">
            <w:pPr>
              <w:pStyle w:val="197"/>
              <w:autoSpaceDE/>
              <w:autoSpaceDN/>
              <w:spacing w:before="0" w:after="0" w:line="240" w:lineRule="auto"/>
              <w:ind w:left="0" w:firstLine="0"/>
              <w:jc w:val="center"/>
              <w:rPr>
                <w:rFonts w:hint="default" w:ascii="Times New Roman" w:hAnsi="Times New Roman" w:eastAsia="宋体" w:cs="Times New Roman"/>
                <w:b/>
                <w:bCs/>
                <w:color w:val="auto"/>
                <w:spacing w:val="-10"/>
                <w:sz w:val="21"/>
                <w:szCs w:val="21"/>
                <w:highlight w:val="none"/>
              </w:rPr>
            </w:pPr>
            <w:r>
              <w:rPr>
                <w:rFonts w:hint="default" w:ascii="Times New Roman" w:hAnsi="Times New Roman" w:eastAsia="宋体" w:cs="Times New Roman"/>
                <w:b/>
                <w:bCs/>
                <w:color w:val="auto"/>
                <w:spacing w:val="-10"/>
                <w:sz w:val="21"/>
                <w:szCs w:val="21"/>
                <w:highlight w:val="none"/>
              </w:rPr>
              <w:t>自查项目</w:t>
            </w:r>
          </w:p>
        </w:tc>
      </w:tr>
      <w:tr w14:paraId="0AF18C7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restart"/>
            <w:tcBorders>
              <w:tl2br w:val="nil"/>
              <w:tr2bl w:val="nil"/>
            </w:tcBorders>
            <w:noWrap/>
            <w:vAlign w:val="center"/>
          </w:tcPr>
          <w:p w14:paraId="6797145B">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评价等级与范围</w:t>
            </w:r>
          </w:p>
        </w:tc>
        <w:tc>
          <w:tcPr>
            <w:tcW w:w="1284" w:type="pct"/>
            <w:tcBorders>
              <w:tl2br w:val="nil"/>
              <w:tr2bl w:val="nil"/>
            </w:tcBorders>
            <w:noWrap/>
            <w:vAlign w:val="center"/>
          </w:tcPr>
          <w:p w14:paraId="0718578B">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评价等级</w:t>
            </w:r>
          </w:p>
        </w:tc>
        <w:tc>
          <w:tcPr>
            <w:tcW w:w="2889" w:type="pct"/>
            <w:gridSpan w:val="11"/>
            <w:tcBorders>
              <w:tl2br w:val="nil"/>
              <w:tr2bl w:val="nil"/>
            </w:tcBorders>
            <w:noWrap/>
            <w:vAlign w:val="center"/>
          </w:tcPr>
          <w:p w14:paraId="44BFE8CD">
            <w:pPr>
              <w:pStyle w:val="197"/>
              <w:tabs>
                <w:tab w:val="left" w:pos="2103"/>
                <w:tab w:val="left" w:pos="3635"/>
              </w:tabs>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lang w:eastAsia="zh-CN"/>
              </w:rPr>
            </w:pPr>
            <w:r>
              <w:rPr>
                <w:rFonts w:hint="default" w:ascii="Times New Roman" w:hAnsi="Times New Roman" w:eastAsia="宋体" w:cs="Times New Roman"/>
                <w:color w:val="auto"/>
                <w:spacing w:val="-10"/>
                <w:sz w:val="21"/>
                <w:szCs w:val="21"/>
                <w:highlight w:val="none"/>
              </w:rPr>
              <w:t>一级□二级</w:t>
            </w:r>
            <w:r>
              <w:rPr>
                <w:rFonts w:hint="default" w:ascii="Times New Roman" w:hAnsi="Times New Roman" w:eastAsia="宋体" w:cs="Times New Roman"/>
                <w:color w:val="auto"/>
                <w:spacing w:val="-10"/>
                <w:sz w:val="21"/>
                <w:szCs w:val="21"/>
                <w:highlight w:val="none"/>
                <w:lang w:eastAsia="zh-CN"/>
              </w:rPr>
              <w:t>□</w:t>
            </w:r>
            <w:r>
              <w:rPr>
                <w:rFonts w:hint="default" w:ascii="Times New Roman" w:hAnsi="Times New Roman" w:eastAsia="宋体" w:cs="Times New Roman"/>
                <w:color w:val="auto"/>
                <w:spacing w:val="-10"/>
                <w:sz w:val="21"/>
                <w:szCs w:val="21"/>
                <w:highlight w:val="none"/>
              </w:rPr>
              <w:t>三级</w:t>
            </w:r>
            <w:r>
              <w:rPr>
                <w:rFonts w:hint="default" w:ascii="Times New Roman" w:hAnsi="Times New Roman" w:eastAsia="宋体" w:cs="Times New Roman"/>
                <w:color w:val="auto"/>
                <w:spacing w:val="-10"/>
                <w:sz w:val="21"/>
                <w:szCs w:val="21"/>
                <w:highlight w:val="none"/>
                <w:lang w:eastAsia="zh-CN"/>
              </w:rPr>
              <w:t>☑</w:t>
            </w:r>
          </w:p>
        </w:tc>
      </w:tr>
      <w:tr w14:paraId="2CA028F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continue"/>
            <w:tcBorders>
              <w:tl2br w:val="nil"/>
              <w:tr2bl w:val="nil"/>
            </w:tcBorders>
            <w:noWrap/>
            <w:vAlign w:val="center"/>
          </w:tcPr>
          <w:p w14:paraId="6944BA53">
            <w:pPr>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p>
        </w:tc>
        <w:tc>
          <w:tcPr>
            <w:tcW w:w="1284" w:type="pct"/>
            <w:tcBorders>
              <w:tl2br w:val="nil"/>
              <w:tr2bl w:val="nil"/>
            </w:tcBorders>
            <w:noWrap/>
            <w:vAlign w:val="center"/>
          </w:tcPr>
          <w:p w14:paraId="48C70A84">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评价范围</w:t>
            </w:r>
          </w:p>
        </w:tc>
        <w:tc>
          <w:tcPr>
            <w:tcW w:w="2889" w:type="pct"/>
            <w:gridSpan w:val="11"/>
            <w:tcBorders>
              <w:tl2br w:val="nil"/>
              <w:tr2bl w:val="nil"/>
            </w:tcBorders>
            <w:noWrap/>
            <w:vAlign w:val="center"/>
          </w:tcPr>
          <w:p w14:paraId="23650068">
            <w:pPr>
              <w:pStyle w:val="197"/>
              <w:tabs>
                <w:tab w:val="left" w:pos="2384"/>
                <w:tab w:val="left" w:pos="5315"/>
              </w:tabs>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lang w:eastAsia="zh-CN"/>
              </w:rPr>
            </w:pPr>
            <w:r>
              <w:rPr>
                <w:rFonts w:hint="default" w:ascii="Times New Roman" w:hAnsi="Times New Roman" w:eastAsia="宋体" w:cs="Times New Roman"/>
                <w:color w:val="auto"/>
                <w:spacing w:val="-10"/>
                <w:sz w:val="21"/>
                <w:szCs w:val="21"/>
                <w:highlight w:val="none"/>
              </w:rPr>
              <w:t>200m</w:t>
            </w:r>
            <w:r>
              <w:rPr>
                <w:rFonts w:hint="default" w:ascii="Times New Roman" w:hAnsi="Times New Roman" w:eastAsia="宋体" w:cs="Times New Roman"/>
                <w:color w:val="auto"/>
                <w:spacing w:val="-10"/>
                <w:sz w:val="21"/>
                <w:szCs w:val="21"/>
                <w:highlight w:val="none"/>
                <w:lang w:eastAsia="zh-CN"/>
              </w:rPr>
              <w:t>□</w:t>
            </w:r>
            <w:r>
              <w:rPr>
                <w:rFonts w:hint="default" w:ascii="Times New Roman" w:hAnsi="Times New Roman" w:eastAsia="宋体" w:cs="Times New Roman"/>
                <w:color w:val="auto"/>
                <w:spacing w:val="-10"/>
                <w:sz w:val="21"/>
                <w:szCs w:val="21"/>
                <w:highlight w:val="none"/>
              </w:rPr>
              <w:t>大于200m□小于200m</w:t>
            </w:r>
            <w:r>
              <w:rPr>
                <w:rFonts w:hint="default" w:ascii="Times New Roman" w:hAnsi="Times New Roman" w:eastAsia="宋体" w:cs="Times New Roman"/>
                <w:color w:val="auto"/>
                <w:spacing w:val="-10"/>
                <w:sz w:val="21"/>
                <w:szCs w:val="21"/>
                <w:highlight w:val="none"/>
                <w:lang w:eastAsia="zh-CN"/>
              </w:rPr>
              <w:t>☑</w:t>
            </w:r>
          </w:p>
        </w:tc>
      </w:tr>
      <w:tr w14:paraId="6A7F552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tcBorders>
              <w:tl2br w:val="nil"/>
              <w:tr2bl w:val="nil"/>
            </w:tcBorders>
            <w:noWrap/>
            <w:vAlign w:val="center"/>
          </w:tcPr>
          <w:p w14:paraId="5164D7EA">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评价因子</w:t>
            </w:r>
          </w:p>
        </w:tc>
        <w:tc>
          <w:tcPr>
            <w:tcW w:w="1284" w:type="pct"/>
            <w:tcBorders>
              <w:tl2br w:val="nil"/>
              <w:tr2bl w:val="nil"/>
            </w:tcBorders>
            <w:noWrap/>
            <w:vAlign w:val="center"/>
          </w:tcPr>
          <w:p w14:paraId="75305A5A">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评价因子</w:t>
            </w:r>
          </w:p>
        </w:tc>
        <w:tc>
          <w:tcPr>
            <w:tcW w:w="2889" w:type="pct"/>
            <w:gridSpan w:val="11"/>
            <w:tcBorders>
              <w:tl2br w:val="nil"/>
              <w:tr2bl w:val="nil"/>
            </w:tcBorders>
            <w:noWrap/>
            <w:vAlign w:val="center"/>
          </w:tcPr>
          <w:p w14:paraId="247BD685">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等效连续A声级☑最大A声级□计权等效连续感觉噪声级□</w:t>
            </w:r>
          </w:p>
        </w:tc>
      </w:tr>
      <w:tr w14:paraId="1AB5F73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tcBorders>
              <w:tl2br w:val="nil"/>
              <w:tr2bl w:val="nil"/>
            </w:tcBorders>
            <w:noWrap/>
            <w:vAlign w:val="center"/>
          </w:tcPr>
          <w:p w14:paraId="1649BE29">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评价标准</w:t>
            </w:r>
          </w:p>
        </w:tc>
        <w:tc>
          <w:tcPr>
            <w:tcW w:w="1284" w:type="pct"/>
            <w:tcBorders>
              <w:tl2br w:val="nil"/>
              <w:tr2bl w:val="nil"/>
            </w:tcBorders>
            <w:noWrap/>
            <w:vAlign w:val="center"/>
          </w:tcPr>
          <w:p w14:paraId="2DEEA3AC">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评价标准</w:t>
            </w:r>
          </w:p>
        </w:tc>
        <w:tc>
          <w:tcPr>
            <w:tcW w:w="2889" w:type="pct"/>
            <w:gridSpan w:val="11"/>
            <w:tcBorders>
              <w:tl2br w:val="nil"/>
              <w:tr2bl w:val="nil"/>
            </w:tcBorders>
            <w:noWrap/>
            <w:vAlign w:val="center"/>
          </w:tcPr>
          <w:p w14:paraId="65888C7A">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国家标准☑地方标准□国外标准□</w:t>
            </w:r>
          </w:p>
        </w:tc>
      </w:tr>
      <w:tr w14:paraId="74F6D00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restart"/>
            <w:tcBorders>
              <w:tl2br w:val="nil"/>
              <w:tr2bl w:val="nil"/>
            </w:tcBorders>
            <w:noWrap/>
            <w:vAlign w:val="center"/>
          </w:tcPr>
          <w:p w14:paraId="4FA4CDBA">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现状评价</w:t>
            </w:r>
          </w:p>
        </w:tc>
        <w:tc>
          <w:tcPr>
            <w:tcW w:w="1284" w:type="pct"/>
            <w:tcBorders>
              <w:tl2br w:val="nil"/>
              <w:tr2bl w:val="nil"/>
            </w:tcBorders>
            <w:noWrap/>
            <w:vAlign w:val="center"/>
          </w:tcPr>
          <w:p w14:paraId="3CC5E20E">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环境功能区</w:t>
            </w:r>
          </w:p>
        </w:tc>
        <w:tc>
          <w:tcPr>
            <w:tcW w:w="595" w:type="pct"/>
            <w:tcBorders>
              <w:tl2br w:val="nil"/>
              <w:tr2bl w:val="nil"/>
            </w:tcBorders>
            <w:noWrap/>
            <w:vAlign w:val="center"/>
          </w:tcPr>
          <w:p w14:paraId="54A0B6A0">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0类区□</w:t>
            </w:r>
          </w:p>
        </w:tc>
        <w:tc>
          <w:tcPr>
            <w:tcW w:w="449" w:type="pct"/>
            <w:gridSpan w:val="3"/>
            <w:tcBorders>
              <w:tl2br w:val="nil"/>
              <w:tr2bl w:val="nil"/>
            </w:tcBorders>
            <w:noWrap/>
            <w:vAlign w:val="center"/>
          </w:tcPr>
          <w:p w14:paraId="12A62417">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1类区□</w:t>
            </w:r>
          </w:p>
        </w:tc>
        <w:tc>
          <w:tcPr>
            <w:tcW w:w="473" w:type="pct"/>
            <w:gridSpan w:val="2"/>
            <w:tcBorders>
              <w:tl2br w:val="nil"/>
              <w:tr2bl w:val="nil"/>
            </w:tcBorders>
            <w:noWrap/>
            <w:vAlign w:val="center"/>
          </w:tcPr>
          <w:p w14:paraId="0BEB424B">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lang w:eastAsia="zh-CN"/>
              </w:rPr>
            </w:pPr>
            <w:r>
              <w:rPr>
                <w:rFonts w:hint="default" w:ascii="Times New Roman" w:hAnsi="Times New Roman" w:eastAsia="宋体" w:cs="Times New Roman"/>
                <w:color w:val="auto"/>
                <w:spacing w:val="-10"/>
                <w:sz w:val="21"/>
                <w:szCs w:val="21"/>
                <w:highlight w:val="none"/>
              </w:rPr>
              <w:t>2类区</w:t>
            </w:r>
            <w:r>
              <w:rPr>
                <w:rFonts w:hint="default" w:ascii="Times New Roman" w:hAnsi="Times New Roman" w:eastAsia="宋体" w:cs="Times New Roman"/>
                <w:color w:val="auto"/>
                <w:spacing w:val="-10"/>
                <w:sz w:val="21"/>
                <w:szCs w:val="21"/>
                <w:highlight w:val="none"/>
                <w:lang w:eastAsia="zh-CN"/>
              </w:rPr>
              <w:t>□</w:t>
            </w:r>
          </w:p>
        </w:tc>
        <w:tc>
          <w:tcPr>
            <w:tcW w:w="428" w:type="pct"/>
            <w:tcBorders>
              <w:tl2br w:val="nil"/>
              <w:tr2bl w:val="nil"/>
            </w:tcBorders>
            <w:noWrap/>
            <w:vAlign w:val="center"/>
          </w:tcPr>
          <w:p w14:paraId="49B95194">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lang w:eastAsia="zh-CN"/>
              </w:rPr>
            </w:pPr>
            <w:r>
              <w:rPr>
                <w:rFonts w:hint="default" w:ascii="Times New Roman" w:hAnsi="Times New Roman" w:eastAsia="宋体" w:cs="Times New Roman"/>
                <w:color w:val="auto"/>
                <w:spacing w:val="-10"/>
                <w:sz w:val="21"/>
                <w:szCs w:val="21"/>
                <w:highlight w:val="none"/>
              </w:rPr>
              <w:t>3类区</w:t>
            </w:r>
            <w:r>
              <w:rPr>
                <w:rFonts w:hint="default" w:ascii="Times New Roman" w:hAnsi="Times New Roman" w:eastAsia="宋体" w:cs="Times New Roman"/>
                <w:color w:val="auto"/>
                <w:spacing w:val="-10"/>
                <w:sz w:val="21"/>
                <w:szCs w:val="21"/>
                <w:highlight w:val="none"/>
                <w:lang w:eastAsia="zh-CN"/>
              </w:rPr>
              <w:t>☑</w:t>
            </w:r>
          </w:p>
        </w:tc>
        <w:tc>
          <w:tcPr>
            <w:tcW w:w="464" w:type="pct"/>
            <w:gridSpan w:val="3"/>
            <w:tcBorders>
              <w:tl2br w:val="nil"/>
              <w:tr2bl w:val="nil"/>
            </w:tcBorders>
            <w:noWrap/>
            <w:vAlign w:val="center"/>
          </w:tcPr>
          <w:p w14:paraId="5B611083">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4a类区□</w:t>
            </w:r>
          </w:p>
        </w:tc>
        <w:tc>
          <w:tcPr>
            <w:tcW w:w="479" w:type="pct"/>
            <w:tcBorders>
              <w:tl2br w:val="nil"/>
              <w:tr2bl w:val="nil"/>
            </w:tcBorders>
            <w:noWrap/>
            <w:vAlign w:val="center"/>
          </w:tcPr>
          <w:p w14:paraId="21478DE1">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4b类区□</w:t>
            </w:r>
          </w:p>
        </w:tc>
      </w:tr>
      <w:tr w14:paraId="1841E2D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continue"/>
            <w:tcBorders>
              <w:tl2br w:val="nil"/>
              <w:tr2bl w:val="nil"/>
            </w:tcBorders>
            <w:noWrap/>
            <w:vAlign w:val="center"/>
          </w:tcPr>
          <w:p w14:paraId="44012D83">
            <w:pPr>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p>
        </w:tc>
        <w:tc>
          <w:tcPr>
            <w:tcW w:w="1284" w:type="pct"/>
            <w:tcBorders>
              <w:tl2br w:val="nil"/>
              <w:tr2bl w:val="nil"/>
            </w:tcBorders>
            <w:noWrap/>
            <w:vAlign w:val="center"/>
          </w:tcPr>
          <w:p w14:paraId="709C8727">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评价年度</w:t>
            </w:r>
          </w:p>
        </w:tc>
        <w:tc>
          <w:tcPr>
            <w:tcW w:w="820" w:type="pct"/>
            <w:gridSpan w:val="2"/>
            <w:tcBorders>
              <w:tl2br w:val="nil"/>
              <w:tr2bl w:val="nil"/>
            </w:tcBorders>
            <w:noWrap/>
            <w:vAlign w:val="center"/>
          </w:tcPr>
          <w:p w14:paraId="585C1B02">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初期□</w:t>
            </w:r>
          </w:p>
        </w:tc>
        <w:tc>
          <w:tcPr>
            <w:tcW w:w="696" w:type="pct"/>
            <w:gridSpan w:val="4"/>
            <w:tcBorders>
              <w:tl2br w:val="nil"/>
              <w:tr2bl w:val="nil"/>
            </w:tcBorders>
            <w:noWrap/>
            <w:vAlign w:val="center"/>
          </w:tcPr>
          <w:p w14:paraId="7C53CB3A">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近期☑</w:t>
            </w:r>
          </w:p>
        </w:tc>
        <w:tc>
          <w:tcPr>
            <w:tcW w:w="673" w:type="pct"/>
            <w:gridSpan w:val="2"/>
            <w:tcBorders>
              <w:tl2br w:val="nil"/>
              <w:tr2bl w:val="nil"/>
            </w:tcBorders>
            <w:noWrap/>
            <w:vAlign w:val="center"/>
          </w:tcPr>
          <w:p w14:paraId="2BEB4967">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中期□</w:t>
            </w:r>
          </w:p>
        </w:tc>
        <w:tc>
          <w:tcPr>
            <w:tcW w:w="698" w:type="pct"/>
            <w:gridSpan w:val="3"/>
            <w:tcBorders>
              <w:tl2br w:val="nil"/>
              <w:tr2bl w:val="nil"/>
            </w:tcBorders>
            <w:noWrap/>
            <w:vAlign w:val="center"/>
          </w:tcPr>
          <w:p w14:paraId="13D1B930">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远期□</w:t>
            </w:r>
          </w:p>
        </w:tc>
      </w:tr>
      <w:tr w14:paraId="4AB81D7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restart"/>
            <w:tcBorders>
              <w:tl2br w:val="nil"/>
              <w:tr2bl w:val="nil"/>
            </w:tcBorders>
            <w:noWrap/>
            <w:vAlign w:val="center"/>
          </w:tcPr>
          <w:p w14:paraId="230F00F3">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现状评价</w:t>
            </w:r>
          </w:p>
        </w:tc>
        <w:tc>
          <w:tcPr>
            <w:tcW w:w="1284" w:type="pct"/>
            <w:tcBorders>
              <w:tl2br w:val="nil"/>
              <w:tr2bl w:val="nil"/>
            </w:tcBorders>
            <w:noWrap/>
            <w:vAlign w:val="center"/>
          </w:tcPr>
          <w:p w14:paraId="4CA7D3C3">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现状调查方法</w:t>
            </w:r>
          </w:p>
        </w:tc>
        <w:tc>
          <w:tcPr>
            <w:tcW w:w="2889" w:type="pct"/>
            <w:gridSpan w:val="11"/>
            <w:tcBorders>
              <w:tl2br w:val="nil"/>
              <w:tr2bl w:val="nil"/>
            </w:tcBorders>
            <w:noWrap/>
            <w:vAlign w:val="center"/>
          </w:tcPr>
          <w:p w14:paraId="219BC3D5">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现场实测法☑现场实测加模型计算法□收集资料□</w:t>
            </w:r>
          </w:p>
        </w:tc>
      </w:tr>
      <w:tr w14:paraId="503EE3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continue"/>
            <w:tcBorders>
              <w:tl2br w:val="nil"/>
              <w:tr2bl w:val="nil"/>
            </w:tcBorders>
            <w:noWrap/>
            <w:vAlign w:val="center"/>
          </w:tcPr>
          <w:p w14:paraId="3284CACC">
            <w:pPr>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p>
        </w:tc>
        <w:tc>
          <w:tcPr>
            <w:tcW w:w="1284" w:type="pct"/>
            <w:tcBorders>
              <w:tl2br w:val="nil"/>
              <w:tr2bl w:val="nil"/>
            </w:tcBorders>
            <w:noWrap/>
            <w:vAlign w:val="center"/>
          </w:tcPr>
          <w:p w14:paraId="73A7B934">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现状评价</w:t>
            </w:r>
          </w:p>
        </w:tc>
        <w:tc>
          <w:tcPr>
            <w:tcW w:w="939" w:type="pct"/>
            <w:gridSpan w:val="3"/>
            <w:tcBorders>
              <w:tl2br w:val="nil"/>
              <w:tr2bl w:val="nil"/>
            </w:tcBorders>
            <w:noWrap/>
            <w:vAlign w:val="center"/>
          </w:tcPr>
          <w:p w14:paraId="1B6C4618">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达标百分比</w:t>
            </w:r>
          </w:p>
        </w:tc>
        <w:tc>
          <w:tcPr>
            <w:tcW w:w="1949" w:type="pct"/>
            <w:gridSpan w:val="8"/>
            <w:tcBorders>
              <w:tl2br w:val="nil"/>
              <w:tr2bl w:val="nil"/>
            </w:tcBorders>
            <w:noWrap/>
            <w:vAlign w:val="center"/>
          </w:tcPr>
          <w:p w14:paraId="4AD88CFF">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lang w:val="en-US"/>
              </w:rPr>
            </w:pPr>
            <w:r>
              <w:rPr>
                <w:rFonts w:hint="default" w:ascii="Times New Roman" w:hAnsi="Times New Roman" w:eastAsia="宋体" w:cs="Times New Roman"/>
                <w:color w:val="auto"/>
                <w:spacing w:val="-10"/>
                <w:sz w:val="21"/>
                <w:szCs w:val="21"/>
                <w:highlight w:val="none"/>
                <w:lang w:val="en-US"/>
              </w:rPr>
              <w:t>100</w:t>
            </w:r>
          </w:p>
        </w:tc>
      </w:tr>
      <w:tr w14:paraId="46104F0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tcBorders>
              <w:tl2br w:val="nil"/>
              <w:tr2bl w:val="nil"/>
            </w:tcBorders>
            <w:noWrap/>
            <w:vAlign w:val="center"/>
          </w:tcPr>
          <w:p w14:paraId="32285F1F">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噪声源调查</w:t>
            </w:r>
          </w:p>
        </w:tc>
        <w:tc>
          <w:tcPr>
            <w:tcW w:w="1284" w:type="pct"/>
            <w:tcBorders>
              <w:tl2br w:val="nil"/>
              <w:tr2bl w:val="nil"/>
            </w:tcBorders>
            <w:noWrap/>
            <w:vAlign w:val="center"/>
          </w:tcPr>
          <w:p w14:paraId="28B703A2">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噪声源调查方法</w:t>
            </w:r>
          </w:p>
        </w:tc>
        <w:tc>
          <w:tcPr>
            <w:tcW w:w="2889" w:type="pct"/>
            <w:gridSpan w:val="11"/>
            <w:tcBorders>
              <w:tl2br w:val="nil"/>
              <w:tr2bl w:val="nil"/>
            </w:tcBorders>
            <w:noWrap/>
            <w:vAlign w:val="center"/>
          </w:tcPr>
          <w:p w14:paraId="70478E64">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现场实测</w:t>
            </w:r>
            <w:r>
              <w:rPr>
                <w:rFonts w:hint="default" w:ascii="Times New Roman" w:hAnsi="Times New Roman" w:eastAsia="宋体" w:cs="Times New Roman"/>
                <w:color w:val="auto"/>
                <w:spacing w:val="-10"/>
                <w:sz w:val="21"/>
                <w:szCs w:val="21"/>
                <w:highlight w:val="none"/>
                <w:lang w:eastAsia="zh-CN"/>
              </w:rPr>
              <w:t>□</w:t>
            </w:r>
            <w:r>
              <w:rPr>
                <w:rFonts w:hint="default" w:ascii="Times New Roman" w:hAnsi="Times New Roman" w:eastAsia="宋体" w:cs="Times New Roman"/>
                <w:color w:val="auto"/>
                <w:spacing w:val="-10"/>
                <w:sz w:val="21"/>
                <w:szCs w:val="21"/>
                <w:highlight w:val="none"/>
              </w:rPr>
              <w:t>已有资料</w:t>
            </w:r>
            <w:r>
              <w:rPr>
                <w:rFonts w:hint="default" w:ascii="Times New Roman" w:hAnsi="Times New Roman" w:eastAsia="宋体" w:cs="Times New Roman"/>
                <w:color w:val="auto"/>
                <w:spacing w:val="-10"/>
                <w:sz w:val="21"/>
                <w:szCs w:val="21"/>
                <w:highlight w:val="none"/>
                <w:lang w:eastAsia="zh-CN"/>
              </w:rPr>
              <w:t>☑</w:t>
            </w:r>
            <w:r>
              <w:rPr>
                <w:rFonts w:hint="default" w:ascii="Times New Roman" w:hAnsi="Times New Roman" w:eastAsia="宋体" w:cs="Times New Roman"/>
                <w:color w:val="auto"/>
                <w:spacing w:val="-10"/>
                <w:sz w:val="21"/>
                <w:szCs w:val="21"/>
                <w:highlight w:val="none"/>
              </w:rPr>
              <w:t>研究成果□</w:t>
            </w:r>
          </w:p>
        </w:tc>
      </w:tr>
      <w:tr w14:paraId="61C7F9C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restart"/>
            <w:tcBorders>
              <w:tl2br w:val="nil"/>
              <w:tr2bl w:val="nil"/>
            </w:tcBorders>
            <w:noWrap/>
            <w:vAlign w:val="center"/>
          </w:tcPr>
          <w:p w14:paraId="469103D6">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声环境影响预测与评价</w:t>
            </w:r>
          </w:p>
        </w:tc>
        <w:tc>
          <w:tcPr>
            <w:tcW w:w="1284" w:type="pct"/>
            <w:tcBorders>
              <w:tl2br w:val="nil"/>
              <w:tr2bl w:val="nil"/>
            </w:tcBorders>
            <w:noWrap/>
            <w:vAlign w:val="center"/>
          </w:tcPr>
          <w:p w14:paraId="09BEA702">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预测模型</w:t>
            </w:r>
          </w:p>
        </w:tc>
        <w:tc>
          <w:tcPr>
            <w:tcW w:w="2889" w:type="pct"/>
            <w:gridSpan w:val="11"/>
            <w:tcBorders>
              <w:tl2br w:val="nil"/>
              <w:tr2bl w:val="nil"/>
            </w:tcBorders>
            <w:noWrap/>
            <w:vAlign w:val="center"/>
          </w:tcPr>
          <w:p w14:paraId="079840D8">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导则推荐模型☑其他□</w:t>
            </w:r>
          </w:p>
        </w:tc>
      </w:tr>
      <w:tr w14:paraId="53AE6FE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continue"/>
            <w:tcBorders>
              <w:tl2br w:val="nil"/>
              <w:tr2bl w:val="nil"/>
            </w:tcBorders>
            <w:noWrap/>
            <w:vAlign w:val="center"/>
          </w:tcPr>
          <w:p w14:paraId="33A1861E">
            <w:pPr>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p>
        </w:tc>
        <w:tc>
          <w:tcPr>
            <w:tcW w:w="1284" w:type="pct"/>
            <w:tcBorders>
              <w:tl2br w:val="nil"/>
              <w:tr2bl w:val="nil"/>
            </w:tcBorders>
            <w:noWrap/>
            <w:vAlign w:val="center"/>
          </w:tcPr>
          <w:p w14:paraId="67A2B2AA">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预测范围</w:t>
            </w:r>
          </w:p>
        </w:tc>
        <w:tc>
          <w:tcPr>
            <w:tcW w:w="2889" w:type="pct"/>
            <w:gridSpan w:val="11"/>
            <w:tcBorders>
              <w:tl2br w:val="nil"/>
              <w:tr2bl w:val="nil"/>
            </w:tcBorders>
            <w:noWrap/>
            <w:vAlign w:val="center"/>
          </w:tcPr>
          <w:p w14:paraId="29CC4C83">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lang w:eastAsia="zh-CN"/>
              </w:rPr>
            </w:pPr>
            <w:r>
              <w:rPr>
                <w:rFonts w:hint="default" w:ascii="Times New Roman" w:hAnsi="Times New Roman" w:eastAsia="宋体" w:cs="Times New Roman"/>
                <w:color w:val="auto"/>
                <w:spacing w:val="-10"/>
                <w:sz w:val="21"/>
                <w:szCs w:val="21"/>
                <w:highlight w:val="none"/>
              </w:rPr>
              <w:t>200m</w:t>
            </w:r>
            <w:r>
              <w:rPr>
                <w:rFonts w:hint="default" w:ascii="Times New Roman" w:hAnsi="Times New Roman" w:eastAsia="宋体" w:cs="Times New Roman"/>
                <w:color w:val="auto"/>
                <w:spacing w:val="-10"/>
                <w:sz w:val="21"/>
                <w:szCs w:val="21"/>
                <w:highlight w:val="none"/>
                <w:lang w:eastAsia="zh-CN"/>
              </w:rPr>
              <w:t>□</w:t>
            </w:r>
            <w:r>
              <w:rPr>
                <w:rFonts w:hint="default" w:ascii="Times New Roman" w:hAnsi="Times New Roman" w:eastAsia="宋体" w:cs="Times New Roman"/>
                <w:color w:val="auto"/>
                <w:spacing w:val="-10"/>
                <w:sz w:val="21"/>
                <w:szCs w:val="21"/>
                <w:highlight w:val="none"/>
              </w:rPr>
              <w:t>大于200m□小于200m</w:t>
            </w:r>
            <w:r>
              <w:rPr>
                <w:rFonts w:hint="default" w:ascii="Times New Roman" w:hAnsi="Times New Roman" w:eastAsia="宋体" w:cs="Times New Roman"/>
                <w:color w:val="auto"/>
                <w:spacing w:val="-10"/>
                <w:sz w:val="21"/>
                <w:szCs w:val="21"/>
                <w:highlight w:val="none"/>
                <w:lang w:eastAsia="zh-CN"/>
              </w:rPr>
              <w:t>☑</w:t>
            </w:r>
          </w:p>
        </w:tc>
      </w:tr>
      <w:tr w14:paraId="5EBA1DA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restart"/>
            <w:tcBorders>
              <w:tl2br w:val="nil"/>
              <w:tr2bl w:val="nil"/>
            </w:tcBorders>
            <w:noWrap/>
            <w:vAlign w:val="center"/>
          </w:tcPr>
          <w:p w14:paraId="3DB73893">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声环境影响预测与评价</w:t>
            </w:r>
          </w:p>
        </w:tc>
        <w:tc>
          <w:tcPr>
            <w:tcW w:w="1284" w:type="pct"/>
            <w:tcBorders>
              <w:tl2br w:val="nil"/>
              <w:tr2bl w:val="nil"/>
            </w:tcBorders>
            <w:noWrap/>
            <w:vAlign w:val="center"/>
          </w:tcPr>
          <w:p w14:paraId="53120D04">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预测因子</w:t>
            </w:r>
          </w:p>
        </w:tc>
        <w:tc>
          <w:tcPr>
            <w:tcW w:w="2889" w:type="pct"/>
            <w:gridSpan w:val="11"/>
            <w:tcBorders>
              <w:tl2br w:val="nil"/>
              <w:tr2bl w:val="nil"/>
            </w:tcBorders>
            <w:noWrap/>
            <w:vAlign w:val="center"/>
          </w:tcPr>
          <w:p w14:paraId="0D4F31B5">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等效连续A声级☑最大A声级□计权等效连续感觉噪声级□</w:t>
            </w:r>
          </w:p>
        </w:tc>
      </w:tr>
      <w:tr w14:paraId="2DFE4D5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continue"/>
            <w:tcBorders>
              <w:tl2br w:val="nil"/>
              <w:tr2bl w:val="nil"/>
            </w:tcBorders>
            <w:noWrap/>
            <w:vAlign w:val="center"/>
          </w:tcPr>
          <w:p w14:paraId="6B78DBA9">
            <w:pPr>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p>
        </w:tc>
        <w:tc>
          <w:tcPr>
            <w:tcW w:w="1284" w:type="pct"/>
            <w:tcBorders>
              <w:tl2br w:val="nil"/>
              <w:tr2bl w:val="nil"/>
            </w:tcBorders>
            <w:noWrap/>
            <w:vAlign w:val="center"/>
          </w:tcPr>
          <w:p w14:paraId="0B3111E2">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厂界噪声贡献值</w:t>
            </w:r>
          </w:p>
        </w:tc>
        <w:tc>
          <w:tcPr>
            <w:tcW w:w="2889" w:type="pct"/>
            <w:gridSpan w:val="11"/>
            <w:tcBorders>
              <w:tl2br w:val="nil"/>
              <w:tr2bl w:val="nil"/>
            </w:tcBorders>
            <w:noWrap/>
            <w:vAlign w:val="center"/>
          </w:tcPr>
          <w:p w14:paraId="44222C9C">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达标☑不达标□</w:t>
            </w:r>
          </w:p>
        </w:tc>
      </w:tr>
      <w:tr w14:paraId="253B54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continue"/>
            <w:tcBorders>
              <w:tl2br w:val="nil"/>
              <w:tr2bl w:val="nil"/>
            </w:tcBorders>
            <w:noWrap/>
            <w:vAlign w:val="center"/>
          </w:tcPr>
          <w:p w14:paraId="3F42FB6B">
            <w:pPr>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p>
        </w:tc>
        <w:tc>
          <w:tcPr>
            <w:tcW w:w="1284" w:type="pct"/>
            <w:tcBorders>
              <w:tl2br w:val="nil"/>
              <w:tr2bl w:val="nil"/>
            </w:tcBorders>
            <w:noWrap/>
            <w:vAlign w:val="center"/>
          </w:tcPr>
          <w:p w14:paraId="398812EC">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声环境保护目标处噪声值</w:t>
            </w:r>
          </w:p>
        </w:tc>
        <w:tc>
          <w:tcPr>
            <w:tcW w:w="2889" w:type="pct"/>
            <w:gridSpan w:val="11"/>
            <w:tcBorders>
              <w:tl2br w:val="nil"/>
              <w:tr2bl w:val="nil"/>
            </w:tcBorders>
            <w:noWrap/>
            <w:vAlign w:val="center"/>
          </w:tcPr>
          <w:p w14:paraId="02AB6541">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达标□不达标□</w:t>
            </w:r>
          </w:p>
        </w:tc>
      </w:tr>
      <w:tr w14:paraId="01D6D8D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restart"/>
            <w:tcBorders>
              <w:tl2br w:val="nil"/>
              <w:tr2bl w:val="nil"/>
            </w:tcBorders>
            <w:noWrap/>
            <w:vAlign w:val="center"/>
          </w:tcPr>
          <w:p w14:paraId="7AD457DB">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环境监测计划</w:t>
            </w:r>
          </w:p>
        </w:tc>
        <w:tc>
          <w:tcPr>
            <w:tcW w:w="1284" w:type="pct"/>
            <w:tcBorders>
              <w:tl2br w:val="nil"/>
              <w:tr2bl w:val="nil"/>
            </w:tcBorders>
            <w:noWrap/>
            <w:vAlign w:val="center"/>
          </w:tcPr>
          <w:p w14:paraId="5F4F29B8">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排放监测</w:t>
            </w:r>
          </w:p>
        </w:tc>
        <w:tc>
          <w:tcPr>
            <w:tcW w:w="2889" w:type="pct"/>
            <w:gridSpan w:val="11"/>
            <w:tcBorders>
              <w:tl2br w:val="nil"/>
              <w:tr2bl w:val="nil"/>
            </w:tcBorders>
            <w:noWrap/>
            <w:vAlign w:val="center"/>
          </w:tcPr>
          <w:p w14:paraId="1229E8F8">
            <w:pPr>
              <w:pStyle w:val="197"/>
              <w:tabs>
                <w:tab w:val="left" w:pos="1621"/>
              </w:tabs>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lang w:eastAsia="zh-CN"/>
              </w:rPr>
            </w:pPr>
            <w:r>
              <w:rPr>
                <w:rFonts w:hint="default" w:ascii="Times New Roman" w:hAnsi="Times New Roman" w:eastAsia="宋体" w:cs="Times New Roman"/>
                <w:color w:val="auto"/>
                <w:spacing w:val="-10"/>
                <w:sz w:val="21"/>
                <w:szCs w:val="21"/>
                <w:highlight w:val="none"/>
              </w:rPr>
              <w:t>厂界监测</w:t>
            </w:r>
            <w:r>
              <w:rPr>
                <w:rFonts w:hint="default" w:ascii="Times New Roman" w:hAnsi="Times New Roman" w:eastAsia="宋体" w:cs="Times New Roman"/>
                <w:color w:val="auto"/>
                <w:spacing w:val="-10"/>
                <w:sz w:val="21"/>
                <w:szCs w:val="21"/>
                <w:highlight w:val="none"/>
                <w:lang w:eastAsia="zh-CN"/>
              </w:rPr>
              <w:t>☑</w:t>
            </w:r>
            <w:r>
              <w:rPr>
                <w:rFonts w:hint="default" w:ascii="Times New Roman" w:hAnsi="Times New Roman" w:eastAsia="宋体" w:cs="Times New Roman"/>
                <w:color w:val="auto"/>
                <w:spacing w:val="-10"/>
                <w:sz w:val="21"/>
                <w:szCs w:val="21"/>
                <w:highlight w:val="none"/>
              </w:rPr>
              <w:t>固定位置监测□自动监测□手动监测□无监测</w:t>
            </w:r>
            <w:r>
              <w:rPr>
                <w:rFonts w:hint="default" w:ascii="Times New Roman" w:hAnsi="Times New Roman" w:eastAsia="宋体" w:cs="Times New Roman"/>
                <w:color w:val="auto"/>
                <w:spacing w:val="-10"/>
                <w:sz w:val="21"/>
                <w:szCs w:val="21"/>
                <w:highlight w:val="none"/>
                <w:lang w:eastAsia="zh-CN"/>
              </w:rPr>
              <w:t>□</w:t>
            </w:r>
          </w:p>
        </w:tc>
      </w:tr>
      <w:tr w14:paraId="2F1F09F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vMerge w:val="continue"/>
            <w:tcBorders>
              <w:tl2br w:val="nil"/>
              <w:tr2bl w:val="nil"/>
            </w:tcBorders>
            <w:noWrap/>
            <w:vAlign w:val="center"/>
          </w:tcPr>
          <w:p w14:paraId="3CFCC997">
            <w:pPr>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p>
        </w:tc>
        <w:tc>
          <w:tcPr>
            <w:tcW w:w="1284" w:type="pct"/>
            <w:tcBorders>
              <w:tl2br w:val="nil"/>
              <w:tr2bl w:val="nil"/>
            </w:tcBorders>
            <w:noWrap/>
            <w:vAlign w:val="center"/>
          </w:tcPr>
          <w:p w14:paraId="1747885F">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声环境保护目标处噪声</w:t>
            </w:r>
          </w:p>
          <w:p w14:paraId="688A2FF8">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监测</w:t>
            </w:r>
          </w:p>
        </w:tc>
        <w:tc>
          <w:tcPr>
            <w:tcW w:w="1483" w:type="pct"/>
            <w:gridSpan w:val="5"/>
            <w:tcBorders>
              <w:tl2br w:val="nil"/>
              <w:tr2bl w:val="nil"/>
            </w:tcBorders>
            <w:noWrap/>
            <w:vAlign w:val="center"/>
          </w:tcPr>
          <w:p w14:paraId="25ABE1AE">
            <w:pPr>
              <w:pStyle w:val="197"/>
              <w:tabs>
                <w:tab w:val="left" w:pos="2252"/>
              </w:tabs>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监测因子(</w:t>
            </w:r>
            <w:r>
              <w:rPr>
                <w:rFonts w:hint="default" w:ascii="Times New Roman" w:hAnsi="Times New Roman" w:eastAsia="宋体" w:cs="Times New Roman"/>
                <w:color w:val="auto"/>
                <w:spacing w:val="-10"/>
                <w:sz w:val="21"/>
                <w:szCs w:val="21"/>
                <w:highlight w:val="none"/>
                <w:lang w:val="en-US" w:eastAsia="zh-CN"/>
              </w:rPr>
              <w:t xml:space="preserve">  </w:t>
            </w:r>
            <w:r>
              <w:rPr>
                <w:rFonts w:hint="default" w:ascii="Times New Roman" w:hAnsi="Times New Roman" w:eastAsia="宋体" w:cs="Times New Roman"/>
                <w:color w:val="auto"/>
                <w:spacing w:val="-10"/>
                <w:sz w:val="21"/>
                <w:szCs w:val="21"/>
                <w:highlight w:val="none"/>
              </w:rPr>
              <w:t>)</w:t>
            </w:r>
          </w:p>
        </w:tc>
        <w:tc>
          <w:tcPr>
            <w:tcW w:w="924" w:type="pct"/>
            <w:gridSpan w:val="4"/>
            <w:tcBorders>
              <w:tl2br w:val="nil"/>
              <w:tr2bl w:val="nil"/>
            </w:tcBorders>
            <w:noWrap/>
            <w:vAlign w:val="center"/>
          </w:tcPr>
          <w:p w14:paraId="1AABD7E9">
            <w:pPr>
              <w:pStyle w:val="197"/>
              <w:tabs>
                <w:tab w:val="left" w:pos="1735"/>
              </w:tabs>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监测点位数(</w:t>
            </w:r>
            <w:r>
              <w:rPr>
                <w:rFonts w:hint="default" w:ascii="Times New Roman" w:hAnsi="Times New Roman" w:eastAsia="宋体" w:cs="Times New Roman"/>
                <w:color w:val="auto"/>
                <w:spacing w:val="-10"/>
                <w:sz w:val="21"/>
                <w:szCs w:val="21"/>
                <w:highlight w:val="none"/>
                <w:lang w:val="en-US" w:eastAsia="zh-CN"/>
              </w:rPr>
              <w:t xml:space="preserve">  </w:t>
            </w:r>
            <w:r>
              <w:rPr>
                <w:rFonts w:hint="default" w:ascii="Times New Roman" w:hAnsi="Times New Roman" w:eastAsia="宋体" w:cs="Times New Roman"/>
                <w:color w:val="auto"/>
                <w:spacing w:val="-10"/>
                <w:sz w:val="21"/>
                <w:szCs w:val="21"/>
                <w:highlight w:val="none"/>
              </w:rPr>
              <w:t>)</w:t>
            </w:r>
          </w:p>
        </w:tc>
        <w:tc>
          <w:tcPr>
            <w:tcW w:w="481" w:type="pct"/>
            <w:gridSpan w:val="2"/>
            <w:tcBorders>
              <w:tl2br w:val="nil"/>
              <w:tr2bl w:val="nil"/>
            </w:tcBorders>
            <w:noWrap/>
            <w:vAlign w:val="center"/>
          </w:tcPr>
          <w:p w14:paraId="2A0B6149">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无监测☑</w:t>
            </w:r>
          </w:p>
        </w:tc>
      </w:tr>
      <w:tr w14:paraId="0EF1FA4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826" w:type="pct"/>
            <w:tcBorders>
              <w:tl2br w:val="nil"/>
              <w:tr2bl w:val="nil"/>
            </w:tcBorders>
            <w:noWrap/>
            <w:vAlign w:val="center"/>
          </w:tcPr>
          <w:p w14:paraId="319E2CC1">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评价结论</w:t>
            </w:r>
          </w:p>
        </w:tc>
        <w:tc>
          <w:tcPr>
            <w:tcW w:w="1284" w:type="pct"/>
            <w:tcBorders>
              <w:tl2br w:val="nil"/>
              <w:tr2bl w:val="nil"/>
            </w:tcBorders>
            <w:noWrap/>
            <w:vAlign w:val="center"/>
          </w:tcPr>
          <w:p w14:paraId="2A3B182B">
            <w:pPr>
              <w:pStyle w:val="197"/>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环境影响</w:t>
            </w:r>
          </w:p>
        </w:tc>
        <w:tc>
          <w:tcPr>
            <w:tcW w:w="2889" w:type="pct"/>
            <w:gridSpan w:val="11"/>
            <w:tcBorders>
              <w:tl2br w:val="nil"/>
              <w:tr2bl w:val="nil"/>
            </w:tcBorders>
            <w:noWrap/>
            <w:vAlign w:val="center"/>
          </w:tcPr>
          <w:p w14:paraId="6287B32E">
            <w:pPr>
              <w:pStyle w:val="197"/>
              <w:tabs>
                <w:tab w:val="left" w:pos="1202"/>
              </w:tabs>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1"/>
                <w:szCs w:val="21"/>
                <w:highlight w:val="none"/>
              </w:rPr>
              <w:t>可行☑不可行□</w:t>
            </w:r>
          </w:p>
        </w:tc>
      </w:tr>
      <w:tr w14:paraId="53E4B8B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90" w:hRule="atLeast"/>
          <w:jc w:val="center"/>
        </w:trPr>
        <w:tc>
          <w:tcPr>
            <w:tcW w:w="5000" w:type="pct"/>
            <w:gridSpan w:val="13"/>
            <w:tcBorders>
              <w:tl2br w:val="nil"/>
              <w:tr2bl w:val="nil"/>
            </w:tcBorders>
            <w:noWrap/>
            <w:vAlign w:val="center"/>
          </w:tcPr>
          <w:p w14:paraId="55E95D1F">
            <w:pPr>
              <w:pStyle w:val="197"/>
              <w:tabs>
                <w:tab w:val="left" w:pos="3079"/>
              </w:tabs>
              <w:autoSpaceDE/>
              <w:autoSpaceDN/>
              <w:spacing w:before="0" w:after="0" w:line="240" w:lineRule="auto"/>
              <w:ind w:left="0" w:firstLine="0"/>
              <w:jc w:val="center"/>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pacing w:val="-10"/>
                <w:sz w:val="20"/>
                <w:szCs w:val="20"/>
                <w:highlight w:val="none"/>
              </w:rPr>
              <w:t>注：“□”为勾选项，可√；“()”为内容填写项。</w:t>
            </w:r>
          </w:p>
        </w:tc>
      </w:tr>
    </w:tbl>
    <w:p w14:paraId="50E58D79">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r>
        <w:rPr>
          <w:rFonts w:hint="default" w:ascii="Times New Roman" w:hAnsi="Times New Roman" w:eastAsia="宋体" w:cs="Times New Roman"/>
          <w:b/>
          <w:bCs w:val="0"/>
          <w:kern w:val="2"/>
          <w:sz w:val="24"/>
          <w:szCs w:val="24"/>
          <w:highlight w:val="none"/>
        </w:rPr>
        <w:t>5.2.5固体废物影响分析</w:t>
      </w:r>
    </w:p>
    <w:p w14:paraId="315B1D28">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default" w:ascii="Times New Roman" w:hAnsi="Times New Roman" w:eastAsia="宋体" w:cs="Times New Roman"/>
          <w:b/>
          <w:bCs/>
          <w:sz w:val="24"/>
          <w:szCs w:val="16"/>
          <w:highlight w:val="none"/>
          <w:lang w:val="en-US" w:eastAsia="zh-CN"/>
        </w:rPr>
      </w:pPr>
      <w:bookmarkStart w:id="218" w:name="_Toc9868261"/>
      <w:r>
        <w:rPr>
          <w:rFonts w:hint="eastAsia" w:ascii="Times New Roman" w:hAnsi="Times New Roman" w:eastAsia="宋体" w:cs="Times New Roman"/>
          <w:b/>
          <w:bCs/>
          <w:sz w:val="24"/>
          <w:szCs w:val="16"/>
          <w:highlight w:val="none"/>
          <w:lang w:val="en-US" w:eastAsia="zh-CN"/>
        </w:rPr>
        <w:t>5.2.5.1</w:t>
      </w:r>
      <w:r>
        <w:rPr>
          <w:rFonts w:hint="default" w:ascii="Times New Roman" w:hAnsi="Times New Roman" w:eastAsia="宋体" w:cs="Times New Roman"/>
          <w:b/>
          <w:bCs/>
          <w:sz w:val="24"/>
          <w:szCs w:val="16"/>
          <w:highlight w:val="none"/>
          <w:lang w:val="en-US" w:eastAsia="zh-CN"/>
        </w:rPr>
        <w:t>固体废物的来源、种类和数量</w:t>
      </w:r>
    </w:p>
    <w:p w14:paraId="37936DAD">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本项目产生的固体废物包括废物包装物、</w:t>
      </w:r>
      <w:r>
        <w:rPr>
          <w:rFonts w:hint="eastAsia" w:cs="Times New Roman"/>
          <w:color w:val="auto"/>
          <w:sz w:val="24"/>
          <w:szCs w:val="24"/>
          <w:highlight w:val="none"/>
          <w:lang w:val="en-US" w:eastAsia="zh-CN"/>
        </w:rPr>
        <w:t>除尘灰、</w:t>
      </w:r>
      <w:r>
        <w:rPr>
          <w:rFonts w:hint="default" w:ascii="Times New Roman" w:hAnsi="Times New Roman" w:cs="Times New Roman"/>
          <w:color w:val="auto"/>
          <w:sz w:val="24"/>
          <w:szCs w:val="24"/>
          <w:highlight w:val="none"/>
          <w:lang w:eastAsia="zh-CN"/>
        </w:rPr>
        <w:t>化验室废物。</w:t>
      </w:r>
      <w:r>
        <w:rPr>
          <w:rFonts w:hint="default" w:ascii="Times New Roman" w:hAnsi="Times New Roman" w:cs="Times New Roman"/>
          <w:color w:val="auto"/>
          <w:sz w:val="24"/>
          <w:szCs w:val="24"/>
          <w:highlight w:val="none"/>
          <w:lang w:val="en-US" w:eastAsia="zh-CN"/>
        </w:rPr>
        <w:t>项目固体废物产生情况见表5.2-</w:t>
      </w:r>
      <w:r>
        <w:rPr>
          <w:rFonts w:hint="eastAsia" w:cs="Times New Roman"/>
          <w:color w:val="auto"/>
          <w:sz w:val="24"/>
          <w:szCs w:val="24"/>
          <w:highlight w:val="none"/>
          <w:lang w:val="en-US" w:eastAsia="zh-CN"/>
        </w:rPr>
        <w:t>25</w:t>
      </w:r>
      <w:r>
        <w:rPr>
          <w:rFonts w:hint="default" w:ascii="Times New Roman" w:hAnsi="Times New Roman" w:cs="Times New Roman"/>
          <w:color w:val="auto"/>
          <w:sz w:val="24"/>
          <w:szCs w:val="24"/>
          <w:highlight w:val="none"/>
          <w:lang w:val="en-US" w:eastAsia="zh-CN"/>
        </w:rPr>
        <w:t>。</w:t>
      </w:r>
    </w:p>
    <w:p w14:paraId="18B06429">
      <w:pPr>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表5.2-</w:t>
      </w:r>
      <w:r>
        <w:rPr>
          <w:rFonts w:hint="eastAsia" w:cs="Times New Roman"/>
          <w:b/>
          <w:bCs/>
          <w:color w:val="auto"/>
          <w:sz w:val="24"/>
          <w:szCs w:val="24"/>
          <w:highlight w:val="none"/>
          <w:lang w:val="en-US" w:eastAsia="zh-CN"/>
        </w:rPr>
        <w:t>25</w:t>
      </w:r>
      <w:r>
        <w:rPr>
          <w:rFonts w:hint="default" w:ascii="Times New Roman" w:hAnsi="Times New Roman" w:cs="Times New Roman"/>
          <w:b/>
          <w:bCs/>
          <w:color w:val="auto"/>
          <w:sz w:val="24"/>
          <w:szCs w:val="24"/>
          <w:highlight w:val="none"/>
          <w:lang w:val="en-US" w:eastAsia="zh-CN"/>
        </w:rPr>
        <w:t xml:space="preserve"> 项目固体废物产生情况一览表</w:t>
      </w:r>
    </w:p>
    <w:tbl>
      <w:tblPr>
        <w:tblStyle w:val="40"/>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41"/>
        <w:gridCol w:w="876"/>
        <w:gridCol w:w="1040"/>
        <w:gridCol w:w="960"/>
        <w:gridCol w:w="616"/>
        <w:gridCol w:w="1172"/>
        <w:gridCol w:w="1094"/>
        <w:gridCol w:w="2112"/>
      </w:tblGrid>
      <w:tr w14:paraId="2CA8F8C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PrEx>
        <w:trPr>
          <w:trHeight w:val="151" w:hRule="atLeast"/>
        </w:trPr>
        <w:tc>
          <w:tcPr>
            <w:tcW w:w="376" w:type="pct"/>
            <w:tcBorders>
              <w:tl2br w:val="nil"/>
              <w:tr2bl w:val="nil"/>
            </w:tcBorders>
            <w:noWrap w:val="0"/>
            <w:vAlign w:val="center"/>
          </w:tcPr>
          <w:p w14:paraId="06C2E57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废物类别</w:t>
            </w:r>
          </w:p>
        </w:tc>
        <w:tc>
          <w:tcPr>
            <w:tcW w:w="514" w:type="pct"/>
            <w:tcBorders>
              <w:tl2br w:val="nil"/>
              <w:tr2bl w:val="nil"/>
            </w:tcBorders>
            <w:noWrap w:val="0"/>
            <w:vAlign w:val="center"/>
          </w:tcPr>
          <w:p w14:paraId="16B3E38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名称</w:t>
            </w:r>
          </w:p>
        </w:tc>
        <w:tc>
          <w:tcPr>
            <w:tcW w:w="610" w:type="pct"/>
            <w:tcBorders>
              <w:tl2br w:val="nil"/>
              <w:tr2bl w:val="nil"/>
            </w:tcBorders>
            <w:noWrap w:val="0"/>
            <w:vAlign w:val="center"/>
          </w:tcPr>
          <w:p w14:paraId="450F878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产生途径</w:t>
            </w:r>
          </w:p>
        </w:tc>
        <w:tc>
          <w:tcPr>
            <w:tcW w:w="563" w:type="pct"/>
            <w:tcBorders>
              <w:tl2br w:val="nil"/>
              <w:tr2bl w:val="nil"/>
            </w:tcBorders>
            <w:noWrap w:val="0"/>
            <w:vAlign w:val="center"/>
          </w:tcPr>
          <w:p w14:paraId="3E5B45B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vertAlign w:val="baseline"/>
              </w:rPr>
            </w:pPr>
            <w:r>
              <w:rPr>
                <w:rFonts w:hint="default" w:ascii="Times New Roman" w:hAnsi="Times New Roman" w:cs="Times New Roman"/>
                <w:b/>
                <w:bCs/>
                <w:color w:val="auto"/>
                <w:sz w:val="21"/>
                <w:szCs w:val="21"/>
                <w:vertAlign w:val="baseline"/>
                <w:lang w:val="en-US" w:eastAsia="zh-CN"/>
              </w:rPr>
              <w:t>产生量</w:t>
            </w:r>
          </w:p>
        </w:tc>
        <w:tc>
          <w:tcPr>
            <w:tcW w:w="362" w:type="pct"/>
            <w:tcBorders>
              <w:tl2br w:val="nil"/>
              <w:tr2bl w:val="nil"/>
            </w:tcBorders>
            <w:noWrap w:val="0"/>
            <w:vAlign w:val="center"/>
          </w:tcPr>
          <w:p w14:paraId="150E0B9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形态</w:t>
            </w:r>
          </w:p>
        </w:tc>
        <w:tc>
          <w:tcPr>
            <w:tcW w:w="688" w:type="pct"/>
            <w:tcBorders>
              <w:tl2br w:val="nil"/>
              <w:tr2bl w:val="nil"/>
            </w:tcBorders>
            <w:noWrap w:val="0"/>
            <w:vAlign w:val="center"/>
          </w:tcPr>
          <w:p w14:paraId="3E20D12B">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废物代码</w:t>
            </w:r>
          </w:p>
        </w:tc>
        <w:tc>
          <w:tcPr>
            <w:tcW w:w="643" w:type="pct"/>
            <w:tcBorders>
              <w:tl2br w:val="nil"/>
              <w:tr2bl w:val="nil"/>
            </w:tcBorders>
            <w:noWrap w:val="0"/>
            <w:vAlign w:val="center"/>
          </w:tcPr>
          <w:p w14:paraId="7A9C3DE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危险特性</w:t>
            </w:r>
          </w:p>
        </w:tc>
        <w:tc>
          <w:tcPr>
            <w:tcW w:w="1240" w:type="pct"/>
            <w:tcBorders>
              <w:tl2br w:val="nil"/>
              <w:tr2bl w:val="nil"/>
            </w:tcBorders>
            <w:shd w:val="clear" w:color="auto" w:fill="auto"/>
            <w:noWrap w:val="0"/>
            <w:vAlign w:val="center"/>
          </w:tcPr>
          <w:p w14:paraId="2C1EDC7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color w:val="auto"/>
                <w:sz w:val="21"/>
                <w:szCs w:val="21"/>
                <w:vertAlign w:val="baseline"/>
                <w:lang w:val="en-US" w:eastAsia="zh-CN" w:bidi="ar-SA"/>
              </w:rPr>
            </w:pPr>
            <w:r>
              <w:rPr>
                <w:rFonts w:hint="default" w:ascii="Times New Roman" w:hAnsi="Times New Roman" w:cs="Times New Roman"/>
                <w:b/>
                <w:bCs/>
                <w:color w:val="auto"/>
                <w:sz w:val="21"/>
                <w:szCs w:val="21"/>
                <w:vertAlign w:val="baseline"/>
                <w:lang w:val="en-US" w:eastAsia="zh-CN"/>
              </w:rPr>
              <w:t>处置方式</w:t>
            </w:r>
          </w:p>
        </w:tc>
      </w:tr>
      <w:tr w14:paraId="43DBC71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376" w:type="pct"/>
            <w:vMerge w:val="restart"/>
            <w:tcBorders>
              <w:tl2br w:val="nil"/>
              <w:tr2bl w:val="nil"/>
            </w:tcBorders>
            <w:noWrap w:val="0"/>
            <w:vAlign w:val="center"/>
          </w:tcPr>
          <w:p w14:paraId="082AD76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危险废物</w:t>
            </w:r>
          </w:p>
        </w:tc>
        <w:tc>
          <w:tcPr>
            <w:tcW w:w="514" w:type="pct"/>
            <w:tcBorders>
              <w:tl2br w:val="nil"/>
              <w:tr2bl w:val="nil"/>
            </w:tcBorders>
            <w:noWrap w:val="0"/>
            <w:vAlign w:val="center"/>
          </w:tcPr>
          <w:p w14:paraId="20CE34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废弃包装物</w:t>
            </w:r>
          </w:p>
        </w:tc>
        <w:tc>
          <w:tcPr>
            <w:tcW w:w="610" w:type="pct"/>
            <w:tcBorders>
              <w:tl2br w:val="nil"/>
              <w:tr2bl w:val="nil"/>
            </w:tcBorders>
            <w:noWrap w:val="0"/>
            <w:vAlign w:val="center"/>
          </w:tcPr>
          <w:p w14:paraId="7E794BE1">
            <w:pPr>
              <w:pStyle w:val="52"/>
              <w:spacing w:before="0" w:after="0" w:line="240" w:lineRule="auto"/>
              <w:ind w:left="0" w:leftChars="0" w:firstLine="0" w:firstLineChars="0"/>
              <w:rPr>
                <w:rFonts w:hint="default" w:ascii="Times New Roman" w:hAnsi="Times New Roman" w:eastAsia="宋体" w:cs="Times New Roman"/>
                <w:color w:val="auto"/>
                <w:sz w:val="21"/>
                <w:szCs w:val="21"/>
                <w:vertAlign w:val="baseline"/>
                <w:lang w:val="en-US" w:eastAsia="zh-CN"/>
              </w:rPr>
            </w:pPr>
            <w:r>
              <w:rPr>
                <w:rFonts w:hint="eastAsia"/>
                <w:color w:val="auto"/>
                <w:sz w:val="21"/>
                <w:szCs w:val="18"/>
                <w:lang w:val="en-US" w:eastAsia="zh-CN"/>
              </w:rPr>
              <w:t>卸料过程</w:t>
            </w:r>
          </w:p>
        </w:tc>
        <w:tc>
          <w:tcPr>
            <w:tcW w:w="563" w:type="pct"/>
            <w:tcBorders>
              <w:tl2br w:val="nil"/>
              <w:tr2bl w:val="nil"/>
            </w:tcBorders>
            <w:noWrap w:val="0"/>
            <w:vAlign w:val="center"/>
          </w:tcPr>
          <w:p w14:paraId="77CC7B8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2.5</w:t>
            </w:r>
            <w:r>
              <w:rPr>
                <w:rFonts w:hint="default" w:ascii="Times New Roman" w:hAnsi="Times New Roman" w:cs="Times New Roman"/>
                <w:color w:val="auto"/>
                <w:sz w:val="21"/>
                <w:szCs w:val="21"/>
                <w:highlight w:val="none"/>
                <w:vertAlign w:val="baseline"/>
                <w:lang w:val="en-US" w:eastAsia="zh-CN"/>
              </w:rPr>
              <w:t>t/a</w:t>
            </w:r>
          </w:p>
        </w:tc>
        <w:tc>
          <w:tcPr>
            <w:tcW w:w="362" w:type="pct"/>
            <w:tcBorders>
              <w:tl2br w:val="nil"/>
              <w:tr2bl w:val="nil"/>
            </w:tcBorders>
            <w:noWrap w:val="0"/>
            <w:vAlign w:val="center"/>
          </w:tcPr>
          <w:p w14:paraId="53C3036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固态</w:t>
            </w:r>
          </w:p>
        </w:tc>
        <w:tc>
          <w:tcPr>
            <w:tcW w:w="688" w:type="pct"/>
            <w:tcBorders>
              <w:tl2br w:val="nil"/>
              <w:tr2bl w:val="nil"/>
            </w:tcBorders>
            <w:noWrap w:val="0"/>
            <w:vAlign w:val="center"/>
          </w:tcPr>
          <w:p w14:paraId="26D4881A">
            <w:pPr>
              <w:pStyle w:val="52"/>
              <w:spacing w:before="0" w:after="0"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color w:val="auto"/>
                <w:sz w:val="21"/>
                <w:szCs w:val="18"/>
              </w:rPr>
              <w:t>900-047-49</w:t>
            </w:r>
          </w:p>
        </w:tc>
        <w:tc>
          <w:tcPr>
            <w:tcW w:w="643" w:type="pct"/>
            <w:tcBorders>
              <w:tl2br w:val="nil"/>
              <w:tr2bl w:val="nil"/>
            </w:tcBorders>
            <w:noWrap w:val="0"/>
            <w:vAlign w:val="center"/>
          </w:tcPr>
          <w:p w14:paraId="3E43019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T/C/I/R</w:t>
            </w:r>
          </w:p>
        </w:tc>
        <w:tc>
          <w:tcPr>
            <w:tcW w:w="1240" w:type="pct"/>
            <w:tcBorders>
              <w:tl2br w:val="nil"/>
              <w:tr2bl w:val="nil"/>
            </w:tcBorders>
            <w:shd w:val="clear" w:color="auto" w:fill="auto"/>
            <w:noWrap w:val="0"/>
            <w:vAlign w:val="center"/>
          </w:tcPr>
          <w:p w14:paraId="47FA5C14">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送入窑内焚烧处置</w:t>
            </w:r>
          </w:p>
        </w:tc>
      </w:tr>
      <w:tr w14:paraId="74B1D8D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376" w:type="pct"/>
            <w:vMerge w:val="continue"/>
            <w:tcBorders>
              <w:tl2br w:val="nil"/>
              <w:tr2bl w:val="nil"/>
            </w:tcBorders>
            <w:noWrap w:val="0"/>
            <w:vAlign w:val="center"/>
          </w:tcPr>
          <w:p w14:paraId="404C163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cs="Times New Roman"/>
                <w:color w:val="auto"/>
                <w:sz w:val="21"/>
                <w:szCs w:val="21"/>
                <w:vertAlign w:val="baseline"/>
                <w:lang w:val="en-US" w:eastAsia="zh-CN"/>
              </w:rPr>
            </w:pPr>
          </w:p>
        </w:tc>
        <w:tc>
          <w:tcPr>
            <w:tcW w:w="514" w:type="pct"/>
            <w:tcBorders>
              <w:tl2br w:val="nil"/>
              <w:tr2bl w:val="nil"/>
            </w:tcBorders>
            <w:noWrap w:val="0"/>
            <w:vAlign w:val="center"/>
          </w:tcPr>
          <w:p w14:paraId="2CECA672">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eastAsia" w:cs="Times New Roman"/>
                <w:color w:val="auto"/>
                <w:sz w:val="21"/>
                <w:szCs w:val="21"/>
                <w:vertAlign w:val="baseline"/>
                <w:lang w:val="en-US" w:eastAsia="zh-CN"/>
              </w:rPr>
              <w:t>除尘灰</w:t>
            </w:r>
          </w:p>
        </w:tc>
        <w:tc>
          <w:tcPr>
            <w:tcW w:w="610" w:type="pct"/>
            <w:tcBorders>
              <w:tl2br w:val="nil"/>
              <w:tr2bl w:val="nil"/>
            </w:tcBorders>
            <w:shd w:val="clear" w:color="auto" w:fill="auto"/>
            <w:noWrap w:val="0"/>
            <w:vAlign w:val="center"/>
          </w:tcPr>
          <w:p w14:paraId="3899B29B">
            <w:pPr>
              <w:pStyle w:val="52"/>
              <w:spacing w:before="0" w:after="0" w:line="240" w:lineRule="auto"/>
              <w:ind w:left="0" w:leftChars="0" w:firstLine="0" w:firstLineChars="0"/>
              <w:rPr>
                <w:rFonts w:hint="eastAsia" w:ascii="Times New Roman" w:hAnsi="Times New Roman" w:eastAsia="宋体" w:cs="Times New Roman"/>
                <w:color w:val="auto"/>
                <w:kern w:val="0"/>
                <w:sz w:val="21"/>
                <w:szCs w:val="18"/>
                <w:highlight w:val="none"/>
                <w:lang w:val="en-US" w:eastAsia="zh-CN" w:bidi="ar-SA"/>
              </w:rPr>
            </w:pPr>
            <w:r>
              <w:rPr>
                <w:rFonts w:hint="eastAsia"/>
                <w:color w:val="auto"/>
                <w:sz w:val="21"/>
                <w:szCs w:val="18"/>
                <w:highlight w:val="none"/>
                <w:lang w:val="en-US" w:eastAsia="zh-CN"/>
              </w:rPr>
              <w:t>废气治理</w:t>
            </w:r>
          </w:p>
        </w:tc>
        <w:tc>
          <w:tcPr>
            <w:tcW w:w="563" w:type="pct"/>
            <w:tcBorders>
              <w:tl2br w:val="nil"/>
              <w:tr2bl w:val="nil"/>
            </w:tcBorders>
            <w:shd w:val="clear" w:color="auto" w:fill="auto"/>
            <w:noWrap w:val="0"/>
            <w:vAlign w:val="center"/>
          </w:tcPr>
          <w:p w14:paraId="154C53E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53.8777</w:t>
            </w:r>
          </w:p>
        </w:tc>
        <w:tc>
          <w:tcPr>
            <w:tcW w:w="362" w:type="pct"/>
            <w:tcBorders>
              <w:tl2br w:val="nil"/>
              <w:tr2bl w:val="nil"/>
            </w:tcBorders>
            <w:shd w:val="clear" w:color="auto" w:fill="auto"/>
            <w:noWrap w:val="0"/>
            <w:vAlign w:val="center"/>
          </w:tcPr>
          <w:p w14:paraId="1CF49C61">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bidi="ar-SA"/>
              </w:rPr>
            </w:pPr>
            <w:r>
              <w:rPr>
                <w:rFonts w:hint="eastAsia" w:cs="Times New Roman"/>
                <w:color w:val="auto"/>
                <w:sz w:val="21"/>
                <w:szCs w:val="21"/>
                <w:highlight w:val="none"/>
                <w:vertAlign w:val="baseline"/>
                <w:lang w:val="en-US" w:eastAsia="zh-CN"/>
              </w:rPr>
              <w:t>固态</w:t>
            </w:r>
          </w:p>
        </w:tc>
        <w:tc>
          <w:tcPr>
            <w:tcW w:w="688" w:type="pct"/>
            <w:tcBorders>
              <w:tl2br w:val="nil"/>
              <w:tr2bl w:val="nil"/>
            </w:tcBorders>
            <w:shd w:val="clear" w:color="auto" w:fill="auto"/>
            <w:noWrap w:val="0"/>
            <w:vAlign w:val="center"/>
          </w:tcPr>
          <w:p w14:paraId="1FC0B1F4">
            <w:pPr>
              <w:pStyle w:val="52"/>
              <w:spacing w:before="0" w:after="0" w:line="240" w:lineRule="auto"/>
              <w:ind w:left="0" w:leftChars="0" w:firstLine="0" w:firstLineChars="0"/>
              <w:rPr>
                <w:rFonts w:ascii="Times New Roman" w:hAnsi="Times New Roman" w:eastAsia="宋体" w:cs="Times New Roman"/>
                <w:color w:val="auto"/>
                <w:kern w:val="0"/>
                <w:sz w:val="21"/>
                <w:szCs w:val="18"/>
                <w:highlight w:val="none"/>
                <w:lang w:val="en-US" w:eastAsia="zh-CN" w:bidi="ar-SA"/>
              </w:rPr>
            </w:pPr>
            <w:r>
              <w:rPr>
                <w:color w:val="auto"/>
                <w:sz w:val="21"/>
                <w:szCs w:val="18"/>
                <w:highlight w:val="none"/>
              </w:rPr>
              <w:t>900-047-49</w:t>
            </w:r>
          </w:p>
        </w:tc>
        <w:tc>
          <w:tcPr>
            <w:tcW w:w="643" w:type="pct"/>
            <w:tcBorders>
              <w:tl2br w:val="nil"/>
              <w:tr2bl w:val="nil"/>
            </w:tcBorders>
            <w:shd w:val="clear" w:color="auto" w:fill="auto"/>
            <w:noWrap w:val="0"/>
            <w:vAlign w:val="center"/>
          </w:tcPr>
          <w:p w14:paraId="1EE62543">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T/C/I/R</w:t>
            </w:r>
          </w:p>
        </w:tc>
        <w:tc>
          <w:tcPr>
            <w:tcW w:w="1240" w:type="pct"/>
            <w:tcBorders>
              <w:tl2br w:val="nil"/>
              <w:tr2bl w:val="nil"/>
            </w:tcBorders>
            <w:shd w:val="clear" w:color="auto" w:fill="auto"/>
            <w:noWrap w:val="0"/>
            <w:vAlign w:val="center"/>
          </w:tcPr>
          <w:p w14:paraId="445F21D7">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bidi="ar-SA"/>
              </w:rPr>
              <w:t>送入窑内焚烧处置</w:t>
            </w:r>
          </w:p>
        </w:tc>
      </w:tr>
      <w:tr w14:paraId="7E7383B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376" w:type="pct"/>
            <w:vMerge w:val="continue"/>
            <w:tcBorders>
              <w:tl2br w:val="nil"/>
              <w:tr2bl w:val="nil"/>
            </w:tcBorders>
            <w:noWrap w:val="0"/>
            <w:vAlign w:val="center"/>
          </w:tcPr>
          <w:p w14:paraId="08763E7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vertAlign w:val="baseline"/>
                <w:lang w:val="en-US" w:eastAsia="zh-CN"/>
              </w:rPr>
            </w:pPr>
          </w:p>
        </w:tc>
        <w:tc>
          <w:tcPr>
            <w:tcW w:w="514" w:type="pct"/>
            <w:tcBorders>
              <w:tl2br w:val="nil"/>
              <w:tr2bl w:val="nil"/>
            </w:tcBorders>
            <w:noWrap w:val="0"/>
            <w:vAlign w:val="center"/>
          </w:tcPr>
          <w:p w14:paraId="165DA349">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化验室废物</w:t>
            </w:r>
          </w:p>
        </w:tc>
        <w:tc>
          <w:tcPr>
            <w:tcW w:w="610" w:type="pct"/>
            <w:tcBorders>
              <w:tl2br w:val="nil"/>
              <w:tr2bl w:val="nil"/>
            </w:tcBorders>
            <w:noWrap w:val="0"/>
            <w:vAlign w:val="center"/>
          </w:tcPr>
          <w:p w14:paraId="32DB7E41">
            <w:pPr>
              <w:pStyle w:val="52"/>
              <w:spacing w:before="0" w:after="0" w:line="240" w:lineRule="auto"/>
              <w:ind w:left="0" w:leftChars="0" w:firstLine="0" w:firstLineChars="0"/>
              <w:rPr>
                <w:rFonts w:hint="default" w:ascii="Times New Roman" w:hAnsi="Times New Roman" w:cs="Times New Roman"/>
                <w:color w:val="auto"/>
                <w:sz w:val="21"/>
                <w:szCs w:val="21"/>
                <w:vertAlign w:val="baseline"/>
                <w:lang w:val="en-US" w:eastAsia="zh-CN"/>
              </w:rPr>
            </w:pPr>
            <w:r>
              <w:rPr>
                <w:rFonts w:hint="eastAsia"/>
                <w:color w:val="auto"/>
                <w:sz w:val="21"/>
                <w:szCs w:val="18"/>
                <w:lang w:val="en-US" w:eastAsia="zh-CN"/>
              </w:rPr>
              <w:t>化验系统</w:t>
            </w:r>
          </w:p>
        </w:tc>
        <w:tc>
          <w:tcPr>
            <w:tcW w:w="563" w:type="pct"/>
            <w:tcBorders>
              <w:tl2br w:val="nil"/>
              <w:tr2bl w:val="nil"/>
            </w:tcBorders>
            <w:noWrap w:val="0"/>
            <w:vAlign w:val="center"/>
          </w:tcPr>
          <w:p w14:paraId="4162A0B5">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vertAlign w:val="baseline"/>
                <w:lang w:val="en-US" w:eastAsia="zh-CN"/>
              </w:rPr>
              <w:t>0.05</w:t>
            </w:r>
            <w:r>
              <w:rPr>
                <w:rFonts w:hint="default" w:ascii="Times New Roman" w:hAnsi="Times New Roman" w:cs="Times New Roman"/>
                <w:color w:val="auto"/>
                <w:sz w:val="21"/>
                <w:szCs w:val="21"/>
                <w:highlight w:val="none"/>
                <w:vertAlign w:val="baseline"/>
                <w:lang w:val="en-US" w:eastAsia="zh-CN"/>
              </w:rPr>
              <w:t>t/a</w:t>
            </w:r>
          </w:p>
        </w:tc>
        <w:tc>
          <w:tcPr>
            <w:tcW w:w="362" w:type="pct"/>
            <w:tcBorders>
              <w:tl2br w:val="nil"/>
              <w:tr2bl w:val="nil"/>
            </w:tcBorders>
            <w:noWrap w:val="0"/>
            <w:vAlign w:val="center"/>
          </w:tcPr>
          <w:p w14:paraId="2F978A6F">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固态</w:t>
            </w:r>
          </w:p>
        </w:tc>
        <w:tc>
          <w:tcPr>
            <w:tcW w:w="688" w:type="pct"/>
            <w:tcBorders>
              <w:tl2br w:val="nil"/>
              <w:tr2bl w:val="nil"/>
            </w:tcBorders>
            <w:noWrap w:val="0"/>
            <w:vAlign w:val="center"/>
          </w:tcPr>
          <w:p w14:paraId="53C8E5F9">
            <w:pPr>
              <w:pStyle w:val="52"/>
              <w:spacing w:before="0" w:after="0" w:line="240" w:lineRule="auto"/>
              <w:ind w:left="0" w:leftChars="0" w:firstLine="0" w:firstLineChars="0"/>
              <w:rPr>
                <w:rFonts w:hint="default" w:ascii="Times New Roman" w:hAnsi="Times New Roman" w:eastAsia="宋体" w:cs="Times New Roman"/>
                <w:color w:val="auto"/>
                <w:sz w:val="21"/>
                <w:szCs w:val="21"/>
                <w:highlight w:val="none"/>
                <w:vertAlign w:val="baseline"/>
                <w:lang w:val="en-US" w:eastAsia="zh-CN"/>
              </w:rPr>
            </w:pPr>
            <w:r>
              <w:rPr>
                <w:color w:val="auto"/>
                <w:sz w:val="21"/>
                <w:szCs w:val="18"/>
              </w:rPr>
              <w:t>900-047-49</w:t>
            </w:r>
          </w:p>
        </w:tc>
        <w:tc>
          <w:tcPr>
            <w:tcW w:w="643" w:type="pct"/>
            <w:tcBorders>
              <w:tl2br w:val="nil"/>
              <w:tr2bl w:val="nil"/>
            </w:tcBorders>
            <w:noWrap w:val="0"/>
            <w:vAlign w:val="center"/>
          </w:tcPr>
          <w:p w14:paraId="16E5B40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T/C/I/R</w:t>
            </w:r>
          </w:p>
        </w:tc>
        <w:tc>
          <w:tcPr>
            <w:tcW w:w="1240" w:type="pct"/>
            <w:tcBorders>
              <w:tl2br w:val="nil"/>
              <w:tr2bl w:val="nil"/>
            </w:tcBorders>
            <w:shd w:val="clear" w:color="auto" w:fill="auto"/>
            <w:noWrap w:val="0"/>
            <w:vAlign w:val="center"/>
          </w:tcPr>
          <w:p w14:paraId="75602B50">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cs="Times New Roman"/>
                <w:color w:val="auto"/>
                <w:sz w:val="21"/>
                <w:szCs w:val="21"/>
                <w:vertAlign w:val="baseline"/>
                <w:lang w:val="en-US" w:eastAsia="zh-CN" w:bidi="ar-SA"/>
              </w:rPr>
            </w:pPr>
            <w:r>
              <w:rPr>
                <w:rFonts w:hint="eastAsia" w:cs="Times New Roman"/>
                <w:color w:val="auto"/>
                <w:sz w:val="21"/>
                <w:szCs w:val="21"/>
                <w:vertAlign w:val="baseline"/>
                <w:lang w:val="en-US" w:eastAsia="zh-CN" w:bidi="ar-SA"/>
              </w:rPr>
              <w:t>交有资质单位处置</w:t>
            </w:r>
          </w:p>
        </w:tc>
      </w:tr>
    </w:tbl>
    <w:p w14:paraId="32988306">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eastAsia" w:ascii="Times New Roman" w:hAnsi="Times New Roman" w:eastAsia="宋体" w:cs="Times New Roman"/>
          <w:b/>
          <w:bCs/>
          <w:color w:val="auto"/>
          <w:sz w:val="24"/>
          <w:szCs w:val="16"/>
          <w:highlight w:val="none"/>
          <w:lang w:val="en-US" w:eastAsia="zh-CN"/>
        </w:rPr>
      </w:pPr>
      <w:r>
        <w:rPr>
          <w:rFonts w:hint="eastAsia" w:ascii="Times New Roman" w:hAnsi="Times New Roman" w:eastAsia="宋体" w:cs="Times New Roman"/>
          <w:b/>
          <w:bCs/>
          <w:color w:val="auto"/>
          <w:sz w:val="24"/>
          <w:szCs w:val="16"/>
          <w:highlight w:val="none"/>
          <w:lang w:val="en-US" w:eastAsia="zh-CN"/>
        </w:rPr>
        <w:t>5.2.5.2固体废物环境影响分析</w:t>
      </w:r>
    </w:p>
    <w:p w14:paraId="2FC97AF7">
      <w:pPr>
        <w:pStyle w:val="6"/>
        <w:rPr>
          <w:color w:val="auto"/>
        </w:rPr>
      </w:pPr>
      <w:bookmarkStart w:id="219" w:name="_Hlk151318811"/>
      <w:bookmarkStart w:id="220" w:name="_Hlk151318792"/>
      <w:r>
        <w:rPr>
          <w:color w:val="auto"/>
        </w:rPr>
        <w:t>本项目产生的</w:t>
      </w:r>
      <w:bookmarkEnd w:id="219"/>
      <w:r>
        <w:rPr>
          <w:color w:val="auto"/>
        </w:rPr>
        <w:t>废物包装物按照固态入窑废物的</w:t>
      </w:r>
      <w:r>
        <w:rPr>
          <w:rFonts w:hint="eastAsia"/>
          <w:color w:val="auto"/>
          <w:lang w:val="en-US" w:eastAsia="zh-CN"/>
        </w:rPr>
        <w:t>要求</w:t>
      </w:r>
      <w:r>
        <w:rPr>
          <w:color w:val="auto"/>
        </w:rPr>
        <w:t>处理</w:t>
      </w:r>
      <w:r>
        <w:rPr>
          <w:rFonts w:hint="eastAsia"/>
          <w:color w:val="auto"/>
          <w:lang w:val="en-US" w:eastAsia="zh-CN"/>
        </w:rPr>
        <w:t>后</w:t>
      </w:r>
      <w:r>
        <w:rPr>
          <w:color w:val="auto"/>
        </w:rPr>
        <w:t>投入水泥窑处置</w:t>
      </w:r>
      <w:r>
        <w:rPr>
          <w:rFonts w:hint="eastAsia"/>
          <w:color w:val="auto"/>
          <w:lang w:eastAsia="zh-CN"/>
        </w:rPr>
        <w:t>，除尘灰与固态物料成分一致，最终混入固态废物投入水泥窑处置；</w:t>
      </w:r>
      <w:r>
        <w:rPr>
          <w:color w:val="auto"/>
        </w:rPr>
        <w:t>化验室废物</w:t>
      </w:r>
      <w:r>
        <w:rPr>
          <w:rFonts w:hint="eastAsia"/>
          <w:color w:val="auto"/>
          <w:lang w:val="en-US" w:eastAsia="zh-CN"/>
        </w:rPr>
        <w:t>暂存在危险废物贮存设施内，定期交有资质单位处置。</w:t>
      </w:r>
      <w:r>
        <w:rPr>
          <w:color w:val="auto"/>
        </w:rPr>
        <w:t>本项目产生固体废物</w:t>
      </w:r>
      <w:r>
        <w:rPr>
          <w:rFonts w:hint="eastAsia"/>
          <w:color w:val="auto"/>
          <w:lang w:val="en-US" w:eastAsia="zh-CN"/>
        </w:rPr>
        <w:t>均能</w:t>
      </w:r>
      <w:r>
        <w:rPr>
          <w:color w:val="auto"/>
        </w:rPr>
        <w:t>得到有效处理处置，不会对周边环境造成影响。</w:t>
      </w:r>
      <w:bookmarkEnd w:id="220"/>
    </w:p>
    <w:p w14:paraId="03199AAE">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eastAsia" w:ascii="Times New Roman" w:hAnsi="Times New Roman" w:eastAsia="宋体" w:cs="Times New Roman"/>
          <w:b/>
          <w:bCs/>
          <w:sz w:val="24"/>
          <w:szCs w:val="16"/>
          <w:highlight w:val="none"/>
          <w:lang w:val="en-US" w:eastAsia="zh-CN"/>
        </w:rPr>
      </w:pPr>
      <w:r>
        <w:rPr>
          <w:rFonts w:hint="eastAsia" w:ascii="Times New Roman" w:hAnsi="Times New Roman" w:eastAsia="宋体" w:cs="Times New Roman"/>
          <w:b/>
          <w:bCs/>
          <w:sz w:val="24"/>
          <w:szCs w:val="16"/>
          <w:highlight w:val="none"/>
          <w:lang w:val="en-US" w:eastAsia="zh-CN"/>
        </w:rPr>
        <w:t>5.2.5.3固体废物的运输对环境的影响</w:t>
      </w:r>
    </w:p>
    <w:p w14:paraId="084FAFA0">
      <w:pPr>
        <w:pStyle w:val="6"/>
      </w:pPr>
      <w:r>
        <w:t>本项目处置的危废由产废单位负责运输至处置厂区。在运输过程中，不适当的操作或意外的事故均有可能导致运输途中的环境污染。可能造成运输污染的主要因素有：（1）由于危险废物装运不合格，造成废物在中途发性泄漏、流失等情况，造成沿途污染；（2）由于运输车辆发生交通事故造成危险废物大量倾倒、流失，造成事故发生地发生污染事故。一旦发生事故，导致危险废物大量倾倒、流失，会对周边</w:t>
      </w:r>
      <w:r>
        <w:rPr>
          <w:rFonts w:hint="eastAsia"/>
          <w:lang w:val="en-US" w:eastAsia="zh-CN"/>
        </w:rPr>
        <w:t>环境</w:t>
      </w:r>
      <w:r>
        <w:t>造成严重的影响。因此，在运输过程中，应采取严格的防范措施。</w:t>
      </w:r>
    </w:p>
    <w:p w14:paraId="53CE8949">
      <w:pPr>
        <w:pStyle w:val="6"/>
      </w:pPr>
      <w:r>
        <w:t>运输路线环境影响：本项目</w:t>
      </w:r>
      <w:r>
        <w:rPr>
          <w:rFonts w:hint="eastAsia"/>
          <w:lang w:val="en-US" w:eastAsia="zh-CN"/>
        </w:rPr>
        <w:t>处置的危险废物均为临厂</w:t>
      </w:r>
      <w:r>
        <w:rPr>
          <w:rFonts w:hint="eastAsia"/>
          <w:sz w:val="24"/>
          <w:szCs w:val="24"/>
        </w:rPr>
        <w:t>新疆兴发化工有限公司</w:t>
      </w:r>
      <w:r>
        <w:rPr>
          <w:rFonts w:hint="eastAsia"/>
          <w:sz w:val="24"/>
          <w:szCs w:val="24"/>
          <w:lang w:val="en-US" w:eastAsia="zh-CN"/>
        </w:rPr>
        <w:t>生产过程产生的危险废物，运输严格按照划定路线运至指定区域焚烧，液态废物采用管输。</w:t>
      </w:r>
      <w:r>
        <w:t>项目主要运输路线</w:t>
      </w:r>
      <w:r>
        <w:rPr>
          <w:rFonts w:hint="eastAsia"/>
          <w:lang w:val="en-US" w:eastAsia="zh-CN"/>
        </w:rPr>
        <w:t>不</w:t>
      </w:r>
      <w:r>
        <w:t>涉及自然保护区、风景名胜区和饮用水保护区</w:t>
      </w:r>
      <w:r>
        <w:rPr>
          <w:rFonts w:hint="eastAsia"/>
          <w:lang w:val="en-US" w:eastAsia="zh-CN"/>
        </w:rPr>
        <w:t>等</w:t>
      </w:r>
      <w:r>
        <w:t>；本项目危废进厂路线（项目周边）专用进厂道路，在采取有效的设施密闭、优化运输时间、控制车速等措施后，对周边环境影响较小。</w:t>
      </w:r>
    </w:p>
    <w:p w14:paraId="35758ADD">
      <w:pPr>
        <w:pStyle w:val="6"/>
        <w:rPr>
          <w:rFonts w:hint="default" w:eastAsia="宋体"/>
          <w:lang w:val="en-US" w:eastAsia="zh-CN"/>
        </w:rPr>
      </w:pPr>
      <w:r>
        <w:t>噪声：</w:t>
      </w:r>
      <w:r>
        <w:rPr>
          <w:rFonts w:hint="eastAsia"/>
          <w:lang w:val="en-US" w:eastAsia="zh-CN"/>
        </w:rPr>
        <w:t>根据产废单位危险废物产生量，每天处理两批次固态废物，运输车辆按照划定线路运输，</w:t>
      </w:r>
      <w:r>
        <w:t>不新建厂外运输道路</w:t>
      </w:r>
      <w:r>
        <w:rPr>
          <w:rFonts w:hint="eastAsia"/>
          <w:lang w:eastAsia="zh-CN"/>
        </w:rPr>
        <w:t>，</w:t>
      </w:r>
      <w:r>
        <w:rPr>
          <w:rFonts w:hint="eastAsia"/>
          <w:lang w:val="en-US" w:eastAsia="zh-CN"/>
        </w:rPr>
        <w:t>两厂紧邻且周边无环境保护目标</w:t>
      </w:r>
      <w:r>
        <w:t>。项目设计运输车辆规模约为</w:t>
      </w:r>
      <w:r>
        <w:rPr>
          <w:rFonts w:hint="eastAsia"/>
          <w:lang w:val="en-US" w:eastAsia="zh-CN"/>
        </w:rPr>
        <w:t>1.5</w:t>
      </w:r>
      <w:r>
        <w:t>t/辆，按固废运输量</w:t>
      </w:r>
      <w:r>
        <w:rPr>
          <w:rFonts w:hint="eastAsia"/>
          <w:lang w:val="en-US" w:eastAsia="zh-CN"/>
        </w:rPr>
        <w:t>200</w:t>
      </w:r>
      <w:r>
        <w:t>t/</w:t>
      </w:r>
      <w:r>
        <w:rPr>
          <w:rFonts w:hint="eastAsia"/>
          <w:lang w:val="en-US" w:eastAsia="zh-CN"/>
        </w:rPr>
        <w:t>a</w:t>
      </w:r>
      <w:r>
        <w:t>计，则每天运输车辆最多需要</w:t>
      </w:r>
      <w:r>
        <w:rPr>
          <w:rFonts w:hint="eastAsia"/>
          <w:lang w:val="en-US" w:eastAsia="zh-CN"/>
        </w:rPr>
        <w:t>1</w:t>
      </w:r>
      <w:r>
        <w:t>辆</w:t>
      </w:r>
      <w:r>
        <w:rPr>
          <w:rFonts w:hint="eastAsia"/>
          <w:lang w:eastAsia="zh-CN"/>
        </w:rPr>
        <w:t>，</w:t>
      </w:r>
      <w:r>
        <w:rPr>
          <w:rFonts w:hint="eastAsia"/>
          <w:lang w:val="en-US" w:eastAsia="zh-CN"/>
        </w:rPr>
        <w:t>不会对周边声环境产生影响。</w:t>
      </w:r>
    </w:p>
    <w:p w14:paraId="031C36AC">
      <w:pPr>
        <w:pStyle w:val="6"/>
      </w:pPr>
      <w:r>
        <w:t>渗滤液：在车辆密封良好的情况下，运输过程中可有效控制运输车的渗滤液泄漏问题，</w:t>
      </w:r>
      <w:r>
        <w:rPr>
          <w:rFonts w:hint="eastAsia"/>
          <w:lang w:val="en-US" w:eastAsia="zh-CN"/>
        </w:rPr>
        <w:t>车辆按划定路线运输，</w:t>
      </w:r>
      <w:r>
        <w:t>运输车所经过的道路两旁</w:t>
      </w:r>
      <w:r>
        <w:rPr>
          <w:rFonts w:hint="eastAsia"/>
          <w:lang w:val="en-US" w:eastAsia="zh-CN"/>
        </w:rPr>
        <w:t>无地表水体</w:t>
      </w:r>
      <w:r>
        <w:t>。但是，若固废运输车出现渗滤液沿路洒漏，则会由雨水冲测路面而对附近水体造成污染。</w:t>
      </w:r>
    </w:p>
    <w:p w14:paraId="6C6A1C4E">
      <w:pPr>
        <w:keepNext/>
        <w:keepLines/>
        <w:pageBreakBefore w:val="0"/>
        <w:widowControl/>
        <w:kinsoku/>
        <w:wordWrap/>
        <w:overflowPunct/>
        <w:topLinePunct w:val="0"/>
        <w:autoSpaceDE/>
        <w:autoSpaceDN/>
        <w:bidi w:val="0"/>
        <w:adjustRightInd/>
        <w:snapToGrid w:val="0"/>
        <w:spacing w:line="360" w:lineRule="auto"/>
        <w:jc w:val="left"/>
        <w:textAlignment w:val="auto"/>
        <w:outlineLvl w:val="3"/>
        <w:rPr>
          <w:rFonts w:hint="eastAsia" w:ascii="Times New Roman" w:hAnsi="Times New Roman" w:eastAsia="宋体" w:cs="Times New Roman"/>
          <w:b/>
          <w:bCs/>
          <w:sz w:val="24"/>
          <w:szCs w:val="16"/>
          <w:highlight w:val="none"/>
          <w:lang w:val="en-US" w:eastAsia="zh-CN"/>
        </w:rPr>
      </w:pPr>
      <w:r>
        <w:rPr>
          <w:rFonts w:hint="eastAsia" w:ascii="Times New Roman" w:hAnsi="Times New Roman" w:eastAsia="宋体" w:cs="Times New Roman"/>
          <w:b/>
          <w:bCs/>
          <w:sz w:val="24"/>
          <w:szCs w:val="16"/>
          <w:highlight w:val="none"/>
          <w:lang w:val="en-US" w:eastAsia="zh-CN"/>
        </w:rPr>
        <w:t>5.2.5.4固体废物的贮存对环境的影响</w:t>
      </w:r>
    </w:p>
    <w:p w14:paraId="295CEC87">
      <w:pPr>
        <w:pStyle w:val="6"/>
        <w:numPr>
          <w:ilvl w:val="0"/>
          <w:numId w:val="0"/>
        </w:numPr>
        <w:ind w:firstLine="480" w:firstLineChars="200"/>
        <w:rPr>
          <w:rFonts w:hint="eastAsia"/>
          <w:lang w:eastAsia="zh-CN"/>
        </w:rPr>
      </w:pPr>
      <w:r>
        <w:t>项目在厂区</w:t>
      </w:r>
      <w:r>
        <w:rPr>
          <w:rFonts w:hint="eastAsia"/>
          <w:lang w:val="en-US" w:eastAsia="zh-CN"/>
        </w:rPr>
        <w:t>不</w:t>
      </w:r>
      <w:r>
        <w:t>设置危废贮存库</w:t>
      </w:r>
      <w:r>
        <w:rPr>
          <w:rFonts w:hint="eastAsia"/>
          <w:lang w:eastAsia="zh-CN"/>
        </w:rPr>
        <w:t>，</w:t>
      </w:r>
      <w:r>
        <w:rPr>
          <w:rFonts w:hint="eastAsia"/>
          <w:lang w:val="en-US" w:eastAsia="zh-CN"/>
        </w:rPr>
        <w:t>新疆兴发化工有限公司紧邻本项目厂区，液态危险废物采用管输，固态危险废物贮存在新疆兴发化工有限公司危废贮存库内，经取样化验符合要求的危险废物采用叉车将吨袋沿设计路线运至投料厂房。</w:t>
      </w:r>
    </w:p>
    <w:p w14:paraId="3DCCC28A">
      <w:pPr>
        <w:pStyle w:val="6"/>
      </w:pPr>
      <w:r>
        <w:t>项目</w:t>
      </w:r>
      <w:r>
        <w:rPr>
          <w:rFonts w:hint="eastAsia"/>
          <w:lang w:val="en-US" w:eastAsia="zh-CN"/>
        </w:rPr>
        <w:t>运行期间在化验过程产生的化验室废物须贮存在企业现有危险废物贮存库内，危险废物贮存库已按照</w:t>
      </w:r>
      <w:r>
        <w:t>《危险废物贮存污染控制标准》（GB18597-2023）</w:t>
      </w:r>
      <w:r>
        <w:rPr>
          <w:rFonts w:hint="eastAsia"/>
          <w:lang w:val="en-US" w:eastAsia="zh-CN"/>
        </w:rPr>
        <w:t>相关要求</w:t>
      </w:r>
      <w:r>
        <w:t>进行建设，</w:t>
      </w:r>
      <w:r>
        <w:rPr>
          <w:rFonts w:hint="eastAsia"/>
          <w:lang w:val="en-US" w:eastAsia="zh-CN"/>
        </w:rPr>
        <w:t>并</w:t>
      </w:r>
      <w:r>
        <w:t>根据《环境保护图形标志</w:t>
      </w:r>
      <w:r>
        <w:rPr>
          <w:rFonts w:hint="eastAsia"/>
          <w:lang w:val="en-US" w:eastAsia="zh-CN"/>
        </w:rPr>
        <w:t>-</w:t>
      </w:r>
      <w:r>
        <w:t>固体废物贮存（处置）场》（GB15562.2-1995）设立</w:t>
      </w:r>
      <w:r>
        <w:rPr>
          <w:rFonts w:hint="eastAsia"/>
          <w:lang w:val="en-US" w:eastAsia="zh-CN"/>
        </w:rPr>
        <w:t>有</w:t>
      </w:r>
      <w:r>
        <w:t>专用标志。</w:t>
      </w:r>
    </w:p>
    <w:p w14:paraId="748927EC">
      <w:pPr>
        <w:pageBreakBefore w:val="0"/>
        <w:widowControl/>
        <w:kinsoku/>
        <w:wordWrap/>
        <w:overflowPunct/>
        <w:topLinePunct w:val="0"/>
        <w:autoSpaceDE/>
        <w:autoSpaceDN/>
        <w:bidi w:val="0"/>
        <w:adjustRightInd/>
        <w:snapToGrid w:val="0"/>
        <w:spacing w:line="360" w:lineRule="auto"/>
        <w:ind w:firstLine="480"/>
        <w:jc w:val="left"/>
        <w:textAlignment w:val="auto"/>
        <w:rPr>
          <w:rFonts w:hint="default" w:ascii="Times New Roman" w:hAnsi="Times New Roman" w:eastAsia="宋体" w:cs="Times New Roman"/>
          <w:b/>
          <w:bCs w:val="0"/>
          <w:kern w:val="2"/>
          <w:sz w:val="24"/>
          <w:szCs w:val="24"/>
          <w:highlight w:val="none"/>
        </w:rPr>
      </w:pPr>
      <w:r>
        <w:t>综上所述，项目危废在贮存过程中，基本不会对外环境造成影响。</w:t>
      </w:r>
    </w:p>
    <w:bookmarkEnd w:id="218"/>
    <w:p w14:paraId="634C93E7">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eastAsia" w:cs="Times New Roman"/>
          <w:b/>
          <w:bCs w:val="0"/>
          <w:kern w:val="2"/>
          <w:sz w:val="24"/>
          <w:szCs w:val="24"/>
          <w:highlight w:val="none"/>
          <w:lang w:val="en-US" w:eastAsia="zh-CN"/>
        </w:rPr>
      </w:pPr>
      <w:bookmarkStart w:id="221" w:name="_Toc9868266"/>
      <w:r>
        <w:rPr>
          <w:rFonts w:hint="default" w:ascii="Times New Roman" w:hAnsi="Times New Roman" w:eastAsia="宋体" w:cs="Times New Roman"/>
          <w:b/>
          <w:bCs w:val="0"/>
          <w:kern w:val="2"/>
          <w:sz w:val="24"/>
          <w:szCs w:val="24"/>
          <w:highlight w:val="none"/>
        </w:rPr>
        <w:t>5.2.</w:t>
      </w:r>
      <w:r>
        <w:rPr>
          <w:rFonts w:hint="eastAsia" w:cs="Times New Roman"/>
          <w:b/>
          <w:bCs w:val="0"/>
          <w:kern w:val="2"/>
          <w:sz w:val="24"/>
          <w:szCs w:val="24"/>
          <w:highlight w:val="none"/>
          <w:lang w:val="en-US" w:eastAsia="zh-CN"/>
        </w:rPr>
        <w:t>6土壤环境影响预测与分析</w:t>
      </w:r>
    </w:p>
    <w:p w14:paraId="15289ADB">
      <w:pPr>
        <w:pStyle w:val="5"/>
        <w:keepNext/>
        <w:keepLines/>
        <w:pageBreakBefore w:val="0"/>
        <w:widowControl/>
        <w:kinsoku/>
        <w:wordWrap/>
        <w:overflowPunct/>
        <w:topLinePunct w:val="0"/>
        <w:autoSpaceDE/>
        <w:autoSpaceDN/>
        <w:bidi w:val="0"/>
        <w:adjustRightInd/>
        <w:snapToGrid/>
        <w:spacing w:before="0" w:beforeLines="0" w:after="0" w:line="360" w:lineRule="auto"/>
        <w:textAlignment w:val="auto"/>
        <w:outlineLvl w:val="3"/>
        <w:rPr>
          <w:rFonts w:hint="eastAsia" w:ascii="Times New Roman" w:hAnsi="Times New Roman" w:eastAsia="宋体" w:cs="Times New Roman"/>
          <w:b/>
          <w:bCs w:val="0"/>
          <w:kern w:val="2"/>
          <w:sz w:val="24"/>
          <w:szCs w:val="24"/>
          <w:highlight w:val="none"/>
          <w:lang w:val="en-US" w:eastAsia="zh-CN"/>
        </w:rPr>
      </w:pPr>
      <w:bookmarkStart w:id="222" w:name="_Toc3342"/>
      <w:bookmarkStart w:id="223" w:name="_Toc25643"/>
      <w:r>
        <w:rPr>
          <w:rFonts w:hint="eastAsia" w:ascii="Times New Roman" w:hAnsi="Times New Roman" w:eastAsia="宋体" w:cs="Times New Roman"/>
          <w:b/>
          <w:bCs w:val="0"/>
          <w:kern w:val="2"/>
          <w:sz w:val="24"/>
          <w:szCs w:val="24"/>
          <w:highlight w:val="none"/>
          <w:lang w:val="en-US" w:eastAsia="zh-CN"/>
        </w:rPr>
        <w:t>5.2.6.1土壤环境影响识别及评价等级的确定</w:t>
      </w:r>
      <w:bookmarkEnd w:id="222"/>
      <w:bookmarkEnd w:id="223"/>
    </w:p>
    <w:p w14:paraId="149FF8C5">
      <w:pPr>
        <w:spacing w:line="360" w:lineRule="auto"/>
        <w:ind w:firstLine="480" w:firstLineChars="200"/>
        <w:rPr>
          <w:rFonts w:hint="default" w:ascii="Times New Roman" w:hAnsi="Times New Roman" w:eastAsia="宋体" w:cs="Times New Roman"/>
          <w:b w:val="0"/>
          <w:bCs w:val="0"/>
          <w:sz w:val="24"/>
          <w:szCs w:val="24"/>
          <w:u w:val="none"/>
          <w:lang w:val="en-US" w:eastAsia="zh-CN"/>
        </w:rPr>
      </w:pPr>
      <w:r>
        <w:rPr>
          <w:rFonts w:hint="default" w:ascii="Times New Roman" w:hAnsi="Times New Roman" w:eastAsia="宋体" w:cs="Times New Roman"/>
          <w:b w:val="0"/>
          <w:bCs w:val="0"/>
          <w:sz w:val="24"/>
          <w:szCs w:val="24"/>
          <w:u w:val="none"/>
          <w:lang w:val="en-US" w:eastAsia="zh-CN"/>
        </w:rPr>
        <w:t>（1）评价等级的确定</w:t>
      </w:r>
    </w:p>
    <w:p w14:paraId="7C4C72C1">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480" w:firstLineChars="200"/>
        <w:jc w:val="both"/>
        <w:textAlignment w:val="auto"/>
        <w:rPr>
          <w:rFonts w:hint="default" w:ascii="Times New Roman" w:hAnsi="Times New Roman" w:eastAsia="宋体" w:cs="Times New Roman"/>
          <w:b w:val="0"/>
          <w:bCs w:val="0"/>
          <w:sz w:val="24"/>
          <w:szCs w:val="24"/>
          <w:highlight w:val="none"/>
          <w:lang w:val="en-US" w:eastAsia="zh-CN"/>
        </w:rPr>
      </w:pPr>
      <w:r>
        <w:rPr>
          <w:rFonts w:hint="default" w:ascii="Times New Roman" w:hAnsi="Times New Roman" w:eastAsia="宋体" w:cs="Times New Roman"/>
          <w:sz w:val="24"/>
          <w:szCs w:val="24"/>
          <w:highlight w:val="none"/>
          <w:lang w:val="en-US" w:eastAsia="zh-CN"/>
        </w:rPr>
        <w:t>根据《环境影响评价技术导则 土壤环境（试行）》（HJ964-2018）附录A土壤环境影响评价行业分类表，本项目土壤环境影响评价行业类别为环境和公共设施管理业</w:t>
      </w:r>
      <w:r>
        <w:rPr>
          <w:rFonts w:hint="default" w:ascii="Times New Roman" w:hAnsi="Times New Roman" w:cs="Times New Roman"/>
          <w:sz w:val="24"/>
          <w:szCs w:val="24"/>
          <w:highlight w:val="none"/>
          <w:lang w:val="en-US" w:eastAsia="zh-CN"/>
        </w:rPr>
        <w:t>中的</w:t>
      </w:r>
      <w:r>
        <w:rPr>
          <w:rFonts w:hint="default" w:ascii="Times New Roman" w:hAnsi="Times New Roman" w:eastAsia="宋体" w:cs="Times New Roman"/>
          <w:sz w:val="24"/>
          <w:szCs w:val="24"/>
          <w:highlight w:val="none"/>
          <w:lang w:val="en-US" w:eastAsia="zh-CN"/>
        </w:rPr>
        <w:t>危险废物利用及处置，项目类别为Ⅰ类。</w:t>
      </w:r>
    </w:p>
    <w:p w14:paraId="340C353D">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表</w:t>
      </w:r>
      <w:r>
        <w:rPr>
          <w:rFonts w:hint="eastAsia" w:ascii="Times New Roman" w:hAnsi="Times New Roman" w:eastAsia="宋体" w:cs="Times New Roman"/>
          <w:b/>
          <w:bCs/>
          <w:sz w:val="24"/>
          <w:szCs w:val="24"/>
          <w:highlight w:val="none"/>
          <w:lang w:val="en-US" w:eastAsia="zh-CN"/>
        </w:rPr>
        <w:t>5.2-2</w:t>
      </w:r>
      <w:r>
        <w:rPr>
          <w:rFonts w:hint="eastAsia" w:cs="Times New Roman"/>
          <w:b/>
          <w:bCs/>
          <w:sz w:val="24"/>
          <w:szCs w:val="24"/>
          <w:highlight w:val="none"/>
          <w:lang w:val="en-US" w:eastAsia="zh-CN"/>
        </w:rPr>
        <w:t>6</w:t>
      </w:r>
      <w:r>
        <w:rPr>
          <w:rFonts w:hint="default" w:ascii="Times New Roman" w:hAnsi="Times New Roman" w:eastAsia="宋体" w:cs="Times New Roman"/>
          <w:b/>
          <w:bCs/>
          <w:sz w:val="24"/>
          <w:szCs w:val="24"/>
          <w:highlight w:val="none"/>
          <w:lang w:val="en-US" w:eastAsia="zh-CN"/>
        </w:rPr>
        <w:t xml:space="preserve"> 污染型敏感程度分级表</w:t>
      </w:r>
    </w:p>
    <w:tbl>
      <w:tblPr>
        <w:tblStyle w:val="39"/>
        <w:tblW w:w="5000" w:type="pct"/>
        <w:jc w:val="center"/>
        <w:tblLayout w:type="autofit"/>
        <w:tblCellMar>
          <w:top w:w="0" w:type="dxa"/>
          <w:left w:w="0" w:type="dxa"/>
          <w:bottom w:w="0" w:type="dxa"/>
          <w:right w:w="0" w:type="dxa"/>
        </w:tblCellMar>
      </w:tblPr>
      <w:tblGrid>
        <w:gridCol w:w="1102"/>
        <w:gridCol w:w="7414"/>
      </w:tblGrid>
      <w:tr w14:paraId="45940F51">
        <w:tblPrEx>
          <w:tblCellMar>
            <w:top w:w="0" w:type="dxa"/>
            <w:left w:w="0" w:type="dxa"/>
            <w:bottom w:w="0" w:type="dxa"/>
            <w:right w:w="0" w:type="dxa"/>
          </w:tblCellMar>
        </w:tblPrEx>
        <w:trPr>
          <w:trHeight w:val="340" w:hRule="atLeast"/>
          <w:jc w:val="center"/>
        </w:trPr>
        <w:tc>
          <w:tcPr>
            <w:tcW w:w="647" w:type="pct"/>
            <w:tcBorders>
              <w:top w:val="single" w:color="000000" w:sz="18" w:space="0"/>
              <w:bottom w:val="single" w:color="000000" w:sz="4" w:space="0"/>
              <w:right w:val="single" w:color="000000" w:sz="4" w:space="0"/>
            </w:tcBorders>
            <w:noWrap w:val="0"/>
            <w:tcMar>
              <w:top w:w="0" w:type="dxa"/>
              <w:left w:w="108" w:type="dxa"/>
              <w:bottom w:w="0" w:type="dxa"/>
              <w:right w:w="108" w:type="dxa"/>
            </w:tcMar>
            <w:vAlign w:val="center"/>
          </w:tcPr>
          <w:p w14:paraId="7BDFF7A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b/>
                <w:bCs/>
                <w:sz w:val="21"/>
                <w:highlight w:val="none"/>
                <w:lang w:val="en-US" w:eastAsia="zh-CN"/>
              </w:rPr>
            </w:pPr>
            <w:r>
              <w:rPr>
                <w:rFonts w:hint="default" w:ascii="Times New Roman" w:hAnsi="Times New Roman" w:eastAsia="宋体" w:cs="Times New Roman"/>
                <w:b/>
                <w:bCs/>
                <w:sz w:val="21"/>
                <w:highlight w:val="none"/>
                <w:lang w:val="en-US" w:eastAsia="zh-CN"/>
              </w:rPr>
              <w:t>敏感程度</w:t>
            </w:r>
          </w:p>
        </w:tc>
        <w:tc>
          <w:tcPr>
            <w:tcW w:w="4352" w:type="pct"/>
            <w:tcBorders>
              <w:top w:val="single" w:color="000000" w:sz="18" w:space="0"/>
              <w:left w:val="single" w:color="000000" w:sz="4" w:space="0"/>
              <w:bottom w:val="single" w:color="000000" w:sz="4" w:space="0"/>
            </w:tcBorders>
            <w:noWrap w:val="0"/>
            <w:tcMar>
              <w:top w:w="0" w:type="dxa"/>
              <w:left w:w="108" w:type="dxa"/>
              <w:bottom w:w="0" w:type="dxa"/>
              <w:right w:w="108" w:type="dxa"/>
            </w:tcMar>
            <w:vAlign w:val="center"/>
          </w:tcPr>
          <w:p w14:paraId="47B2E45C">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b/>
                <w:bCs/>
                <w:sz w:val="21"/>
                <w:highlight w:val="none"/>
              </w:rPr>
            </w:pPr>
            <w:r>
              <w:rPr>
                <w:rFonts w:hint="default" w:ascii="Times New Roman" w:hAnsi="Times New Roman" w:eastAsia="宋体" w:cs="Times New Roman"/>
                <w:b/>
                <w:bCs/>
                <w:sz w:val="21"/>
                <w:highlight w:val="none"/>
              </w:rPr>
              <w:t>项目场地的地下水环境敏感特征</w:t>
            </w:r>
          </w:p>
        </w:tc>
      </w:tr>
      <w:tr w14:paraId="3372BDC2">
        <w:tblPrEx>
          <w:tblCellMar>
            <w:top w:w="0" w:type="dxa"/>
            <w:left w:w="0" w:type="dxa"/>
            <w:bottom w:w="0" w:type="dxa"/>
            <w:right w:w="0" w:type="dxa"/>
          </w:tblCellMar>
        </w:tblPrEx>
        <w:trPr>
          <w:trHeight w:val="340" w:hRule="atLeast"/>
          <w:jc w:val="center"/>
        </w:trPr>
        <w:tc>
          <w:tcPr>
            <w:tcW w:w="647"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F473454">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敏感</w:t>
            </w:r>
          </w:p>
        </w:tc>
        <w:tc>
          <w:tcPr>
            <w:tcW w:w="4352"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09409FC4">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建设项目周边存在耕地、园地、牧草地、饮用水水源地、学校、医院、疗养院、养老院等土壤环境敏感目标的</w:t>
            </w:r>
          </w:p>
        </w:tc>
      </w:tr>
      <w:tr w14:paraId="4C90CD97">
        <w:tblPrEx>
          <w:tblCellMar>
            <w:top w:w="0" w:type="dxa"/>
            <w:left w:w="0" w:type="dxa"/>
            <w:bottom w:w="0" w:type="dxa"/>
            <w:right w:w="0" w:type="dxa"/>
          </w:tblCellMar>
        </w:tblPrEx>
        <w:trPr>
          <w:trHeight w:val="340" w:hRule="atLeast"/>
          <w:jc w:val="center"/>
        </w:trPr>
        <w:tc>
          <w:tcPr>
            <w:tcW w:w="647" w:type="pct"/>
            <w:tcBorders>
              <w:top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D29A8EF">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较敏感</w:t>
            </w:r>
          </w:p>
        </w:tc>
        <w:tc>
          <w:tcPr>
            <w:tcW w:w="4352" w:type="pct"/>
            <w:tcBorders>
              <w:top w:val="single" w:color="000000" w:sz="4" w:space="0"/>
              <w:left w:val="single" w:color="000000" w:sz="4" w:space="0"/>
              <w:bottom w:val="single" w:color="000000" w:sz="4" w:space="0"/>
            </w:tcBorders>
            <w:noWrap w:val="0"/>
            <w:tcMar>
              <w:top w:w="0" w:type="dxa"/>
              <w:left w:w="108" w:type="dxa"/>
              <w:bottom w:w="0" w:type="dxa"/>
              <w:right w:w="108" w:type="dxa"/>
            </w:tcMar>
            <w:vAlign w:val="center"/>
          </w:tcPr>
          <w:p w14:paraId="6822396C">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建设项目周边存在其他土壤环境敏感目标的</w:t>
            </w:r>
          </w:p>
        </w:tc>
      </w:tr>
      <w:tr w14:paraId="69BBDD43">
        <w:tblPrEx>
          <w:tblCellMar>
            <w:top w:w="0" w:type="dxa"/>
            <w:left w:w="0" w:type="dxa"/>
            <w:bottom w:w="0" w:type="dxa"/>
            <w:right w:w="0" w:type="dxa"/>
          </w:tblCellMar>
        </w:tblPrEx>
        <w:trPr>
          <w:trHeight w:val="340" w:hRule="atLeast"/>
          <w:jc w:val="center"/>
        </w:trPr>
        <w:tc>
          <w:tcPr>
            <w:tcW w:w="647" w:type="pct"/>
            <w:tcBorders>
              <w:top w:val="single" w:color="000000" w:sz="4" w:space="0"/>
              <w:bottom w:val="single" w:color="000000" w:sz="18" w:space="0"/>
              <w:right w:val="single" w:color="000000" w:sz="4" w:space="0"/>
            </w:tcBorders>
            <w:noWrap w:val="0"/>
            <w:tcMar>
              <w:top w:w="0" w:type="dxa"/>
              <w:left w:w="108" w:type="dxa"/>
              <w:bottom w:w="0" w:type="dxa"/>
              <w:right w:w="108" w:type="dxa"/>
            </w:tcMar>
            <w:vAlign w:val="center"/>
          </w:tcPr>
          <w:p w14:paraId="6094E38A">
            <w:pPr>
              <w:keepNext w:val="0"/>
              <w:keepLines w:val="0"/>
              <w:pageBreakBefore w:val="0"/>
              <w:widowControl/>
              <w:kinsoku/>
              <w:wordWrap/>
              <w:overflowPunct/>
              <w:topLinePunct w:val="0"/>
              <w:autoSpaceDE/>
              <w:autoSpaceDN/>
              <w:bidi w:val="0"/>
              <w:adjustRightInd/>
              <w:snapToGrid w:val="0"/>
              <w:spacing w:before="0" w:after="0" w:line="240" w:lineRule="auto"/>
              <w:ind w:left="0" w:firstLine="0"/>
              <w:jc w:val="center"/>
              <w:textAlignment w:val="auto"/>
              <w:rPr>
                <w:rFonts w:hint="default" w:ascii="Times New Roman" w:hAnsi="Times New Roman" w:eastAsia="宋体" w:cs="Times New Roman"/>
                <w:sz w:val="21"/>
                <w:highlight w:val="none"/>
              </w:rPr>
            </w:pPr>
            <w:r>
              <w:rPr>
                <w:rFonts w:hint="default" w:ascii="Times New Roman" w:hAnsi="Times New Roman" w:eastAsia="宋体" w:cs="Times New Roman"/>
                <w:sz w:val="21"/>
                <w:highlight w:val="none"/>
              </w:rPr>
              <w:t>不敏感</w:t>
            </w:r>
          </w:p>
        </w:tc>
        <w:tc>
          <w:tcPr>
            <w:tcW w:w="4352" w:type="pct"/>
            <w:tcBorders>
              <w:top w:val="single" w:color="000000" w:sz="4" w:space="0"/>
              <w:left w:val="single" w:color="000000" w:sz="4" w:space="0"/>
              <w:bottom w:val="single" w:color="000000" w:sz="18" w:space="0"/>
            </w:tcBorders>
            <w:noWrap w:val="0"/>
            <w:tcMar>
              <w:top w:w="0" w:type="dxa"/>
              <w:left w:w="108" w:type="dxa"/>
              <w:bottom w:w="0" w:type="dxa"/>
              <w:right w:w="108" w:type="dxa"/>
            </w:tcMar>
            <w:vAlign w:val="center"/>
          </w:tcPr>
          <w:p w14:paraId="53599DD4">
            <w:pPr>
              <w:keepNext w:val="0"/>
              <w:keepLines w:val="0"/>
              <w:pageBreakBefore w:val="0"/>
              <w:widowControl/>
              <w:kinsoku/>
              <w:wordWrap/>
              <w:overflowPunct/>
              <w:topLinePunct w:val="0"/>
              <w:autoSpaceDE/>
              <w:autoSpaceDN/>
              <w:bidi w:val="0"/>
              <w:adjustRightInd/>
              <w:snapToGrid w:val="0"/>
              <w:spacing w:before="0" w:after="0" w:line="240" w:lineRule="auto"/>
              <w:ind w:left="0" w:firstLine="420"/>
              <w:jc w:val="center"/>
              <w:textAlignment w:val="auto"/>
              <w:rPr>
                <w:rFonts w:hint="default" w:ascii="Times New Roman" w:hAnsi="Times New Roman" w:eastAsia="宋体" w:cs="Times New Roman"/>
                <w:sz w:val="21"/>
                <w:highlight w:val="none"/>
                <w:lang w:val="en-US" w:eastAsia="zh-CN"/>
              </w:rPr>
            </w:pPr>
            <w:r>
              <w:rPr>
                <w:rFonts w:hint="default" w:ascii="Times New Roman" w:hAnsi="Times New Roman" w:eastAsia="宋体" w:cs="Times New Roman"/>
                <w:sz w:val="21"/>
                <w:highlight w:val="none"/>
                <w:lang w:val="en-US" w:eastAsia="zh-CN"/>
              </w:rPr>
              <w:t>其他情况</w:t>
            </w:r>
          </w:p>
        </w:tc>
      </w:tr>
    </w:tbl>
    <w:p w14:paraId="52A2BD04">
      <w:pPr>
        <w:keepNext w:val="0"/>
        <w:keepLines w:val="0"/>
        <w:pageBreakBefore w:val="0"/>
        <w:widowControl/>
        <w:kinsoku/>
        <w:wordWrap/>
        <w:overflowPunct/>
        <w:topLinePunct w:val="0"/>
        <w:autoSpaceDE/>
        <w:autoSpaceDN/>
        <w:bidi w:val="0"/>
        <w:adjustRightInd/>
        <w:snapToGrid w:val="0"/>
        <w:spacing w:before="157" w:beforeLines="50"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根据《环境影响评价技术导则 土壤环境（试行）》（HJ964-2018），本项目评价等级划分见表</w:t>
      </w:r>
      <w:r>
        <w:rPr>
          <w:rFonts w:hint="eastAsia" w:ascii="Times New Roman" w:hAnsi="Times New Roman" w:eastAsia="宋体" w:cs="Times New Roman"/>
          <w:sz w:val="24"/>
          <w:szCs w:val="24"/>
          <w:highlight w:val="none"/>
          <w:lang w:val="en-US" w:eastAsia="zh-CN"/>
        </w:rPr>
        <w:t>5.2-</w:t>
      </w:r>
      <w:r>
        <w:rPr>
          <w:rFonts w:hint="eastAsia" w:cs="Times New Roman"/>
          <w:sz w:val="24"/>
          <w:szCs w:val="24"/>
          <w:highlight w:val="none"/>
          <w:lang w:val="en-US" w:eastAsia="zh-CN"/>
        </w:rPr>
        <w:t>27</w:t>
      </w:r>
      <w:r>
        <w:rPr>
          <w:rFonts w:hint="default" w:ascii="Times New Roman" w:hAnsi="Times New Roman" w:eastAsia="宋体" w:cs="Times New Roman"/>
          <w:sz w:val="24"/>
          <w:szCs w:val="24"/>
          <w:highlight w:val="none"/>
          <w:lang w:val="en-US" w:eastAsia="zh-CN"/>
        </w:rPr>
        <w:t>。</w:t>
      </w:r>
    </w:p>
    <w:p w14:paraId="390CA633">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lang w:val="en-US" w:eastAsia="zh-CN"/>
        </w:rPr>
        <w:t>表</w:t>
      </w:r>
      <w:r>
        <w:rPr>
          <w:rFonts w:hint="eastAsia" w:ascii="Times New Roman" w:hAnsi="Times New Roman" w:eastAsia="宋体" w:cs="Times New Roman"/>
          <w:b/>
          <w:bCs/>
          <w:sz w:val="24"/>
          <w:szCs w:val="24"/>
          <w:highlight w:val="none"/>
          <w:lang w:val="en-US" w:eastAsia="zh-CN"/>
        </w:rPr>
        <w:t>5.2-</w:t>
      </w:r>
      <w:r>
        <w:rPr>
          <w:rFonts w:hint="eastAsia" w:cs="Times New Roman"/>
          <w:b/>
          <w:bCs/>
          <w:sz w:val="24"/>
          <w:szCs w:val="24"/>
          <w:highlight w:val="none"/>
          <w:lang w:val="en-US" w:eastAsia="zh-CN"/>
        </w:rPr>
        <w:t>27</w:t>
      </w:r>
      <w:r>
        <w:rPr>
          <w:rFonts w:hint="default" w:ascii="Times New Roman" w:hAnsi="Times New Roman" w:eastAsia="宋体" w:cs="Times New Roman"/>
          <w:b/>
          <w:bCs/>
          <w:sz w:val="24"/>
          <w:szCs w:val="24"/>
          <w:highlight w:val="none"/>
          <w:lang w:val="en-US" w:eastAsia="zh-CN"/>
        </w:rPr>
        <w:t xml:space="preserve"> 污染影响型评价工作等级划分表</w:t>
      </w:r>
    </w:p>
    <w:tbl>
      <w:tblPr>
        <w:tblStyle w:val="40"/>
        <w:tblW w:w="4998"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67"/>
        <w:gridCol w:w="737"/>
        <w:gridCol w:w="737"/>
        <w:gridCol w:w="737"/>
        <w:gridCol w:w="737"/>
        <w:gridCol w:w="737"/>
        <w:gridCol w:w="781"/>
        <w:gridCol w:w="692"/>
        <w:gridCol w:w="738"/>
        <w:gridCol w:w="750"/>
      </w:tblGrid>
      <w:tr w14:paraId="6A5AA3A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6" w:hRule="atLeast"/>
        </w:trPr>
        <w:tc>
          <w:tcPr>
            <w:tcW w:w="1096" w:type="pct"/>
            <w:vMerge w:val="restart"/>
            <w:tcBorders>
              <w:tl2br w:val="nil"/>
              <w:tr2bl w:val="nil"/>
            </w:tcBorders>
            <w:noWrap w:val="0"/>
            <w:vAlign w:val="top"/>
            <mc:AlternateContent>
              <mc:Choice Requires="wpsCustomData">
                <wpsCustomData:diagonals>
                  <wpsCustomData:diagonal from="30000" to="13700">
                    <wpsCustomData:border w:val="single" w:color="auto" w:sz="18" w:space="0"/>
                  </wpsCustomData:diagonal>
                  <wpsCustomData:diagonal from="30000" to="6600">
                    <wpsCustomData:border w:val="single" w:color="auto" w:sz="18" w:space="0"/>
                  </wpsCustomData:diagonal>
                </wpsCustomData:diagonals>
              </mc:Choice>
            </mc:AlternateContent>
          </w:tcPr>
          <w:p w14:paraId="78C0AEB4">
            <w:pPr>
              <w:snapToGrid w:val="0"/>
              <w:spacing w:line="240" w:lineRule="auto"/>
              <mc:AlternateContent>
                <mc:Choice Requires="wpsCustomData">
                  <wpsCustomData:diagonalParaType/>
                </mc:Choice>
              </mc:AlternateContent>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敏感程度</w:t>
            </w:r>
          </w:p>
          <w:p w14:paraId="73BD4036">
            <w:pPr>
              <w:snapToGrid w:val="0"/>
              <w:spacing w:line="240" w:lineRule="auto"/>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评价</w:t>
            </w:r>
          </w:p>
          <w:p w14:paraId="21D7CE92">
            <w:pPr>
              <w:snapToGrid w:val="0"/>
              <w:spacing w:line="240" w:lineRule="auto"/>
              <mc:AlternateContent>
                <mc:Choice Requires="wpsCustomData">
                  <wpsCustomData:diagonalParaType/>
                </mc:Choice>
              </mc:AlternateContent>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等级</w:t>
            </w:r>
          </w:p>
          <w:p w14:paraId="5F479466">
            <w:pP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占地</w:t>
            </w:r>
          </w:p>
          <w:p w14:paraId="02CFC605">
            <w:pP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规模</w:t>
            </w:r>
          </w:p>
        </w:tc>
        <w:tc>
          <w:tcPr>
            <w:tcW w:w="1299" w:type="pct"/>
            <w:gridSpan w:val="3"/>
            <w:tcBorders>
              <w:tl2br w:val="nil"/>
              <w:tr2bl w:val="nil"/>
            </w:tcBorders>
            <w:noWrap w:val="0"/>
            <w:vAlign w:val="center"/>
          </w:tcPr>
          <w:p w14:paraId="5A3D078A">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zh-CN"/>
              </w:rPr>
              <w:t>Ⅰ类</w:t>
            </w:r>
          </w:p>
        </w:tc>
        <w:tc>
          <w:tcPr>
            <w:tcW w:w="1324" w:type="pct"/>
            <w:gridSpan w:val="3"/>
            <w:tcBorders>
              <w:tl2br w:val="nil"/>
              <w:tr2bl w:val="nil"/>
            </w:tcBorders>
            <w:noWrap w:val="0"/>
            <w:vAlign w:val="center"/>
          </w:tcPr>
          <w:p w14:paraId="7AB27DBF">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zh-CN"/>
              </w:rPr>
              <w:t>Ⅱ类</w:t>
            </w:r>
          </w:p>
        </w:tc>
        <w:tc>
          <w:tcPr>
            <w:tcW w:w="1279" w:type="pct"/>
            <w:gridSpan w:val="3"/>
            <w:tcBorders>
              <w:tl2br w:val="nil"/>
              <w:tr2bl w:val="nil"/>
            </w:tcBorders>
            <w:noWrap w:val="0"/>
            <w:vAlign w:val="center"/>
          </w:tcPr>
          <w:p w14:paraId="70336F20">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sz w:val="21"/>
                <w:szCs w:val="21"/>
                <w:highlight w:val="none"/>
                <w:vertAlign w:val="baseline"/>
                <w:lang w:val="zh-CN"/>
              </w:rPr>
              <w:t>Ⅲ类</w:t>
            </w:r>
          </w:p>
        </w:tc>
      </w:tr>
      <w:tr w14:paraId="08B42E9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1096" w:type="pct"/>
            <w:vMerge w:val="continue"/>
            <w:tcBorders>
              <w:tl2br w:val="nil"/>
              <w:tr2bl w:val="nil"/>
            </w:tcBorders>
            <w:noWrap w:val="0"/>
            <w:vAlign w:val="top"/>
          </w:tcPr>
          <w:p w14:paraId="1EA073E4">
            <w:pPr>
              <w:rPr>
                <w:rFonts w:hint="default" w:ascii="Times New Roman" w:hAnsi="Times New Roman" w:eastAsia="宋体" w:cs="Times New Roman"/>
                <w:b/>
                <w:bCs/>
                <w:kern w:val="2"/>
                <w:sz w:val="21"/>
                <w:szCs w:val="21"/>
                <w:highlight w:val="none"/>
                <w:vertAlign w:val="baseline"/>
                <w:lang w:val="en-US" w:eastAsia="zh-CN" w:bidi="ar-SA"/>
              </w:rPr>
            </w:pPr>
          </w:p>
        </w:tc>
        <w:tc>
          <w:tcPr>
            <w:tcW w:w="433" w:type="pct"/>
            <w:tcBorders>
              <w:tl2br w:val="nil"/>
              <w:tr2bl w:val="nil"/>
            </w:tcBorders>
            <w:noWrap w:val="0"/>
            <w:vAlign w:val="center"/>
          </w:tcPr>
          <w:p w14:paraId="6D7D4B92">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大</w:t>
            </w:r>
          </w:p>
        </w:tc>
        <w:tc>
          <w:tcPr>
            <w:tcW w:w="433" w:type="pct"/>
            <w:tcBorders>
              <w:tl2br w:val="nil"/>
              <w:tr2bl w:val="nil"/>
            </w:tcBorders>
            <w:noWrap w:val="0"/>
            <w:vAlign w:val="center"/>
          </w:tcPr>
          <w:p w14:paraId="549FF2F6">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中</w:t>
            </w:r>
          </w:p>
        </w:tc>
        <w:tc>
          <w:tcPr>
            <w:tcW w:w="433" w:type="pct"/>
            <w:tcBorders>
              <w:tl2br w:val="nil"/>
              <w:tr2bl w:val="nil"/>
            </w:tcBorders>
            <w:noWrap w:val="0"/>
            <w:vAlign w:val="center"/>
          </w:tcPr>
          <w:p w14:paraId="10B2ED53">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小</w:t>
            </w:r>
          </w:p>
        </w:tc>
        <w:tc>
          <w:tcPr>
            <w:tcW w:w="433" w:type="pct"/>
            <w:tcBorders>
              <w:tl2br w:val="nil"/>
              <w:tr2bl w:val="nil"/>
            </w:tcBorders>
            <w:noWrap w:val="0"/>
            <w:vAlign w:val="center"/>
          </w:tcPr>
          <w:p w14:paraId="15639051">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大</w:t>
            </w:r>
          </w:p>
        </w:tc>
        <w:tc>
          <w:tcPr>
            <w:tcW w:w="433" w:type="pct"/>
            <w:tcBorders>
              <w:tl2br w:val="nil"/>
              <w:tr2bl w:val="nil"/>
            </w:tcBorders>
            <w:noWrap w:val="0"/>
            <w:vAlign w:val="center"/>
          </w:tcPr>
          <w:p w14:paraId="5EEF74A3">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中</w:t>
            </w:r>
          </w:p>
        </w:tc>
        <w:tc>
          <w:tcPr>
            <w:tcW w:w="458" w:type="pct"/>
            <w:tcBorders>
              <w:tl2br w:val="nil"/>
              <w:tr2bl w:val="nil"/>
            </w:tcBorders>
            <w:noWrap w:val="0"/>
            <w:vAlign w:val="center"/>
          </w:tcPr>
          <w:p w14:paraId="1283EF45">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小</w:t>
            </w:r>
          </w:p>
        </w:tc>
        <w:tc>
          <w:tcPr>
            <w:tcW w:w="406" w:type="pct"/>
            <w:tcBorders>
              <w:tl2br w:val="nil"/>
              <w:tr2bl w:val="nil"/>
            </w:tcBorders>
            <w:noWrap w:val="0"/>
            <w:vAlign w:val="center"/>
          </w:tcPr>
          <w:p w14:paraId="69E1788B">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大</w:t>
            </w:r>
          </w:p>
        </w:tc>
        <w:tc>
          <w:tcPr>
            <w:tcW w:w="433" w:type="pct"/>
            <w:tcBorders>
              <w:tl2br w:val="nil"/>
              <w:tr2bl w:val="nil"/>
            </w:tcBorders>
            <w:noWrap w:val="0"/>
            <w:vAlign w:val="center"/>
          </w:tcPr>
          <w:p w14:paraId="7A7A9EC2">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中</w:t>
            </w:r>
          </w:p>
        </w:tc>
        <w:tc>
          <w:tcPr>
            <w:tcW w:w="439" w:type="pct"/>
            <w:tcBorders>
              <w:tl2br w:val="nil"/>
              <w:tr2bl w:val="nil"/>
            </w:tcBorders>
            <w:noWrap w:val="0"/>
            <w:vAlign w:val="center"/>
          </w:tcPr>
          <w:p w14:paraId="1596B14B">
            <w:pPr>
              <w:jc w:val="center"/>
              <w:rPr>
                <w:rFonts w:hint="default" w:ascii="Times New Roman" w:hAnsi="Times New Roman" w:eastAsia="宋体" w:cs="Times New Roman"/>
                <w:b/>
                <w:bCs/>
                <w:kern w:val="2"/>
                <w:sz w:val="21"/>
                <w:szCs w:val="21"/>
                <w:highlight w:val="none"/>
                <w:vertAlign w:val="baseline"/>
                <w:lang w:val="en-US" w:eastAsia="zh-CN" w:bidi="ar-SA"/>
              </w:rPr>
            </w:pPr>
            <w:r>
              <w:rPr>
                <w:rFonts w:hint="default" w:ascii="Times New Roman" w:hAnsi="Times New Roman" w:eastAsia="宋体" w:cs="Times New Roman"/>
                <w:b/>
                <w:bCs/>
                <w:kern w:val="2"/>
                <w:sz w:val="21"/>
                <w:szCs w:val="21"/>
                <w:highlight w:val="none"/>
                <w:vertAlign w:val="baseline"/>
                <w:lang w:val="en-US" w:eastAsia="zh-CN" w:bidi="ar-SA"/>
              </w:rPr>
              <w:t>小</w:t>
            </w:r>
          </w:p>
        </w:tc>
      </w:tr>
      <w:tr w14:paraId="1A56D6E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1" w:hRule="atLeast"/>
        </w:trPr>
        <w:tc>
          <w:tcPr>
            <w:tcW w:w="1096" w:type="pct"/>
            <w:tcBorders>
              <w:tl2br w:val="nil"/>
              <w:tr2bl w:val="nil"/>
            </w:tcBorders>
            <w:noWrap w:val="0"/>
            <w:vAlign w:val="center"/>
          </w:tcPr>
          <w:p w14:paraId="481D1BC3">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敏感</w:t>
            </w:r>
          </w:p>
        </w:tc>
        <w:tc>
          <w:tcPr>
            <w:tcW w:w="433" w:type="pct"/>
            <w:tcBorders>
              <w:tl2br w:val="nil"/>
              <w:tr2bl w:val="nil"/>
            </w:tcBorders>
            <w:noWrap w:val="0"/>
            <w:vAlign w:val="center"/>
          </w:tcPr>
          <w:p w14:paraId="4A87D041">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0AF072C6">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575A9933">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302DB80E">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57E23F4A">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58" w:type="pct"/>
            <w:tcBorders>
              <w:tl2br w:val="nil"/>
              <w:tr2bl w:val="nil"/>
            </w:tcBorders>
            <w:noWrap w:val="0"/>
            <w:vAlign w:val="center"/>
          </w:tcPr>
          <w:p w14:paraId="7F6B7F61">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06" w:type="pct"/>
            <w:tcBorders>
              <w:tl2br w:val="nil"/>
              <w:tr2bl w:val="nil"/>
            </w:tcBorders>
            <w:noWrap w:val="0"/>
            <w:vAlign w:val="center"/>
          </w:tcPr>
          <w:p w14:paraId="0C84A68B">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3" w:type="pct"/>
            <w:tcBorders>
              <w:tl2br w:val="nil"/>
              <w:tr2bl w:val="nil"/>
            </w:tcBorders>
            <w:noWrap w:val="0"/>
            <w:vAlign w:val="center"/>
          </w:tcPr>
          <w:p w14:paraId="0ABE70D9">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9" w:type="pct"/>
            <w:tcBorders>
              <w:tl2br w:val="nil"/>
              <w:tr2bl w:val="nil"/>
            </w:tcBorders>
            <w:noWrap w:val="0"/>
            <w:vAlign w:val="center"/>
          </w:tcPr>
          <w:p w14:paraId="32A3D252">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r>
      <w:tr w14:paraId="4FB4B6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6" w:type="pct"/>
            <w:tcBorders>
              <w:tl2br w:val="nil"/>
              <w:tr2bl w:val="nil"/>
            </w:tcBorders>
            <w:noWrap w:val="0"/>
            <w:vAlign w:val="center"/>
          </w:tcPr>
          <w:p w14:paraId="24FE68C6">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较敏感</w:t>
            </w:r>
          </w:p>
        </w:tc>
        <w:tc>
          <w:tcPr>
            <w:tcW w:w="433" w:type="pct"/>
            <w:tcBorders>
              <w:tl2br w:val="nil"/>
              <w:tr2bl w:val="nil"/>
            </w:tcBorders>
            <w:noWrap w:val="0"/>
            <w:vAlign w:val="center"/>
          </w:tcPr>
          <w:p w14:paraId="012FE9BD">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12700E7F">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2698008D">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6D57C1CA">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5F8ECBC2">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58" w:type="pct"/>
            <w:tcBorders>
              <w:tl2br w:val="nil"/>
              <w:tr2bl w:val="nil"/>
            </w:tcBorders>
            <w:noWrap w:val="0"/>
            <w:vAlign w:val="center"/>
          </w:tcPr>
          <w:p w14:paraId="4BE31485">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06" w:type="pct"/>
            <w:tcBorders>
              <w:tl2br w:val="nil"/>
              <w:tr2bl w:val="nil"/>
            </w:tcBorders>
            <w:noWrap w:val="0"/>
            <w:vAlign w:val="center"/>
          </w:tcPr>
          <w:p w14:paraId="317AFA61">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3" w:type="pct"/>
            <w:tcBorders>
              <w:tl2br w:val="nil"/>
              <w:tr2bl w:val="nil"/>
            </w:tcBorders>
            <w:noWrap w:val="0"/>
            <w:vAlign w:val="center"/>
          </w:tcPr>
          <w:p w14:paraId="38EA26C9">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9" w:type="pct"/>
            <w:tcBorders>
              <w:tl2br w:val="nil"/>
              <w:tr2bl w:val="nil"/>
            </w:tcBorders>
            <w:noWrap w:val="0"/>
            <w:vAlign w:val="center"/>
          </w:tcPr>
          <w:p w14:paraId="16212404">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w:t>
            </w:r>
          </w:p>
        </w:tc>
      </w:tr>
      <w:tr w14:paraId="63AEB7B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96" w:type="pct"/>
            <w:tcBorders>
              <w:tl2br w:val="nil"/>
              <w:tr2bl w:val="nil"/>
            </w:tcBorders>
            <w:noWrap w:val="0"/>
            <w:vAlign w:val="center"/>
          </w:tcPr>
          <w:p w14:paraId="123CFBE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vertAlign w:val="baseline"/>
                <w:lang w:val="en-US" w:eastAsia="zh-CN" w:bidi="ar-SA"/>
              </w:rPr>
            </w:pPr>
            <w:r>
              <w:rPr>
                <w:rFonts w:hint="default" w:ascii="Times New Roman" w:hAnsi="Times New Roman" w:eastAsia="宋体" w:cs="Times New Roman"/>
                <w:sz w:val="21"/>
                <w:szCs w:val="21"/>
                <w:highlight w:val="none"/>
                <w:vertAlign w:val="baseline"/>
                <w:lang w:val="en-US" w:eastAsia="zh-CN"/>
              </w:rPr>
              <w:t>不敏感</w:t>
            </w:r>
          </w:p>
        </w:tc>
        <w:tc>
          <w:tcPr>
            <w:tcW w:w="433" w:type="pct"/>
            <w:tcBorders>
              <w:tl2br w:val="nil"/>
              <w:tr2bl w:val="nil"/>
            </w:tcBorders>
            <w:noWrap w:val="0"/>
            <w:vAlign w:val="center"/>
          </w:tcPr>
          <w:p w14:paraId="070519B8">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一级</w:t>
            </w:r>
          </w:p>
        </w:tc>
        <w:tc>
          <w:tcPr>
            <w:tcW w:w="433" w:type="pct"/>
            <w:tcBorders>
              <w:tl2br w:val="nil"/>
              <w:tr2bl w:val="nil"/>
            </w:tcBorders>
            <w:noWrap w:val="0"/>
            <w:vAlign w:val="center"/>
          </w:tcPr>
          <w:p w14:paraId="71732066">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5F1A53BB">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26482918">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二级</w:t>
            </w:r>
          </w:p>
        </w:tc>
        <w:tc>
          <w:tcPr>
            <w:tcW w:w="433" w:type="pct"/>
            <w:tcBorders>
              <w:tl2br w:val="nil"/>
              <w:tr2bl w:val="nil"/>
            </w:tcBorders>
            <w:noWrap w:val="0"/>
            <w:vAlign w:val="center"/>
          </w:tcPr>
          <w:p w14:paraId="421678C3">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58" w:type="pct"/>
            <w:tcBorders>
              <w:tl2br w:val="nil"/>
              <w:tr2bl w:val="nil"/>
            </w:tcBorders>
            <w:noWrap w:val="0"/>
            <w:vAlign w:val="center"/>
          </w:tcPr>
          <w:p w14:paraId="116B34B8">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06" w:type="pct"/>
            <w:tcBorders>
              <w:tl2br w:val="nil"/>
              <w:tr2bl w:val="nil"/>
            </w:tcBorders>
            <w:noWrap w:val="0"/>
            <w:vAlign w:val="center"/>
          </w:tcPr>
          <w:p w14:paraId="36AD59B2">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三级</w:t>
            </w:r>
          </w:p>
        </w:tc>
        <w:tc>
          <w:tcPr>
            <w:tcW w:w="433" w:type="pct"/>
            <w:tcBorders>
              <w:tl2br w:val="nil"/>
              <w:tr2bl w:val="nil"/>
            </w:tcBorders>
            <w:noWrap w:val="0"/>
            <w:vAlign w:val="center"/>
          </w:tcPr>
          <w:p w14:paraId="65705521">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w:t>
            </w:r>
          </w:p>
        </w:tc>
        <w:tc>
          <w:tcPr>
            <w:tcW w:w="439" w:type="pct"/>
            <w:tcBorders>
              <w:tl2br w:val="nil"/>
              <w:tr2bl w:val="nil"/>
            </w:tcBorders>
            <w:noWrap w:val="0"/>
            <w:vAlign w:val="center"/>
          </w:tcPr>
          <w:p w14:paraId="09CA9147">
            <w:pPr>
              <w:jc w:val="center"/>
              <w:rPr>
                <w:rFonts w:hint="default" w:ascii="Times New Roman" w:hAnsi="Times New Roman" w:eastAsia="宋体" w:cs="Times New Roman"/>
                <w:b w:val="0"/>
                <w:bCs w:val="0"/>
                <w:kern w:val="2"/>
                <w:sz w:val="21"/>
                <w:szCs w:val="21"/>
                <w:highlight w:val="none"/>
                <w:vertAlign w:val="baseline"/>
                <w:lang w:val="en-US" w:eastAsia="zh-CN" w:bidi="ar-SA"/>
              </w:rPr>
            </w:pPr>
            <w:r>
              <w:rPr>
                <w:rFonts w:hint="default" w:ascii="Times New Roman" w:hAnsi="Times New Roman" w:eastAsia="宋体" w:cs="Times New Roman"/>
                <w:b w:val="0"/>
                <w:bCs w:val="0"/>
                <w:kern w:val="2"/>
                <w:sz w:val="21"/>
                <w:szCs w:val="21"/>
                <w:highlight w:val="none"/>
                <w:vertAlign w:val="baseline"/>
                <w:lang w:val="en-US" w:eastAsia="zh-CN" w:bidi="ar-SA"/>
              </w:rPr>
              <w:t>-</w:t>
            </w:r>
          </w:p>
        </w:tc>
      </w:tr>
    </w:tbl>
    <w:p w14:paraId="7D5AF770">
      <w:pPr>
        <w:spacing w:line="360" w:lineRule="auto"/>
        <w:ind w:firstLine="480" w:firstLineChars="200"/>
        <w:rPr>
          <w:rFonts w:hint="default" w:ascii="Times New Roman" w:hAnsi="Times New Roman" w:cs="Times New Roman"/>
        </w:rPr>
      </w:pPr>
      <w:r>
        <w:rPr>
          <w:rFonts w:hint="default" w:ascii="Times New Roman" w:hAnsi="Times New Roman" w:cs="Times New Roman"/>
        </w:rPr>
        <w:t>根据《环境影响评价技术导则 土壤环境（试行）》（HJ964-2018），污染影响型项目工程永久占地面积分为大型（≥50hm</w:t>
      </w:r>
      <w:r>
        <w:rPr>
          <w:rFonts w:hint="default" w:ascii="Times New Roman" w:hAnsi="Times New Roman" w:cs="Times New Roman"/>
          <w:vertAlign w:val="superscript"/>
        </w:rPr>
        <w:t>2</w:t>
      </w:r>
      <w:r>
        <w:rPr>
          <w:rFonts w:hint="default" w:ascii="Times New Roman" w:hAnsi="Times New Roman" w:cs="Times New Roman"/>
        </w:rPr>
        <w:t>）、中型（5~50hm</w:t>
      </w:r>
      <w:r>
        <w:rPr>
          <w:rFonts w:hint="default" w:ascii="Times New Roman" w:hAnsi="Times New Roman" w:cs="Times New Roman"/>
          <w:vertAlign w:val="superscript"/>
        </w:rPr>
        <w:t>2</w:t>
      </w:r>
      <w:r>
        <w:rPr>
          <w:rFonts w:hint="default" w:ascii="Times New Roman" w:hAnsi="Times New Roman" w:cs="Times New Roman"/>
        </w:rPr>
        <w:t>）、小型（≤5hm</w:t>
      </w:r>
      <w:r>
        <w:rPr>
          <w:rFonts w:hint="default" w:ascii="Times New Roman" w:hAnsi="Times New Roman" w:cs="Times New Roman"/>
          <w:vertAlign w:val="superscript"/>
        </w:rPr>
        <w:t>2</w:t>
      </w:r>
      <w:r>
        <w:rPr>
          <w:rFonts w:hint="default" w:ascii="Times New Roman" w:hAnsi="Times New Roman" w:cs="Times New Roman"/>
        </w:rPr>
        <w:t>）Ⅰ类。本项目位于现水泥厂内预留用地，项目无新增用地，本项目占地面积约2000m</w:t>
      </w:r>
      <w:r>
        <w:rPr>
          <w:rFonts w:hint="default" w:ascii="Times New Roman" w:hAnsi="Times New Roman" w:cs="Times New Roman"/>
          <w:vertAlign w:val="superscript"/>
        </w:rPr>
        <w:t>2</w:t>
      </w:r>
      <w:r>
        <w:rPr>
          <w:rFonts w:hint="default" w:ascii="Times New Roman" w:hAnsi="Times New Roman" w:cs="Times New Roman"/>
        </w:rPr>
        <w:t>（0.2hm</w:t>
      </w:r>
      <w:r>
        <w:rPr>
          <w:rFonts w:hint="default" w:ascii="Times New Roman" w:hAnsi="Times New Roman" w:cs="Times New Roman"/>
          <w:vertAlign w:val="superscript"/>
        </w:rPr>
        <w:t>2</w:t>
      </w:r>
      <w:r>
        <w:rPr>
          <w:rFonts w:hint="default" w:ascii="Times New Roman" w:hAnsi="Times New Roman" w:cs="Times New Roman"/>
        </w:rPr>
        <w:t>），管线采用架空管线，占地规模为小型。</w:t>
      </w:r>
      <w:r>
        <w:rPr>
          <w:rFonts w:hint="default" w:ascii="Times New Roman" w:hAnsi="Times New Roman" w:eastAsia="宋体" w:cs="Times New Roman"/>
          <w:sz w:val="24"/>
          <w:szCs w:val="24"/>
          <w:highlight w:val="none"/>
        </w:rPr>
        <w:t>项目周边不存在居民区及农用地等土壤环境敏感目标，敏感程度为“不敏感”，因此按照</w:t>
      </w:r>
      <w:r>
        <w:rPr>
          <w:rFonts w:hint="default" w:ascii="Times New Roman" w:hAnsi="Times New Roman" w:eastAsia="宋体" w:cs="Times New Roman"/>
          <w:sz w:val="24"/>
          <w:szCs w:val="24"/>
          <w:highlight w:val="none"/>
          <w:lang w:val="en-US" w:eastAsia="zh-CN"/>
        </w:rPr>
        <w:t>表2.4-8进行划分</w:t>
      </w:r>
      <w:r>
        <w:rPr>
          <w:rFonts w:hint="default" w:ascii="Times New Roman" w:hAnsi="Times New Roman" w:eastAsia="宋体" w:cs="Times New Roman"/>
          <w:sz w:val="24"/>
          <w:szCs w:val="24"/>
          <w:highlight w:val="none"/>
        </w:rPr>
        <w:t>，本项目</w:t>
      </w:r>
      <w:r>
        <w:rPr>
          <w:rFonts w:hint="default" w:ascii="Times New Roman" w:hAnsi="Times New Roman" w:eastAsia="宋体" w:cs="Times New Roman"/>
          <w:sz w:val="24"/>
          <w:szCs w:val="24"/>
          <w:highlight w:val="none"/>
          <w:lang w:val="en-US" w:eastAsia="zh-CN"/>
        </w:rPr>
        <w:t>土壤</w:t>
      </w:r>
      <w:r>
        <w:rPr>
          <w:rFonts w:hint="default" w:ascii="Times New Roman" w:hAnsi="Times New Roman" w:eastAsia="宋体" w:cs="Times New Roman"/>
          <w:sz w:val="24"/>
          <w:szCs w:val="24"/>
          <w:highlight w:val="none"/>
        </w:rPr>
        <w:t>评价工作等级定为</w:t>
      </w:r>
      <w:r>
        <w:rPr>
          <w:rFonts w:hint="default" w:ascii="Times New Roman" w:hAnsi="Times New Roman" w:cs="Times New Roman"/>
          <w:sz w:val="24"/>
          <w:szCs w:val="24"/>
          <w:highlight w:val="none"/>
          <w:lang w:val="en-US" w:eastAsia="zh-CN"/>
        </w:rPr>
        <w:t>二</w:t>
      </w:r>
      <w:r>
        <w:rPr>
          <w:rFonts w:hint="default" w:ascii="Times New Roman" w:hAnsi="Times New Roman" w:eastAsia="宋体" w:cs="Times New Roman"/>
          <w:sz w:val="24"/>
          <w:szCs w:val="24"/>
          <w:highlight w:val="none"/>
        </w:rPr>
        <w:t>级。</w:t>
      </w:r>
    </w:p>
    <w:p w14:paraId="2F9B0BD6">
      <w:pPr>
        <w:spacing w:line="360" w:lineRule="auto"/>
        <w:ind w:firstLine="480" w:firstLineChars="200"/>
        <w:rPr>
          <w:rFonts w:hint="default" w:ascii="Times New Roman" w:hAnsi="Times New Roman" w:eastAsia="宋体" w:cs="Times New Roman"/>
          <w:b w:val="0"/>
          <w:bCs w:val="0"/>
          <w:sz w:val="24"/>
          <w:szCs w:val="24"/>
          <w:u w:val="none"/>
          <w:lang w:val="en-US" w:eastAsia="zh-CN"/>
        </w:rPr>
      </w:pPr>
      <w:r>
        <w:rPr>
          <w:rFonts w:hint="eastAsia" w:ascii="Times New Roman" w:hAnsi="Times New Roman" w:eastAsia="宋体" w:cs="Times New Roman"/>
          <w:b w:val="0"/>
          <w:bCs w:val="0"/>
          <w:sz w:val="24"/>
          <w:szCs w:val="24"/>
          <w:u w:val="none"/>
          <w:lang w:val="en-US" w:eastAsia="zh-CN"/>
        </w:rPr>
        <w:t>（2）影响类型及途径</w:t>
      </w:r>
    </w:p>
    <w:p w14:paraId="7634538E">
      <w:pPr>
        <w:spacing w:line="360" w:lineRule="auto"/>
        <w:ind w:firstLine="480" w:firstLineChars="200"/>
        <w:rPr>
          <w:b w:val="0"/>
          <w:bCs w:val="0"/>
          <w:sz w:val="24"/>
          <w:u w:val="none"/>
        </w:rPr>
      </w:pPr>
      <w:r>
        <w:t>本项目的建设不会引起土壤环境的酸化、盐化和碱化，不属于生态影响型，属于污染影响型。</w:t>
      </w:r>
      <w:bookmarkStart w:id="224" w:name="_Hlk151236041"/>
      <w:r>
        <w:t>本项目运营期环境影响识别主要针对排放的大气污染物和废水污染物，重点关注大气沉降及事故工况下废物储存区泄露对土壤产生的影响等</w:t>
      </w:r>
      <w:bookmarkEnd w:id="224"/>
      <w:r>
        <w:rPr>
          <w:rFonts w:hint="eastAsia"/>
          <w:lang w:eastAsia="zh-CN"/>
        </w:rPr>
        <w:t>，</w:t>
      </w:r>
      <w:r>
        <w:rPr>
          <w:rFonts w:hint="eastAsia"/>
          <w:lang w:val="en-US" w:eastAsia="zh-CN"/>
        </w:rPr>
        <w:t>因本项目焚烧处置的危险非物质不含有重金属、氯、氟等，因此协同处置废气污染物中无重金属、二噁英等污染物，</w:t>
      </w:r>
      <w:r>
        <w:rPr>
          <w:rFonts w:hint="eastAsia"/>
          <w:b w:val="0"/>
          <w:bCs w:val="0"/>
          <w:sz w:val="24"/>
          <w:u w:val="none"/>
        </w:rPr>
        <w:t>本项目对土壤环境的影响类型和途径见表</w:t>
      </w:r>
      <w:r>
        <w:rPr>
          <w:rFonts w:hint="eastAsia"/>
          <w:b w:val="0"/>
          <w:bCs w:val="0"/>
          <w:sz w:val="24"/>
          <w:u w:val="none"/>
          <w:lang w:val="en-US" w:eastAsia="zh-CN"/>
        </w:rPr>
        <w:t>5.2-28</w:t>
      </w:r>
      <w:r>
        <w:rPr>
          <w:rFonts w:hint="eastAsia"/>
          <w:b w:val="0"/>
          <w:bCs w:val="0"/>
          <w:sz w:val="24"/>
          <w:u w:val="none"/>
        </w:rPr>
        <w:t>，项目土壤环境影响源及影响因子识别见表5</w:t>
      </w:r>
      <w:r>
        <w:rPr>
          <w:rFonts w:hint="eastAsia"/>
          <w:b w:val="0"/>
          <w:bCs w:val="0"/>
          <w:sz w:val="24"/>
          <w:u w:val="none"/>
          <w:lang w:val="en-US" w:eastAsia="zh-CN"/>
        </w:rPr>
        <w:t>.2-29</w:t>
      </w:r>
      <w:r>
        <w:rPr>
          <w:rFonts w:hint="eastAsia"/>
          <w:b w:val="0"/>
          <w:bCs w:val="0"/>
          <w:sz w:val="24"/>
          <w:u w:val="none"/>
        </w:rPr>
        <w:t>。</w:t>
      </w:r>
    </w:p>
    <w:p w14:paraId="3FE88123">
      <w:pPr>
        <w:jc w:val="center"/>
        <w:rPr>
          <w:b/>
          <w:bCs/>
          <w:sz w:val="24"/>
          <w:szCs w:val="24"/>
          <w:u w:val="none"/>
        </w:rPr>
      </w:pPr>
      <w:r>
        <w:rPr>
          <w:rFonts w:hint="eastAsia"/>
          <w:b/>
          <w:bCs/>
          <w:sz w:val="24"/>
          <w:szCs w:val="24"/>
          <w:u w:val="none"/>
        </w:rPr>
        <w:t>表5</w:t>
      </w:r>
      <w:r>
        <w:rPr>
          <w:rFonts w:hint="eastAsia"/>
          <w:b/>
          <w:bCs/>
          <w:sz w:val="24"/>
          <w:szCs w:val="24"/>
          <w:u w:val="none"/>
          <w:lang w:val="en-US" w:eastAsia="zh-CN"/>
        </w:rPr>
        <w:t>.2-28</w:t>
      </w:r>
      <w:r>
        <w:rPr>
          <w:rFonts w:hint="eastAsia"/>
          <w:b/>
          <w:bCs/>
          <w:sz w:val="24"/>
          <w:szCs w:val="24"/>
          <w:u w:val="none"/>
        </w:rPr>
        <w:t xml:space="preserve"> 本项目土壤影响类型与途径表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22"/>
        <w:gridCol w:w="2733"/>
        <w:gridCol w:w="2130"/>
        <w:gridCol w:w="2131"/>
      </w:tblGrid>
      <w:tr w14:paraId="4615F1D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 w:type="pct"/>
            <w:vMerge w:val="restart"/>
            <w:tcBorders>
              <w:tl2br w:val="nil"/>
              <w:tr2bl w:val="nil"/>
            </w:tcBorders>
            <w:noWrap w:val="0"/>
            <w:vAlign w:val="center"/>
          </w:tcPr>
          <w:p w14:paraId="00CC56CA">
            <w:pPr>
              <w:pStyle w:val="219"/>
              <w:autoSpaceDE/>
              <w:autoSpaceDN/>
              <w:adjustRightInd/>
              <w:spacing w:before="0" w:after="0" w:line="240" w:lineRule="auto"/>
              <w:ind w:left="0"/>
              <w:rPr>
                <w:b/>
                <w:bCs/>
                <w:color w:val="auto"/>
                <w:sz w:val="21"/>
                <w:szCs w:val="21"/>
                <w:u w:val="none"/>
              </w:rPr>
            </w:pPr>
            <w:r>
              <w:rPr>
                <w:b/>
                <w:bCs/>
                <w:color w:val="auto"/>
                <w:sz w:val="21"/>
                <w:szCs w:val="21"/>
                <w:u w:val="none"/>
              </w:rPr>
              <w:t>时段</w:t>
            </w:r>
          </w:p>
        </w:tc>
        <w:tc>
          <w:tcPr>
            <w:tcW w:w="4105" w:type="pct"/>
            <w:gridSpan w:val="3"/>
            <w:tcBorders>
              <w:tl2br w:val="nil"/>
              <w:tr2bl w:val="nil"/>
            </w:tcBorders>
            <w:noWrap w:val="0"/>
            <w:vAlign w:val="center"/>
          </w:tcPr>
          <w:p w14:paraId="40E2E05D">
            <w:pPr>
              <w:pStyle w:val="219"/>
              <w:autoSpaceDE/>
              <w:autoSpaceDN/>
              <w:adjustRightInd/>
              <w:spacing w:before="0" w:after="0" w:line="240" w:lineRule="auto"/>
              <w:ind w:left="0"/>
              <w:rPr>
                <w:b/>
                <w:bCs/>
                <w:color w:val="auto"/>
                <w:sz w:val="21"/>
                <w:szCs w:val="21"/>
                <w:u w:val="none"/>
              </w:rPr>
            </w:pPr>
            <w:r>
              <w:rPr>
                <w:b/>
                <w:bCs/>
                <w:color w:val="auto"/>
                <w:sz w:val="21"/>
                <w:szCs w:val="21"/>
                <w:u w:val="none"/>
              </w:rPr>
              <w:t>污染影响型</w:t>
            </w:r>
          </w:p>
        </w:tc>
      </w:tr>
      <w:tr w14:paraId="0FC68AF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 w:type="pct"/>
            <w:vMerge w:val="continue"/>
            <w:tcBorders>
              <w:tl2br w:val="nil"/>
              <w:tr2bl w:val="nil"/>
            </w:tcBorders>
            <w:noWrap w:val="0"/>
            <w:vAlign w:val="center"/>
          </w:tcPr>
          <w:p w14:paraId="6007EBC4">
            <w:pPr>
              <w:pStyle w:val="219"/>
              <w:autoSpaceDE/>
              <w:autoSpaceDN/>
              <w:adjustRightInd/>
              <w:spacing w:before="0" w:after="0" w:line="240" w:lineRule="auto"/>
              <w:ind w:left="0"/>
              <w:rPr>
                <w:b/>
                <w:bCs/>
                <w:color w:val="auto"/>
                <w:sz w:val="21"/>
                <w:szCs w:val="21"/>
                <w:u w:val="none"/>
              </w:rPr>
            </w:pPr>
          </w:p>
        </w:tc>
        <w:tc>
          <w:tcPr>
            <w:tcW w:w="1604" w:type="pct"/>
            <w:tcBorders>
              <w:tl2br w:val="nil"/>
              <w:tr2bl w:val="nil"/>
            </w:tcBorders>
            <w:noWrap w:val="0"/>
            <w:vAlign w:val="center"/>
          </w:tcPr>
          <w:p w14:paraId="494A0399">
            <w:pPr>
              <w:pStyle w:val="219"/>
              <w:autoSpaceDE/>
              <w:autoSpaceDN/>
              <w:adjustRightInd/>
              <w:spacing w:before="0" w:after="0" w:line="240" w:lineRule="auto"/>
              <w:ind w:left="0"/>
              <w:rPr>
                <w:b/>
                <w:bCs/>
                <w:color w:val="auto"/>
                <w:sz w:val="21"/>
                <w:szCs w:val="21"/>
                <w:u w:val="none"/>
              </w:rPr>
            </w:pPr>
            <w:r>
              <w:rPr>
                <w:b/>
                <w:bCs/>
                <w:color w:val="auto"/>
                <w:sz w:val="21"/>
                <w:szCs w:val="21"/>
                <w:u w:val="none"/>
              </w:rPr>
              <w:t>大气沉降</w:t>
            </w:r>
          </w:p>
        </w:tc>
        <w:tc>
          <w:tcPr>
            <w:tcW w:w="1250" w:type="pct"/>
            <w:tcBorders>
              <w:tl2br w:val="nil"/>
              <w:tr2bl w:val="nil"/>
            </w:tcBorders>
            <w:noWrap w:val="0"/>
            <w:vAlign w:val="center"/>
          </w:tcPr>
          <w:p w14:paraId="7A1E7207">
            <w:pPr>
              <w:pStyle w:val="219"/>
              <w:autoSpaceDE/>
              <w:autoSpaceDN/>
              <w:adjustRightInd/>
              <w:spacing w:before="0" w:after="0" w:line="240" w:lineRule="auto"/>
              <w:ind w:left="0"/>
              <w:rPr>
                <w:b/>
                <w:bCs/>
                <w:color w:val="auto"/>
                <w:sz w:val="21"/>
                <w:szCs w:val="21"/>
                <w:u w:val="none"/>
              </w:rPr>
            </w:pPr>
            <w:r>
              <w:rPr>
                <w:b/>
                <w:bCs/>
                <w:color w:val="auto"/>
                <w:sz w:val="21"/>
                <w:szCs w:val="21"/>
                <w:u w:val="none"/>
              </w:rPr>
              <w:t>地面漫流</w:t>
            </w:r>
          </w:p>
        </w:tc>
        <w:tc>
          <w:tcPr>
            <w:tcW w:w="1250" w:type="pct"/>
            <w:tcBorders>
              <w:tl2br w:val="nil"/>
              <w:tr2bl w:val="nil"/>
            </w:tcBorders>
            <w:noWrap w:val="0"/>
            <w:vAlign w:val="center"/>
          </w:tcPr>
          <w:p w14:paraId="791827EB">
            <w:pPr>
              <w:pStyle w:val="219"/>
              <w:autoSpaceDE/>
              <w:autoSpaceDN/>
              <w:adjustRightInd/>
              <w:spacing w:before="0" w:after="0" w:line="240" w:lineRule="auto"/>
              <w:ind w:left="0"/>
              <w:rPr>
                <w:b/>
                <w:bCs/>
                <w:color w:val="auto"/>
                <w:sz w:val="21"/>
                <w:szCs w:val="21"/>
                <w:u w:val="none"/>
              </w:rPr>
            </w:pPr>
            <w:r>
              <w:rPr>
                <w:b/>
                <w:bCs/>
                <w:color w:val="auto"/>
                <w:sz w:val="21"/>
                <w:szCs w:val="21"/>
                <w:u w:val="none"/>
              </w:rPr>
              <w:t>垂直入渗</w:t>
            </w:r>
          </w:p>
        </w:tc>
      </w:tr>
      <w:tr w14:paraId="6688DA6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 w:type="pct"/>
            <w:tcBorders>
              <w:tl2br w:val="nil"/>
              <w:tr2bl w:val="nil"/>
            </w:tcBorders>
            <w:noWrap w:val="0"/>
            <w:vAlign w:val="center"/>
          </w:tcPr>
          <w:p w14:paraId="6B581FBC">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建设期</w:t>
            </w:r>
          </w:p>
        </w:tc>
        <w:tc>
          <w:tcPr>
            <w:tcW w:w="1604" w:type="pct"/>
            <w:tcBorders>
              <w:tl2br w:val="nil"/>
              <w:tr2bl w:val="nil"/>
            </w:tcBorders>
            <w:noWrap w:val="0"/>
            <w:vAlign w:val="center"/>
          </w:tcPr>
          <w:p w14:paraId="7A0E23CC">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w:t>
            </w:r>
          </w:p>
        </w:tc>
        <w:tc>
          <w:tcPr>
            <w:tcW w:w="1250" w:type="pct"/>
            <w:tcBorders>
              <w:tl2br w:val="nil"/>
              <w:tr2bl w:val="nil"/>
            </w:tcBorders>
            <w:noWrap w:val="0"/>
            <w:vAlign w:val="center"/>
          </w:tcPr>
          <w:p w14:paraId="3182E30C">
            <w:pPr>
              <w:pStyle w:val="219"/>
              <w:autoSpaceDE/>
              <w:autoSpaceDN/>
              <w:adjustRightInd/>
              <w:spacing w:before="0" w:after="0" w:line="240" w:lineRule="auto"/>
              <w:ind w:left="0"/>
              <w:rPr>
                <w:rFonts w:hint="eastAsia" w:eastAsia="宋体"/>
                <w:b w:val="0"/>
                <w:bCs w:val="0"/>
                <w:color w:val="auto"/>
                <w:sz w:val="21"/>
                <w:szCs w:val="21"/>
                <w:u w:val="none"/>
                <w:lang w:eastAsia="zh-CN"/>
              </w:rPr>
            </w:pPr>
            <w:r>
              <w:rPr>
                <w:rFonts w:hint="eastAsia"/>
                <w:b w:val="0"/>
                <w:bCs w:val="0"/>
                <w:color w:val="auto"/>
                <w:sz w:val="21"/>
                <w:szCs w:val="21"/>
                <w:u w:val="none"/>
                <w:lang w:val="en-US" w:eastAsia="zh-CN"/>
              </w:rPr>
              <w:t>/</w:t>
            </w:r>
          </w:p>
        </w:tc>
        <w:tc>
          <w:tcPr>
            <w:tcW w:w="1250" w:type="pct"/>
            <w:tcBorders>
              <w:tl2br w:val="nil"/>
              <w:tr2bl w:val="nil"/>
            </w:tcBorders>
            <w:noWrap w:val="0"/>
            <w:vAlign w:val="center"/>
          </w:tcPr>
          <w:p w14:paraId="2FED1720">
            <w:pPr>
              <w:pStyle w:val="219"/>
              <w:autoSpaceDE/>
              <w:autoSpaceDN/>
              <w:adjustRightInd/>
              <w:spacing w:before="0" w:after="0" w:line="240" w:lineRule="auto"/>
              <w:ind w:left="0"/>
              <w:rPr>
                <w:rFonts w:hint="eastAsia" w:eastAsia="宋体"/>
                <w:b w:val="0"/>
                <w:bCs w:val="0"/>
                <w:color w:val="auto"/>
                <w:sz w:val="21"/>
                <w:szCs w:val="21"/>
                <w:u w:val="none"/>
                <w:lang w:eastAsia="zh-CN"/>
              </w:rPr>
            </w:pPr>
            <w:r>
              <w:rPr>
                <w:rFonts w:hint="eastAsia"/>
                <w:b w:val="0"/>
                <w:bCs w:val="0"/>
                <w:color w:val="auto"/>
                <w:sz w:val="21"/>
                <w:szCs w:val="21"/>
                <w:u w:val="none"/>
                <w:lang w:val="en-US" w:eastAsia="zh-CN"/>
              </w:rPr>
              <w:t>/</w:t>
            </w:r>
          </w:p>
        </w:tc>
      </w:tr>
      <w:tr w14:paraId="57FE86A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 w:type="pct"/>
            <w:tcBorders>
              <w:tl2br w:val="nil"/>
              <w:tr2bl w:val="nil"/>
            </w:tcBorders>
            <w:noWrap w:val="0"/>
            <w:vAlign w:val="center"/>
          </w:tcPr>
          <w:p w14:paraId="6E70538F">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运营期</w:t>
            </w:r>
          </w:p>
        </w:tc>
        <w:tc>
          <w:tcPr>
            <w:tcW w:w="1604" w:type="pct"/>
            <w:tcBorders>
              <w:tl2br w:val="nil"/>
              <w:tr2bl w:val="nil"/>
            </w:tcBorders>
            <w:noWrap w:val="0"/>
            <w:vAlign w:val="center"/>
          </w:tcPr>
          <w:p w14:paraId="3391D8D3">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w:t>
            </w:r>
          </w:p>
        </w:tc>
        <w:tc>
          <w:tcPr>
            <w:tcW w:w="1250" w:type="pct"/>
            <w:tcBorders>
              <w:tl2br w:val="nil"/>
              <w:tr2bl w:val="nil"/>
            </w:tcBorders>
            <w:noWrap w:val="0"/>
            <w:vAlign w:val="center"/>
          </w:tcPr>
          <w:p w14:paraId="118E3B7B">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w:t>
            </w:r>
          </w:p>
        </w:tc>
        <w:tc>
          <w:tcPr>
            <w:tcW w:w="1250" w:type="pct"/>
            <w:tcBorders>
              <w:tl2br w:val="nil"/>
              <w:tr2bl w:val="nil"/>
            </w:tcBorders>
            <w:noWrap w:val="0"/>
            <w:vAlign w:val="center"/>
          </w:tcPr>
          <w:p w14:paraId="47B09BB2">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w:t>
            </w:r>
          </w:p>
        </w:tc>
      </w:tr>
      <w:tr w14:paraId="4844459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 w:type="pct"/>
            <w:tcBorders>
              <w:tl2br w:val="nil"/>
              <w:tr2bl w:val="nil"/>
            </w:tcBorders>
            <w:noWrap w:val="0"/>
            <w:vAlign w:val="center"/>
          </w:tcPr>
          <w:p w14:paraId="51CEA32B">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服务期满后</w:t>
            </w:r>
          </w:p>
        </w:tc>
        <w:tc>
          <w:tcPr>
            <w:tcW w:w="1604" w:type="pct"/>
            <w:tcBorders>
              <w:tl2br w:val="nil"/>
              <w:tr2bl w:val="nil"/>
            </w:tcBorders>
            <w:noWrap w:val="0"/>
            <w:vAlign w:val="center"/>
          </w:tcPr>
          <w:p w14:paraId="614CD299">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w:t>
            </w:r>
          </w:p>
        </w:tc>
        <w:tc>
          <w:tcPr>
            <w:tcW w:w="1250" w:type="pct"/>
            <w:tcBorders>
              <w:tl2br w:val="nil"/>
              <w:tr2bl w:val="nil"/>
            </w:tcBorders>
            <w:noWrap w:val="0"/>
            <w:vAlign w:val="center"/>
          </w:tcPr>
          <w:p w14:paraId="426725F4">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w:t>
            </w:r>
          </w:p>
        </w:tc>
        <w:tc>
          <w:tcPr>
            <w:tcW w:w="1250" w:type="pct"/>
            <w:tcBorders>
              <w:tl2br w:val="nil"/>
              <w:tr2bl w:val="nil"/>
            </w:tcBorders>
            <w:noWrap w:val="0"/>
            <w:vAlign w:val="center"/>
          </w:tcPr>
          <w:p w14:paraId="5890593A">
            <w:pPr>
              <w:pStyle w:val="219"/>
              <w:autoSpaceDE/>
              <w:autoSpaceDN/>
              <w:adjustRightInd/>
              <w:spacing w:before="0" w:after="0" w:line="240" w:lineRule="auto"/>
              <w:ind w:left="0"/>
              <w:rPr>
                <w:b w:val="0"/>
                <w:bCs w:val="0"/>
                <w:color w:val="auto"/>
                <w:sz w:val="21"/>
                <w:szCs w:val="21"/>
                <w:u w:val="none"/>
              </w:rPr>
            </w:pPr>
            <w:r>
              <w:rPr>
                <w:b w:val="0"/>
                <w:bCs w:val="0"/>
                <w:color w:val="auto"/>
                <w:sz w:val="21"/>
                <w:szCs w:val="21"/>
                <w:u w:val="none"/>
              </w:rPr>
              <w:t>/</w:t>
            </w:r>
          </w:p>
        </w:tc>
      </w:tr>
    </w:tbl>
    <w:p w14:paraId="19A34B5A">
      <w:pPr>
        <w:keepNext w:val="0"/>
        <w:keepLines w:val="0"/>
        <w:pageBreakBefore w:val="0"/>
        <w:widowControl w:val="0"/>
        <w:kinsoku/>
        <w:wordWrap/>
        <w:overflowPunct/>
        <w:topLinePunct w:val="0"/>
        <w:autoSpaceDE/>
        <w:autoSpaceDN/>
        <w:bidi w:val="0"/>
        <w:adjustRightInd/>
        <w:snapToGrid/>
        <w:jc w:val="center"/>
        <w:textAlignment w:val="auto"/>
        <w:rPr>
          <w:b/>
          <w:bCs/>
          <w:sz w:val="24"/>
          <w:szCs w:val="24"/>
          <w:u w:val="none"/>
        </w:rPr>
      </w:pPr>
      <w:r>
        <w:rPr>
          <w:rFonts w:hint="eastAsia"/>
          <w:b/>
          <w:bCs/>
          <w:sz w:val="24"/>
          <w:szCs w:val="24"/>
          <w:u w:val="none"/>
        </w:rPr>
        <w:t>表5</w:t>
      </w:r>
      <w:r>
        <w:rPr>
          <w:rFonts w:hint="eastAsia"/>
          <w:b/>
          <w:bCs/>
          <w:sz w:val="24"/>
          <w:szCs w:val="24"/>
          <w:u w:val="none"/>
          <w:lang w:val="en-US" w:eastAsia="zh-CN"/>
        </w:rPr>
        <w:t>.2-29</w:t>
      </w:r>
      <w:r>
        <w:rPr>
          <w:rFonts w:hint="eastAsia"/>
          <w:b/>
          <w:bCs/>
          <w:sz w:val="24"/>
          <w:szCs w:val="24"/>
          <w:u w:val="none"/>
        </w:rPr>
        <w:t xml:space="preserve"> 本项目土壤环境影响源及影响因子识别表</w:t>
      </w:r>
    </w:p>
    <w:tbl>
      <w:tblPr>
        <w:tblStyle w:val="39"/>
        <w:tblW w:w="4998"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10"/>
        <w:gridCol w:w="1126"/>
        <w:gridCol w:w="1126"/>
        <w:gridCol w:w="2203"/>
        <w:gridCol w:w="1848"/>
      </w:tblGrid>
      <w:tr w14:paraId="4B42B01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7" w:type="pct"/>
            <w:tcBorders>
              <w:tl2br w:val="nil"/>
              <w:tr2bl w:val="nil"/>
            </w:tcBorders>
            <w:noWrap w:val="0"/>
            <w:vAlign w:val="center"/>
          </w:tcPr>
          <w:p w14:paraId="16262133">
            <w:pPr>
              <w:pStyle w:val="219"/>
              <w:autoSpaceDE/>
              <w:autoSpaceDN/>
              <w:spacing w:before="0" w:after="0" w:line="240" w:lineRule="auto"/>
              <w:ind w:left="0"/>
              <w:rPr>
                <w:b/>
                <w:bCs/>
                <w:color w:val="auto"/>
                <w:sz w:val="21"/>
                <w:szCs w:val="21"/>
                <w:u w:val="none"/>
              </w:rPr>
            </w:pPr>
            <w:r>
              <w:rPr>
                <w:rFonts w:hint="eastAsia"/>
                <w:b/>
                <w:bCs/>
                <w:color w:val="auto"/>
                <w:sz w:val="21"/>
                <w:szCs w:val="21"/>
                <w:u w:val="none"/>
              </w:rPr>
              <w:t>污染源</w:t>
            </w:r>
          </w:p>
        </w:tc>
        <w:tc>
          <w:tcPr>
            <w:tcW w:w="661" w:type="pct"/>
            <w:tcBorders>
              <w:tl2br w:val="nil"/>
              <w:tr2bl w:val="nil"/>
            </w:tcBorders>
            <w:noWrap w:val="0"/>
            <w:vAlign w:val="center"/>
          </w:tcPr>
          <w:p w14:paraId="29F0701B">
            <w:pPr>
              <w:pStyle w:val="219"/>
              <w:autoSpaceDE/>
              <w:autoSpaceDN/>
              <w:spacing w:before="0" w:after="0" w:line="240" w:lineRule="auto"/>
              <w:ind w:left="0"/>
              <w:rPr>
                <w:rFonts w:hint="eastAsia" w:eastAsia="宋体"/>
                <w:b/>
                <w:bCs/>
                <w:color w:val="auto"/>
                <w:sz w:val="21"/>
                <w:szCs w:val="21"/>
                <w:u w:val="none"/>
                <w:lang w:val="en-US" w:eastAsia="zh-CN"/>
              </w:rPr>
            </w:pPr>
            <w:r>
              <w:rPr>
                <w:rFonts w:hint="eastAsia"/>
                <w:b/>
                <w:bCs/>
                <w:color w:val="auto"/>
                <w:sz w:val="21"/>
                <w:szCs w:val="21"/>
                <w:u w:val="none"/>
                <w:lang w:val="en-US" w:eastAsia="zh-CN"/>
              </w:rPr>
              <w:t>工艺节点</w:t>
            </w:r>
          </w:p>
        </w:tc>
        <w:tc>
          <w:tcPr>
            <w:tcW w:w="661" w:type="pct"/>
            <w:tcBorders>
              <w:tl2br w:val="nil"/>
              <w:tr2bl w:val="nil"/>
            </w:tcBorders>
            <w:shd w:val="clear" w:color="auto" w:fill="auto"/>
            <w:noWrap w:val="0"/>
            <w:vAlign w:val="center"/>
          </w:tcPr>
          <w:p w14:paraId="68AAA57E">
            <w:pPr>
              <w:pStyle w:val="219"/>
              <w:autoSpaceDE/>
              <w:autoSpaceDN/>
              <w:spacing w:before="0" w:after="0" w:line="240" w:lineRule="auto"/>
              <w:ind w:left="0" w:leftChars="0" w:firstLine="0" w:firstLineChars="0"/>
              <w:rPr>
                <w:rFonts w:hint="eastAsia" w:ascii="Times New Roman" w:hAnsi="Times New Roman" w:eastAsia="宋体" w:cs="Times New Roman"/>
                <w:b/>
                <w:bCs/>
                <w:color w:val="auto"/>
                <w:sz w:val="21"/>
                <w:szCs w:val="21"/>
                <w:u w:val="none"/>
                <w:lang w:val="en-US" w:eastAsia="zh-CN" w:bidi="ar-SA"/>
              </w:rPr>
            </w:pPr>
            <w:r>
              <w:rPr>
                <w:rFonts w:hint="eastAsia"/>
                <w:b/>
                <w:bCs/>
                <w:color w:val="auto"/>
                <w:sz w:val="21"/>
                <w:szCs w:val="21"/>
                <w:u w:val="none"/>
              </w:rPr>
              <w:t>污染因子</w:t>
            </w:r>
          </w:p>
        </w:tc>
        <w:tc>
          <w:tcPr>
            <w:tcW w:w="1293" w:type="pct"/>
            <w:tcBorders>
              <w:tl2br w:val="nil"/>
              <w:tr2bl w:val="nil"/>
            </w:tcBorders>
            <w:shd w:val="clear" w:color="auto" w:fill="auto"/>
            <w:noWrap w:val="0"/>
            <w:vAlign w:val="center"/>
          </w:tcPr>
          <w:p w14:paraId="7C97660F">
            <w:pPr>
              <w:pStyle w:val="219"/>
              <w:autoSpaceDE/>
              <w:autoSpaceDN/>
              <w:spacing w:before="0" w:after="0" w:line="240" w:lineRule="auto"/>
              <w:ind w:left="0" w:leftChars="0" w:firstLine="0" w:firstLineChars="0"/>
              <w:rPr>
                <w:rFonts w:hint="eastAsia" w:ascii="Times New Roman" w:hAnsi="Times New Roman" w:eastAsia="宋体" w:cs="Times New Roman"/>
                <w:b/>
                <w:bCs/>
                <w:color w:val="auto"/>
                <w:sz w:val="21"/>
                <w:szCs w:val="21"/>
                <w:u w:val="none"/>
                <w:lang w:val="en-US" w:eastAsia="zh-CN" w:bidi="ar-SA"/>
              </w:rPr>
            </w:pPr>
            <w:r>
              <w:rPr>
                <w:rFonts w:hint="eastAsia"/>
                <w:b/>
                <w:bCs/>
                <w:color w:val="auto"/>
                <w:sz w:val="21"/>
                <w:szCs w:val="21"/>
                <w:u w:val="none"/>
              </w:rPr>
              <w:t>污染途径</w:t>
            </w:r>
          </w:p>
        </w:tc>
        <w:tc>
          <w:tcPr>
            <w:tcW w:w="1085" w:type="pct"/>
            <w:tcBorders>
              <w:tl2br w:val="nil"/>
              <w:tr2bl w:val="nil"/>
            </w:tcBorders>
            <w:noWrap w:val="0"/>
            <w:vAlign w:val="center"/>
          </w:tcPr>
          <w:p w14:paraId="4F46898E">
            <w:pPr>
              <w:pStyle w:val="219"/>
              <w:autoSpaceDE/>
              <w:autoSpaceDN/>
              <w:spacing w:before="0" w:after="0" w:line="240" w:lineRule="auto"/>
              <w:ind w:left="0"/>
              <w:rPr>
                <w:b/>
                <w:bCs/>
                <w:color w:val="auto"/>
                <w:sz w:val="21"/>
                <w:szCs w:val="21"/>
                <w:u w:val="none"/>
              </w:rPr>
            </w:pPr>
            <w:r>
              <w:rPr>
                <w:rFonts w:hint="eastAsia"/>
                <w:b/>
                <w:bCs/>
                <w:color w:val="auto"/>
                <w:sz w:val="21"/>
                <w:szCs w:val="21"/>
                <w:u w:val="none"/>
              </w:rPr>
              <w:t>备注</w:t>
            </w:r>
          </w:p>
        </w:tc>
      </w:tr>
      <w:tr w14:paraId="6CCFFC6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97" w:type="pct"/>
            <w:tcBorders>
              <w:tl2br w:val="nil"/>
              <w:tr2bl w:val="nil"/>
            </w:tcBorders>
            <w:noWrap w:val="0"/>
            <w:vAlign w:val="center"/>
          </w:tcPr>
          <w:p w14:paraId="79781FFB">
            <w:pPr>
              <w:pStyle w:val="219"/>
              <w:autoSpaceDE/>
              <w:autoSpaceDN/>
              <w:spacing w:before="0" w:after="0" w:line="240" w:lineRule="auto"/>
              <w:ind w:left="0"/>
              <w:rPr>
                <w:rFonts w:hint="default" w:eastAsia="宋体"/>
                <w:b w:val="0"/>
                <w:bCs w:val="0"/>
                <w:color w:val="auto"/>
                <w:sz w:val="21"/>
                <w:szCs w:val="21"/>
                <w:highlight w:val="none"/>
                <w:u w:val="none"/>
                <w:lang w:val="en-US" w:eastAsia="zh-CN"/>
              </w:rPr>
            </w:pPr>
            <w:r>
              <w:rPr>
                <w:rFonts w:hint="eastAsia"/>
                <w:b w:val="0"/>
                <w:bCs w:val="0"/>
                <w:color w:val="auto"/>
                <w:sz w:val="21"/>
                <w:szCs w:val="21"/>
                <w:highlight w:val="none"/>
                <w:u w:val="none"/>
                <w:lang w:val="en-US" w:eastAsia="zh-CN"/>
              </w:rPr>
              <w:t>危险废物贮存库</w:t>
            </w:r>
          </w:p>
        </w:tc>
        <w:tc>
          <w:tcPr>
            <w:tcW w:w="661" w:type="pct"/>
            <w:tcBorders>
              <w:tl2br w:val="nil"/>
              <w:tr2bl w:val="nil"/>
            </w:tcBorders>
            <w:noWrap w:val="0"/>
            <w:vAlign w:val="center"/>
          </w:tcPr>
          <w:p w14:paraId="1BD1C4F8">
            <w:pPr>
              <w:pStyle w:val="219"/>
              <w:autoSpaceDE/>
              <w:autoSpaceDN/>
              <w:spacing w:before="0" w:after="0" w:line="240" w:lineRule="auto"/>
              <w:ind w:left="0"/>
              <w:rPr>
                <w:rFonts w:hint="default" w:eastAsia="宋体"/>
                <w:b w:val="0"/>
                <w:bCs w:val="0"/>
                <w:color w:val="auto"/>
                <w:sz w:val="21"/>
                <w:szCs w:val="21"/>
                <w:highlight w:val="none"/>
                <w:u w:val="none"/>
                <w:lang w:val="en-US" w:eastAsia="zh-CN"/>
              </w:rPr>
            </w:pPr>
            <w:r>
              <w:rPr>
                <w:rFonts w:hint="eastAsia"/>
                <w:b w:val="0"/>
                <w:bCs w:val="0"/>
                <w:color w:val="auto"/>
                <w:sz w:val="21"/>
                <w:szCs w:val="21"/>
                <w:highlight w:val="none"/>
                <w:u w:val="none"/>
                <w:lang w:val="en-US" w:eastAsia="zh-CN"/>
              </w:rPr>
              <w:t>转运</w:t>
            </w:r>
          </w:p>
        </w:tc>
        <w:tc>
          <w:tcPr>
            <w:tcW w:w="661" w:type="pct"/>
            <w:tcBorders>
              <w:tl2br w:val="nil"/>
              <w:tr2bl w:val="nil"/>
            </w:tcBorders>
            <w:shd w:val="clear" w:color="auto" w:fill="auto"/>
            <w:noWrap w:val="0"/>
            <w:vAlign w:val="center"/>
          </w:tcPr>
          <w:p w14:paraId="0D5D7923">
            <w:pPr>
              <w:pStyle w:val="219"/>
              <w:autoSpaceDE/>
              <w:autoSpaceDN/>
              <w:spacing w:before="0" w:after="0" w:line="240" w:lineRule="auto"/>
              <w:ind w:left="0" w:leftChars="0" w:firstLine="0" w:firstLineChars="0"/>
              <w:rPr>
                <w:rFonts w:hint="default" w:ascii="Times New Roman" w:hAnsi="Times New Roman" w:eastAsia="宋体" w:cs="Times New Roman"/>
                <w:b w:val="0"/>
                <w:bCs w:val="0"/>
                <w:color w:val="auto"/>
                <w:sz w:val="21"/>
                <w:szCs w:val="21"/>
                <w:highlight w:val="none"/>
                <w:u w:val="none"/>
                <w:lang w:val="en-US" w:eastAsia="zh-CN" w:bidi="ar-SA"/>
              </w:rPr>
            </w:pPr>
            <w:r>
              <w:rPr>
                <w:rFonts w:hint="eastAsia"/>
                <w:b w:val="0"/>
                <w:bCs w:val="0"/>
                <w:color w:val="auto"/>
                <w:sz w:val="21"/>
                <w:szCs w:val="21"/>
                <w:highlight w:val="none"/>
                <w:u w:val="none"/>
                <w:lang w:val="en-US" w:eastAsia="zh-CN"/>
              </w:rPr>
              <w:t>pH</w:t>
            </w:r>
          </w:p>
        </w:tc>
        <w:tc>
          <w:tcPr>
            <w:tcW w:w="1293" w:type="pct"/>
            <w:tcBorders>
              <w:tl2br w:val="nil"/>
              <w:tr2bl w:val="nil"/>
            </w:tcBorders>
            <w:shd w:val="clear" w:color="auto" w:fill="auto"/>
            <w:noWrap w:val="0"/>
            <w:vAlign w:val="center"/>
          </w:tcPr>
          <w:p w14:paraId="5AD9D340">
            <w:pPr>
              <w:pStyle w:val="219"/>
              <w:autoSpaceDE/>
              <w:autoSpaceDN/>
              <w:spacing w:before="0" w:after="0" w:line="240" w:lineRule="auto"/>
              <w:ind w:left="0" w:leftChars="0" w:firstLine="0" w:firstLineChars="0"/>
              <w:rPr>
                <w:rFonts w:hint="eastAsia" w:ascii="Times New Roman" w:hAnsi="Times New Roman" w:eastAsia="宋体" w:cs="Times New Roman"/>
                <w:b w:val="0"/>
                <w:bCs w:val="0"/>
                <w:color w:val="auto"/>
                <w:sz w:val="21"/>
                <w:szCs w:val="21"/>
                <w:highlight w:val="none"/>
                <w:u w:val="none"/>
                <w:lang w:val="en-US" w:eastAsia="zh-CN" w:bidi="ar-SA"/>
              </w:rPr>
            </w:pPr>
            <w:r>
              <w:rPr>
                <w:rFonts w:hint="eastAsia"/>
                <w:b w:val="0"/>
                <w:bCs w:val="0"/>
                <w:color w:val="auto"/>
                <w:sz w:val="21"/>
                <w:szCs w:val="21"/>
                <w:highlight w:val="none"/>
                <w:u w:val="none"/>
              </w:rPr>
              <w:t>垂直入渗</w:t>
            </w:r>
          </w:p>
        </w:tc>
        <w:tc>
          <w:tcPr>
            <w:tcW w:w="1085" w:type="pct"/>
            <w:tcBorders>
              <w:tl2br w:val="nil"/>
              <w:tr2bl w:val="nil"/>
            </w:tcBorders>
            <w:noWrap w:val="0"/>
            <w:vAlign w:val="center"/>
          </w:tcPr>
          <w:p w14:paraId="0A2E9002">
            <w:pPr>
              <w:pStyle w:val="219"/>
              <w:autoSpaceDE/>
              <w:autoSpaceDN/>
              <w:spacing w:before="0" w:after="0" w:line="240" w:lineRule="auto"/>
              <w:ind w:left="0"/>
              <w:rPr>
                <w:b w:val="0"/>
                <w:bCs w:val="0"/>
                <w:color w:val="auto"/>
                <w:sz w:val="21"/>
                <w:szCs w:val="21"/>
                <w:highlight w:val="none"/>
                <w:u w:val="none"/>
              </w:rPr>
            </w:pPr>
            <w:r>
              <w:rPr>
                <w:rFonts w:hint="eastAsia"/>
                <w:b w:val="0"/>
                <w:bCs w:val="0"/>
                <w:color w:val="auto"/>
                <w:sz w:val="21"/>
                <w:szCs w:val="21"/>
                <w:highlight w:val="none"/>
                <w:u w:val="none"/>
              </w:rPr>
              <w:t>事故</w:t>
            </w:r>
          </w:p>
        </w:tc>
      </w:tr>
    </w:tbl>
    <w:p w14:paraId="7C9D9656">
      <w:pPr>
        <w:pStyle w:val="5"/>
        <w:keepNext/>
        <w:keepLines/>
        <w:pageBreakBefore w:val="0"/>
        <w:widowControl/>
        <w:kinsoku/>
        <w:wordWrap/>
        <w:overflowPunct/>
        <w:topLinePunct w:val="0"/>
        <w:autoSpaceDE/>
        <w:autoSpaceDN/>
        <w:bidi w:val="0"/>
        <w:adjustRightInd/>
        <w:snapToGrid/>
        <w:spacing w:before="0" w:beforeLines="0" w:after="0" w:line="360" w:lineRule="auto"/>
        <w:textAlignment w:val="auto"/>
        <w:outlineLvl w:val="3"/>
        <w:rPr>
          <w:rFonts w:hint="eastAsia" w:ascii="Times New Roman" w:hAnsi="Times New Roman" w:eastAsia="宋体" w:cs="Times New Roman"/>
          <w:b/>
          <w:bCs w:val="0"/>
          <w:kern w:val="2"/>
          <w:sz w:val="24"/>
          <w:szCs w:val="24"/>
          <w:highlight w:val="none"/>
          <w:lang w:val="en-US" w:eastAsia="zh-CN"/>
        </w:rPr>
      </w:pPr>
      <w:bookmarkStart w:id="225" w:name="_Toc18219"/>
      <w:bookmarkStart w:id="226" w:name="_Toc635"/>
      <w:r>
        <w:rPr>
          <w:rFonts w:hint="eastAsia" w:ascii="Times New Roman" w:hAnsi="Times New Roman" w:eastAsia="宋体" w:cs="Times New Roman"/>
          <w:b/>
          <w:bCs w:val="0"/>
          <w:kern w:val="2"/>
          <w:sz w:val="24"/>
          <w:szCs w:val="24"/>
          <w:highlight w:val="none"/>
          <w:lang w:val="en-US" w:eastAsia="zh-CN"/>
        </w:rPr>
        <w:t>5.2.6.2土壤环境调查评价范围确定</w:t>
      </w:r>
      <w:bookmarkEnd w:id="225"/>
      <w:bookmarkEnd w:id="226"/>
    </w:p>
    <w:p w14:paraId="0CEA3BE0">
      <w:pPr>
        <w:spacing w:line="360" w:lineRule="auto"/>
        <w:ind w:firstLine="480" w:firstLineChars="200"/>
        <w:rPr>
          <w:rFonts w:hint="eastAsia" w:eastAsia="宋体"/>
          <w:b w:val="0"/>
          <w:bCs w:val="0"/>
          <w:sz w:val="24"/>
          <w:u w:val="none"/>
          <w:lang w:val="en-US" w:eastAsia="zh-CN"/>
        </w:rPr>
      </w:pPr>
      <w:r>
        <w:rPr>
          <w:rFonts w:hint="eastAsia"/>
          <w:b w:val="0"/>
          <w:bCs w:val="0"/>
          <w:sz w:val="24"/>
          <w:u w:val="none"/>
        </w:rPr>
        <w:t>本项目为评价等级为</w:t>
      </w:r>
      <w:r>
        <w:rPr>
          <w:rFonts w:hint="eastAsia"/>
          <w:b w:val="0"/>
          <w:bCs w:val="0"/>
          <w:sz w:val="24"/>
          <w:u w:val="none"/>
          <w:lang w:val="en-US" w:eastAsia="zh-CN"/>
        </w:rPr>
        <w:t>二级</w:t>
      </w:r>
      <w:r>
        <w:rPr>
          <w:rFonts w:hint="eastAsia"/>
          <w:b w:val="0"/>
          <w:bCs w:val="0"/>
          <w:sz w:val="24"/>
          <w:u w:val="none"/>
        </w:rPr>
        <w:t>的污染影响型项目，结合（HJ 964-2018）“表5现状调查范围”，确定项目土壤环境调查评价范围</w:t>
      </w:r>
      <w:r>
        <w:t>为项目占地范围及占地范围外</w:t>
      </w:r>
      <w:r>
        <w:rPr>
          <w:rFonts w:hint="eastAsia"/>
          <w:lang w:val="en-US" w:eastAsia="zh-CN"/>
        </w:rPr>
        <w:t>0.2</w:t>
      </w:r>
      <w:r>
        <w:t>km内范围。</w:t>
      </w:r>
    </w:p>
    <w:p w14:paraId="32D4FC7B">
      <w:pPr>
        <w:pStyle w:val="5"/>
        <w:keepNext/>
        <w:keepLines/>
        <w:pageBreakBefore w:val="0"/>
        <w:widowControl/>
        <w:kinsoku/>
        <w:wordWrap/>
        <w:overflowPunct/>
        <w:topLinePunct w:val="0"/>
        <w:autoSpaceDE/>
        <w:autoSpaceDN/>
        <w:bidi w:val="0"/>
        <w:adjustRightInd/>
        <w:snapToGrid/>
        <w:spacing w:before="0" w:beforeLines="0" w:after="0" w:line="360" w:lineRule="auto"/>
        <w:textAlignment w:val="auto"/>
        <w:outlineLvl w:val="3"/>
        <w:rPr>
          <w:rFonts w:hint="eastAsia" w:ascii="Times New Roman" w:hAnsi="Times New Roman" w:eastAsia="宋体" w:cs="Times New Roman"/>
          <w:b/>
          <w:bCs w:val="0"/>
          <w:kern w:val="2"/>
          <w:sz w:val="24"/>
          <w:szCs w:val="24"/>
          <w:highlight w:val="none"/>
          <w:lang w:val="en-US" w:eastAsia="zh-CN"/>
        </w:rPr>
      </w:pPr>
      <w:bookmarkStart w:id="227" w:name="_Toc18607"/>
      <w:bookmarkStart w:id="228" w:name="_Toc16023"/>
      <w:r>
        <w:rPr>
          <w:rFonts w:hint="eastAsia" w:ascii="Times New Roman" w:hAnsi="Times New Roman" w:eastAsia="宋体" w:cs="Times New Roman"/>
          <w:b/>
          <w:bCs w:val="0"/>
          <w:kern w:val="2"/>
          <w:sz w:val="24"/>
          <w:szCs w:val="24"/>
          <w:highlight w:val="none"/>
          <w:lang w:val="en-US" w:eastAsia="zh-CN"/>
        </w:rPr>
        <w:t>5.2.6.3土壤环境敏感目标</w:t>
      </w:r>
      <w:bookmarkEnd w:id="227"/>
      <w:bookmarkEnd w:id="228"/>
    </w:p>
    <w:p w14:paraId="1BA88040">
      <w:pPr>
        <w:spacing w:line="360" w:lineRule="auto"/>
        <w:ind w:firstLine="480" w:firstLineChars="200"/>
        <w:rPr>
          <w:b w:val="0"/>
          <w:bCs w:val="0"/>
          <w:sz w:val="24"/>
          <w:u w:val="none"/>
        </w:rPr>
      </w:pPr>
      <w:r>
        <w:rPr>
          <w:rFonts w:hint="eastAsia"/>
          <w:b w:val="0"/>
          <w:bCs w:val="0"/>
          <w:sz w:val="24"/>
          <w:u w:val="none"/>
        </w:rPr>
        <w:t>本项目位于</w:t>
      </w:r>
      <w:r>
        <w:rPr>
          <w:rFonts w:hint="eastAsia"/>
          <w:b w:val="0"/>
          <w:bCs w:val="0"/>
          <w:sz w:val="24"/>
          <w:u w:val="none"/>
          <w:lang w:val="en-US" w:eastAsia="zh-CN"/>
        </w:rPr>
        <w:t>阿克苏经济技术开发区</w:t>
      </w:r>
      <w:r>
        <w:rPr>
          <w:rFonts w:hint="eastAsia"/>
          <w:b w:val="0"/>
          <w:bCs w:val="0"/>
          <w:sz w:val="24"/>
          <w:u w:val="none"/>
        </w:rPr>
        <w:t>，项目调查评价范围内</w:t>
      </w:r>
      <w:r>
        <w:rPr>
          <w:rFonts w:hint="eastAsia"/>
          <w:b w:val="0"/>
          <w:bCs w:val="0"/>
          <w:sz w:val="24"/>
          <w:u w:val="none"/>
          <w:lang w:val="en-US" w:eastAsia="zh-CN"/>
        </w:rPr>
        <w:t>无土壤环境敏感目标</w:t>
      </w:r>
      <w:r>
        <w:rPr>
          <w:rFonts w:hint="eastAsia"/>
          <w:b w:val="0"/>
          <w:bCs w:val="0"/>
          <w:sz w:val="24"/>
          <w:u w:val="none"/>
        </w:rPr>
        <w:t>。</w:t>
      </w:r>
    </w:p>
    <w:p w14:paraId="61C63328">
      <w:pPr>
        <w:pStyle w:val="5"/>
        <w:keepNext/>
        <w:keepLines/>
        <w:pageBreakBefore w:val="0"/>
        <w:widowControl/>
        <w:kinsoku/>
        <w:wordWrap/>
        <w:overflowPunct/>
        <w:topLinePunct w:val="0"/>
        <w:autoSpaceDE/>
        <w:autoSpaceDN/>
        <w:bidi w:val="0"/>
        <w:adjustRightInd/>
        <w:snapToGrid/>
        <w:spacing w:before="0" w:beforeLines="0" w:after="0" w:line="360" w:lineRule="auto"/>
        <w:textAlignment w:val="auto"/>
        <w:outlineLvl w:val="3"/>
        <w:rPr>
          <w:rFonts w:hint="eastAsia" w:ascii="Times New Roman" w:hAnsi="Times New Roman" w:eastAsia="宋体" w:cs="Times New Roman"/>
          <w:b/>
          <w:bCs w:val="0"/>
          <w:kern w:val="2"/>
          <w:sz w:val="24"/>
          <w:szCs w:val="24"/>
          <w:highlight w:val="none"/>
          <w:lang w:val="en-US" w:eastAsia="zh-CN"/>
        </w:rPr>
      </w:pPr>
      <w:bookmarkStart w:id="229" w:name="_Toc17561"/>
      <w:bookmarkStart w:id="230" w:name="_Toc4350"/>
      <w:r>
        <w:rPr>
          <w:rFonts w:hint="eastAsia" w:ascii="Times New Roman" w:hAnsi="Times New Roman" w:eastAsia="宋体" w:cs="Times New Roman"/>
          <w:b/>
          <w:bCs w:val="0"/>
          <w:kern w:val="2"/>
          <w:sz w:val="24"/>
          <w:szCs w:val="24"/>
          <w:highlight w:val="none"/>
          <w:lang w:val="en-US" w:eastAsia="zh-CN"/>
        </w:rPr>
        <w:t>5.2.6.4土壤环境影响预测与评价</w:t>
      </w:r>
      <w:bookmarkEnd w:id="229"/>
      <w:bookmarkEnd w:id="230"/>
    </w:p>
    <w:p w14:paraId="13F68B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（1）</w:t>
      </w:r>
      <w:r>
        <w:rPr>
          <w:rFonts w:hint="default" w:ascii="Times New Roman" w:hAnsi="Times New Roman" w:eastAsia="宋体" w:cs="Times New Roman"/>
          <w:b w:val="0"/>
          <w:bCs w:val="0"/>
          <w:color w:val="auto"/>
          <w:sz w:val="24"/>
          <w:szCs w:val="24"/>
          <w:u w:val="none"/>
          <w:lang w:val="en-US" w:eastAsia="zh-CN"/>
        </w:rPr>
        <w:t>现有防治措施及污染现状调查</w:t>
      </w:r>
    </w:p>
    <w:p w14:paraId="13923EBC">
      <w:pPr>
        <w:pStyle w:val="220"/>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szCs w:val="24"/>
          <w:u w:val="none"/>
        </w:rPr>
        <w:t>根据《环境影响评价技术导则 土壤环境（试行）》（HJ964-2018）相关要求，应对厂区现有工程的土壤环境保护措施情况进行调查并重点调查主要装置或设施附近的土壤污染现状，详见表</w:t>
      </w:r>
      <w:r>
        <w:rPr>
          <w:rFonts w:hint="default" w:ascii="Times New Roman" w:hAnsi="Times New Roman" w:eastAsia="宋体" w:cs="Times New Roman"/>
          <w:b w:val="0"/>
          <w:bCs w:val="0"/>
          <w:color w:val="auto"/>
          <w:sz w:val="24"/>
          <w:szCs w:val="24"/>
          <w:u w:val="none"/>
          <w:lang w:val="en-US" w:eastAsia="zh-CN"/>
        </w:rPr>
        <w:t>5</w:t>
      </w:r>
      <w:r>
        <w:rPr>
          <w:rFonts w:hint="eastAsia" w:eastAsia="宋体" w:cs="Times New Roman"/>
          <w:b w:val="0"/>
          <w:bCs w:val="0"/>
          <w:color w:val="auto"/>
          <w:sz w:val="24"/>
          <w:szCs w:val="24"/>
          <w:u w:val="none"/>
          <w:lang w:val="en-US" w:eastAsia="zh-CN"/>
        </w:rPr>
        <w:t>.2-30</w:t>
      </w:r>
      <w:r>
        <w:rPr>
          <w:rFonts w:hint="default" w:ascii="Times New Roman" w:hAnsi="Times New Roman" w:eastAsia="宋体" w:cs="Times New Roman"/>
          <w:b w:val="0"/>
          <w:bCs w:val="0"/>
          <w:color w:val="auto"/>
          <w:sz w:val="24"/>
          <w:szCs w:val="24"/>
          <w:u w:val="none"/>
        </w:rPr>
        <w:t>。</w:t>
      </w:r>
    </w:p>
    <w:p w14:paraId="376E2DF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color w:val="auto"/>
          <w:kern w:val="28"/>
          <w:sz w:val="24"/>
          <w:szCs w:val="24"/>
          <w:u w:val="none"/>
          <w:lang w:val="zh-CN" w:eastAsia="zh-CN"/>
        </w:rPr>
      </w:pPr>
      <w:r>
        <w:rPr>
          <w:rFonts w:hint="default" w:ascii="Times New Roman" w:hAnsi="Times New Roman" w:eastAsia="宋体" w:cs="Times New Roman"/>
          <w:b/>
          <w:bCs/>
          <w:color w:val="auto"/>
          <w:kern w:val="28"/>
          <w:sz w:val="24"/>
          <w:szCs w:val="24"/>
          <w:u w:val="none"/>
          <w:lang w:val="zh-CN" w:eastAsia="zh-CN"/>
        </w:rPr>
        <w:t>表</w:t>
      </w:r>
      <w:r>
        <w:rPr>
          <w:rFonts w:hint="eastAsia" w:cs="Times New Roman"/>
          <w:b/>
          <w:bCs/>
          <w:color w:val="auto"/>
          <w:kern w:val="28"/>
          <w:sz w:val="24"/>
          <w:szCs w:val="24"/>
          <w:u w:val="none"/>
          <w:lang w:val="en-US" w:eastAsia="zh-CN"/>
        </w:rPr>
        <w:t xml:space="preserve">5.2-30 </w:t>
      </w:r>
      <w:r>
        <w:rPr>
          <w:rFonts w:hint="default" w:ascii="Times New Roman" w:hAnsi="Times New Roman" w:eastAsia="宋体" w:cs="Times New Roman"/>
          <w:b/>
          <w:bCs/>
          <w:color w:val="auto"/>
          <w:kern w:val="28"/>
          <w:sz w:val="24"/>
          <w:szCs w:val="24"/>
          <w:u w:val="none"/>
          <w:lang w:val="zh-CN" w:eastAsia="zh-CN"/>
        </w:rPr>
        <w:t>现有工程土壤环保措施及土壤污染现状调查情况一览表</w:t>
      </w:r>
    </w:p>
    <w:tbl>
      <w:tblPr>
        <w:tblStyle w:val="39"/>
        <w:tblW w:w="4999"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696"/>
        <w:gridCol w:w="6602"/>
      </w:tblGrid>
      <w:tr w14:paraId="105C4B4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22" w:type="pct"/>
            <w:tcBorders>
              <w:tl2br w:val="nil"/>
              <w:tr2bl w:val="nil"/>
            </w:tcBorders>
            <w:noWrap w:val="0"/>
            <w:vAlign w:val="center"/>
          </w:tcPr>
          <w:p w14:paraId="69FC5A5C">
            <w:pPr>
              <w:pStyle w:val="19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auto"/>
                <w:kern w:val="2"/>
                <w:sz w:val="21"/>
                <w:szCs w:val="21"/>
                <w:u w:val="none"/>
                <w:lang w:eastAsia="zh-CN"/>
              </w:rPr>
            </w:pPr>
            <w:r>
              <w:rPr>
                <w:rFonts w:hint="default" w:ascii="Times New Roman" w:hAnsi="Times New Roman" w:eastAsia="宋体" w:cs="Times New Roman"/>
                <w:b/>
                <w:bCs/>
                <w:color w:val="auto"/>
                <w:kern w:val="2"/>
                <w:sz w:val="21"/>
                <w:szCs w:val="21"/>
                <w:u w:val="none"/>
                <w:lang w:eastAsia="zh-CN"/>
              </w:rPr>
              <w:t>现有工程主要土壤环境保护措施</w:t>
            </w:r>
          </w:p>
        </w:tc>
        <w:tc>
          <w:tcPr>
            <w:tcW w:w="3977" w:type="pct"/>
            <w:tcBorders>
              <w:tl2br w:val="nil"/>
              <w:tr2bl w:val="nil"/>
            </w:tcBorders>
            <w:noWrap w:val="0"/>
            <w:vAlign w:val="center"/>
          </w:tcPr>
          <w:p w14:paraId="5CD2CFB7">
            <w:pPr>
              <w:pStyle w:val="19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auto"/>
                <w:kern w:val="2"/>
                <w:sz w:val="21"/>
                <w:szCs w:val="21"/>
                <w:u w:val="none"/>
              </w:rPr>
            </w:pPr>
            <w:r>
              <w:rPr>
                <w:rFonts w:hint="default" w:ascii="Times New Roman" w:hAnsi="Times New Roman" w:eastAsia="宋体" w:cs="Times New Roman"/>
                <w:b w:val="0"/>
                <w:bCs w:val="0"/>
                <w:color w:val="auto"/>
                <w:kern w:val="2"/>
                <w:sz w:val="21"/>
                <w:szCs w:val="21"/>
                <w:u w:val="none"/>
                <w:lang w:eastAsia="zh-CN"/>
              </w:rPr>
              <w:t>对生产车间、罐区、事故应急池、危废库及主要污水管网采取重点污染控制：同时设置事故废水导流系统、切换阀等事故防范措施，防止事故状态下物料溢</w:t>
            </w:r>
            <w:r>
              <w:rPr>
                <w:rFonts w:hint="default" w:ascii="Times New Roman" w:hAnsi="Times New Roman" w:eastAsia="宋体" w:cs="Times New Roman"/>
                <w:b w:val="0"/>
                <w:bCs w:val="0"/>
                <w:color w:val="auto"/>
                <w:kern w:val="2"/>
                <w:sz w:val="21"/>
                <w:szCs w:val="21"/>
                <w:u w:val="none"/>
              </w:rPr>
              <w:t>散对土壤污染风险</w:t>
            </w:r>
          </w:p>
        </w:tc>
      </w:tr>
      <w:tr w14:paraId="5CEC303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1022" w:type="pct"/>
            <w:tcBorders>
              <w:tl2br w:val="nil"/>
              <w:tr2bl w:val="nil"/>
            </w:tcBorders>
            <w:noWrap w:val="0"/>
            <w:vAlign w:val="center"/>
          </w:tcPr>
          <w:p w14:paraId="64074BB7">
            <w:pPr>
              <w:pStyle w:val="19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b/>
                <w:bCs/>
                <w:color w:val="auto"/>
                <w:kern w:val="2"/>
                <w:sz w:val="21"/>
                <w:szCs w:val="21"/>
                <w:u w:val="none"/>
                <w:lang w:eastAsia="zh-CN"/>
              </w:rPr>
            </w:pPr>
            <w:r>
              <w:rPr>
                <w:rFonts w:hint="default" w:ascii="Times New Roman" w:hAnsi="Times New Roman" w:eastAsia="宋体" w:cs="Times New Roman"/>
                <w:b/>
                <w:bCs/>
                <w:color w:val="auto"/>
                <w:kern w:val="2"/>
                <w:sz w:val="21"/>
                <w:szCs w:val="21"/>
                <w:u w:val="none"/>
                <w:lang w:eastAsia="zh-CN"/>
              </w:rPr>
              <w:t>主要装置或设施附近的土壤污染现状</w:t>
            </w:r>
          </w:p>
        </w:tc>
        <w:tc>
          <w:tcPr>
            <w:tcW w:w="3977" w:type="pct"/>
            <w:tcBorders>
              <w:tl2br w:val="nil"/>
              <w:tr2bl w:val="nil"/>
            </w:tcBorders>
            <w:noWrap w:val="0"/>
            <w:vAlign w:val="center"/>
          </w:tcPr>
          <w:p w14:paraId="44917C73">
            <w:pPr>
              <w:pStyle w:val="197"/>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jc w:val="center"/>
              <w:textAlignment w:val="auto"/>
              <w:rPr>
                <w:rFonts w:hint="default" w:ascii="Times New Roman" w:hAnsi="Times New Roman" w:eastAsia="宋体" w:cs="Times New Roman"/>
                <w:b w:val="0"/>
                <w:bCs w:val="0"/>
                <w:color w:val="auto"/>
                <w:kern w:val="2"/>
                <w:sz w:val="21"/>
                <w:szCs w:val="21"/>
                <w:u w:val="none"/>
                <w:lang w:eastAsia="zh-CN"/>
              </w:rPr>
            </w:pPr>
            <w:r>
              <w:rPr>
                <w:rFonts w:hint="default" w:ascii="Times New Roman" w:hAnsi="Times New Roman" w:eastAsia="宋体" w:cs="Times New Roman"/>
                <w:b w:val="0"/>
                <w:bCs w:val="0"/>
                <w:color w:val="auto"/>
                <w:kern w:val="2"/>
                <w:sz w:val="21"/>
                <w:szCs w:val="21"/>
                <w:u w:val="none"/>
                <w:lang w:eastAsia="zh-CN"/>
              </w:rPr>
              <w:t>通过在厂区现有</w:t>
            </w:r>
            <w:r>
              <w:rPr>
                <w:rFonts w:hint="eastAsia" w:eastAsia="宋体" w:cs="Times New Roman"/>
                <w:b w:val="0"/>
                <w:bCs w:val="0"/>
                <w:color w:val="auto"/>
                <w:kern w:val="2"/>
                <w:sz w:val="21"/>
                <w:szCs w:val="21"/>
                <w:u w:val="none"/>
                <w:lang w:val="en-US" w:eastAsia="zh-CN"/>
              </w:rPr>
              <w:t>生产装置</w:t>
            </w:r>
            <w:r>
              <w:rPr>
                <w:rFonts w:hint="default" w:ascii="Times New Roman" w:hAnsi="Times New Roman" w:eastAsia="宋体" w:cs="Times New Roman"/>
                <w:b w:val="0"/>
                <w:bCs w:val="0"/>
                <w:color w:val="auto"/>
                <w:kern w:val="2"/>
                <w:sz w:val="21"/>
                <w:szCs w:val="21"/>
                <w:u w:val="none"/>
                <w:lang w:eastAsia="zh-CN"/>
              </w:rPr>
              <w:t>、罐区等附近开展布点监测，根据现状监测结果，其监测指标均满足《</w:t>
            </w:r>
            <w:r>
              <w:rPr>
                <w:rFonts w:hint="eastAsia" w:ascii="Times New Roman" w:hAnsi="Times New Roman" w:eastAsia="宋体" w:cs="Times New Roman"/>
                <w:b w:val="0"/>
                <w:bCs w:val="0"/>
                <w:color w:val="auto"/>
                <w:kern w:val="2"/>
                <w:sz w:val="21"/>
                <w:szCs w:val="21"/>
                <w:u w:val="none"/>
                <w:lang w:eastAsia="zh-CN"/>
              </w:rPr>
              <w:t>土壤环境质量 建设用地土壤污染风险管控标准（试行）</w:t>
            </w:r>
            <w:r>
              <w:rPr>
                <w:rFonts w:hint="default" w:ascii="Times New Roman" w:hAnsi="Times New Roman" w:eastAsia="宋体" w:cs="Times New Roman"/>
                <w:b w:val="0"/>
                <w:bCs w:val="0"/>
                <w:color w:val="auto"/>
                <w:kern w:val="2"/>
                <w:sz w:val="21"/>
                <w:szCs w:val="21"/>
                <w:u w:val="none"/>
                <w:lang w:eastAsia="zh-CN"/>
              </w:rPr>
              <w:t>》（GB36600-2018）第二类用地筛选值标准要求，厂区现有工程未对土壤环境产生污染</w:t>
            </w:r>
          </w:p>
        </w:tc>
      </w:tr>
    </w:tbl>
    <w:p w14:paraId="704289A9">
      <w:pPr>
        <w:keepNext w:val="0"/>
        <w:keepLines w:val="0"/>
        <w:pageBreakBefore w:val="0"/>
        <w:widowControl w:val="0"/>
        <w:kinsoku/>
        <w:wordWrap/>
        <w:topLinePunct w:val="0"/>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lang w:val="en-US" w:eastAsia="zh-CN"/>
        </w:rPr>
      </w:pPr>
      <w:r>
        <w:rPr>
          <w:rFonts w:hint="eastAsia" w:cs="Times New Roman"/>
          <w:b w:val="0"/>
          <w:bCs w:val="0"/>
          <w:color w:val="auto"/>
          <w:sz w:val="24"/>
          <w:szCs w:val="24"/>
          <w:u w:val="none"/>
          <w:lang w:val="en-US" w:eastAsia="zh-CN"/>
        </w:rPr>
        <w:t>（2）</w:t>
      </w:r>
      <w:r>
        <w:rPr>
          <w:rFonts w:hint="default" w:ascii="Times New Roman" w:hAnsi="Times New Roman" w:eastAsia="宋体" w:cs="Times New Roman"/>
          <w:b w:val="0"/>
          <w:bCs w:val="0"/>
          <w:color w:val="auto"/>
          <w:sz w:val="24"/>
          <w:szCs w:val="24"/>
          <w:u w:val="none"/>
          <w:lang w:val="en-US" w:eastAsia="zh-CN"/>
        </w:rPr>
        <w:t>土壤环境影响预测</w:t>
      </w:r>
    </w:p>
    <w:p w14:paraId="29AAFB83">
      <w:pPr>
        <w:keepNext w:val="0"/>
        <w:keepLines w:val="0"/>
        <w:pageBreakBefore w:val="0"/>
        <w:widowControl w:val="0"/>
        <w:kinsoku/>
        <w:wordWrap/>
        <w:topLinePunct w:val="0"/>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rPr>
      </w:pPr>
      <w:bookmarkStart w:id="231" w:name="_Toc3963"/>
      <w:bookmarkStart w:id="232" w:name="_Toc12791"/>
      <w:r>
        <w:rPr>
          <w:rFonts w:hint="eastAsia" w:ascii="Times New Roman" w:hAnsi="Times New Roman" w:eastAsia="宋体" w:cs="Times New Roman"/>
          <w:b w:val="0"/>
          <w:bCs w:val="0"/>
          <w:color w:val="auto"/>
          <w:sz w:val="24"/>
          <w:szCs w:val="24"/>
          <w:u w:val="none"/>
          <w:lang w:val="en-US" w:eastAsia="zh-CN"/>
        </w:rPr>
        <w:t>①</w:t>
      </w:r>
      <w:r>
        <w:rPr>
          <w:rFonts w:hint="default" w:ascii="Times New Roman" w:hAnsi="Times New Roman" w:eastAsia="宋体" w:cs="Times New Roman"/>
          <w:b w:val="0"/>
          <w:bCs w:val="0"/>
          <w:color w:val="auto"/>
          <w:sz w:val="24"/>
          <w:szCs w:val="24"/>
          <w:u w:val="none"/>
        </w:rPr>
        <w:t>预测时段</w:t>
      </w:r>
    </w:p>
    <w:p w14:paraId="546BCE62">
      <w:pPr>
        <w:keepNext w:val="0"/>
        <w:keepLines w:val="0"/>
        <w:pageBreakBefore w:val="0"/>
        <w:widowControl w:val="0"/>
        <w:kinsoku/>
        <w:wordWrap/>
        <w:topLinePunct w:val="0"/>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szCs w:val="24"/>
          <w:u w:val="none"/>
        </w:rPr>
        <w:t>运营期，</w:t>
      </w:r>
      <w:r>
        <w:rPr>
          <w:rFonts w:hint="default" w:ascii="Times New Roman" w:hAnsi="Times New Roman" w:eastAsia="宋体" w:cs="Times New Roman"/>
          <w:b w:val="0"/>
          <w:bCs w:val="0"/>
          <w:color w:val="auto"/>
          <w:sz w:val="24"/>
          <w:szCs w:val="24"/>
          <w:u w:val="none"/>
          <w:lang w:val="en-US" w:eastAsia="zh-CN"/>
        </w:rPr>
        <w:t>非正常工况下</w:t>
      </w:r>
      <w:r>
        <w:rPr>
          <w:rFonts w:hint="default" w:ascii="Times New Roman" w:hAnsi="Times New Roman" w:eastAsia="宋体" w:cs="Times New Roman"/>
          <w:b w:val="0"/>
          <w:bCs w:val="0"/>
          <w:color w:val="auto"/>
          <w:sz w:val="24"/>
          <w:szCs w:val="24"/>
          <w:u w:val="none"/>
        </w:rPr>
        <w:t>垂直入渗型预测评价时段选择项目运营</w:t>
      </w:r>
      <w:r>
        <w:rPr>
          <w:rFonts w:hint="eastAsia" w:ascii="Times New Roman" w:hAnsi="Times New Roman" w:eastAsia="宋体" w:cs="Times New Roman"/>
          <w:b w:val="0"/>
          <w:bCs w:val="0"/>
          <w:color w:val="auto"/>
          <w:sz w:val="24"/>
          <w:szCs w:val="24"/>
          <w:u w:val="none"/>
          <w:lang w:val="en-US" w:eastAsia="zh-CN"/>
        </w:rPr>
        <w:t>年开始至运营50年</w:t>
      </w:r>
      <w:r>
        <w:rPr>
          <w:rFonts w:hint="default" w:ascii="Times New Roman" w:hAnsi="Times New Roman" w:eastAsia="宋体" w:cs="Times New Roman"/>
          <w:b w:val="0"/>
          <w:bCs w:val="0"/>
          <w:color w:val="auto"/>
          <w:sz w:val="24"/>
          <w:szCs w:val="24"/>
          <w:u w:val="none"/>
        </w:rPr>
        <w:t>。</w:t>
      </w:r>
    </w:p>
    <w:p w14:paraId="6545A220">
      <w:pPr>
        <w:keepNext w:val="0"/>
        <w:keepLines w:val="0"/>
        <w:pageBreakBefore w:val="0"/>
        <w:widowControl w:val="0"/>
        <w:kinsoku/>
        <w:wordWrap/>
        <w:topLinePunct w:val="0"/>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rPr>
      </w:pPr>
      <w:r>
        <w:rPr>
          <w:rFonts w:hint="eastAsia" w:ascii="Times New Roman" w:hAnsi="Times New Roman" w:eastAsia="宋体" w:cs="Times New Roman"/>
          <w:b w:val="0"/>
          <w:bCs w:val="0"/>
          <w:color w:val="auto"/>
          <w:sz w:val="24"/>
          <w:szCs w:val="24"/>
          <w:u w:val="none"/>
          <w:lang w:val="en-US" w:eastAsia="zh-CN"/>
        </w:rPr>
        <w:t>②</w:t>
      </w:r>
      <w:r>
        <w:rPr>
          <w:rFonts w:hint="default" w:ascii="Times New Roman" w:hAnsi="Times New Roman" w:eastAsia="宋体" w:cs="Times New Roman"/>
          <w:b w:val="0"/>
          <w:bCs w:val="0"/>
          <w:color w:val="auto"/>
          <w:sz w:val="24"/>
          <w:szCs w:val="24"/>
          <w:u w:val="none"/>
        </w:rPr>
        <w:t>评价因子选取</w:t>
      </w:r>
    </w:p>
    <w:p w14:paraId="67DD237F">
      <w:pPr>
        <w:keepNext w:val="0"/>
        <w:keepLines w:val="0"/>
        <w:pageBreakBefore w:val="0"/>
        <w:widowControl w:val="0"/>
        <w:kinsoku/>
        <w:wordWrap/>
        <w:topLinePunct w:val="0"/>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u w:val="none"/>
        </w:rPr>
      </w:pPr>
      <w:r>
        <w:rPr>
          <w:rFonts w:hint="default" w:ascii="Times New Roman" w:hAnsi="Times New Roman" w:eastAsia="宋体" w:cs="Times New Roman"/>
          <w:b w:val="0"/>
          <w:bCs w:val="0"/>
          <w:color w:val="auto"/>
          <w:sz w:val="24"/>
          <w:szCs w:val="24"/>
          <w:u w:val="none"/>
        </w:rPr>
        <w:t>根据《环境影响评价技术导则 土壤环境（试行）》（HJ964</w:t>
      </w:r>
      <w:r>
        <w:rPr>
          <w:rFonts w:hint="eastAsia" w:ascii="Times New Roman" w:hAnsi="Times New Roman" w:eastAsia="宋体" w:cs="Times New Roman"/>
          <w:b w:val="0"/>
          <w:bCs w:val="0"/>
          <w:color w:val="auto"/>
          <w:sz w:val="24"/>
          <w:szCs w:val="24"/>
          <w:u w:val="none"/>
          <w:lang w:val="en-US" w:eastAsia="zh-CN"/>
        </w:rPr>
        <w:t>-</w:t>
      </w:r>
      <w:r>
        <w:rPr>
          <w:rFonts w:hint="default" w:ascii="Times New Roman" w:hAnsi="Times New Roman" w:eastAsia="宋体" w:cs="Times New Roman"/>
          <w:b w:val="0"/>
          <w:bCs w:val="0"/>
          <w:color w:val="auto"/>
          <w:sz w:val="24"/>
          <w:szCs w:val="24"/>
          <w:u w:val="none"/>
        </w:rPr>
        <w:t>2018）要求，污染影响型建设项目应根据环境影响识别出的特征因子选取关键预测因子。</w:t>
      </w:r>
      <w:r>
        <w:rPr>
          <w:rFonts w:hint="default" w:ascii="Times New Roman" w:hAnsi="Times New Roman" w:eastAsia="宋体" w:cs="Times New Roman"/>
          <w:b w:val="0"/>
          <w:bCs w:val="0"/>
          <w:color w:val="auto"/>
          <w:spacing w:val="0"/>
          <w:sz w:val="24"/>
          <w:szCs w:val="24"/>
          <w:u w:val="none"/>
        </w:rPr>
        <w:t>污染物选择</w:t>
      </w:r>
      <w:r>
        <w:rPr>
          <w:rFonts w:hint="eastAsia" w:ascii="Times New Roman" w:hAnsi="Times New Roman" w:eastAsia="宋体" w:cs="Times New Roman"/>
          <w:b w:val="0"/>
          <w:bCs w:val="0"/>
          <w:color w:val="auto"/>
          <w:spacing w:val="0"/>
          <w:sz w:val="24"/>
          <w:szCs w:val="24"/>
          <w:u w:val="none"/>
          <w:lang w:val="en-US" w:eastAsia="zh-CN"/>
        </w:rPr>
        <w:t>pH</w:t>
      </w:r>
      <w:r>
        <w:rPr>
          <w:rFonts w:hint="default" w:ascii="Times New Roman" w:hAnsi="Times New Roman" w:eastAsia="宋体" w:cs="Times New Roman"/>
          <w:b w:val="0"/>
          <w:bCs w:val="0"/>
          <w:color w:val="auto"/>
          <w:spacing w:val="0"/>
          <w:sz w:val="24"/>
          <w:szCs w:val="24"/>
          <w:u w:val="none"/>
        </w:rPr>
        <w:t>为预测因子，考虑该污染物以点源的形式垂直入渗土壤。</w:t>
      </w:r>
    </w:p>
    <w:p w14:paraId="1E8036CD">
      <w:pPr>
        <w:pStyle w:val="22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pacing w:val="0"/>
          <w:sz w:val="24"/>
          <w:szCs w:val="24"/>
          <w:u w:val="none"/>
          <w:lang w:val="en-US" w:eastAsia="zh-CN"/>
        </w:rPr>
      </w:pPr>
      <w:r>
        <w:rPr>
          <w:rFonts w:hint="eastAsia" w:ascii="Times New Roman" w:hAnsi="Times New Roman" w:eastAsia="宋体" w:cs="Times New Roman"/>
          <w:b w:val="0"/>
          <w:bCs w:val="0"/>
          <w:color w:val="auto"/>
          <w:spacing w:val="0"/>
          <w:sz w:val="24"/>
          <w:szCs w:val="24"/>
          <w:u w:val="none"/>
          <w:lang w:val="en-US" w:eastAsia="zh-CN"/>
        </w:rPr>
        <w:t>③情景设置</w:t>
      </w:r>
    </w:p>
    <w:p w14:paraId="773D2852">
      <w:pPr>
        <w:pStyle w:val="22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pacing w:val="0"/>
          <w:sz w:val="24"/>
          <w:szCs w:val="24"/>
          <w:u w:val="none"/>
        </w:rPr>
      </w:pPr>
      <w:r>
        <w:rPr>
          <w:rFonts w:hint="default" w:ascii="Times New Roman" w:hAnsi="Times New Roman" w:eastAsia="宋体" w:cs="Times New Roman"/>
          <w:b w:val="0"/>
          <w:bCs w:val="0"/>
          <w:color w:val="auto"/>
          <w:spacing w:val="0"/>
          <w:sz w:val="24"/>
          <w:szCs w:val="24"/>
          <w:u w:val="none"/>
        </w:rPr>
        <w:t>污染物进入土壤后会发生一系列的物理、化学和生物学过程。污染物在土壤中的主要迁移和转化过程包括：扩散、浓缩、吸附、降解、淋溶、径流迁移、植物吸收和生物迁移、沉淀溶解、氧化还原造成的污染物形态变化。</w:t>
      </w:r>
    </w:p>
    <w:p w14:paraId="330BB0A2">
      <w:pPr>
        <w:pStyle w:val="22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pacing w:val="0"/>
          <w:sz w:val="24"/>
          <w:szCs w:val="24"/>
          <w:u w:val="none"/>
        </w:rPr>
      </w:pPr>
      <w:r>
        <w:rPr>
          <w:rFonts w:hint="default" w:ascii="Times New Roman" w:hAnsi="Times New Roman" w:eastAsia="宋体" w:cs="Times New Roman"/>
          <w:b w:val="0"/>
          <w:bCs w:val="0"/>
          <w:color w:val="auto"/>
          <w:spacing w:val="0"/>
          <w:sz w:val="24"/>
          <w:szCs w:val="24"/>
          <w:u w:val="none"/>
        </w:rPr>
        <w:t>情景设置：项目</w:t>
      </w:r>
      <w:r>
        <w:rPr>
          <w:rFonts w:hint="eastAsia" w:ascii="Times New Roman" w:hAnsi="Times New Roman" w:eastAsia="宋体" w:cs="Times New Roman"/>
          <w:b w:val="0"/>
          <w:bCs w:val="0"/>
          <w:color w:val="auto"/>
          <w:spacing w:val="0"/>
          <w:sz w:val="24"/>
          <w:szCs w:val="24"/>
          <w:u w:val="none"/>
          <w:lang w:val="en-US" w:eastAsia="zh-CN"/>
        </w:rPr>
        <w:t>非</w:t>
      </w:r>
      <w:r>
        <w:rPr>
          <w:rFonts w:hint="default" w:ascii="Times New Roman" w:hAnsi="Times New Roman" w:eastAsia="宋体" w:cs="Times New Roman"/>
          <w:b w:val="0"/>
          <w:bCs w:val="0"/>
          <w:color w:val="auto"/>
          <w:spacing w:val="0"/>
          <w:sz w:val="24"/>
          <w:szCs w:val="24"/>
          <w:u w:val="none"/>
        </w:rPr>
        <w:t>正常工况情况下，</w:t>
      </w:r>
      <w:r>
        <w:rPr>
          <w:rFonts w:hint="eastAsia" w:ascii="Times New Roman" w:hAnsi="Times New Roman" w:eastAsia="宋体" w:cs="Times New Roman"/>
          <w:b w:val="0"/>
          <w:bCs w:val="0"/>
          <w:color w:val="auto"/>
          <w:spacing w:val="0"/>
          <w:sz w:val="24"/>
          <w:szCs w:val="24"/>
          <w:u w:val="none"/>
          <w:lang w:val="en-US" w:eastAsia="zh-CN"/>
        </w:rPr>
        <w:t>硝酸地下槽泄漏导致硝酸</w:t>
      </w:r>
      <w:r>
        <w:rPr>
          <w:rFonts w:hint="default" w:ascii="Times New Roman" w:hAnsi="Times New Roman" w:eastAsia="宋体" w:cs="Times New Roman"/>
          <w:b w:val="0"/>
          <w:bCs w:val="0"/>
          <w:color w:val="auto"/>
          <w:spacing w:val="0"/>
          <w:sz w:val="24"/>
          <w:szCs w:val="24"/>
          <w:u w:val="none"/>
        </w:rPr>
        <w:t>进入土壤。</w:t>
      </w:r>
    </w:p>
    <w:p w14:paraId="537B6850">
      <w:pPr>
        <w:pStyle w:val="22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pacing w:val="0"/>
          <w:sz w:val="24"/>
          <w:szCs w:val="24"/>
          <w:u w:val="none"/>
          <w:lang w:val="en-US" w:eastAsia="zh-CN"/>
        </w:rPr>
      </w:pPr>
      <w:r>
        <w:rPr>
          <w:rFonts w:hint="eastAsia" w:ascii="Times New Roman" w:hAnsi="Times New Roman" w:eastAsia="宋体" w:cs="Times New Roman"/>
          <w:b w:val="0"/>
          <w:bCs w:val="0"/>
          <w:color w:val="auto"/>
          <w:spacing w:val="0"/>
          <w:sz w:val="24"/>
          <w:szCs w:val="24"/>
          <w:u w:val="none"/>
          <w:lang w:val="en-US" w:eastAsia="zh-CN"/>
        </w:rPr>
        <w:t>④预测评价方法</w:t>
      </w:r>
    </w:p>
    <w:p w14:paraId="0D1DE136">
      <w:pPr>
        <w:pStyle w:val="22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pacing w:val="0"/>
          <w:sz w:val="24"/>
          <w:szCs w:val="24"/>
          <w:u w:val="none"/>
        </w:rPr>
      </w:pPr>
      <w:r>
        <w:rPr>
          <w:rFonts w:hint="default" w:ascii="Times New Roman" w:hAnsi="Times New Roman" w:eastAsia="宋体" w:cs="Times New Roman"/>
          <w:b w:val="0"/>
          <w:bCs w:val="0"/>
          <w:color w:val="auto"/>
          <w:spacing w:val="0"/>
          <w:sz w:val="24"/>
          <w:szCs w:val="24"/>
          <w:u w:val="none"/>
        </w:rPr>
        <w:t>本次预测使用《环境影响评价技术导则 土壤环境（试行）》（HJ 964</w:t>
      </w:r>
      <w:r>
        <w:rPr>
          <w:rFonts w:hint="eastAsia" w:ascii="Times New Roman" w:hAnsi="Times New Roman" w:eastAsia="宋体" w:cs="Times New Roman"/>
          <w:b w:val="0"/>
          <w:bCs w:val="0"/>
          <w:color w:val="auto"/>
          <w:spacing w:val="0"/>
          <w:sz w:val="24"/>
          <w:szCs w:val="24"/>
          <w:u w:val="none"/>
          <w:lang w:val="en-US" w:eastAsia="zh-CN"/>
        </w:rPr>
        <w:t>-</w:t>
      </w:r>
      <w:r>
        <w:rPr>
          <w:rFonts w:hint="default" w:ascii="Times New Roman" w:hAnsi="Times New Roman" w:eastAsia="宋体" w:cs="Times New Roman"/>
          <w:b w:val="0"/>
          <w:bCs w:val="0"/>
          <w:color w:val="auto"/>
          <w:spacing w:val="0"/>
          <w:sz w:val="24"/>
          <w:szCs w:val="24"/>
          <w:u w:val="none"/>
        </w:rPr>
        <w:t>2018）中附录E推荐的E.1公式进行预测。</w:t>
      </w:r>
    </w:p>
    <w:p w14:paraId="7247FDD9">
      <w:pPr>
        <w:pStyle w:val="22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spacing w:val="0"/>
          <w:sz w:val="24"/>
          <w:szCs w:val="24"/>
          <w:u w:val="none"/>
          <w:lang w:val="en-US" w:eastAsia="zh-CN"/>
        </w:rPr>
      </w:pPr>
      <w:r>
        <w:rPr>
          <w:rFonts w:hint="default" w:ascii="Times New Roman" w:hAnsi="Times New Roman" w:eastAsia="宋体" w:cs="Times New Roman"/>
          <w:b w:val="0"/>
          <w:bCs w:val="0"/>
          <w:color w:val="auto"/>
          <w:spacing w:val="0"/>
          <w:sz w:val="24"/>
          <w:szCs w:val="24"/>
          <w:u w:val="none"/>
        </w:rPr>
        <w:t>单位质量土壤中某种物质的增量可用下式计算</w:t>
      </w:r>
      <w:r>
        <w:rPr>
          <w:rFonts w:hint="eastAsia" w:ascii="Times New Roman" w:hAnsi="Times New Roman" w:eastAsia="宋体" w:cs="Times New Roman"/>
          <w:b w:val="0"/>
          <w:bCs w:val="0"/>
          <w:color w:val="auto"/>
          <w:spacing w:val="0"/>
          <w:sz w:val="24"/>
          <w:szCs w:val="24"/>
          <w:u w:val="none"/>
          <w:lang w:val="en-US" w:eastAsia="zh-CN"/>
        </w:rPr>
        <w:t>:</w:t>
      </w:r>
    </w:p>
    <w:p w14:paraId="1E3709B6">
      <w:pPr>
        <w:pStyle w:val="221"/>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宋体" w:cs="Times New Roman"/>
          <w:b w:val="0"/>
          <w:bCs w:val="0"/>
          <w:color w:val="auto"/>
          <w:spacing w:val="0"/>
          <w:sz w:val="24"/>
          <w:szCs w:val="24"/>
          <w:u w:val="none"/>
        </w:rPr>
      </w:pPr>
      <w:r>
        <w:rPr>
          <w:rFonts w:hint="default" w:ascii="Times New Roman" w:hAnsi="Times New Roman" w:eastAsia="宋体" w:cs="Times New Roman"/>
          <w:b w:val="0"/>
          <w:bCs w:val="0"/>
          <w:color w:val="auto"/>
          <w:spacing w:val="0"/>
          <w:sz w:val="24"/>
          <w:szCs w:val="24"/>
          <w:u w:val="none"/>
        </w:rPr>
        <w:t>∆S=n(Is-Ls-Rs)/(p</w:t>
      </w:r>
      <w:r>
        <w:rPr>
          <w:rFonts w:hint="default" w:ascii="Times New Roman" w:hAnsi="Times New Roman" w:eastAsia="宋体" w:cs="Times New Roman"/>
          <w:b w:val="0"/>
          <w:bCs w:val="0"/>
          <w:color w:val="auto"/>
          <w:spacing w:val="0"/>
          <w:sz w:val="24"/>
          <w:szCs w:val="24"/>
          <w:u w:val="none"/>
          <w:vertAlign w:val="subscript"/>
        </w:rPr>
        <w:t>b</w:t>
      </w:r>
      <w:r>
        <w:rPr>
          <w:rFonts w:hint="default" w:ascii="Times New Roman" w:hAnsi="Times New Roman" w:eastAsia="宋体" w:cs="Times New Roman"/>
          <w:b w:val="0"/>
          <w:bCs w:val="0"/>
          <w:color w:val="auto"/>
          <w:spacing w:val="0"/>
          <w:sz w:val="24"/>
          <w:szCs w:val="24"/>
          <w:u w:val="none"/>
        </w:rPr>
        <w:t>×A×D)</w:t>
      </w:r>
    </w:p>
    <w:p w14:paraId="065FA7F4">
      <w:pPr>
        <w:pStyle w:val="22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pacing w:val="0"/>
          <w:sz w:val="24"/>
          <w:szCs w:val="24"/>
          <w:u w:val="none"/>
        </w:rPr>
      </w:pPr>
      <w:r>
        <w:rPr>
          <w:rFonts w:hint="default" w:ascii="Times New Roman" w:hAnsi="Times New Roman" w:eastAsia="宋体" w:cs="Times New Roman"/>
          <w:b w:val="0"/>
          <w:bCs w:val="0"/>
          <w:color w:val="auto"/>
          <w:spacing w:val="0"/>
          <w:sz w:val="24"/>
          <w:szCs w:val="24"/>
          <w:u w:val="none"/>
        </w:rPr>
        <w:t>式中：∆S——单位质量表层土壤中某种物质的增量，g/kg；</w:t>
      </w:r>
    </w:p>
    <w:p w14:paraId="409BAFA5">
      <w:pPr>
        <w:pStyle w:val="221"/>
        <w:keepNext w:val="0"/>
        <w:keepLines w:val="0"/>
        <w:pageBreakBefore w:val="0"/>
        <w:widowControl w:val="0"/>
        <w:kinsoku/>
        <w:wordWrap/>
        <w:overflowPunct/>
        <w:topLinePunct w:val="0"/>
        <w:autoSpaceDE/>
        <w:autoSpaceDN/>
        <w:bidi w:val="0"/>
        <w:adjustRightInd/>
        <w:snapToGrid/>
        <w:spacing w:line="360" w:lineRule="auto"/>
        <w:ind w:left="0" w:leftChars="0" w:firstLine="1200" w:firstLineChars="500"/>
        <w:textAlignment w:val="auto"/>
        <w:rPr>
          <w:rFonts w:hint="default" w:ascii="Times New Roman" w:hAnsi="Times New Roman" w:eastAsia="宋体" w:cs="Times New Roman"/>
          <w:b w:val="0"/>
          <w:bCs w:val="0"/>
          <w:color w:val="auto"/>
          <w:spacing w:val="0"/>
          <w:sz w:val="24"/>
          <w:szCs w:val="24"/>
          <w:u w:val="none"/>
          <w:lang w:val="en-US" w:eastAsia="zh-CN"/>
        </w:rPr>
      </w:pPr>
      <w:r>
        <w:rPr>
          <w:rFonts w:hint="default" w:ascii="Times New Roman" w:hAnsi="Times New Roman" w:eastAsia="宋体" w:cs="Times New Roman"/>
          <w:b w:val="0"/>
          <w:bCs w:val="0"/>
          <w:color w:val="auto"/>
          <w:spacing w:val="0"/>
          <w:sz w:val="24"/>
          <w:szCs w:val="24"/>
          <w:u w:val="none"/>
        </w:rPr>
        <w:t>Is——预测评价范围内单位年份表层土壤中某种物质的输入量，g。</w:t>
      </w:r>
      <w:r>
        <w:rPr>
          <w:rFonts w:hint="eastAsia" w:eastAsia="宋体"/>
          <w:b w:val="0"/>
          <w:bCs w:val="0"/>
          <w:sz w:val="24"/>
          <w:u w:val="none"/>
          <w:lang w:eastAsia="zh-CN"/>
        </w:rPr>
        <w:t>本项目</w:t>
      </w:r>
      <w:r>
        <w:rPr>
          <w:rFonts w:hint="eastAsia"/>
          <w:b w:val="0"/>
          <w:bCs w:val="0"/>
          <w:sz w:val="24"/>
          <w:u w:val="none"/>
          <w:lang w:val="en-US" w:eastAsia="zh-CN"/>
        </w:rPr>
        <w:t>实验室废液酸</w:t>
      </w:r>
      <w:r>
        <w:rPr>
          <w:rFonts w:hint="eastAsia"/>
          <w:b w:val="0"/>
          <w:bCs w:val="0"/>
          <w:sz w:val="24"/>
          <w:highlight w:val="none"/>
          <w:u w:val="none"/>
          <w:lang w:val="en-US" w:eastAsia="zh-CN"/>
        </w:rPr>
        <w:t>储罐容积为100L</w:t>
      </w:r>
      <w:r>
        <w:rPr>
          <w:rFonts w:hint="eastAsia"/>
          <w:b w:val="0"/>
          <w:bCs w:val="0"/>
          <w:sz w:val="24"/>
          <w:highlight w:val="none"/>
          <w:u w:val="none"/>
        </w:rPr>
        <w:t>，</w:t>
      </w:r>
      <w:r>
        <w:rPr>
          <w:rFonts w:hint="eastAsia"/>
          <w:b w:val="0"/>
          <w:bCs w:val="0"/>
          <w:sz w:val="24"/>
          <w:u w:val="none"/>
        </w:rPr>
        <w:t>非正常工况下假定</w:t>
      </w:r>
      <w:r>
        <w:rPr>
          <w:rFonts w:hint="eastAsia"/>
          <w:b w:val="0"/>
          <w:bCs w:val="0"/>
          <w:sz w:val="24"/>
          <w:u w:val="none"/>
          <w:lang w:val="en-US" w:eastAsia="zh-CN"/>
        </w:rPr>
        <w:t>实验室废液酸</w:t>
      </w:r>
      <w:r>
        <w:rPr>
          <w:rFonts w:hint="eastAsia"/>
          <w:b w:val="0"/>
          <w:bCs w:val="0"/>
          <w:sz w:val="24"/>
          <w:highlight w:val="none"/>
          <w:u w:val="none"/>
          <w:lang w:val="en-US" w:eastAsia="zh-CN"/>
        </w:rPr>
        <w:t>储罐破裂，</w:t>
      </w:r>
      <w:r>
        <w:rPr>
          <w:rFonts w:hint="eastAsia" w:ascii="Times New Roman" w:hAnsi="Times New Roman" w:eastAsia="宋体" w:cs="Times New Roman"/>
          <w:b w:val="0"/>
          <w:bCs w:val="0"/>
          <w:color w:val="auto"/>
          <w:spacing w:val="0"/>
          <w:sz w:val="24"/>
          <w:szCs w:val="24"/>
          <w:highlight w:val="none"/>
          <w:u w:val="none"/>
          <w:lang w:val="en-US" w:eastAsia="zh-CN"/>
        </w:rPr>
        <w:t>则废酸输入量为114920g。</w:t>
      </w:r>
    </w:p>
    <w:p w14:paraId="0B4D2FA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Ls——预测评价范围内单位年份表层土壤中某中物质经淋溶排出的量，g。根据导则，可不考虑输出量，取为0；</w:t>
      </w:r>
    </w:p>
    <w:p w14:paraId="4C41B2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Rs——预测评价范围内单位年份表层土壤中某中物质经径流排出的量，g。根据导则，可不考虑输出量，取为0；</w:t>
      </w:r>
    </w:p>
    <w:p w14:paraId="231A04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p</w:t>
      </w:r>
      <w:r>
        <w:rPr>
          <w:rFonts w:hint="default" w:ascii="Times New Roman" w:hAnsi="Times New Roman" w:eastAsia="宋体" w:cs="Times New Roman"/>
          <w:b w:val="0"/>
          <w:bCs w:val="0"/>
          <w:color w:val="auto"/>
          <w:sz w:val="24"/>
          <w:u w:val="none"/>
          <w:vertAlign w:val="subscript"/>
          <w:lang w:val="en-US" w:eastAsia="zh-CN"/>
        </w:rPr>
        <w:t>b</w:t>
      </w:r>
      <w:r>
        <w:rPr>
          <w:rFonts w:hint="default" w:ascii="Times New Roman" w:hAnsi="Times New Roman" w:eastAsia="宋体" w:cs="Times New Roman"/>
          <w:b w:val="0"/>
          <w:bCs w:val="0"/>
          <w:color w:val="auto"/>
          <w:sz w:val="24"/>
          <w:u w:val="none"/>
          <w:lang w:val="en-US" w:eastAsia="zh-CN"/>
        </w:rPr>
        <w:t>——表层土壤容重，kg/m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lang w:val="en-US" w:eastAsia="zh-CN"/>
        </w:rPr>
        <w:t>。取为1400kg/m</w:t>
      </w:r>
      <w:r>
        <w:rPr>
          <w:rFonts w:hint="default" w:ascii="Times New Roman" w:hAnsi="Times New Roman" w:eastAsia="宋体" w:cs="Times New Roman"/>
          <w:b w:val="0"/>
          <w:bCs w:val="0"/>
          <w:color w:val="auto"/>
          <w:sz w:val="24"/>
          <w:u w:val="none"/>
          <w:vertAlign w:val="superscript"/>
          <w:lang w:val="en-US" w:eastAsia="zh-CN"/>
        </w:rPr>
        <w:t>3</w:t>
      </w:r>
      <w:r>
        <w:rPr>
          <w:rFonts w:hint="default" w:ascii="Times New Roman" w:hAnsi="Times New Roman" w:eastAsia="宋体" w:cs="Times New Roman"/>
          <w:b w:val="0"/>
          <w:bCs w:val="0"/>
          <w:color w:val="auto"/>
          <w:sz w:val="24"/>
          <w:u w:val="none"/>
          <w:vertAlign w:val="baseline"/>
          <w:lang w:val="en-US" w:eastAsia="zh-CN"/>
        </w:rPr>
        <w:t>；</w:t>
      </w:r>
    </w:p>
    <w:p w14:paraId="4489B7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A——预测评价范围，m</w:t>
      </w:r>
      <w:r>
        <w:rPr>
          <w:rFonts w:hint="default" w:ascii="Times New Roman" w:hAnsi="Times New Roman" w:eastAsia="宋体" w:cs="Times New Roman"/>
          <w:b w:val="0"/>
          <w:bCs w:val="0"/>
          <w:color w:val="auto"/>
          <w:sz w:val="24"/>
          <w:u w:val="none"/>
          <w:vertAlign w:val="superscript"/>
          <w:lang w:val="en-US" w:eastAsia="zh-CN"/>
        </w:rPr>
        <w:t>2</w:t>
      </w:r>
      <w:r>
        <w:rPr>
          <w:rFonts w:hint="default" w:ascii="Times New Roman" w:hAnsi="Times New Roman" w:eastAsia="宋体" w:cs="Times New Roman"/>
          <w:b w:val="0"/>
          <w:bCs w:val="0"/>
          <w:color w:val="auto"/>
          <w:sz w:val="24"/>
          <w:u w:val="none"/>
          <w:lang w:val="en-US" w:eastAsia="zh-CN"/>
        </w:rPr>
        <w:t>。取为</w:t>
      </w:r>
      <w:r>
        <w:rPr>
          <w:rFonts w:hint="eastAsia" w:ascii="Times New Roman" w:hAnsi="Times New Roman" w:eastAsia="宋体" w:cs="Times New Roman"/>
          <w:b w:val="0"/>
          <w:bCs w:val="0"/>
          <w:color w:val="auto"/>
          <w:sz w:val="24"/>
          <w:szCs w:val="24"/>
          <w:u w:val="none"/>
          <w:lang w:val="en-US" w:eastAsia="zh-CN"/>
        </w:rPr>
        <w:t>320000</w:t>
      </w:r>
      <w:r>
        <w:rPr>
          <w:rFonts w:hint="default" w:ascii="Times New Roman" w:hAnsi="Times New Roman" w:eastAsia="宋体" w:cs="Times New Roman"/>
          <w:b w:val="0"/>
          <w:bCs w:val="0"/>
          <w:color w:val="auto"/>
          <w:sz w:val="24"/>
          <w:u w:val="none"/>
          <w:lang w:val="en-US" w:eastAsia="zh-CN"/>
        </w:rPr>
        <w:t>m</w:t>
      </w:r>
      <w:r>
        <w:rPr>
          <w:rFonts w:hint="default" w:ascii="Times New Roman" w:hAnsi="Times New Roman" w:eastAsia="宋体" w:cs="Times New Roman"/>
          <w:b w:val="0"/>
          <w:bCs w:val="0"/>
          <w:color w:val="auto"/>
          <w:sz w:val="24"/>
          <w:u w:val="none"/>
          <w:vertAlign w:val="superscript"/>
          <w:lang w:val="en-US" w:eastAsia="zh-CN"/>
        </w:rPr>
        <w:t>2</w:t>
      </w:r>
      <w:r>
        <w:rPr>
          <w:rFonts w:hint="default" w:ascii="Times New Roman" w:hAnsi="Times New Roman" w:eastAsia="宋体" w:cs="Times New Roman"/>
          <w:b w:val="0"/>
          <w:bCs w:val="0"/>
          <w:color w:val="auto"/>
          <w:sz w:val="24"/>
          <w:u w:val="none"/>
          <w:lang w:val="en-US" w:eastAsia="zh-CN"/>
        </w:rPr>
        <w:t>；</w:t>
      </w:r>
    </w:p>
    <w:p w14:paraId="1A675F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D—表层土壤深度，取0.2m；</w:t>
      </w:r>
    </w:p>
    <w:p w14:paraId="771D89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n——持续年份，a。分别预测5年</w:t>
      </w:r>
      <w:r>
        <w:rPr>
          <w:rFonts w:hint="eastAsia"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bCs w:val="0"/>
          <w:color w:val="auto"/>
          <w:sz w:val="24"/>
          <w:u w:val="none"/>
          <w:lang w:val="en-US" w:eastAsia="zh-CN"/>
        </w:rPr>
        <w:t>10年</w:t>
      </w:r>
      <w:r>
        <w:rPr>
          <w:rFonts w:hint="eastAsia"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bCs w:val="0"/>
          <w:color w:val="auto"/>
          <w:sz w:val="24"/>
          <w:u w:val="none"/>
          <w:lang w:val="en-US" w:eastAsia="zh-CN"/>
        </w:rPr>
        <w:t>20年</w:t>
      </w:r>
      <w:r>
        <w:rPr>
          <w:rFonts w:hint="eastAsia" w:ascii="Times New Roman" w:hAnsi="Times New Roman" w:eastAsia="宋体" w:cs="Times New Roman"/>
          <w:b w:val="0"/>
          <w:bCs w:val="0"/>
          <w:color w:val="auto"/>
          <w:sz w:val="24"/>
          <w:u w:val="none"/>
          <w:lang w:val="en-US" w:eastAsia="zh-CN"/>
        </w:rPr>
        <w:t>、</w:t>
      </w:r>
      <w:r>
        <w:rPr>
          <w:rFonts w:hint="default" w:ascii="Times New Roman" w:hAnsi="Times New Roman" w:eastAsia="宋体" w:cs="Times New Roman"/>
          <w:b w:val="0"/>
          <w:bCs w:val="0"/>
          <w:color w:val="auto"/>
          <w:sz w:val="24"/>
          <w:u w:val="none"/>
          <w:lang w:val="en-US" w:eastAsia="zh-CN"/>
        </w:rPr>
        <w:t>30年</w:t>
      </w:r>
      <w:r>
        <w:rPr>
          <w:rFonts w:hint="eastAsia" w:ascii="Times New Roman" w:hAnsi="Times New Roman" w:eastAsia="宋体" w:cs="Times New Roman"/>
          <w:b w:val="0"/>
          <w:bCs w:val="0"/>
          <w:color w:val="auto"/>
          <w:sz w:val="24"/>
          <w:u w:val="none"/>
          <w:lang w:val="en-US" w:eastAsia="zh-CN"/>
        </w:rPr>
        <w:t>、40年、</w:t>
      </w:r>
      <w:r>
        <w:rPr>
          <w:rFonts w:hint="default" w:ascii="Times New Roman" w:hAnsi="Times New Roman" w:eastAsia="宋体" w:cs="Times New Roman"/>
          <w:b w:val="0"/>
          <w:bCs w:val="0"/>
          <w:color w:val="auto"/>
          <w:sz w:val="24"/>
          <w:u w:val="none"/>
          <w:lang w:val="en-US" w:eastAsia="zh-CN"/>
        </w:rPr>
        <w:t>50年。</w:t>
      </w:r>
    </w:p>
    <w:p w14:paraId="6DCC1E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pH=pH</w:t>
      </w:r>
      <w:r>
        <w:rPr>
          <w:rFonts w:hint="default" w:ascii="Times New Roman" w:hAnsi="Times New Roman" w:eastAsia="宋体" w:cs="Times New Roman"/>
          <w:b w:val="0"/>
          <w:bCs w:val="0"/>
          <w:color w:val="auto"/>
          <w:sz w:val="24"/>
          <w:u w:val="none"/>
          <w:vertAlign w:val="subscript"/>
          <w:lang w:val="en-US" w:eastAsia="zh-CN"/>
        </w:rPr>
        <w:t>b</w:t>
      </w:r>
      <w:r>
        <w:rPr>
          <w:rFonts w:hint="default" w:ascii="Times New Roman" w:hAnsi="Times New Roman" w:eastAsia="宋体" w:cs="Times New Roman"/>
          <w:b w:val="0"/>
          <w:bCs w:val="0"/>
          <w:color w:val="auto"/>
          <w:sz w:val="24"/>
          <w:u w:val="none"/>
          <w:lang w:val="en-US" w:eastAsia="zh-CN"/>
        </w:rPr>
        <w:t>±∆S/BC</w:t>
      </w:r>
      <w:r>
        <w:rPr>
          <w:rFonts w:hint="default" w:ascii="Times New Roman" w:hAnsi="Times New Roman" w:eastAsia="宋体" w:cs="Times New Roman"/>
          <w:b w:val="0"/>
          <w:bCs w:val="0"/>
          <w:color w:val="auto"/>
          <w:sz w:val="24"/>
          <w:u w:val="none"/>
          <w:vertAlign w:val="subscript"/>
          <w:lang w:val="en-US" w:eastAsia="zh-CN"/>
        </w:rPr>
        <w:t>pH</w:t>
      </w:r>
    </w:p>
    <w:p w14:paraId="60DC3F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式中：pH</w:t>
      </w:r>
      <w:r>
        <w:rPr>
          <w:rFonts w:hint="default" w:ascii="Times New Roman" w:hAnsi="Times New Roman" w:eastAsia="宋体" w:cs="Times New Roman"/>
          <w:b w:val="0"/>
          <w:bCs w:val="0"/>
          <w:color w:val="auto"/>
          <w:sz w:val="24"/>
          <w:u w:val="none"/>
          <w:vertAlign w:val="subscript"/>
          <w:lang w:val="en-US" w:eastAsia="zh-CN"/>
        </w:rPr>
        <w:t>b</w:t>
      </w:r>
      <w:r>
        <w:rPr>
          <w:rFonts w:hint="default" w:ascii="Times New Roman" w:hAnsi="Times New Roman" w:eastAsia="宋体" w:cs="Times New Roman"/>
          <w:b w:val="0"/>
          <w:bCs w:val="0"/>
          <w:color w:val="auto"/>
          <w:sz w:val="24"/>
          <w:u w:val="none"/>
          <w:lang w:val="en-US" w:eastAsia="zh-CN"/>
        </w:rPr>
        <w:t>——土壤pH现状值，根据监测结果</w:t>
      </w:r>
      <w:r>
        <w:rPr>
          <w:rFonts w:hint="default" w:ascii="Times New Roman" w:hAnsi="Times New Roman" w:eastAsia="宋体" w:cs="Times New Roman"/>
          <w:b w:val="0"/>
          <w:bCs w:val="0"/>
          <w:color w:val="auto"/>
          <w:sz w:val="24"/>
          <w:highlight w:val="none"/>
          <w:u w:val="none"/>
          <w:lang w:val="en-US" w:eastAsia="zh-CN"/>
        </w:rPr>
        <w:t>，取平均值7.78</w:t>
      </w:r>
    </w:p>
    <w:p w14:paraId="6C0250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hint="default" w:ascii="Times New Roman" w:hAnsi="Times New Roman" w:eastAsia="宋体" w:cs="Times New Roman"/>
          <w:b w:val="0"/>
          <w:bCs w:val="0"/>
          <w:color w:val="auto"/>
          <w:sz w:val="24"/>
          <w:u w:val="none"/>
          <w:lang w:val="en-US" w:eastAsia="zh-CN"/>
        </w:rPr>
      </w:pPr>
      <w:r>
        <w:rPr>
          <w:rFonts w:hint="default" w:ascii="Times New Roman" w:hAnsi="Times New Roman" w:eastAsia="宋体" w:cs="Times New Roman"/>
          <w:b w:val="0"/>
          <w:bCs w:val="0"/>
          <w:color w:val="auto"/>
          <w:sz w:val="24"/>
          <w:u w:val="none"/>
          <w:lang w:val="en-US" w:eastAsia="zh-CN"/>
        </w:rPr>
        <w:t>BC</w:t>
      </w:r>
      <w:r>
        <w:rPr>
          <w:rFonts w:hint="default" w:ascii="Times New Roman" w:hAnsi="Times New Roman" w:eastAsia="宋体" w:cs="Times New Roman"/>
          <w:b w:val="0"/>
          <w:bCs w:val="0"/>
          <w:color w:val="auto"/>
          <w:sz w:val="24"/>
          <w:u w:val="none"/>
          <w:vertAlign w:val="subscript"/>
          <w:lang w:val="en-US" w:eastAsia="zh-CN"/>
        </w:rPr>
        <w:t>pH</w:t>
      </w:r>
      <w:r>
        <w:rPr>
          <w:rFonts w:hint="default" w:ascii="Times New Roman" w:hAnsi="Times New Roman" w:eastAsia="宋体" w:cs="Times New Roman"/>
          <w:b w:val="0"/>
          <w:bCs w:val="0"/>
          <w:color w:val="auto"/>
          <w:sz w:val="24"/>
          <w:u w:val="none"/>
          <w:lang w:val="en-US" w:eastAsia="zh-CN"/>
        </w:rPr>
        <w:t>——缓冲容量，mmol/(kg·pH)，查阅相关资料，</w:t>
      </w:r>
      <w:r>
        <w:rPr>
          <w:rFonts w:hint="eastAsia" w:ascii="Times New Roman" w:hAnsi="Times New Roman" w:eastAsia="宋体" w:cs="Times New Roman"/>
          <w:b w:val="0"/>
          <w:bCs w:val="0"/>
          <w:color w:val="auto"/>
          <w:sz w:val="24"/>
          <w:u w:val="none"/>
          <w:lang w:val="en-US" w:eastAsia="zh-CN"/>
        </w:rPr>
        <w:t>壤土</w:t>
      </w:r>
      <w:r>
        <w:rPr>
          <w:rFonts w:hint="default" w:ascii="Times New Roman" w:hAnsi="Times New Roman" w:eastAsia="宋体" w:cs="Times New Roman"/>
          <w:b w:val="0"/>
          <w:bCs w:val="0"/>
          <w:color w:val="auto"/>
          <w:sz w:val="24"/>
          <w:u w:val="none"/>
          <w:lang w:val="en-US" w:eastAsia="zh-CN"/>
        </w:rPr>
        <w:t>的缓冲容量在</w:t>
      </w:r>
      <w:r>
        <w:rPr>
          <w:rFonts w:hint="eastAsia" w:ascii="Times New Roman" w:hAnsi="Times New Roman" w:eastAsia="宋体" w:cs="Times New Roman"/>
          <w:b w:val="0"/>
          <w:bCs w:val="0"/>
          <w:color w:val="auto"/>
          <w:sz w:val="24"/>
          <w:u w:val="none"/>
          <w:lang w:val="en-US" w:eastAsia="zh-CN"/>
        </w:rPr>
        <w:t>15</w:t>
      </w:r>
      <w:r>
        <w:rPr>
          <w:rFonts w:hint="default" w:ascii="Times New Roman" w:hAnsi="Times New Roman" w:eastAsia="宋体" w:cs="Times New Roman"/>
          <w:b w:val="0"/>
          <w:bCs w:val="0"/>
          <w:color w:val="auto"/>
          <w:sz w:val="24"/>
          <w:u w:val="none"/>
          <w:lang w:val="en-US" w:eastAsia="zh-CN"/>
        </w:rPr>
        <w:t>mmol/kg左右；</w:t>
      </w:r>
    </w:p>
    <w:p w14:paraId="713E69CE">
      <w:pPr>
        <w:pStyle w:val="221"/>
        <w:keepNext w:val="0"/>
        <w:keepLines w:val="0"/>
        <w:pageBreakBefore w:val="0"/>
        <w:widowControl w:val="0"/>
        <w:kinsoku/>
        <w:wordWrap/>
        <w:overflowPunct/>
        <w:topLinePunct w:val="0"/>
        <w:autoSpaceDE/>
        <w:autoSpaceDN/>
        <w:bidi w:val="0"/>
        <w:adjustRightInd/>
        <w:snapToGrid/>
        <w:spacing w:line="360" w:lineRule="auto"/>
        <w:ind w:firstLine="1200" w:firstLineChars="500"/>
        <w:textAlignment w:val="auto"/>
        <w:rPr>
          <w:rFonts w:hint="default" w:ascii="Times New Roman" w:hAnsi="Times New Roman" w:eastAsia="宋体" w:cs="Times New Roman"/>
          <w:b w:val="0"/>
          <w:bCs w:val="0"/>
          <w:color w:val="auto"/>
          <w:spacing w:val="0"/>
          <w:sz w:val="24"/>
          <w:szCs w:val="24"/>
          <w:u w:val="none"/>
        </w:rPr>
      </w:pPr>
      <w:r>
        <w:rPr>
          <w:rFonts w:hint="default" w:ascii="Times New Roman" w:hAnsi="Times New Roman" w:eastAsia="宋体" w:cs="Times New Roman"/>
          <w:b w:val="0"/>
          <w:bCs w:val="0"/>
          <w:color w:val="auto"/>
          <w:sz w:val="24"/>
          <w:u w:val="none"/>
          <w:lang w:val="en-US" w:eastAsia="zh-CN"/>
        </w:rPr>
        <w:t>pH—土壤pH预测值。</w:t>
      </w:r>
    </w:p>
    <w:p w14:paraId="19420056">
      <w:pPr>
        <w:pStyle w:val="22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b w:val="0"/>
          <w:bCs w:val="0"/>
          <w:color w:val="auto"/>
          <w:spacing w:val="0"/>
          <w:sz w:val="24"/>
          <w:szCs w:val="24"/>
          <w:u w:val="none"/>
          <w:lang w:val="en-US" w:eastAsia="zh-CN"/>
        </w:rPr>
      </w:pPr>
      <w:r>
        <w:rPr>
          <w:rFonts w:hint="eastAsia" w:ascii="Times New Roman" w:hAnsi="Times New Roman" w:eastAsia="宋体" w:cs="Times New Roman"/>
          <w:b w:val="0"/>
          <w:bCs w:val="0"/>
          <w:color w:val="auto"/>
          <w:spacing w:val="0"/>
          <w:sz w:val="24"/>
          <w:szCs w:val="24"/>
          <w:u w:val="none"/>
          <w:lang w:val="en-US" w:eastAsia="zh-CN"/>
        </w:rPr>
        <w:t>⑤预测结果</w:t>
      </w:r>
    </w:p>
    <w:p w14:paraId="1C545360">
      <w:pPr>
        <w:pStyle w:val="22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pacing w:val="0"/>
          <w:sz w:val="24"/>
          <w:szCs w:val="24"/>
          <w:u w:val="none"/>
          <w:lang w:val="en-US" w:eastAsia="zh-CN"/>
        </w:rPr>
      </w:pPr>
      <w:r>
        <w:rPr>
          <w:rFonts w:hint="eastAsia" w:ascii="Times New Roman" w:hAnsi="Times New Roman" w:eastAsia="宋体" w:cs="Times New Roman"/>
          <w:b w:val="0"/>
          <w:bCs w:val="0"/>
          <w:color w:val="auto"/>
          <w:spacing w:val="0"/>
          <w:sz w:val="24"/>
          <w:szCs w:val="24"/>
          <w:u w:val="none"/>
          <w:lang w:val="en-US" w:eastAsia="zh-CN"/>
        </w:rPr>
        <w:t>将相关参数带入上述公式，则可预测本项目投产n年后土壤中pH的预测值，具体计算结果见表5.2-3</w:t>
      </w:r>
      <w:r>
        <w:rPr>
          <w:rFonts w:hint="eastAsia" w:cs="Times New Roman"/>
          <w:b w:val="0"/>
          <w:bCs w:val="0"/>
          <w:color w:val="auto"/>
          <w:spacing w:val="0"/>
          <w:sz w:val="24"/>
          <w:szCs w:val="24"/>
          <w:u w:val="none"/>
          <w:lang w:val="en-US" w:eastAsia="zh-CN"/>
        </w:rPr>
        <w:t>1</w:t>
      </w:r>
      <w:r>
        <w:rPr>
          <w:rFonts w:hint="eastAsia" w:ascii="Times New Roman" w:hAnsi="Times New Roman" w:eastAsia="宋体" w:cs="Times New Roman"/>
          <w:b w:val="0"/>
          <w:bCs w:val="0"/>
          <w:color w:val="auto"/>
          <w:spacing w:val="0"/>
          <w:sz w:val="24"/>
          <w:szCs w:val="24"/>
          <w:u w:val="none"/>
          <w:lang w:val="en-US" w:eastAsia="zh-CN"/>
        </w:rPr>
        <w:t>。</w:t>
      </w:r>
    </w:p>
    <w:p w14:paraId="57627748">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bCs/>
          <w:color w:val="auto"/>
          <w:kern w:val="28"/>
          <w:sz w:val="24"/>
          <w:szCs w:val="24"/>
          <w:highlight w:val="none"/>
          <w:u w:val="single"/>
          <w:lang w:val="zh-CN" w:eastAsia="zh-CN"/>
        </w:rPr>
      </w:pPr>
      <w:r>
        <w:rPr>
          <w:rFonts w:hint="default" w:ascii="Times New Roman" w:hAnsi="Times New Roman" w:eastAsia="宋体" w:cs="Times New Roman"/>
          <w:b/>
          <w:bCs/>
          <w:color w:val="auto"/>
          <w:kern w:val="28"/>
          <w:sz w:val="24"/>
          <w:szCs w:val="24"/>
          <w:highlight w:val="none"/>
          <w:u w:val="none"/>
          <w:lang w:val="zh-CN" w:eastAsia="zh-CN"/>
        </w:rPr>
        <w:t>表</w:t>
      </w:r>
      <w:r>
        <w:rPr>
          <w:rFonts w:hint="eastAsia" w:ascii="Times New Roman" w:hAnsi="Times New Roman" w:eastAsia="宋体" w:cs="Times New Roman"/>
          <w:b/>
          <w:bCs/>
          <w:color w:val="auto"/>
          <w:kern w:val="28"/>
          <w:sz w:val="24"/>
          <w:szCs w:val="24"/>
          <w:highlight w:val="none"/>
          <w:u w:val="none"/>
          <w:lang w:val="en-US" w:eastAsia="zh-CN"/>
        </w:rPr>
        <w:t>5.2-3</w:t>
      </w:r>
      <w:r>
        <w:rPr>
          <w:rFonts w:hint="eastAsia" w:cs="Times New Roman"/>
          <w:b/>
          <w:bCs/>
          <w:color w:val="auto"/>
          <w:kern w:val="28"/>
          <w:sz w:val="24"/>
          <w:szCs w:val="24"/>
          <w:highlight w:val="none"/>
          <w:u w:val="none"/>
          <w:lang w:val="en-US" w:eastAsia="zh-CN"/>
        </w:rPr>
        <w:t>1</w:t>
      </w:r>
      <w:r>
        <w:rPr>
          <w:rFonts w:hint="eastAsia" w:ascii="Times New Roman" w:hAnsi="Times New Roman" w:eastAsia="宋体" w:cs="Times New Roman"/>
          <w:b/>
          <w:bCs/>
          <w:color w:val="auto"/>
          <w:kern w:val="28"/>
          <w:sz w:val="24"/>
          <w:szCs w:val="24"/>
          <w:highlight w:val="none"/>
          <w:u w:val="none"/>
          <w:lang w:val="en-US" w:eastAsia="zh-CN"/>
        </w:rPr>
        <w:t xml:space="preserve"> 不同年份土壤中污染物累积影响预测表</w:t>
      </w:r>
    </w:p>
    <w:tbl>
      <w:tblPr>
        <w:tblStyle w:val="40"/>
        <w:tblW w:w="0" w:type="auto"/>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24"/>
        <w:gridCol w:w="960"/>
        <w:gridCol w:w="2088"/>
        <w:gridCol w:w="1832"/>
        <w:gridCol w:w="1216"/>
      </w:tblGrid>
      <w:tr w14:paraId="124BBB8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Merge w:val="restart"/>
            <w:tcBorders>
              <w:tl2br w:val="nil"/>
              <w:tr2bl w:val="nil"/>
            </w:tcBorders>
            <w:noWrap w:val="0"/>
            <w:vAlign w:val="center"/>
          </w:tcPr>
          <w:p w14:paraId="0AC23615">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u w:val="none"/>
                <w:vertAlign w:val="baseline"/>
                <w:lang w:val="en-US" w:eastAsia="zh-CN"/>
              </w:rPr>
            </w:pPr>
            <w:r>
              <w:rPr>
                <w:rFonts w:hint="default" w:ascii="Times New Roman" w:hAnsi="Times New Roman" w:eastAsia="宋体" w:cs="Times New Roman"/>
                <w:b/>
                <w:bCs/>
                <w:color w:val="auto"/>
                <w:spacing w:val="0"/>
                <w:sz w:val="21"/>
                <w:szCs w:val="21"/>
                <w:highlight w:val="none"/>
                <w:u w:val="none"/>
                <w:vertAlign w:val="baseline"/>
                <w:lang w:val="en-US" w:eastAsia="zh-CN"/>
              </w:rPr>
              <w:t>污染物</w:t>
            </w:r>
          </w:p>
        </w:tc>
        <w:tc>
          <w:tcPr>
            <w:tcW w:w="6096" w:type="dxa"/>
            <w:gridSpan w:val="4"/>
            <w:tcBorders>
              <w:tl2br w:val="nil"/>
              <w:tr2bl w:val="nil"/>
            </w:tcBorders>
            <w:noWrap w:val="0"/>
            <w:vAlign w:val="center"/>
          </w:tcPr>
          <w:p w14:paraId="7876580B">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u w:val="none"/>
                <w:vertAlign w:val="baseline"/>
                <w:lang w:val="en-US" w:eastAsia="zh-CN"/>
              </w:rPr>
            </w:pPr>
            <w:r>
              <w:rPr>
                <w:rFonts w:hint="default" w:ascii="Times New Roman" w:hAnsi="Times New Roman" w:eastAsia="宋体" w:cs="Times New Roman"/>
                <w:b/>
                <w:bCs/>
                <w:color w:val="auto"/>
                <w:spacing w:val="0"/>
                <w:sz w:val="21"/>
                <w:szCs w:val="21"/>
                <w:highlight w:val="none"/>
                <w:u w:val="none"/>
                <w:vertAlign w:val="baseline"/>
                <w:lang w:val="en-US" w:eastAsia="zh-CN"/>
              </w:rPr>
              <w:t>pH</w:t>
            </w:r>
          </w:p>
        </w:tc>
      </w:tr>
      <w:tr w14:paraId="5E0F5AF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vMerge w:val="continue"/>
            <w:tcBorders>
              <w:tl2br w:val="nil"/>
              <w:tr2bl w:val="nil"/>
            </w:tcBorders>
            <w:noWrap w:val="0"/>
            <w:vAlign w:val="center"/>
          </w:tcPr>
          <w:p w14:paraId="21FAA896">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u w:val="none"/>
                <w:vertAlign w:val="baseline"/>
              </w:rPr>
            </w:pPr>
          </w:p>
        </w:tc>
        <w:tc>
          <w:tcPr>
            <w:tcW w:w="960" w:type="dxa"/>
            <w:tcBorders>
              <w:tl2br w:val="nil"/>
              <w:tr2bl w:val="nil"/>
            </w:tcBorders>
            <w:noWrap w:val="0"/>
            <w:vAlign w:val="center"/>
          </w:tcPr>
          <w:p w14:paraId="68B2CF69">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u w:val="none"/>
                <w:vertAlign w:val="baseline"/>
                <w:lang w:val="en-US" w:eastAsia="zh-CN"/>
              </w:rPr>
            </w:pPr>
            <w:r>
              <w:rPr>
                <w:rFonts w:hint="default" w:ascii="Times New Roman" w:hAnsi="Times New Roman" w:eastAsia="宋体" w:cs="Times New Roman"/>
                <w:b/>
                <w:bCs/>
                <w:color w:val="auto"/>
                <w:spacing w:val="0"/>
                <w:sz w:val="21"/>
                <w:szCs w:val="21"/>
                <w:highlight w:val="none"/>
                <w:u w:val="none"/>
                <w:vertAlign w:val="baseline"/>
                <w:lang w:val="en-US" w:eastAsia="zh-CN"/>
              </w:rPr>
              <w:t>pH</w:t>
            </w:r>
            <w:r>
              <w:rPr>
                <w:rFonts w:hint="default" w:ascii="Times New Roman" w:hAnsi="Times New Roman" w:eastAsia="宋体" w:cs="Times New Roman"/>
                <w:b/>
                <w:bCs/>
                <w:color w:val="auto"/>
                <w:spacing w:val="0"/>
                <w:sz w:val="21"/>
                <w:szCs w:val="21"/>
                <w:highlight w:val="none"/>
                <w:u w:val="none"/>
                <w:vertAlign w:val="subscript"/>
                <w:lang w:val="en-US" w:eastAsia="zh-CN"/>
              </w:rPr>
              <w:t>b</w:t>
            </w:r>
          </w:p>
        </w:tc>
        <w:tc>
          <w:tcPr>
            <w:tcW w:w="2088" w:type="dxa"/>
            <w:tcBorders>
              <w:tl2br w:val="nil"/>
              <w:tr2bl w:val="nil"/>
            </w:tcBorders>
            <w:noWrap w:val="0"/>
            <w:vAlign w:val="center"/>
          </w:tcPr>
          <w:p w14:paraId="1CA8519C">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u w:val="none"/>
                <w:vertAlign w:val="baseline"/>
                <w:lang w:val="en-US" w:eastAsia="zh-CN"/>
              </w:rPr>
            </w:pPr>
            <w:r>
              <w:rPr>
                <w:rFonts w:hint="default" w:ascii="Times New Roman" w:hAnsi="Times New Roman" w:eastAsia="宋体" w:cs="Times New Roman"/>
                <w:b/>
                <w:bCs/>
                <w:color w:val="auto"/>
                <w:sz w:val="24"/>
                <w:highlight w:val="none"/>
                <w:u w:val="none"/>
                <w:lang w:val="en-US" w:eastAsia="zh-CN"/>
              </w:rPr>
              <w:t>∆S</w:t>
            </w:r>
            <w:r>
              <w:rPr>
                <w:rFonts w:hint="eastAsia" w:ascii="Times New Roman" w:hAnsi="Times New Roman" w:eastAsia="宋体" w:cs="Times New Roman"/>
                <w:b/>
                <w:bCs/>
                <w:color w:val="auto"/>
                <w:sz w:val="24"/>
                <w:highlight w:val="none"/>
                <w:u w:val="none"/>
                <w:lang w:val="en-US" w:eastAsia="zh-CN"/>
              </w:rPr>
              <w:t>（mmol/kg）</w:t>
            </w:r>
          </w:p>
        </w:tc>
        <w:tc>
          <w:tcPr>
            <w:tcW w:w="1832" w:type="dxa"/>
            <w:tcBorders>
              <w:tl2br w:val="nil"/>
              <w:tr2bl w:val="nil"/>
            </w:tcBorders>
            <w:noWrap w:val="0"/>
            <w:vAlign w:val="center"/>
          </w:tcPr>
          <w:p w14:paraId="59CD2F26">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u w:val="none"/>
                <w:vertAlign w:val="baseline"/>
                <w:lang w:val="en-US" w:eastAsia="zh-CN"/>
              </w:rPr>
            </w:pPr>
            <w:r>
              <w:rPr>
                <w:rFonts w:hint="default" w:ascii="Times New Roman" w:hAnsi="Times New Roman" w:eastAsia="宋体" w:cs="Times New Roman"/>
                <w:b/>
                <w:bCs/>
                <w:color w:val="auto"/>
                <w:sz w:val="21"/>
                <w:szCs w:val="21"/>
                <w:highlight w:val="none"/>
                <w:u w:val="none"/>
                <w:lang w:val="en-US" w:eastAsia="zh-CN"/>
              </w:rPr>
              <w:t>BC</w:t>
            </w:r>
            <w:r>
              <w:rPr>
                <w:rFonts w:hint="default" w:ascii="Times New Roman" w:hAnsi="Times New Roman" w:eastAsia="宋体" w:cs="Times New Roman"/>
                <w:b/>
                <w:bCs/>
                <w:color w:val="auto"/>
                <w:sz w:val="21"/>
                <w:szCs w:val="21"/>
                <w:highlight w:val="none"/>
                <w:u w:val="none"/>
                <w:vertAlign w:val="subscript"/>
                <w:lang w:val="en-US" w:eastAsia="zh-CN"/>
              </w:rPr>
              <w:t>pH</w:t>
            </w:r>
            <w:r>
              <w:rPr>
                <w:rFonts w:hint="eastAsia" w:ascii="Times New Roman" w:hAnsi="Times New Roman" w:eastAsia="宋体" w:cs="Times New Roman"/>
                <w:b/>
                <w:bCs/>
                <w:color w:val="auto"/>
                <w:sz w:val="21"/>
                <w:szCs w:val="21"/>
                <w:highlight w:val="none"/>
                <w:u w:val="none"/>
                <w:vertAlign w:val="baseline"/>
                <w:lang w:val="en-US" w:eastAsia="zh-CN"/>
              </w:rPr>
              <w:t>（</w:t>
            </w:r>
            <w:r>
              <w:rPr>
                <w:rFonts w:hint="eastAsia" w:ascii="Times New Roman" w:hAnsi="Times New Roman" w:eastAsia="宋体" w:cs="Times New Roman"/>
                <w:b/>
                <w:bCs/>
                <w:color w:val="auto"/>
                <w:sz w:val="24"/>
                <w:highlight w:val="none"/>
                <w:u w:val="none"/>
                <w:lang w:val="en-US" w:eastAsia="zh-CN"/>
              </w:rPr>
              <w:t>mmol/kg</w:t>
            </w:r>
            <w:r>
              <w:rPr>
                <w:rFonts w:hint="eastAsia" w:ascii="Times New Roman" w:hAnsi="Times New Roman" w:eastAsia="宋体" w:cs="Times New Roman"/>
                <w:b/>
                <w:bCs/>
                <w:color w:val="auto"/>
                <w:sz w:val="21"/>
                <w:szCs w:val="21"/>
                <w:highlight w:val="none"/>
                <w:u w:val="none"/>
                <w:vertAlign w:val="baseline"/>
                <w:lang w:val="en-US" w:eastAsia="zh-CN"/>
              </w:rPr>
              <w:t>）</w:t>
            </w:r>
          </w:p>
        </w:tc>
        <w:tc>
          <w:tcPr>
            <w:tcW w:w="1216" w:type="dxa"/>
            <w:tcBorders>
              <w:tl2br w:val="nil"/>
              <w:tr2bl w:val="nil"/>
            </w:tcBorders>
            <w:noWrap w:val="0"/>
            <w:vAlign w:val="center"/>
          </w:tcPr>
          <w:p w14:paraId="57CDB959">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kern w:val="2"/>
                <w:sz w:val="21"/>
                <w:szCs w:val="21"/>
                <w:highlight w:val="none"/>
                <w:u w:val="none"/>
                <w:vertAlign w:val="baseline"/>
                <w:lang w:val="en-US" w:eastAsia="zh-CN" w:bidi="ar-SA"/>
              </w:rPr>
            </w:pPr>
            <w:r>
              <w:rPr>
                <w:rFonts w:hint="default" w:ascii="Times New Roman" w:hAnsi="Times New Roman" w:eastAsia="宋体" w:cs="Times New Roman"/>
                <w:b/>
                <w:bCs/>
                <w:color w:val="auto"/>
                <w:spacing w:val="0"/>
                <w:sz w:val="21"/>
                <w:szCs w:val="21"/>
                <w:highlight w:val="none"/>
                <w:u w:val="none"/>
                <w:vertAlign w:val="baseline"/>
                <w:lang w:val="en-US" w:eastAsia="zh-CN"/>
              </w:rPr>
              <w:t>pH</w:t>
            </w:r>
          </w:p>
        </w:tc>
      </w:tr>
      <w:tr w14:paraId="0C6C7D7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tcBorders>
              <w:tl2br w:val="nil"/>
              <w:tr2bl w:val="nil"/>
            </w:tcBorders>
            <w:noWrap w:val="0"/>
            <w:vAlign w:val="center"/>
          </w:tcPr>
          <w:p w14:paraId="36C35D26">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val="0"/>
                <w:bCs w:val="0"/>
                <w:color w:val="auto"/>
                <w:spacing w:val="0"/>
                <w:kern w:val="2"/>
                <w:sz w:val="21"/>
                <w:szCs w:val="23"/>
                <w:highlight w:val="none"/>
                <w:u w:val="none"/>
                <w:lang w:val="en-US" w:eastAsia="zh-CN" w:bidi="ar-SA"/>
              </w:rPr>
            </w:pPr>
            <w:r>
              <w:rPr>
                <w:rFonts w:hint="default" w:ascii="Times New Roman" w:hAnsi="Times New Roman" w:eastAsia="宋体" w:cs="Times New Roman"/>
                <w:b w:val="0"/>
                <w:bCs w:val="0"/>
                <w:color w:val="auto"/>
                <w:spacing w:val="0"/>
                <w:sz w:val="21"/>
                <w:szCs w:val="23"/>
                <w:highlight w:val="none"/>
                <w:u w:val="none"/>
                <w:lang w:val="en-US" w:eastAsia="zh-CN"/>
              </w:rPr>
              <w:t>5年单位质量表层土壤中pH预测结果</w:t>
            </w:r>
          </w:p>
        </w:tc>
        <w:tc>
          <w:tcPr>
            <w:tcW w:w="960" w:type="dxa"/>
            <w:tcBorders>
              <w:tl2br w:val="nil"/>
              <w:tr2bl w:val="nil"/>
            </w:tcBorders>
            <w:noWrap w:val="0"/>
            <w:vAlign w:val="center"/>
          </w:tcPr>
          <w:p w14:paraId="35DCB6A9">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7.78</w:t>
            </w:r>
          </w:p>
        </w:tc>
        <w:tc>
          <w:tcPr>
            <w:tcW w:w="2088" w:type="dxa"/>
            <w:tcBorders>
              <w:tl2br w:val="nil"/>
              <w:tr2bl w:val="nil"/>
            </w:tcBorders>
            <w:noWrap w:val="0"/>
            <w:vAlign w:val="center"/>
          </w:tcPr>
          <w:p w14:paraId="60D8B5CE">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0.0051</w:t>
            </w:r>
          </w:p>
        </w:tc>
        <w:tc>
          <w:tcPr>
            <w:tcW w:w="1832" w:type="dxa"/>
            <w:tcBorders>
              <w:tl2br w:val="nil"/>
              <w:tr2bl w:val="nil"/>
            </w:tcBorders>
            <w:noWrap w:val="0"/>
            <w:vAlign w:val="center"/>
          </w:tcPr>
          <w:p w14:paraId="210E3505">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15</w:t>
            </w:r>
          </w:p>
        </w:tc>
        <w:tc>
          <w:tcPr>
            <w:tcW w:w="1216" w:type="dxa"/>
            <w:tcBorders>
              <w:tl2br w:val="nil"/>
              <w:tr2bl w:val="nil"/>
            </w:tcBorders>
            <w:noWrap w:val="0"/>
            <w:vAlign w:val="center"/>
          </w:tcPr>
          <w:p w14:paraId="5CCDAF04">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u w:val="none"/>
                <w:vertAlign w:val="baseline"/>
                <w:lang w:val="en-US" w:eastAsia="zh-CN" w:bidi="ar-SA"/>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7.7</w:t>
            </w:r>
            <w:r>
              <w:rPr>
                <w:rFonts w:hint="eastAsia" w:ascii="Times New Roman" w:hAnsi="Times New Roman" w:eastAsia="宋体" w:cs="Times New Roman"/>
                <w:b w:val="0"/>
                <w:bCs w:val="0"/>
                <w:color w:val="auto"/>
                <w:spacing w:val="0"/>
                <w:sz w:val="21"/>
                <w:szCs w:val="21"/>
                <w:highlight w:val="none"/>
                <w:u w:val="none"/>
                <w:vertAlign w:val="baseline"/>
                <w:lang w:val="en-US" w:eastAsia="zh-CN"/>
              </w:rPr>
              <w:t>8</w:t>
            </w:r>
          </w:p>
        </w:tc>
      </w:tr>
      <w:tr w14:paraId="6775764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tcBorders>
              <w:tl2br w:val="nil"/>
              <w:tr2bl w:val="nil"/>
            </w:tcBorders>
            <w:noWrap w:val="0"/>
            <w:vAlign w:val="center"/>
          </w:tcPr>
          <w:p w14:paraId="35A468E2">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val="0"/>
                <w:bCs w:val="0"/>
                <w:color w:val="auto"/>
                <w:spacing w:val="0"/>
                <w:kern w:val="2"/>
                <w:sz w:val="21"/>
                <w:szCs w:val="23"/>
                <w:highlight w:val="none"/>
                <w:u w:val="none"/>
                <w:lang w:val="en-US" w:eastAsia="zh-CN" w:bidi="ar-SA"/>
              </w:rPr>
            </w:pPr>
            <w:r>
              <w:rPr>
                <w:rFonts w:hint="default" w:ascii="Times New Roman" w:hAnsi="Times New Roman" w:eastAsia="宋体" w:cs="Times New Roman"/>
                <w:b w:val="0"/>
                <w:bCs w:val="0"/>
                <w:color w:val="auto"/>
                <w:spacing w:val="0"/>
                <w:sz w:val="21"/>
                <w:szCs w:val="23"/>
                <w:highlight w:val="none"/>
                <w:u w:val="none"/>
                <w:lang w:val="en-US" w:eastAsia="zh-CN"/>
              </w:rPr>
              <w:t>10年单位质量表层土壤中pH预测结果</w:t>
            </w:r>
          </w:p>
        </w:tc>
        <w:tc>
          <w:tcPr>
            <w:tcW w:w="960" w:type="dxa"/>
            <w:tcBorders>
              <w:tl2br w:val="nil"/>
              <w:tr2bl w:val="nil"/>
            </w:tcBorders>
            <w:noWrap w:val="0"/>
            <w:vAlign w:val="center"/>
          </w:tcPr>
          <w:p w14:paraId="346A5F87">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7.78</w:t>
            </w:r>
          </w:p>
        </w:tc>
        <w:tc>
          <w:tcPr>
            <w:tcW w:w="2088" w:type="dxa"/>
            <w:tcBorders>
              <w:tl2br w:val="nil"/>
              <w:tr2bl w:val="nil"/>
            </w:tcBorders>
            <w:noWrap w:val="0"/>
            <w:vAlign w:val="center"/>
          </w:tcPr>
          <w:p w14:paraId="608B759B">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0.013</w:t>
            </w:r>
          </w:p>
        </w:tc>
        <w:tc>
          <w:tcPr>
            <w:tcW w:w="1832" w:type="dxa"/>
            <w:tcBorders>
              <w:tl2br w:val="nil"/>
              <w:tr2bl w:val="nil"/>
            </w:tcBorders>
            <w:noWrap w:val="0"/>
            <w:vAlign w:val="center"/>
          </w:tcPr>
          <w:p w14:paraId="3B567656">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15</w:t>
            </w:r>
          </w:p>
        </w:tc>
        <w:tc>
          <w:tcPr>
            <w:tcW w:w="1216" w:type="dxa"/>
            <w:tcBorders>
              <w:tl2br w:val="nil"/>
              <w:tr2bl w:val="nil"/>
            </w:tcBorders>
            <w:noWrap w:val="0"/>
            <w:vAlign w:val="center"/>
          </w:tcPr>
          <w:p w14:paraId="056668C5">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u w:val="none"/>
                <w:vertAlign w:val="baseline"/>
                <w:lang w:val="en-US" w:eastAsia="zh-CN" w:bidi="ar-SA"/>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w:t>
            </w:r>
            <w:r>
              <w:rPr>
                <w:rFonts w:hint="eastAsia" w:ascii="Times New Roman" w:hAnsi="Times New Roman" w:eastAsia="宋体" w:cs="Times New Roman"/>
                <w:b w:val="0"/>
                <w:bCs w:val="0"/>
                <w:color w:val="auto"/>
                <w:spacing w:val="0"/>
                <w:sz w:val="21"/>
                <w:szCs w:val="21"/>
                <w:highlight w:val="none"/>
                <w:u w:val="none"/>
                <w:vertAlign w:val="baseline"/>
                <w:lang w:val="en-US" w:eastAsia="zh-CN"/>
              </w:rPr>
              <w:t>78</w:t>
            </w:r>
          </w:p>
        </w:tc>
      </w:tr>
      <w:tr w14:paraId="6475F54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tcBorders>
              <w:tl2br w:val="nil"/>
              <w:tr2bl w:val="nil"/>
            </w:tcBorders>
            <w:noWrap w:val="0"/>
            <w:vAlign w:val="center"/>
          </w:tcPr>
          <w:p w14:paraId="13B2A8C0">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val="0"/>
                <w:bCs w:val="0"/>
                <w:color w:val="auto"/>
                <w:spacing w:val="0"/>
                <w:kern w:val="2"/>
                <w:sz w:val="21"/>
                <w:szCs w:val="23"/>
                <w:highlight w:val="none"/>
                <w:u w:val="none"/>
                <w:lang w:val="en-US" w:eastAsia="zh-CN" w:bidi="ar-SA"/>
              </w:rPr>
            </w:pPr>
            <w:r>
              <w:rPr>
                <w:rFonts w:hint="default" w:ascii="Times New Roman" w:hAnsi="Times New Roman" w:eastAsia="宋体" w:cs="Times New Roman"/>
                <w:b w:val="0"/>
                <w:bCs w:val="0"/>
                <w:color w:val="auto"/>
                <w:spacing w:val="0"/>
                <w:sz w:val="21"/>
                <w:szCs w:val="23"/>
                <w:highlight w:val="none"/>
                <w:u w:val="none"/>
                <w:lang w:val="en-US" w:eastAsia="zh-CN"/>
              </w:rPr>
              <w:t>20年单位质量表层土壤中pH预测结果</w:t>
            </w:r>
          </w:p>
        </w:tc>
        <w:tc>
          <w:tcPr>
            <w:tcW w:w="960" w:type="dxa"/>
            <w:tcBorders>
              <w:tl2br w:val="nil"/>
              <w:tr2bl w:val="nil"/>
            </w:tcBorders>
            <w:noWrap w:val="0"/>
            <w:vAlign w:val="center"/>
          </w:tcPr>
          <w:p w14:paraId="08F5BFB1">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7.78</w:t>
            </w:r>
          </w:p>
        </w:tc>
        <w:tc>
          <w:tcPr>
            <w:tcW w:w="2088" w:type="dxa"/>
            <w:tcBorders>
              <w:tl2br w:val="nil"/>
              <w:tr2bl w:val="nil"/>
            </w:tcBorders>
            <w:noWrap w:val="0"/>
            <w:vAlign w:val="center"/>
          </w:tcPr>
          <w:p w14:paraId="47638D7B">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0.026</w:t>
            </w:r>
          </w:p>
        </w:tc>
        <w:tc>
          <w:tcPr>
            <w:tcW w:w="1832" w:type="dxa"/>
            <w:tcBorders>
              <w:tl2br w:val="nil"/>
              <w:tr2bl w:val="nil"/>
            </w:tcBorders>
            <w:noWrap w:val="0"/>
            <w:vAlign w:val="center"/>
          </w:tcPr>
          <w:p w14:paraId="575687A8">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15</w:t>
            </w:r>
          </w:p>
        </w:tc>
        <w:tc>
          <w:tcPr>
            <w:tcW w:w="1216" w:type="dxa"/>
            <w:tcBorders>
              <w:tl2br w:val="nil"/>
              <w:tr2bl w:val="nil"/>
            </w:tcBorders>
            <w:noWrap w:val="0"/>
            <w:vAlign w:val="center"/>
          </w:tcPr>
          <w:p w14:paraId="1AAAFF84">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u w:val="none"/>
                <w:vertAlign w:val="baseline"/>
                <w:lang w:val="en-US" w:eastAsia="zh-CN" w:bidi="ar-SA"/>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w:t>
            </w:r>
            <w:r>
              <w:rPr>
                <w:rFonts w:hint="eastAsia" w:ascii="Times New Roman" w:hAnsi="Times New Roman" w:eastAsia="宋体" w:cs="Times New Roman"/>
                <w:b w:val="0"/>
                <w:bCs w:val="0"/>
                <w:color w:val="auto"/>
                <w:spacing w:val="0"/>
                <w:sz w:val="21"/>
                <w:szCs w:val="21"/>
                <w:highlight w:val="none"/>
                <w:u w:val="none"/>
                <w:vertAlign w:val="baseline"/>
                <w:lang w:val="en-US" w:eastAsia="zh-CN"/>
              </w:rPr>
              <w:t>78</w:t>
            </w:r>
          </w:p>
        </w:tc>
      </w:tr>
      <w:tr w14:paraId="0337EB0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tcBorders>
              <w:tl2br w:val="nil"/>
              <w:tr2bl w:val="nil"/>
            </w:tcBorders>
            <w:noWrap w:val="0"/>
            <w:vAlign w:val="center"/>
          </w:tcPr>
          <w:p w14:paraId="238C3CE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val="0"/>
                <w:bCs w:val="0"/>
                <w:color w:val="auto"/>
                <w:spacing w:val="0"/>
                <w:kern w:val="2"/>
                <w:sz w:val="21"/>
                <w:szCs w:val="23"/>
                <w:highlight w:val="none"/>
                <w:u w:val="none"/>
                <w:lang w:val="en-US" w:eastAsia="zh-CN" w:bidi="ar-SA"/>
              </w:rPr>
            </w:pPr>
            <w:r>
              <w:rPr>
                <w:rFonts w:hint="default" w:ascii="Times New Roman" w:hAnsi="Times New Roman" w:eastAsia="宋体" w:cs="Times New Roman"/>
                <w:b w:val="0"/>
                <w:bCs w:val="0"/>
                <w:color w:val="auto"/>
                <w:spacing w:val="0"/>
                <w:sz w:val="21"/>
                <w:szCs w:val="23"/>
                <w:highlight w:val="none"/>
                <w:u w:val="none"/>
                <w:lang w:val="en-US" w:eastAsia="zh-CN"/>
              </w:rPr>
              <w:t>30年单位质量表层土壤中pH预测结果</w:t>
            </w:r>
          </w:p>
        </w:tc>
        <w:tc>
          <w:tcPr>
            <w:tcW w:w="960" w:type="dxa"/>
            <w:tcBorders>
              <w:tl2br w:val="nil"/>
              <w:tr2bl w:val="nil"/>
            </w:tcBorders>
            <w:noWrap w:val="0"/>
            <w:vAlign w:val="center"/>
          </w:tcPr>
          <w:p w14:paraId="3C5A9596">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7.78</w:t>
            </w:r>
          </w:p>
        </w:tc>
        <w:tc>
          <w:tcPr>
            <w:tcW w:w="2088" w:type="dxa"/>
            <w:tcBorders>
              <w:tl2br w:val="nil"/>
              <w:tr2bl w:val="nil"/>
            </w:tcBorders>
            <w:noWrap w:val="0"/>
            <w:vAlign w:val="center"/>
          </w:tcPr>
          <w:p w14:paraId="2DC99D66">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0.038</w:t>
            </w:r>
          </w:p>
        </w:tc>
        <w:tc>
          <w:tcPr>
            <w:tcW w:w="1832" w:type="dxa"/>
            <w:tcBorders>
              <w:tl2br w:val="nil"/>
              <w:tr2bl w:val="nil"/>
            </w:tcBorders>
            <w:noWrap w:val="0"/>
            <w:vAlign w:val="center"/>
          </w:tcPr>
          <w:p w14:paraId="77BE1B3F">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15</w:t>
            </w:r>
          </w:p>
        </w:tc>
        <w:tc>
          <w:tcPr>
            <w:tcW w:w="1216" w:type="dxa"/>
            <w:tcBorders>
              <w:tl2br w:val="nil"/>
              <w:tr2bl w:val="nil"/>
            </w:tcBorders>
            <w:noWrap w:val="0"/>
            <w:vAlign w:val="center"/>
          </w:tcPr>
          <w:p w14:paraId="44526D21">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u w:val="none"/>
                <w:vertAlign w:val="baseline"/>
                <w:lang w:val="en-US" w:eastAsia="zh-CN" w:bidi="ar-SA"/>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w:t>
            </w:r>
            <w:r>
              <w:rPr>
                <w:rFonts w:hint="eastAsia" w:ascii="Times New Roman" w:hAnsi="Times New Roman" w:eastAsia="宋体" w:cs="Times New Roman"/>
                <w:b w:val="0"/>
                <w:bCs w:val="0"/>
                <w:color w:val="auto"/>
                <w:spacing w:val="0"/>
                <w:sz w:val="21"/>
                <w:szCs w:val="21"/>
                <w:highlight w:val="none"/>
                <w:u w:val="none"/>
                <w:vertAlign w:val="baseline"/>
                <w:lang w:val="en-US" w:eastAsia="zh-CN"/>
              </w:rPr>
              <w:t>78</w:t>
            </w:r>
          </w:p>
        </w:tc>
      </w:tr>
      <w:tr w14:paraId="425CF54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tcBorders>
              <w:tl2br w:val="nil"/>
              <w:tr2bl w:val="nil"/>
            </w:tcBorders>
            <w:noWrap w:val="0"/>
            <w:vAlign w:val="center"/>
          </w:tcPr>
          <w:p w14:paraId="3057CAED">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val="0"/>
                <w:bCs w:val="0"/>
                <w:color w:val="auto"/>
                <w:spacing w:val="0"/>
                <w:kern w:val="2"/>
                <w:sz w:val="21"/>
                <w:szCs w:val="23"/>
                <w:highlight w:val="none"/>
                <w:u w:val="none"/>
                <w:lang w:val="en-US" w:eastAsia="zh-CN" w:bidi="ar-SA"/>
              </w:rPr>
            </w:pPr>
            <w:r>
              <w:rPr>
                <w:rFonts w:hint="default" w:ascii="Times New Roman" w:hAnsi="Times New Roman" w:eastAsia="宋体" w:cs="Times New Roman"/>
                <w:b w:val="0"/>
                <w:bCs w:val="0"/>
                <w:color w:val="auto"/>
                <w:spacing w:val="0"/>
                <w:sz w:val="21"/>
                <w:szCs w:val="23"/>
                <w:highlight w:val="none"/>
                <w:u w:val="none"/>
                <w:lang w:val="en-US" w:eastAsia="zh-CN"/>
              </w:rPr>
              <w:t>40年单位质量表层土壤中pH预测结果</w:t>
            </w:r>
          </w:p>
        </w:tc>
        <w:tc>
          <w:tcPr>
            <w:tcW w:w="960" w:type="dxa"/>
            <w:tcBorders>
              <w:tl2br w:val="nil"/>
              <w:tr2bl w:val="nil"/>
            </w:tcBorders>
            <w:noWrap w:val="0"/>
            <w:vAlign w:val="center"/>
          </w:tcPr>
          <w:p w14:paraId="55D3E896">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7.78</w:t>
            </w:r>
          </w:p>
        </w:tc>
        <w:tc>
          <w:tcPr>
            <w:tcW w:w="2088" w:type="dxa"/>
            <w:tcBorders>
              <w:tl2br w:val="nil"/>
              <w:tr2bl w:val="nil"/>
            </w:tcBorders>
            <w:noWrap w:val="0"/>
            <w:vAlign w:val="center"/>
          </w:tcPr>
          <w:p w14:paraId="7BC81975">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0.051</w:t>
            </w:r>
          </w:p>
        </w:tc>
        <w:tc>
          <w:tcPr>
            <w:tcW w:w="1832" w:type="dxa"/>
            <w:tcBorders>
              <w:tl2br w:val="nil"/>
              <w:tr2bl w:val="nil"/>
            </w:tcBorders>
            <w:noWrap w:val="0"/>
            <w:vAlign w:val="center"/>
          </w:tcPr>
          <w:p w14:paraId="644C1EAD">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15</w:t>
            </w:r>
          </w:p>
        </w:tc>
        <w:tc>
          <w:tcPr>
            <w:tcW w:w="1216" w:type="dxa"/>
            <w:tcBorders>
              <w:tl2br w:val="nil"/>
              <w:tr2bl w:val="nil"/>
            </w:tcBorders>
            <w:noWrap w:val="0"/>
            <w:vAlign w:val="center"/>
          </w:tcPr>
          <w:p w14:paraId="3488319A">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u w:val="none"/>
                <w:vertAlign w:val="baseline"/>
                <w:lang w:val="en-US" w:eastAsia="zh-CN" w:bidi="ar-SA"/>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w:t>
            </w:r>
            <w:r>
              <w:rPr>
                <w:rFonts w:hint="eastAsia" w:ascii="Times New Roman" w:hAnsi="Times New Roman" w:eastAsia="宋体" w:cs="Times New Roman"/>
                <w:b w:val="0"/>
                <w:bCs w:val="0"/>
                <w:color w:val="auto"/>
                <w:spacing w:val="0"/>
                <w:sz w:val="21"/>
                <w:szCs w:val="21"/>
                <w:highlight w:val="none"/>
                <w:u w:val="none"/>
                <w:vertAlign w:val="baseline"/>
                <w:lang w:val="en-US" w:eastAsia="zh-CN"/>
              </w:rPr>
              <w:t>78</w:t>
            </w:r>
          </w:p>
        </w:tc>
      </w:tr>
      <w:tr w14:paraId="0773DD5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24" w:type="dxa"/>
            <w:tcBorders>
              <w:tl2br w:val="nil"/>
              <w:tr2bl w:val="nil"/>
            </w:tcBorders>
            <w:noWrap w:val="0"/>
            <w:vAlign w:val="center"/>
          </w:tcPr>
          <w:p w14:paraId="677C1A2A">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val="0"/>
                <w:bCs w:val="0"/>
                <w:color w:val="auto"/>
                <w:spacing w:val="0"/>
                <w:kern w:val="2"/>
                <w:sz w:val="21"/>
                <w:szCs w:val="23"/>
                <w:highlight w:val="none"/>
                <w:u w:val="none"/>
                <w:lang w:val="en-US" w:eastAsia="zh-CN" w:bidi="ar-SA"/>
              </w:rPr>
            </w:pPr>
            <w:r>
              <w:rPr>
                <w:rFonts w:hint="default" w:ascii="Times New Roman" w:hAnsi="Times New Roman" w:eastAsia="宋体" w:cs="Times New Roman"/>
                <w:b w:val="0"/>
                <w:bCs w:val="0"/>
                <w:color w:val="auto"/>
                <w:spacing w:val="0"/>
                <w:sz w:val="21"/>
                <w:szCs w:val="23"/>
                <w:highlight w:val="none"/>
                <w:u w:val="none"/>
                <w:lang w:val="en-US" w:eastAsia="zh-CN"/>
              </w:rPr>
              <w:t>50年单位质量表层土壤中pH预测结果</w:t>
            </w:r>
          </w:p>
        </w:tc>
        <w:tc>
          <w:tcPr>
            <w:tcW w:w="960" w:type="dxa"/>
            <w:tcBorders>
              <w:tl2br w:val="nil"/>
              <w:tr2bl w:val="nil"/>
            </w:tcBorders>
            <w:noWrap w:val="0"/>
            <w:vAlign w:val="center"/>
          </w:tcPr>
          <w:p w14:paraId="36343E7C">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7.78</w:t>
            </w:r>
          </w:p>
        </w:tc>
        <w:tc>
          <w:tcPr>
            <w:tcW w:w="2088" w:type="dxa"/>
            <w:tcBorders>
              <w:tl2br w:val="nil"/>
              <w:tr2bl w:val="nil"/>
            </w:tcBorders>
            <w:noWrap w:val="0"/>
            <w:vAlign w:val="center"/>
          </w:tcPr>
          <w:p w14:paraId="32A4744D">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0.064</w:t>
            </w:r>
          </w:p>
        </w:tc>
        <w:tc>
          <w:tcPr>
            <w:tcW w:w="1832" w:type="dxa"/>
            <w:tcBorders>
              <w:tl2br w:val="nil"/>
              <w:tr2bl w:val="nil"/>
            </w:tcBorders>
            <w:noWrap w:val="0"/>
            <w:vAlign w:val="center"/>
          </w:tcPr>
          <w:p w14:paraId="36146577">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sz w:val="21"/>
                <w:szCs w:val="21"/>
                <w:highlight w:val="none"/>
                <w:u w:val="none"/>
                <w:vertAlign w:val="baseline"/>
                <w:lang w:val="en-US" w:eastAsia="zh-CN"/>
              </w:rPr>
            </w:pPr>
            <w:r>
              <w:rPr>
                <w:rFonts w:hint="eastAsia" w:ascii="Times New Roman" w:hAnsi="Times New Roman" w:eastAsia="宋体" w:cs="Times New Roman"/>
                <w:b w:val="0"/>
                <w:bCs w:val="0"/>
                <w:color w:val="auto"/>
                <w:spacing w:val="0"/>
                <w:sz w:val="21"/>
                <w:szCs w:val="21"/>
                <w:highlight w:val="none"/>
                <w:u w:val="none"/>
                <w:vertAlign w:val="baseline"/>
                <w:lang w:val="en-US" w:eastAsia="zh-CN"/>
              </w:rPr>
              <w:t>15</w:t>
            </w:r>
          </w:p>
        </w:tc>
        <w:tc>
          <w:tcPr>
            <w:tcW w:w="1216" w:type="dxa"/>
            <w:tcBorders>
              <w:tl2br w:val="nil"/>
              <w:tr2bl w:val="nil"/>
            </w:tcBorders>
            <w:noWrap w:val="0"/>
            <w:vAlign w:val="center"/>
          </w:tcPr>
          <w:p w14:paraId="7DE15DDD">
            <w:pPr>
              <w:pStyle w:val="221"/>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u w:val="none"/>
                <w:vertAlign w:val="baseline"/>
                <w:lang w:val="en-US" w:eastAsia="zh-CN" w:bidi="ar-SA"/>
              </w:rPr>
            </w:pPr>
            <w:r>
              <w:rPr>
                <w:rFonts w:hint="default" w:ascii="Times New Roman" w:hAnsi="Times New Roman" w:eastAsia="宋体" w:cs="Times New Roman"/>
                <w:b w:val="0"/>
                <w:bCs w:val="0"/>
                <w:color w:val="auto"/>
                <w:spacing w:val="0"/>
                <w:sz w:val="21"/>
                <w:szCs w:val="21"/>
                <w:highlight w:val="none"/>
                <w:u w:val="none"/>
                <w:vertAlign w:val="baseline"/>
                <w:lang w:val="en-US" w:eastAsia="zh-CN"/>
              </w:rPr>
              <w:t>7.</w:t>
            </w:r>
            <w:r>
              <w:rPr>
                <w:rFonts w:hint="eastAsia" w:ascii="Times New Roman" w:hAnsi="Times New Roman" w:eastAsia="宋体" w:cs="Times New Roman"/>
                <w:b w:val="0"/>
                <w:bCs w:val="0"/>
                <w:color w:val="auto"/>
                <w:spacing w:val="0"/>
                <w:sz w:val="21"/>
                <w:szCs w:val="21"/>
                <w:highlight w:val="none"/>
                <w:u w:val="none"/>
                <w:vertAlign w:val="baseline"/>
                <w:lang w:val="en-US" w:eastAsia="zh-CN"/>
              </w:rPr>
              <w:t>78</w:t>
            </w:r>
          </w:p>
        </w:tc>
      </w:tr>
    </w:tbl>
    <w:p w14:paraId="45863AD7">
      <w:pPr>
        <w:pStyle w:val="5"/>
        <w:keepNext/>
        <w:keepLines/>
        <w:pageBreakBefore w:val="0"/>
        <w:widowControl/>
        <w:kinsoku/>
        <w:wordWrap/>
        <w:overflowPunct/>
        <w:topLinePunct w:val="0"/>
        <w:autoSpaceDE/>
        <w:autoSpaceDN/>
        <w:bidi w:val="0"/>
        <w:adjustRightInd/>
        <w:snapToGrid/>
        <w:spacing w:before="0" w:beforeLines="0" w:after="0" w:line="360" w:lineRule="auto"/>
        <w:textAlignment w:val="auto"/>
        <w:outlineLvl w:val="3"/>
        <w:rPr>
          <w:rFonts w:hint="eastAsia" w:ascii="Times New Roman" w:hAnsi="Times New Roman" w:eastAsia="宋体" w:cs="Times New Roman"/>
          <w:b/>
          <w:bCs w:val="0"/>
          <w:kern w:val="2"/>
          <w:sz w:val="24"/>
          <w:szCs w:val="24"/>
          <w:highlight w:val="none"/>
          <w:lang w:val="en-US" w:eastAsia="zh-CN"/>
        </w:rPr>
      </w:pPr>
      <w:r>
        <w:rPr>
          <w:rFonts w:hint="eastAsia" w:ascii="Times New Roman" w:hAnsi="Times New Roman" w:eastAsia="宋体" w:cs="Times New Roman"/>
          <w:b/>
          <w:bCs w:val="0"/>
          <w:kern w:val="2"/>
          <w:sz w:val="24"/>
          <w:szCs w:val="24"/>
          <w:highlight w:val="none"/>
          <w:lang w:val="en-US" w:eastAsia="zh-CN"/>
        </w:rPr>
        <w:t>5.2.6.5土壤环境保护措施及对策</w:t>
      </w:r>
      <w:bookmarkEnd w:id="231"/>
      <w:bookmarkEnd w:id="232"/>
    </w:p>
    <w:p w14:paraId="676DE4D5">
      <w:pPr>
        <w:spacing w:line="360" w:lineRule="auto"/>
        <w:ind w:firstLine="480" w:firstLineChars="200"/>
        <w:rPr>
          <w:rFonts w:hint="eastAsia" w:ascii="Times New Roman" w:hAnsi="Times New Roman" w:eastAsia="宋体" w:cs="Times New Roman"/>
          <w:b w:val="0"/>
          <w:bCs w:val="0"/>
          <w:sz w:val="24"/>
          <w:u w:val="none"/>
          <w:lang w:val="en-US" w:eastAsia="zh-CN"/>
        </w:rPr>
      </w:pPr>
      <w:r>
        <w:rPr>
          <w:rFonts w:hint="eastAsia" w:ascii="Times New Roman" w:hAnsi="Times New Roman" w:eastAsia="宋体" w:cs="Times New Roman"/>
          <w:b w:val="0"/>
          <w:bCs w:val="0"/>
          <w:sz w:val="24"/>
          <w:u w:val="none"/>
          <w:lang w:val="en-US" w:eastAsia="zh-CN"/>
        </w:rPr>
        <w:t>（1）源头控制</w:t>
      </w:r>
    </w:p>
    <w:p w14:paraId="7418937A">
      <w:pPr>
        <w:spacing w:line="360" w:lineRule="auto"/>
        <w:ind w:firstLine="480" w:firstLineChars="200"/>
        <w:rPr>
          <w:rFonts w:hint="eastAsia"/>
          <w:b w:val="0"/>
          <w:bCs w:val="0"/>
          <w:sz w:val="24"/>
          <w:u w:val="none"/>
        </w:rPr>
      </w:pPr>
      <w:r>
        <w:rPr>
          <w:rFonts w:hint="eastAsia"/>
          <w:b w:val="0"/>
          <w:bCs w:val="0"/>
          <w:sz w:val="24"/>
          <w:u w:val="none"/>
        </w:rPr>
        <w:t>从原料和产品储存、装卸、运输、生产过程、污染处理装置等全过程控制各种有毒有害原辅材料、中间材料、产品泄漏（含跑、冒、滴、漏），同时对有害物质可能泄漏到地面的区域采取防渗措施，阻止其进入土壤中，即从源头到末端全方位采取控制措施，防止项目的建设对土壤造成污染。</w:t>
      </w:r>
    </w:p>
    <w:p w14:paraId="56903CDB">
      <w:pPr>
        <w:spacing w:line="360" w:lineRule="auto"/>
        <w:ind w:firstLine="480" w:firstLineChars="200"/>
        <w:rPr>
          <w:rFonts w:hint="eastAsia"/>
          <w:b w:val="0"/>
          <w:bCs w:val="0"/>
          <w:sz w:val="24"/>
          <w:u w:val="none"/>
        </w:rPr>
      </w:pPr>
      <w:r>
        <w:rPr>
          <w:rFonts w:hint="eastAsia"/>
          <w:b w:val="0"/>
          <w:bCs w:val="0"/>
          <w:sz w:val="24"/>
          <w:u w:val="none"/>
        </w:rPr>
        <w:t>从生产过程入手，在工艺、管道、设备、给排水等方面尽可能地采取泄漏控制措施，从源头最大限度降低污染物质泄漏的可能性和泄漏量，使项目区污染物对土壤的影响降至最低，一旦出现泄漏等即可由各种配套措施进行收集、处置，同时经过硬化处理的地面有效阻止污染物的下渗。</w:t>
      </w:r>
    </w:p>
    <w:p w14:paraId="76A6FEBA">
      <w:pPr>
        <w:spacing w:line="360" w:lineRule="auto"/>
        <w:ind w:firstLine="480" w:firstLineChars="200"/>
        <w:rPr>
          <w:rFonts w:hint="eastAsia" w:ascii="Times New Roman" w:hAnsi="Times New Roman" w:eastAsia="宋体" w:cs="Times New Roman"/>
          <w:b w:val="0"/>
          <w:bCs w:val="0"/>
          <w:sz w:val="24"/>
          <w:u w:val="none"/>
          <w:lang w:val="en-US" w:eastAsia="zh-CN"/>
        </w:rPr>
      </w:pPr>
      <w:r>
        <w:rPr>
          <w:rFonts w:hint="eastAsia" w:ascii="Times New Roman" w:hAnsi="Times New Roman" w:eastAsia="宋体" w:cs="Times New Roman"/>
          <w:b w:val="0"/>
          <w:bCs w:val="0"/>
          <w:sz w:val="24"/>
          <w:u w:val="none"/>
          <w:lang w:val="en-US" w:eastAsia="zh-CN"/>
        </w:rPr>
        <w:t>（2）过程控制</w:t>
      </w:r>
    </w:p>
    <w:p w14:paraId="0A2808BA">
      <w:pPr>
        <w:spacing w:line="360" w:lineRule="auto"/>
        <w:ind w:firstLine="480" w:firstLineChars="200"/>
        <w:rPr>
          <w:rFonts w:hint="eastAsia"/>
          <w:b w:val="0"/>
          <w:bCs w:val="0"/>
          <w:sz w:val="24"/>
          <w:u w:val="none"/>
        </w:rPr>
      </w:pPr>
      <w:r>
        <w:rPr>
          <w:rFonts w:hint="eastAsia"/>
          <w:b w:val="0"/>
          <w:bCs w:val="0"/>
          <w:sz w:val="24"/>
          <w:u w:val="none"/>
        </w:rPr>
        <w:t>从大气沉降、垂直入渗途径分别进行控制。</w:t>
      </w:r>
    </w:p>
    <w:p w14:paraId="0E5B1EDD">
      <w:pPr>
        <w:spacing w:line="360" w:lineRule="auto"/>
        <w:ind w:firstLine="480" w:firstLineChars="200"/>
        <w:rPr>
          <w:rFonts w:hint="eastAsia"/>
          <w:b w:val="0"/>
          <w:bCs w:val="0"/>
          <w:sz w:val="24"/>
          <w:u w:val="none"/>
        </w:rPr>
      </w:pPr>
      <w:r>
        <w:rPr>
          <w:rFonts w:hint="eastAsia"/>
          <w:b w:val="0"/>
          <w:bCs w:val="0"/>
          <w:sz w:val="24"/>
          <w:u w:val="none"/>
        </w:rPr>
        <w:t>①针对大气沉降污染途径的治理措施，项目对各类废气污染物均采取了对应的治理措施，确保污染物达标排放。</w:t>
      </w:r>
    </w:p>
    <w:p w14:paraId="224480A6">
      <w:pPr>
        <w:spacing w:line="360" w:lineRule="auto"/>
        <w:ind w:firstLine="480" w:firstLineChars="200"/>
        <w:rPr>
          <w:rFonts w:hint="eastAsia"/>
          <w:b w:val="0"/>
          <w:bCs w:val="0"/>
          <w:sz w:val="24"/>
          <w:u w:val="none"/>
        </w:rPr>
      </w:pPr>
      <w:r>
        <w:rPr>
          <w:rFonts w:hint="eastAsia"/>
          <w:b w:val="0"/>
          <w:bCs w:val="0"/>
          <w:sz w:val="24"/>
          <w:u w:val="none"/>
        </w:rPr>
        <w:t>②针对垂直入渗污染途径的治理措施，项目按重点污染防治区、一般污染防治区、简单防渗区分别采取不同等级的防渗措施</w:t>
      </w:r>
      <w:r>
        <w:rPr>
          <w:rFonts w:hint="eastAsia"/>
          <w:b w:val="0"/>
          <w:bCs w:val="0"/>
          <w:sz w:val="24"/>
          <w:u w:val="none"/>
          <w:lang w:eastAsia="zh-CN"/>
        </w:rPr>
        <w:t>，</w:t>
      </w:r>
      <w:r>
        <w:rPr>
          <w:rFonts w:hint="eastAsia"/>
          <w:lang w:val="en-US" w:eastAsia="zh-CN"/>
        </w:rPr>
        <w:t>重点</w:t>
      </w:r>
      <w:r>
        <w:t>防渗等级满足等效粘土防渗层 Mb≥6.0m，渗透系数K≤1.0×10</w:t>
      </w:r>
      <w:r>
        <w:rPr>
          <w:vertAlign w:val="superscript"/>
        </w:rPr>
        <w:t>-7</w:t>
      </w:r>
      <w:r>
        <w:t>cm/s，或2mm厚高密度聚乙烯，或至少2mm厚的其它人工材料，渗透系数≤10</w:t>
      </w:r>
      <w:r>
        <w:rPr>
          <w:vertAlign w:val="superscript"/>
        </w:rPr>
        <w:t>-7</w:t>
      </w:r>
      <w:r>
        <w:t>cm/s。企业在管理方面严加管理，</w:t>
      </w:r>
      <w:r>
        <w:rPr>
          <w:lang w:val="en-US"/>
        </w:rPr>
        <w:t>同时按监测计划定期开展土壤监测，</w:t>
      </w:r>
      <w:r>
        <w:t>可有效防治</w:t>
      </w:r>
      <w:r>
        <w:rPr>
          <w:rFonts w:hint="eastAsia"/>
          <w:lang w:val="en-US" w:eastAsia="zh-CN"/>
        </w:rPr>
        <w:t>项目运行</w:t>
      </w:r>
      <w:r>
        <w:t>过程中因物料泄漏造成对区域土壤环境的污染。</w:t>
      </w:r>
    </w:p>
    <w:p w14:paraId="703BF1D3">
      <w:pPr>
        <w:pStyle w:val="5"/>
        <w:keepNext/>
        <w:keepLines/>
        <w:pageBreakBefore w:val="0"/>
        <w:widowControl/>
        <w:kinsoku/>
        <w:wordWrap/>
        <w:overflowPunct/>
        <w:topLinePunct w:val="0"/>
        <w:autoSpaceDE/>
        <w:autoSpaceDN/>
        <w:bidi w:val="0"/>
        <w:adjustRightInd/>
        <w:snapToGrid/>
        <w:spacing w:before="0" w:beforeLines="0" w:after="0" w:line="360" w:lineRule="auto"/>
        <w:textAlignment w:val="auto"/>
        <w:outlineLvl w:val="3"/>
        <w:rPr>
          <w:rFonts w:hint="eastAsia" w:ascii="Times New Roman" w:hAnsi="Times New Roman" w:eastAsia="宋体" w:cs="Times New Roman"/>
          <w:b/>
          <w:bCs w:val="0"/>
          <w:kern w:val="2"/>
          <w:sz w:val="24"/>
          <w:szCs w:val="24"/>
          <w:highlight w:val="none"/>
          <w:lang w:val="en-US" w:eastAsia="zh-CN"/>
        </w:rPr>
      </w:pPr>
      <w:bookmarkStart w:id="233" w:name="_Toc13409"/>
      <w:bookmarkStart w:id="234" w:name="_Toc32750"/>
      <w:r>
        <w:rPr>
          <w:rFonts w:hint="eastAsia" w:ascii="Times New Roman" w:hAnsi="Times New Roman" w:eastAsia="宋体" w:cs="Times New Roman"/>
          <w:b/>
          <w:bCs w:val="0"/>
          <w:kern w:val="2"/>
          <w:sz w:val="24"/>
          <w:szCs w:val="24"/>
          <w:highlight w:val="none"/>
          <w:lang w:val="en-US" w:eastAsia="zh-CN"/>
        </w:rPr>
        <w:t>5.2.6.6跟踪监测</w:t>
      </w:r>
    </w:p>
    <w:p w14:paraId="46B91AFF">
      <w:pPr>
        <w:pStyle w:val="6"/>
      </w:pPr>
      <w:r>
        <w:t>根据《环境影响评价技术导则 土壤环境（试行）》（HJ964-2018），评价工作等级为</w:t>
      </w:r>
      <w:r>
        <w:rPr>
          <w:rFonts w:hint="eastAsia"/>
          <w:lang w:val="en-US" w:eastAsia="zh-CN"/>
        </w:rPr>
        <w:t>二</w:t>
      </w:r>
      <w:r>
        <w:t>级的建设项目每</w:t>
      </w:r>
      <w:r>
        <w:rPr>
          <w:rFonts w:hint="eastAsia"/>
          <w:lang w:val="en-US" w:eastAsia="zh-CN"/>
        </w:rPr>
        <w:t>5</w:t>
      </w:r>
      <w:r>
        <w:t>年内开展一次跟踪监测；监测点位应布设在重点影响区和土壤环境敏感目标附近；监测指标应选择建设项目特征因子。跟踪监测计划见</w:t>
      </w:r>
      <w:r>
        <w:fldChar w:fldCharType="begin"/>
      </w:r>
      <w:r>
        <w:instrText xml:space="preserve"> REF _Ref130209629 \h  \* MERGEFORMAT </w:instrText>
      </w:r>
      <w:r>
        <w:fldChar w:fldCharType="separate"/>
      </w:r>
      <w:r>
        <w:t>表</w:t>
      </w:r>
      <w:r>
        <w:rPr>
          <w:rFonts w:hint="eastAsia"/>
          <w:lang w:val="en-US" w:eastAsia="zh-CN"/>
        </w:rPr>
        <w:t>5.2-32</w:t>
      </w:r>
      <w:r>
        <w:fldChar w:fldCharType="end"/>
      </w:r>
      <w:r>
        <w:t>。</w:t>
      </w:r>
    </w:p>
    <w:p w14:paraId="464D7F7B">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b/>
          <w:bCs/>
        </w:rPr>
      </w:pPr>
      <w:bookmarkStart w:id="235" w:name="_Ref130209629"/>
      <w:r>
        <w:rPr>
          <w:b/>
          <w:bCs/>
        </w:rPr>
        <w:t>表</w:t>
      </w:r>
      <w:bookmarkEnd w:id="235"/>
      <w:r>
        <w:rPr>
          <w:rFonts w:hint="eastAsia"/>
          <w:b/>
          <w:bCs/>
          <w:lang w:val="en-US" w:eastAsia="zh-CN"/>
        </w:rPr>
        <w:t>5.2-32</w:t>
      </w:r>
      <w:r>
        <w:rPr>
          <w:b/>
          <w:bCs/>
        </w:rPr>
        <w:t xml:space="preserve"> 土壤环境质量跟踪监测计划表</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9"/>
        <w:gridCol w:w="1087"/>
        <w:gridCol w:w="1101"/>
        <w:gridCol w:w="4699"/>
      </w:tblGrid>
      <w:tr w14:paraId="37E0E3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6" w:type="pct"/>
            <w:tcBorders>
              <w:tl2br w:val="nil"/>
              <w:tr2bl w:val="nil"/>
            </w:tcBorders>
            <w:vAlign w:val="center"/>
          </w:tcPr>
          <w:p w14:paraId="2620592B">
            <w:pPr>
              <w:pStyle w:val="52"/>
              <w:spacing w:before="0" w:after="0" w:line="240" w:lineRule="auto"/>
              <w:ind w:left="0" w:firstLine="0"/>
              <w:rPr>
                <w:b/>
                <w:bCs/>
                <w:color w:val="000000" w:themeColor="text1"/>
                <w:sz w:val="21"/>
                <w:szCs w:val="18"/>
                <w14:textFill>
                  <w14:solidFill>
                    <w14:schemeClr w14:val="tx1"/>
                  </w14:solidFill>
                </w14:textFill>
              </w:rPr>
            </w:pPr>
            <w:r>
              <w:rPr>
                <w:b/>
                <w:bCs/>
                <w:color w:val="000000" w:themeColor="text1"/>
                <w:sz w:val="21"/>
                <w:szCs w:val="18"/>
                <w14:textFill>
                  <w14:solidFill>
                    <w14:schemeClr w14:val="tx1"/>
                  </w14:solidFill>
                </w14:textFill>
              </w:rPr>
              <w:t>监测点位</w:t>
            </w:r>
          </w:p>
        </w:tc>
        <w:tc>
          <w:tcPr>
            <w:tcW w:w="638" w:type="pct"/>
            <w:tcBorders>
              <w:tl2br w:val="nil"/>
              <w:tr2bl w:val="nil"/>
            </w:tcBorders>
            <w:vAlign w:val="center"/>
          </w:tcPr>
          <w:p w14:paraId="42098509">
            <w:pPr>
              <w:pStyle w:val="52"/>
              <w:spacing w:before="0" w:after="0" w:line="240" w:lineRule="auto"/>
              <w:ind w:left="0" w:firstLine="0"/>
              <w:rPr>
                <w:b/>
                <w:bCs/>
                <w:color w:val="000000" w:themeColor="text1"/>
                <w:sz w:val="21"/>
                <w:szCs w:val="18"/>
                <w14:textFill>
                  <w14:solidFill>
                    <w14:schemeClr w14:val="tx1"/>
                  </w14:solidFill>
                </w14:textFill>
              </w:rPr>
            </w:pPr>
            <w:r>
              <w:rPr>
                <w:b/>
                <w:bCs/>
                <w:color w:val="000000" w:themeColor="text1"/>
                <w:sz w:val="21"/>
                <w:szCs w:val="18"/>
                <w14:textFill>
                  <w14:solidFill>
                    <w14:schemeClr w14:val="tx1"/>
                  </w14:solidFill>
                </w14:textFill>
              </w:rPr>
              <w:t>监测指标</w:t>
            </w:r>
          </w:p>
        </w:tc>
        <w:tc>
          <w:tcPr>
            <w:tcW w:w="646" w:type="pct"/>
            <w:tcBorders>
              <w:tl2br w:val="nil"/>
              <w:tr2bl w:val="nil"/>
            </w:tcBorders>
            <w:vAlign w:val="center"/>
          </w:tcPr>
          <w:p w14:paraId="02418FE0">
            <w:pPr>
              <w:pStyle w:val="52"/>
              <w:spacing w:before="0" w:after="0" w:line="240" w:lineRule="auto"/>
              <w:ind w:left="0" w:firstLine="0"/>
              <w:rPr>
                <w:b/>
                <w:bCs/>
                <w:color w:val="000000" w:themeColor="text1"/>
                <w:sz w:val="21"/>
                <w:szCs w:val="18"/>
                <w14:textFill>
                  <w14:solidFill>
                    <w14:schemeClr w14:val="tx1"/>
                  </w14:solidFill>
                </w14:textFill>
              </w:rPr>
            </w:pPr>
            <w:r>
              <w:rPr>
                <w:b/>
                <w:bCs/>
                <w:color w:val="000000" w:themeColor="text1"/>
                <w:sz w:val="21"/>
                <w:szCs w:val="18"/>
                <w14:textFill>
                  <w14:solidFill>
                    <w14:schemeClr w14:val="tx1"/>
                  </w14:solidFill>
                </w14:textFill>
              </w:rPr>
              <w:t>监测频次</w:t>
            </w:r>
          </w:p>
        </w:tc>
        <w:tc>
          <w:tcPr>
            <w:tcW w:w="2758" w:type="pct"/>
            <w:tcBorders>
              <w:tl2br w:val="nil"/>
              <w:tr2bl w:val="nil"/>
            </w:tcBorders>
            <w:vAlign w:val="center"/>
          </w:tcPr>
          <w:p w14:paraId="2839438B">
            <w:pPr>
              <w:pStyle w:val="52"/>
              <w:spacing w:before="0" w:after="0" w:line="240" w:lineRule="auto"/>
              <w:ind w:left="0" w:firstLine="0"/>
              <w:rPr>
                <w:b/>
                <w:bCs/>
                <w:color w:val="000000" w:themeColor="text1"/>
                <w:sz w:val="21"/>
                <w:szCs w:val="18"/>
                <w14:textFill>
                  <w14:solidFill>
                    <w14:schemeClr w14:val="tx1"/>
                  </w14:solidFill>
                </w14:textFill>
              </w:rPr>
            </w:pPr>
            <w:r>
              <w:rPr>
                <w:b/>
                <w:bCs/>
                <w:color w:val="000000" w:themeColor="text1"/>
                <w:sz w:val="21"/>
                <w:szCs w:val="18"/>
                <w14:textFill>
                  <w14:solidFill>
                    <w14:schemeClr w14:val="tx1"/>
                  </w14:solidFill>
                </w14:textFill>
              </w:rPr>
              <w:t>执行标准</w:t>
            </w:r>
          </w:p>
        </w:tc>
      </w:tr>
      <w:tr w14:paraId="4693FAE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56" w:type="pct"/>
            <w:tcBorders>
              <w:tl2br w:val="nil"/>
              <w:tr2bl w:val="nil"/>
            </w:tcBorders>
            <w:vAlign w:val="center"/>
          </w:tcPr>
          <w:p w14:paraId="498BF6FC">
            <w:pPr>
              <w:pStyle w:val="52"/>
              <w:spacing w:before="0" w:after="0" w:line="240" w:lineRule="auto"/>
              <w:ind w:left="0" w:firstLine="0"/>
              <w:rPr>
                <w:rFonts w:hint="default" w:eastAsia="宋体"/>
                <w:color w:val="000000" w:themeColor="text1"/>
                <w:sz w:val="21"/>
                <w:szCs w:val="18"/>
                <w:lang w:val="en-US" w:eastAsia="zh-CN"/>
                <w14:textFill>
                  <w14:solidFill>
                    <w14:schemeClr w14:val="tx1"/>
                  </w14:solidFill>
                </w14:textFill>
              </w:rPr>
            </w:pPr>
            <w:r>
              <w:rPr>
                <w:rFonts w:hint="eastAsia"/>
                <w:color w:val="000000" w:themeColor="text1"/>
                <w:sz w:val="21"/>
                <w:szCs w:val="18"/>
                <w:lang w:val="en-US" w:eastAsia="zh-CN"/>
                <w14:textFill>
                  <w14:solidFill>
                    <w14:schemeClr w14:val="tx1"/>
                  </w14:solidFill>
                </w14:textFill>
              </w:rPr>
              <w:t>危险废物贮存库</w:t>
            </w:r>
          </w:p>
        </w:tc>
        <w:tc>
          <w:tcPr>
            <w:tcW w:w="638" w:type="pct"/>
            <w:tcBorders>
              <w:tl2br w:val="nil"/>
              <w:tr2bl w:val="nil"/>
            </w:tcBorders>
            <w:vAlign w:val="center"/>
          </w:tcPr>
          <w:p w14:paraId="198EFACA">
            <w:pPr>
              <w:pStyle w:val="52"/>
              <w:spacing w:before="0" w:after="0" w:line="240" w:lineRule="auto"/>
              <w:ind w:left="0" w:firstLine="0"/>
              <w:rPr>
                <w:rFonts w:hint="default" w:eastAsia="宋体"/>
                <w:color w:val="000000" w:themeColor="text1"/>
                <w:sz w:val="21"/>
                <w:szCs w:val="18"/>
                <w:lang w:val="en-US" w:eastAsia="zh-CN"/>
                <w14:textFill>
                  <w14:solidFill>
                    <w14:schemeClr w14:val="tx1"/>
                  </w14:solidFill>
                </w14:textFill>
              </w:rPr>
            </w:pPr>
            <w:r>
              <w:rPr>
                <w:rFonts w:hint="eastAsia"/>
                <w:color w:val="000000" w:themeColor="text1"/>
                <w:sz w:val="21"/>
                <w:szCs w:val="18"/>
                <w:lang w:val="en-US" w:eastAsia="zh-CN"/>
                <w14:textFill>
                  <w14:solidFill>
                    <w14:schemeClr w14:val="tx1"/>
                  </w14:solidFill>
                </w14:textFill>
              </w:rPr>
              <w:t>pH</w:t>
            </w:r>
          </w:p>
        </w:tc>
        <w:tc>
          <w:tcPr>
            <w:tcW w:w="646" w:type="pct"/>
            <w:tcBorders>
              <w:tl2br w:val="nil"/>
              <w:tr2bl w:val="nil"/>
            </w:tcBorders>
            <w:vAlign w:val="center"/>
          </w:tcPr>
          <w:p w14:paraId="1D37D7AC">
            <w:pPr>
              <w:pStyle w:val="52"/>
              <w:spacing w:before="0" w:after="0" w:line="240" w:lineRule="auto"/>
              <w:ind w:left="0" w:firstLine="0"/>
              <w:rPr>
                <w:color w:val="000000" w:themeColor="text1"/>
                <w:sz w:val="21"/>
                <w:szCs w:val="18"/>
                <w14:textFill>
                  <w14:solidFill>
                    <w14:schemeClr w14:val="tx1"/>
                  </w14:solidFill>
                </w14:textFill>
              </w:rPr>
            </w:pPr>
            <w:r>
              <w:rPr>
                <w:color w:val="000000" w:themeColor="text1"/>
                <w:sz w:val="21"/>
                <w:szCs w:val="18"/>
                <w14:textFill>
                  <w14:solidFill>
                    <w14:schemeClr w14:val="tx1"/>
                  </w14:solidFill>
                </w14:textFill>
              </w:rPr>
              <w:t>1次/</w:t>
            </w:r>
            <w:r>
              <w:rPr>
                <w:rFonts w:hint="eastAsia"/>
                <w:color w:val="000000" w:themeColor="text1"/>
                <w:sz w:val="21"/>
                <w:szCs w:val="18"/>
                <w:lang w:val="en-US" w:eastAsia="zh-CN"/>
                <w14:textFill>
                  <w14:solidFill>
                    <w14:schemeClr w14:val="tx1"/>
                  </w14:solidFill>
                </w14:textFill>
              </w:rPr>
              <w:t>5</w:t>
            </w:r>
            <w:r>
              <w:rPr>
                <w:color w:val="000000" w:themeColor="text1"/>
                <w:sz w:val="21"/>
                <w:szCs w:val="18"/>
                <w14:textFill>
                  <w14:solidFill>
                    <w14:schemeClr w14:val="tx1"/>
                  </w14:solidFill>
                </w14:textFill>
              </w:rPr>
              <w:t>年</w:t>
            </w:r>
          </w:p>
        </w:tc>
        <w:tc>
          <w:tcPr>
            <w:tcW w:w="2758" w:type="pct"/>
            <w:tcBorders>
              <w:tl2br w:val="nil"/>
              <w:tr2bl w:val="nil"/>
            </w:tcBorders>
            <w:vAlign w:val="center"/>
          </w:tcPr>
          <w:p w14:paraId="0259B57C">
            <w:pPr>
              <w:pStyle w:val="52"/>
              <w:spacing w:before="0" w:after="0" w:line="240" w:lineRule="auto"/>
              <w:ind w:left="0" w:firstLine="0"/>
              <w:rPr>
                <w:color w:val="000000" w:themeColor="text1"/>
                <w:sz w:val="21"/>
                <w:szCs w:val="18"/>
                <w14:textFill>
                  <w14:solidFill>
                    <w14:schemeClr w14:val="tx1"/>
                  </w14:solidFill>
                </w14:textFill>
              </w:rPr>
            </w:pPr>
            <w:r>
              <w:rPr>
                <w:color w:val="000000" w:themeColor="text1"/>
                <w:sz w:val="21"/>
                <w:szCs w:val="18"/>
                <w14:textFill>
                  <w14:solidFill>
                    <w14:schemeClr w14:val="tx1"/>
                  </w14:solidFill>
                </w14:textFill>
              </w:rPr>
              <w:t>《土壤环境质量 建设用地土壤污染风险管控标准（试行）》（GB36600-2018）中第二类用地筛选值</w:t>
            </w:r>
          </w:p>
        </w:tc>
      </w:tr>
    </w:tbl>
    <w:p w14:paraId="16C7511A">
      <w:pPr>
        <w:pStyle w:val="5"/>
        <w:keepNext/>
        <w:keepLines/>
        <w:pageBreakBefore w:val="0"/>
        <w:widowControl/>
        <w:kinsoku/>
        <w:wordWrap/>
        <w:overflowPunct/>
        <w:topLinePunct w:val="0"/>
        <w:autoSpaceDE/>
        <w:autoSpaceDN/>
        <w:bidi w:val="0"/>
        <w:adjustRightInd/>
        <w:snapToGrid/>
        <w:spacing w:before="0" w:beforeLines="0" w:after="0" w:line="360" w:lineRule="auto"/>
        <w:textAlignment w:val="auto"/>
        <w:outlineLvl w:val="3"/>
        <w:rPr>
          <w:rFonts w:hint="eastAsia" w:ascii="Times New Roman" w:hAnsi="Times New Roman" w:eastAsia="宋体" w:cs="Times New Roman"/>
          <w:b/>
          <w:bCs w:val="0"/>
          <w:kern w:val="2"/>
          <w:sz w:val="24"/>
          <w:szCs w:val="24"/>
          <w:highlight w:val="none"/>
          <w:lang w:val="en-US" w:eastAsia="zh-CN"/>
        </w:rPr>
      </w:pPr>
      <w:r>
        <w:rPr>
          <w:rFonts w:hint="eastAsia" w:ascii="Times New Roman" w:hAnsi="Times New Roman" w:cs="Times New Roman"/>
          <w:b/>
          <w:bCs w:val="0"/>
          <w:kern w:val="2"/>
          <w:sz w:val="24"/>
          <w:szCs w:val="24"/>
          <w:highlight w:val="none"/>
          <w:lang w:val="en-US" w:eastAsia="zh-CN"/>
        </w:rPr>
        <w:t>5.2.6.7</w:t>
      </w:r>
      <w:r>
        <w:rPr>
          <w:rFonts w:hint="eastAsia" w:ascii="Times New Roman" w:hAnsi="Times New Roman" w:eastAsia="宋体" w:cs="Times New Roman"/>
          <w:b/>
          <w:bCs w:val="0"/>
          <w:kern w:val="2"/>
          <w:sz w:val="24"/>
          <w:szCs w:val="24"/>
          <w:highlight w:val="none"/>
          <w:lang w:val="en-US" w:eastAsia="zh-CN"/>
        </w:rPr>
        <w:t>土壤影响预测小结</w:t>
      </w:r>
      <w:bookmarkEnd w:id="233"/>
      <w:bookmarkEnd w:id="234"/>
    </w:p>
    <w:p w14:paraId="6C9D055C">
      <w:pPr>
        <w:spacing w:line="360" w:lineRule="auto"/>
        <w:ind w:firstLine="480" w:firstLineChars="200"/>
        <w:rPr>
          <w:rFonts w:hint="eastAsia"/>
          <w:b w:val="0"/>
          <w:bCs w:val="0"/>
          <w:sz w:val="24"/>
          <w:u w:val="none"/>
        </w:rPr>
      </w:pPr>
      <w:r>
        <w:rPr>
          <w:rFonts w:hint="eastAsia"/>
          <w:b w:val="0"/>
          <w:bCs w:val="0"/>
          <w:sz w:val="24"/>
          <w:u w:val="none"/>
        </w:rPr>
        <w:t>综上分析，项目针对各类污染物均采取了相应的污染治理措施，可确保污染物的达标排放；按照相关防渗要求，对全厂进行了有效的分区防渗，可从源头上控制项目对区域土壤环境的污染，确保项目对区域土壤的影响水平处于可接受水平。因此，只要企业严格落实本环评提出的各项污染防治措施，项目对区域土壤环境影响是可以接受的。</w:t>
      </w:r>
    </w:p>
    <w:p w14:paraId="0734C9DD">
      <w:pPr>
        <w:spacing w:line="360" w:lineRule="auto"/>
        <w:ind w:firstLine="480" w:firstLineChars="200"/>
        <w:rPr>
          <w:rFonts w:hint="eastAsia"/>
          <w:b w:val="0"/>
          <w:bCs w:val="0"/>
          <w:sz w:val="24"/>
          <w:u w:val="none"/>
        </w:rPr>
      </w:pPr>
      <w:r>
        <w:rPr>
          <w:rFonts w:hint="eastAsia"/>
          <w:b w:val="0"/>
          <w:bCs w:val="0"/>
          <w:sz w:val="24"/>
          <w:u w:val="none"/>
        </w:rPr>
        <w:t>为进一步减少工程对土壤环境的影响，本次评价提出以下建议：</w:t>
      </w:r>
    </w:p>
    <w:p w14:paraId="452BBC1C">
      <w:pPr>
        <w:spacing w:line="360" w:lineRule="auto"/>
        <w:ind w:firstLine="480" w:firstLineChars="200"/>
        <w:rPr>
          <w:rFonts w:hint="eastAsia"/>
          <w:b w:val="0"/>
          <w:bCs w:val="0"/>
          <w:sz w:val="24"/>
          <w:u w:val="none"/>
        </w:rPr>
      </w:pPr>
      <w:r>
        <w:rPr>
          <w:rFonts w:hint="eastAsia"/>
          <w:b w:val="0"/>
          <w:bCs w:val="0"/>
          <w:sz w:val="24"/>
          <w:u w:val="none"/>
        </w:rPr>
        <w:t>（1）建立健全企业环境管理制度</w:t>
      </w:r>
    </w:p>
    <w:p w14:paraId="6A4DADF3">
      <w:pPr>
        <w:spacing w:line="360" w:lineRule="auto"/>
        <w:ind w:firstLine="480" w:firstLineChars="200"/>
        <w:rPr>
          <w:rFonts w:hint="eastAsia"/>
          <w:b w:val="0"/>
          <w:bCs w:val="0"/>
          <w:sz w:val="24"/>
          <w:u w:val="none"/>
        </w:rPr>
      </w:pPr>
      <w:r>
        <w:rPr>
          <w:rFonts w:hint="eastAsia"/>
          <w:b w:val="0"/>
          <w:bCs w:val="0"/>
          <w:sz w:val="24"/>
          <w:u w:val="none"/>
        </w:rPr>
        <w:t>建设单位应制定详细的环境管理制度，保证设施正常运转，同时强化风险防范意识，如遇环保设施不能正常运转，应立即进行抢修。</w:t>
      </w:r>
    </w:p>
    <w:p w14:paraId="5DBCA6C6">
      <w:pPr>
        <w:spacing w:line="360" w:lineRule="auto"/>
        <w:ind w:firstLine="480" w:firstLineChars="200"/>
        <w:rPr>
          <w:rFonts w:hint="eastAsia"/>
          <w:b w:val="0"/>
          <w:bCs w:val="0"/>
          <w:sz w:val="24"/>
          <w:u w:val="none"/>
        </w:rPr>
      </w:pPr>
      <w:r>
        <w:rPr>
          <w:rFonts w:hint="eastAsia"/>
          <w:b w:val="0"/>
          <w:bCs w:val="0"/>
          <w:sz w:val="24"/>
          <w:u w:val="none"/>
        </w:rPr>
        <w:t>（2）定期进行环境监测</w:t>
      </w:r>
    </w:p>
    <w:p w14:paraId="48CC5CB7">
      <w:pPr>
        <w:spacing w:line="360" w:lineRule="auto"/>
        <w:ind w:firstLine="480" w:firstLineChars="200"/>
        <w:rPr>
          <w:rFonts w:hint="eastAsia"/>
          <w:b w:val="0"/>
          <w:bCs w:val="0"/>
          <w:sz w:val="24"/>
          <w:u w:val="none"/>
        </w:rPr>
      </w:pPr>
      <w:r>
        <w:rPr>
          <w:rFonts w:hint="eastAsia"/>
          <w:b w:val="0"/>
          <w:bCs w:val="0"/>
          <w:sz w:val="24"/>
          <w:u w:val="none"/>
        </w:rPr>
        <w:t>委托有资质的单位定期对企业及周边的土壤进行监测分析。</w:t>
      </w:r>
    </w:p>
    <w:p w14:paraId="276BC01A">
      <w:pPr>
        <w:jc w:val="center"/>
        <w:rPr>
          <w:b/>
          <w:bCs/>
          <w:sz w:val="24"/>
          <w:szCs w:val="24"/>
          <w:highlight w:val="none"/>
          <w:u w:val="none"/>
        </w:rPr>
      </w:pPr>
      <w:r>
        <w:rPr>
          <w:rFonts w:hint="eastAsia"/>
          <w:b/>
          <w:bCs/>
          <w:sz w:val="24"/>
          <w:szCs w:val="24"/>
          <w:highlight w:val="none"/>
          <w:u w:val="none"/>
        </w:rPr>
        <w:t>表5</w:t>
      </w:r>
      <w:r>
        <w:rPr>
          <w:rFonts w:hint="eastAsia"/>
          <w:b/>
          <w:bCs/>
          <w:sz w:val="24"/>
          <w:szCs w:val="24"/>
          <w:highlight w:val="none"/>
          <w:u w:val="none"/>
          <w:lang w:val="en-US" w:eastAsia="zh-CN"/>
        </w:rPr>
        <w:t xml:space="preserve">.2-33 </w:t>
      </w:r>
      <w:r>
        <w:rPr>
          <w:rFonts w:hint="eastAsia"/>
          <w:b/>
          <w:bCs/>
          <w:sz w:val="24"/>
          <w:szCs w:val="24"/>
          <w:highlight w:val="none"/>
          <w:u w:val="none"/>
        </w:rPr>
        <w:t>土壤环境影响评价自查表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692"/>
        <w:gridCol w:w="1302"/>
        <w:gridCol w:w="552"/>
        <w:gridCol w:w="737"/>
        <w:gridCol w:w="1042"/>
        <w:gridCol w:w="231"/>
        <w:gridCol w:w="1429"/>
        <w:gridCol w:w="1105"/>
      </w:tblGrid>
      <w:tr w14:paraId="61C5F78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5" w:type="pct"/>
            <w:gridSpan w:val="2"/>
            <w:tcBorders>
              <w:tl2br w:val="nil"/>
              <w:tr2bl w:val="nil"/>
            </w:tcBorders>
            <w:noWrap w:val="0"/>
            <w:vAlign w:val="center"/>
          </w:tcPr>
          <w:p w14:paraId="41C6D2A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bCs/>
                <w:sz w:val="21"/>
                <w:szCs w:val="21"/>
                <w:u w:val="none"/>
              </w:rPr>
            </w:pPr>
            <w:bookmarkStart w:id="236" w:name="_Toc14743"/>
            <w:bookmarkStart w:id="237" w:name="_Toc10585"/>
            <w:bookmarkStart w:id="238" w:name="_Toc8051"/>
            <w:bookmarkStart w:id="239" w:name="_Toc4500"/>
            <w:bookmarkStart w:id="240" w:name="_Toc11085"/>
            <w:bookmarkStart w:id="241" w:name="_Toc26112"/>
            <w:bookmarkStart w:id="242" w:name="_Toc13799"/>
            <w:bookmarkStart w:id="243" w:name="_Toc6876"/>
            <w:bookmarkStart w:id="244" w:name="_Toc11138"/>
            <w:bookmarkStart w:id="245" w:name="_Toc28885"/>
            <w:bookmarkStart w:id="246" w:name="_Toc20530"/>
            <w:r>
              <w:rPr>
                <w:b/>
                <w:bCs/>
                <w:sz w:val="21"/>
                <w:szCs w:val="21"/>
                <w:u w:val="none"/>
              </w:rPr>
              <w:t>工作内容</w:t>
            </w:r>
            <w:bookmarkEnd w:id="236"/>
            <w:bookmarkEnd w:id="237"/>
            <w:bookmarkEnd w:id="238"/>
            <w:bookmarkEnd w:id="239"/>
            <w:bookmarkEnd w:id="240"/>
            <w:bookmarkEnd w:id="241"/>
            <w:bookmarkEnd w:id="242"/>
            <w:bookmarkEnd w:id="243"/>
            <w:bookmarkEnd w:id="244"/>
            <w:bookmarkEnd w:id="245"/>
            <w:bookmarkEnd w:id="246"/>
          </w:p>
        </w:tc>
        <w:tc>
          <w:tcPr>
            <w:tcW w:w="3115" w:type="pct"/>
            <w:gridSpan w:val="6"/>
            <w:tcBorders>
              <w:tl2br w:val="nil"/>
              <w:tr2bl w:val="nil"/>
            </w:tcBorders>
            <w:noWrap w:val="0"/>
            <w:vAlign w:val="center"/>
          </w:tcPr>
          <w:p w14:paraId="2C1B1DA4">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bCs/>
                <w:sz w:val="21"/>
                <w:szCs w:val="21"/>
                <w:u w:val="none"/>
              </w:rPr>
            </w:pPr>
            <w:bookmarkStart w:id="247" w:name="_Toc11010"/>
            <w:bookmarkStart w:id="248" w:name="_Toc14604"/>
            <w:bookmarkStart w:id="249" w:name="_Toc22988"/>
            <w:bookmarkStart w:id="250" w:name="_Toc30738"/>
            <w:bookmarkStart w:id="251" w:name="_Toc8689"/>
            <w:bookmarkStart w:id="252" w:name="_Toc2917"/>
            <w:bookmarkStart w:id="253" w:name="_Toc23134"/>
            <w:bookmarkStart w:id="254" w:name="_Toc22667"/>
            <w:bookmarkStart w:id="255" w:name="_Toc3527"/>
            <w:bookmarkStart w:id="256" w:name="_Toc31501"/>
            <w:bookmarkStart w:id="257" w:name="_Toc9445"/>
            <w:r>
              <w:rPr>
                <w:b/>
                <w:bCs/>
                <w:sz w:val="21"/>
                <w:szCs w:val="21"/>
                <w:u w:val="none"/>
              </w:rPr>
              <w:t>完成情况</w:t>
            </w:r>
            <w:bookmarkEnd w:id="247"/>
            <w:bookmarkEnd w:id="248"/>
            <w:bookmarkEnd w:id="249"/>
            <w:bookmarkEnd w:id="250"/>
            <w:bookmarkEnd w:id="251"/>
            <w:bookmarkEnd w:id="252"/>
            <w:bookmarkEnd w:id="253"/>
            <w:bookmarkEnd w:id="254"/>
            <w:bookmarkEnd w:id="255"/>
            <w:bookmarkEnd w:id="256"/>
            <w:bookmarkEnd w:id="257"/>
          </w:p>
        </w:tc>
        <w:tc>
          <w:tcPr>
            <w:tcW w:w="649" w:type="pct"/>
            <w:tcBorders>
              <w:tl2br w:val="nil"/>
              <w:tr2bl w:val="nil"/>
            </w:tcBorders>
            <w:noWrap w:val="0"/>
            <w:vAlign w:val="center"/>
          </w:tcPr>
          <w:p w14:paraId="59E78092">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bCs/>
                <w:sz w:val="21"/>
                <w:szCs w:val="21"/>
                <w:u w:val="none"/>
              </w:rPr>
            </w:pPr>
            <w:bookmarkStart w:id="258" w:name="_Toc10971"/>
            <w:bookmarkStart w:id="259" w:name="_Toc9651"/>
            <w:bookmarkStart w:id="260" w:name="_Toc66"/>
            <w:bookmarkStart w:id="261" w:name="_Toc15661"/>
            <w:bookmarkStart w:id="262" w:name="_Toc15415"/>
            <w:bookmarkStart w:id="263" w:name="_Toc17742"/>
            <w:bookmarkStart w:id="264" w:name="_Toc1425"/>
            <w:bookmarkStart w:id="265" w:name="_Toc11773"/>
            <w:bookmarkStart w:id="266" w:name="_Toc30683"/>
            <w:bookmarkStart w:id="267" w:name="_Toc6298"/>
            <w:bookmarkStart w:id="268" w:name="_Toc19719"/>
            <w:r>
              <w:rPr>
                <w:b/>
                <w:bCs/>
                <w:sz w:val="21"/>
                <w:szCs w:val="21"/>
                <w:u w:val="none"/>
              </w:rPr>
              <w:t>备注</w:t>
            </w:r>
            <w:bookmarkEnd w:id="258"/>
            <w:bookmarkEnd w:id="259"/>
            <w:bookmarkEnd w:id="260"/>
            <w:bookmarkEnd w:id="261"/>
            <w:bookmarkEnd w:id="262"/>
            <w:bookmarkEnd w:id="263"/>
            <w:bookmarkEnd w:id="264"/>
            <w:bookmarkEnd w:id="265"/>
            <w:bookmarkEnd w:id="266"/>
            <w:bookmarkEnd w:id="267"/>
            <w:bookmarkEnd w:id="268"/>
          </w:p>
        </w:tc>
      </w:tr>
      <w:tr w14:paraId="2C7913C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restart"/>
            <w:tcBorders>
              <w:tl2br w:val="nil"/>
              <w:tr2bl w:val="nil"/>
            </w:tcBorders>
            <w:noWrap w:val="0"/>
            <w:vAlign w:val="center"/>
          </w:tcPr>
          <w:p w14:paraId="3CF5DF6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269" w:name="_Toc24152"/>
            <w:bookmarkStart w:id="270" w:name="_Toc23870"/>
            <w:bookmarkStart w:id="271" w:name="_Toc13941"/>
            <w:bookmarkStart w:id="272" w:name="_Toc6151"/>
            <w:bookmarkStart w:id="273" w:name="_Toc23351"/>
            <w:bookmarkStart w:id="274" w:name="_Toc217"/>
            <w:bookmarkStart w:id="275" w:name="_Toc14473"/>
            <w:bookmarkStart w:id="276" w:name="_Toc14521"/>
            <w:bookmarkStart w:id="277" w:name="_Toc27139"/>
            <w:bookmarkStart w:id="278" w:name="_Toc18248"/>
            <w:bookmarkStart w:id="279" w:name="_Toc10612"/>
            <w:r>
              <w:rPr>
                <w:b w:val="0"/>
                <w:bCs w:val="0"/>
                <w:sz w:val="21"/>
                <w:szCs w:val="21"/>
                <w:u w:val="none"/>
              </w:rPr>
              <w:t>影响识别</w:t>
            </w:r>
            <w:bookmarkEnd w:id="269"/>
            <w:bookmarkEnd w:id="270"/>
            <w:bookmarkEnd w:id="271"/>
            <w:bookmarkEnd w:id="272"/>
            <w:bookmarkEnd w:id="273"/>
            <w:bookmarkEnd w:id="274"/>
            <w:bookmarkEnd w:id="275"/>
            <w:bookmarkEnd w:id="276"/>
            <w:bookmarkEnd w:id="277"/>
            <w:bookmarkEnd w:id="278"/>
            <w:bookmarkEnd w:id="279"/>
          </w:p>
        </w:tc>
        <w:tc>
          <w:tcPr>
            <w:tcW w:w="994" w:type="pct"/>
            <w:tcBorders>
              <w:tl2br w:val="nil"/>
              <w:tr2bl w:val="nil"/>
            </w:tcBorders>
            <w:noWrap w:val="0"/>
            <w:vAlign w:val="center"/>
          </w:tcPr>
          <w:p w14:paraId="0651B1B4">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280" w:name="_Toc4025"/>
            <w:bookmarkStart w:id="281" w:name="_Toc4916"/>
            <w:bookmarkStart w:id="282" w:name="_Toc12545"/>
            <w:bookmarkStart w:id="283" w:name="_Toc7921"/>
            <w:bookmarkStart w:id="284" w:name="_Toc3425"/>
            <w:bookmarkStart w:id="285" w:name="_Toc8512"/>
            <w:bookmarkStart w:id="286" w:name="_Toc9419"/>
            <w:bookmarkStart w:id="287" w:name="_Toc28783"/>
            <w:bookmarkStart w:id="288" w:name="_Toc5215"/>
            <w:bookmarkStart w:id="289" w:name="_Toc19106"/>
            <w:bookmarkStart w:id="290" w:name="_Toc9799"/>
            <w:r>
              <w:rPr>
                <w:b w:val="0"/>
                <w:bCs w:val="0"/>
                <w:sz w:val="21"/>
                <w:szCs w:val="21"/>
                <w:u w:val="none"/>
              </w:rPr>
              <w:t>影响类型</w:t>
            </w:r>
            <w:bookmarkEnd w:id="280"/>
            <w:bookmarkEnd w:id="281"/>
            <w:bookmarkEnd w:id="282"/>
            <w:bookmarkEnd w:id="283"/>
            <w:bookmarkEnd w:id="284"/>
            <w:bookmarkEnd w:id="285"/>
            <w:bookmarkEnd w:id="286"/>
            <w:bookmarkEnd w:id="287"/>
            <w:bookmarkEnd w:id="288"/>
            <w:bookmarkEnd w:id="289"/>
            <w:bookmarkEnd w:id="290"/>
          </w:p>
        </w:tc>
        <w:tc>
          <w:tcPr>
            <w:tcW w:w="3115" w:type="pct"/>
            <w:gridSpan w:val="6"/>
            <w:tcBorders>
              <w:tl2br w:val="nil"/>
              <w:tr2bl w:val="nil"/>
            </w:tcBorders>
            <w:noWrap w:val="0"/>
            <w:vAlign w:val="center"/>
          </w:tcPr>
          <w:p w14:paraId="134A8CB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bookmarkStart w:id="291" w:name="_Toc21043"/>
            <w:bookmarkStart w:id="292" w:name="_Toc22225"/>
            <w:bookmarkStart w:id="293" w:name="_Toc8323"/>
            <w:bookmarkStart w:id="294" w:name="_Toc18369"/>
            <w:bookmarkStart w:id="295" w:name="_Toc9684"/>
            <w:bookmarkStart w:id="296" w:name="_Toc5496"/>
            <w:bookmarkStart w:id="297" w:name="_Toc25133"/>
            <w:bookmarkStart w:id="298" w:name="_Toc15567"/>
            <w:bookmarkStart w:id="299" w:name="_Toc25281"/>
            <w:bookmarkStart w:id="300" w:name="_Toc17502"/>
            <w:bookmarkStart w:id="301" w:name="_Toc15894"/>
            <w:r>
              <w:rPr>
                <w:b w:val="0"/>
                <w:bCs w:val="0"/>
                <w:sz w:val="21"/>
                <w:szCs w:val="21"/>
                <w:u w:val="none"/>
              </w:rPr>
              <w:t>污染影响型☑；生态影响型□；两种兼有□</w:t>
            </w:r>
            <w:bookmarkEnd w:id="291"/>
            <w:bookmarkEnd w:id="292"/>
            <w:bookmarkEnd w:id="293"/>
            <w:bookmarkEnd w:id="294"/>
            <w:bookmarkEnd w:id="295"/>
            <w:bookmarkEnd w:id="296"/>
            <w:bookmarkEnd w:id="297"/>
            <w:bookmarkEnd w:id="298"/>
            <w:bookmarkEnd w:id="299"/>
            <w:bookmarkEnd w:id="300"/>
            <w:bookmarkEnd w:id="301"/>
          </w:p>
        </w:tc>
        <w:tc>
          <w:tcPr>
            <w:tcW w:w="649" w:type="pct"/>
            <w:tcBorders>
              <w:tl2br w:val="nil"/>
              <w:tr2bl w:val="nil"/>
            </w:tcBorders>
            <w:noWrap w:val="0"/>
            <w:vAlign w:val="center"/>
          </w:tcPr>
          <w:p w14:paraId="27FFE09A">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506CF84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38586D7A">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7C0D82D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302" w:name="_Toc11173"/>
            <w:bookmarkStart w:id="303" w:name="_Toc22961"/>
            <w:bookmarkStart w:id="304" w:name="_Toc24686"/>
            <w:bookmarkStart w:id="305" w:name="_Toc24232"/>
            <w:bookmarkStart w:id="306" w:name="_Toc14065"/>
            <w:bookmarkStart w:id="307" w:name="_Toc2417"/>
            <w:bookmarkStart w:id="308" w:name="_Toc26712"/>
            <w:bookmarkStart w:id="309" w:name="_Toc3829"/>
            <w:bookmarkStart w:id="310" w:name="_Toc13917"/>
            <w:bookmarkStart w:id="311" w:name="_Toc18714"/>
            <w:bookmarkStart w:id="312" w:name="_Toc29931"/>
            <w:r>
              <w:rPr>
                <w:b w:val="0"/>
                <w:bCs w:val="0"/>
                <w:sz w:val="21"/>
                <w:szCs w:val="21"/>
                <w:u w:val="none"/>
              </w:rPr>
              <w:t>土地利用类型</w:t>
            </w:r>
            <w:bookmarkEnd w:id="302"/>
            <w:bookmarkEnd w:id="303"/>
            <w:bookmarkEnd w:id="304"/>
            <w:bookmarkEnd w:id="305"/>
            <w:bookmarkEnd w:id="306"/>
            <w:bookmarkEnd w:id="307"/>
            <w:bookmarkEnd w:id="308"/>
            <w:bookmarkEnd w:id="309"/>
            <w:bookmarkEnd w:id="310"/>
            <w:bookmarkEnd w:id="311"/>
            <w:bookmarkEnd w:id="312"/>
          </w:p>
        </w:tc>
        <w:tc>
          <w:tcPr>
            <w:tcW w:w="3115" w:type="pct"/>
            <w:gridSpan w:val="6"/>
            <w:tcBorders>
              <w:tl2br w:val="nil"/>
              <w:tr2bl w:val="nil"/>
            </w:tcBorders>
            <w:noWrap w:val="0"/>
            <w:vAlign w:val="center"/>
          </w:tcPr>
          <w:p w14:paraId="3247688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bookmarkStart w:id="313" w:name="_Toc28171"/>
            <w:bookmarkStart w:id="314" w:name="_Toc27458"/>
            <w:bookmarkStart w:id="315" w:name="_Toc18850"/>
            <w:bookmarkStart w:id="316" w:name="_Toc17074"/>
            <w:bookmarkStart w:id="317" w:name="_Toc8623"/>
            <w:bookmarkStart w:id="318" w:name="_Toc17040"/>
            <w:bookmarkStart w:id="319" w:name="_Toc26070"/>
            <w:bookmarkStart w:id="320" w:name="_Toc18415"/>
            <w:bookmarkStart w:id="321" w:name="_Toc129"/>
            <w:bookmarkStart w:id="322" w:name="_Toc1355"/>
            <w:bookmarkStart w:id="323" w:name="_Toc20897"/>
            <w:r>
              <w:rPr>
                <w:b w:val="0"/>
                <w:bCs w:val="0"/>
                <w:sz w:val="21"/>
                <w:szCs w:val="21"/>
                <w:u w:val="none"/>
              </w:rPr>
              <w:t>建设用地</w:t>
            </w:r>
            <w:r>
              <w:rPr>
                <w:b w:val="0"/>
                <w:bCs w:val="0"/>
                <w:sz w:val="21"/>
                <w:szCs w:val="21"/>
                <w:u w:val="none"/>
              </w:rPr>
              <w:sym w:font="Wingdings 2" w:char="0052"/>
            </w:r>
            <w:r>
              <w:rPr>
                <w:b w:val="0"/>
                <w:bCs w:val="0"/>
                <w:sz w:val="21"/>
                <w:szCs w:val="21"/>
                <w:u w:val="none"/>
              </w:rPr>
              <w:t>；农用地</w:t>
            </w:r>
            <w:r>
              <w:rPr>
                <w:rFonts w:hint="eastAsia"/>
                <w:b w:val="0"/>
                <w:bCs w:val="0"/>
                <w:sz w:val="21"/>
                <w:szCs w:val="21"/>
                <w:u w:val="none"/>
              </w:rPr>
              <w:t>□</w:t>
            </w:r>
            <w:r>
              <w:rPr>
                <w:b w:val="0"/>
                <w:bCs w:val="0"/>
                <w:sz w:val="21"/>
                <w:szCs w:val="21"/>
                <w:u w:val="none"/>
              </w:rPr>
              <w:t>；未利用地</w:t>
            </w:r>
            <w:bookmarkEnd w:id="313"/>
            <w:bookmarkEnd w:id="314"/>
            <w:bookmarkEnd w:id="315"/>
            <w:bookmarkEnd w:id="316"/>
            <w:r>
              <w:rPr>
                <w:b w:val="0"/>
                <w:bCs w:val="0"/>
                <w:sz w:val="21"/>
                <w:szCs w:val="21"/>
                <w:u w:val="none"/>
              </w:rPr>
              <w:sym w:font="Wingdings 2" w:char="00A3"/>
            </w:r>
            <w:bookmarkEnd w:id="317"/>
            <w:bookmarkEnd w:id="318"/>
            <w:bookmarkEnd w:id="319"/>
            <w:bookmarkEnd w:id="320"/>
            <w:bookmarkEnd w:id="321"/>
            <w:bookmarkEnd w:id="322"/>
            <w:bookmarkEnd w:id="323"/>
          </w:p>
        </w:tc>
        <w:tc>
          <w:tcPr>
            <w:tcW w:w="649" w:type="pct"/>
            <w:tcBorders>
              <w:tl2br w:val="nil"/>
              <w:tr2bl w:val="nil"/>
            </w:tcBorders>
            <w:noWrap w:val="0"/>
            <w:vAlign w:val="center"/>
          </w:tcPr>
          <w:p w14:paraId="3A955C9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71D8A83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6F2118E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540BD86D">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324" w:name="_Toc12903"/>
            <w:bookmarkStart w:id="325" w:name="_Toc28419"/>
            <w:bookmarkStart w:id="326" w:name="_Toc22535"/>
            <w:bookmarkStart w:id="327" w:name="_Toc10663"/>
            <w:bookmarkStart w:id="328" w:name="_Toc12764"/>
            <w:bookmarkStart w:id="329" w:name="_Toc9482"/>
            <w:bookmarkStart w:id="330" w:name="_Toc32024"/>
            <w:bookmarkStart w:id="331" w:name="_Toc11821"/>
            <w:bookmarkStart w:id="332" w:name="_Toc3164"/>
            <w:bookmarkStart w:id="333" w:name="_Toc17101"/>
            <w:bookmarkStart w:id="334" w:name="_Toc12194"/>
            <w:r>
              <w:rPr>
                <w:b w:val="0"/>
                <w:bCs w:val="0"/>
                <w:sz w:val="21"/>
                <w:szCs w:val="21"/>
                <w:u w:val="none"/>
              </w:rPr>
              <w:t>占地规模</w:t>
            </w:r>
            <w:bookmarkEnd w:id="324"/>
            <w:bookmarkEnd w:id="325"/>
            <w:bookmarkEnd w:id="326"/>
            <w:bookmarkEnd w:id="327"/>
            <w:bookmarkEnd w:id="328"/>
            <w:bookmarkEnd w:id="329"/>
            <w:bookmarkEnd w:id="330"/>
            <w:bookmarkEnd w:id="331"/>
            <w:bookmarkEnd w:id="332"/>
            <w:bookmarkEnd w:id="333"/>
            <w:bookmarkEnd w:id="334"/>
          </w:p>
        </w:tc>
        <w:tc>
          <w:tcPr>
            <w:tcW w:w="3115" w:type="pct"/>
            <w:gridSpan w:val="6"/>
            <w:tcBorders>
              <w:tl2br w:val="nil"/>
              <w:tr2bl w:val="nil"/>
            </w:tcBorders>
            <w:noWrap w:val="0"/>
            <w:vAlign w:val="center"/>
          </w:tcPr>
          <w:p w14:paraId="35B4175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335" w:name="_Toc5293"/>
            <w:bookmarkStart w:id="336" w:name="_Toc23492"/>
            <w:bookmarkStart w:id="337" w:name="_Toc12473"/>
            <w:bookmarkStart w:id="338" w:name="_Toc6642"/>
            <w:bookmarkStart w:id="339" w:name="_Toc15127"/>
            <w:bookmarkStart w:id="340" w:name="_Toc2656"/>
            <w:bookmarkStart w:id="341" w:name="_Toc7352"/>
            <w:bookmarkStart w:id="342" w:name="_Toc11652"/>
            <w:bookmarkStart w:id="343" w:name="_Toc4086"/>
            <w:bookmarkStart w:id="344" w:name="_Toc15061"/>
            <w:bookmarkStart w:id="345" w:name="_Toc29699"/>
            <w:r>
              <w:rPr>
                <w:b w:val="0"/>
                <w:bCs w:val="0"/>
                <w:sz w:val="21"/>
                <w:szCs w:val="21"/>
                <w:u w:val="none"/>
              </w:rPr>
              <w:t>（</w:t>
            </w:r>
            <w:r>
              <w:rPr>
                <w:rFonts w:hint="eastAsia"/>
                <w:b w:val="0"/>
                <w:bCs w:val="0"/>
                <w:sz w:val="21"/>
                <w:szCs w:val="21"/>
                <w:u w:val="none"/>
                <w:lang w:val="en-US" w:eastAsia="zh-CN"/>
              </w:rPr>
              <w:t>0.2</w:t>
            </w:r>
            <w:r>
              <w:rPr>
                <w:b w:val="0"/>
                <w:bCs w:val="0"/>
                <w:sz w:val="21"/>
                <w:szCs w:val="21"/>
                <w:u w:val="none"/>
              </w:rPr>
              <w:t>）hm</w:t>
            </w:r>
            <w:r>
              <w:rPr>
                <w:b w:val="0"/>
                <w:bCs w:val="0"/>
                <w:sz w:val="21"/>
                <w:szCs w:val="21"/>
                <w:u w:val="none"/>
                <w:vertAlign w:val="superscript"/>
              </w:rPr>
              <w:t>2</w:t>
            </w:r>
            <w:bookmarkEnd w:id="335"/>
            <w:bookmarkEnd w:id="336"/>
            <w:bookmarkEnd w:id="337"/>
            <w:bookmarkEnd w:id="338"/>
            <w:bookmarkEnd w:id="339"/>
            <w:bookmarkEnd w:id="340"/>
            <w:bookmarkEnd w:id="341"/>
            <w:bookmarkEnd w:id="342"/>
            <w:bookmarkEnd w:id="343"/>
            <w:bookmarkEnd w:id="344"/>
            <w:bookmarkEnd w:id="345"/>
          </w:p>
        </w:tc>
        <w:tc>
          <w:tcPr>
            <w:tcW w:w="649" w:type="pct"/>
            <w:tcBorders>
              <w:tl2br w:val="nil"/>
              <w:tr2bl w:val="nil"/>
            </w:tcBorders>
            <w:noWrap w:val="0"/>
            <w:vAlign w:val="center"/>
          </w:tcPr>
          <w:p w14:paraId="2D1FA05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785093C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69E5BDA5">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00E0627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346" w:name="_Toc23430"/>
            <w:bookmarkStart w:id="347" w:name="_Toc10965"/>
            <w:bookmarkStart w:id="348" w:name="_Toc32128"/>
            <w:bookmarkStart w:id="349" w:name="_Toc28843"/>
            <w:bookmarkStart w:id="350" w:name="_Toc12312"/>
            <w:bookmarkStart w:id="351" w:name="_Toc4041"/>
            <w:bookmarkStart w:id="352" w:name="_Toc22553"/>
            <w:bookmarkStart w:id="353" w:name="_Toc12942"/>
            <w:bookmarkStart w:id="354" w:name="_Toc548"/>
            <w:bookmarkStart w:id="355" w:name="_Toc7189"/>
            <w:bookmarkStart w:id="356" w:name="_Toc10198"/>
            <w:r>
              <w:rPr>
                <w:b w:val="0"/>
                <w:bCs w:val="0"/>
                <w:sz w:val="21"/>
                <w:szCs w:val="21"/>
                <w:u w:val="none"/>
              </w:rPr>
              <w:t>敏感目标信息</w:t>
            </w:r>
            <w:bookmarkEnd w:id="346"/>
            <w:bookmarkEnd w:id="347"/>
            <w:bookmarkEnd w:id="348"/>
            <w:bookmarkEnd w:id="349"/>
            <w:bookmarkEnd w:id="350"/>
            <w:bookmarkEnd w:id="351"/>
            <w:bookmarkEnd w:id="352"/>
            <w:bookmarkEnd w:id="353"/>
            <w:bookmarkEnd w:id="354"/>
            <w:bookmarkEnd w:id="355"/>
            <w:bookmarkEnd w:id="356"/>
          </w:p>
        </w:tc>
        <w:tc>
          <w:tcPr>
            <w:tcW w:w="3115" w:type="pct"/>
            <w:gridSpan w:val="6"/>
            <w:tcBorders>
              <w:tl2br w:val="nil"/>
              <w:tr2bl w:val="nil"/>
            </w:tcBorders>
            <w:noWrap w:val="0"/>
            <w:vAlign w:val="center"/>
          </w:tcPr>
          <w:p w14:paraId="2658DA79">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357" w:name="_Toc29520"/>
            <w:bookmarkStart w:id="358" w:name="_Toc23721"/>
            <w:bookmarkStart w:id="359" w:name="_Toc24074"/>
            <w:bookmarkStart w:id="360" w:name="_Toc30612"/>
            <w:bookmarkStart w:id="361" w:name="_Toc28855"/>
            <w:bookmarkStart w:id="362" w:name="_Toc2853"/>
            <w:bookmarkStart w:id="363" w:name="_Toc22437"/>
            <w:bookmarkStart w:id="364" w:name="_Toc1743"/>
            <w:bookmarkStart w:id="365" w:name="_Toc20842"/>
            <w:r>
              <w:rPr>
                <w:rFonts w:hint="eastAsia"/>
                <w:b w:val="0"/>
                <w:bCs w:val="0"/>
                <w:sz w:val="21"/>
                <w:szCs w:val="21"/>
                <w:u w:val="none"/>
              </w:rPr>
              <w:t>无</w:t>
            </w:r>
            <w:bookmarkEnd w:id="357"/>
            <w:bookmarkEnd w:id="358"/>
            <w:bookmarkEnd w:id="359"/>
            <w:bookmarkEnd w:id="360"/>
            <w:bookmarkEnd w:id="361"/>
            <w:bookmarkEnd w:id="362"/>
            <w:bookmarkEnd w:id="363"/>
            <w:bookmarkEnd w:id="364"/>
            <w:bookmarkEnd w:id="365"/>
          </w:p>
        </w:tc>
        <w:tc>
          <w:tcPr>
            <w:tcW w:w="649" w:type="pct"/>
            <w:tcBorders>
              <w:tl2br w:val="nil"/>
              <w:tr2bl w:val="nil"/>
            </w:tcBorders>
            <w:noWrap w:val="0"/>
            <w:vAlign w:val="center"/>
          </w:tcPr>
          <w:p w14:paraId="19687E85">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4F3DF74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0D189F04">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0D4BD7A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366" w:name="_Toc14150"/>
            <w:bookmarkStart w:id="367" w:name="_Toc24436"/>
            <w:bookmarkStart w:id="368" w:name="_Toc30988"/>
            <w:bookmarkStart w:id="369" w:name="_Toc11864"/>
            <w:bookmarkStart w:id="370" w:name="_Toc20650"/>
            <w:bookmarkStart w:id="371" w:name="_Toc12084"/>
            <w:bookmarkStart w:id="372" w:name="_Toc18791"/>
            <w:bookmarkStart w:id="373" w:name="_Toc20690"/>
            <w:bookmarkStart w:id="374" w:name="_Toc1820"/>
            <w:bookmarkStart w:id="375" w:name="_Toc11388"/>
            <w:bookmarkStart w:id="376" w:name="_Toc29265"/>
            <w:r>
              <w:rPr>
                <w:b w:val="0"/>
                <w:bCs w:val="0"/>
                <w:sz w:val="21"/>
                <w:szCs w:val="21"/>
                <w:u w:val="none"/>
              </w:rPr>
              <w:t>影响途径</w:t>
            </w:r>
            <w:bookmarkEnd w:id="366"/>
            <w:bookmarkEnd w:id="367"/>
            <w:bookmarkEnd w:id="368"/>
            <w:bookmarkEnd w:id="369"/>
            <w:bookmarkEnd w:id="370"/>
            <w:bookmarkEnd w:id="371"/>
            <w:bookmarkEnd w:id="372"/>
            <w:bookmarkEnd w:id="373"/>
            <w:bookmarkEnd w:id="374"/>
            <w:bookmarkEnd w:id="375"/>
            <w:bookmarkEnd w:id="376"/>
          </w:p>
        </w:tc>
        <w:tc>
          <w:tcPr>
            <w:tcW w:w="3115" w:type="pct"/>
            <w:gridSpan w:val="6"/>
            <w:tcBorders>
              <w:tl2br w:val="nil"/>
              <w:tr2bl w:val="nil"/>
            </w:tcBorders>
            <w:noWrap w:val="0"/>
            <w:vAlign w:val="center"/>
          </w:tcPr>
          <w:p w14:paraId="16A0A27F">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bookmarkStart w:id="377" w:name="_Toc14137"/>
            <w:bookmarkStart w:id="378" w:name="_Toc7265"/>
            <w:bookmarkStart w:id="379" w:name="_Toc18416"/>
            <w:bookmarkStart w:id="380" w:name="_Toc6119"/>
            <w:bookmarkStart w:id="381" w:name="_Toc22901"/>
            <w:bookmarkStart w:id="382" w:name="_Toc1374"/>
            <w:bookmarkStart w:id="383" w:name="_Toc22673"/>
            <w:bookmarkStart w:id="384" w:name="_Toc12165"/>
            <w:bookmarkStart w:id="385" w:name="_Toc19384"/>
            <w:bookmarkStart w:id="386" w:name="_Toc27859"/>
            <w:bookmarkStart w:id="387" w:name="_Toc19489"/>
            <w:r>
              <w:rPr>
                <w:b w:val="0"/>
                <w:bCs w:val="0"/>
                <w:sz w:val="21"/>
                <w:szCs w:val="21"/>
                <w:u w:val="none"/>
              </w:rPr>
              <w:t>大气沉降</w:t>
            </w:r>
            <w:r>
              <w:rPr>
                <w:b w:val="0"/>
                <w:bCs w:val="0"/>
                <w:sz w:val="21"/>
                <w:szCs w:val="21"/>
                <w:u w:val="none"/>
              </w:rPr>
              <w:sym w:font="Wingdings 2" w:char="00A3"/>
            </w:r>
            <w:r>
              <w:rPr>
                <w:b w:val="0"/>
                <w:bCs w:val="0"/>
                <w:sz w:val="21"/>
                <w:szCs w:val="21"/>
                <w:u w:val="none"/>
              </w:rPr>
              <w:t>；地表漫流</w:t>
            </w:r>
            <w:r>
              <w:rPr>
                <w:rFonts w:hint="eastAsia"/>
                <w:b w:val="0"/>
                <w:bCs w:val="0"/>
                <w:sz w:val="21"/>
                <w:szCs w:val="21"/>
                <w:u w:val="none"/>
              </w:rPr>
              <w:t>□</w:t>
            </w:r>
            <w:r>
              <w:rPr>
                <w:b w:val="0"/>
                <w:bCs w:val="0"/>
                <w:sz w:val="21"/>
                <w:szCs w:val="21"/>
                <w:u w:val="none"/>
              </w:rPr>
              <w:t>；垂直入渗☑；地下水位□；其他（      ）</w:t>
            </w:r>
            <w:bookmarkEnd w:id="377"/>
            <w:bookmarkEnd w:id="378"/>
            <w:bookmarkEnd w:id="379"/>
            <w:bookmarkEnd w:id="380"/>
            <w:bookmarkEnd w:id="381"/>
            <w:bookmarkEnd w:id="382"/>
            <w:bookmarkEnd w:id="383"/>
            <w:bookmarkEnd w:id="384"/>
            <w:bookmarkEnd w:id="385"/>
            <w:bookmarkEnd w:id="386"/>
            <w:bookmarkEnd w:id="387"/>
          </w:p>
        </w:tc>
        <w:tc>
          <w:tcPr>
            <w:tcW w:w="649" w:type="pct"/>
            <w:tcBorders>
              <w:tl2br w:val="nil"/>
              <w:tr2bl w:val="nil"/>
            </w:tcBorders>
            <w:noWrap w:val="0"/>
            <w:vAlign w:val="center"/>
          </w:tcPr>
          <w:p w14:paraId="53CE2237">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342AEC8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3799E21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372F4EC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388" w:name="_Toc13472"/>
            <w:bookmarkStart w:id="389" w:name="_Toc7830"/>
            <w:bookmarkStart w:id="390" w:name="_Toc7142"/>
            <w:bookmarkStart w:id="391" w:name="_Toc18777"/>
            <w:bookmarkStart w:id="392" w:name="_Toc25496"/>
            <w:bookmarkStart w:id="393" w:name="_Toc5572"/>
            <w:bookmarkStart w:id="394" w:name="_Toc30528"/>
            <w:bookmarkStart w:id="395" w:name="_Toc20840"/>
            <w:bookmarkStart w:id="396" w:name="_Toc25235"/>
            <w:bookmarkStart w:id="397" w:name="_Toc27905"/>
            <w:bookmarkStart w:id="398" w:name="_Toc10682"/>
            <w:r>
              <w:rPr>
                <w:b w:val="0"/>
                <w:bCs w:val="0"/>
                <w:sz w:val="21"/>
                <w:szCs w:val="21"/>
                <w:u w:val="none"/>
              </w:rPr>
              <w:t>全部污染物</w:t>
            </w:r>
            <w:bookmarkEnd w:id="388"/>
            <w:bookmarkEnd w:id="389"/>
            <w:bookmarkEnd w:id="390"/>
            <w:bookmarkEnd w:id="391"/>
            <w:bookmarkEnd w:id="392"/>
            <w:bookmarkEnd w:id="393"/>
            <w:bookmarkEnd w:id="394"/>
            <w:bookmarkEnd w:id="395"/>
            <w:bookmarkEnd w:id="396"/>
            <w:bookmarkEnd w:id="397"/>
            <w:bookmarkEnd w:id="398"/>
          </w:p>
        </w:tc>
        <w:tc>
          <w:tcPr>
            <w:tcW w:w="3115" w:type="pct"/>
            <w:gridSpan w:val="6"/>
            <w:tcBorders>
              <w:tl2br w:val="nil"/>
              <w:tr2bl w:val="nil"/>
            </w:tcBorders>
            <w:noWrap w:val="0"/>
            <w:vAlign w:val="center"/>
          </w:tcPr>
          <w:p w14:paraId="65546E66">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default" w:eastAsia="宋体"/>
                <w:b w:val="0"/>
                <w:bCs w:val="0"/>
                <w:sz w:val="21"/>
                <w:szCs w:val="21"/>
                <w:u w:val="none"/>
                <w:lang w:val="en-US" w:eastAsia="zh-CN"/>
              </w:rPr>
            </w:pPr>
            <w:r>
              <w:rPr>
                <w:rFonts w:hint="eastAsia"/>
                <w:b w:val="0"/>
                <w:bCs w:val="0"/>
                <w:sz w:val="21"/>
                <w:szCs w:val="21"/>
                <w:u w:val="none"/>
                <w:lang w:val="en-US" w:eastAsia="zh-CN"/>
              </w:rPr>
              <w:t>pH</w:t>
            </w:r>
          </w:p>
        </w:tc>
        <w:tc>
          <w:tcPr>
            <w:tcW w:w="649" w:type="pct"/>
            <w:tcBorders>
              <w:tl2br w:val="nil"/>
              <w:tr2bl w:val="nil"/>
            </w:tcBorders>
            <w:noWrap w:val="0"/>
            <w:vAlign w:val="center"/>
          </w:tcPr>
          <w:p w14:paraId="7CA53AA0">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4A2023D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22AE558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350FA43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399" w:name="_Toc10952"/>
            <w:bookmarkStart w:id="400" w:name="_Toc17237"/>
            <w:bookmarkStart w:id="401" w:name="_Toc14952"/>
            <w:bookmarkStart w:id="402" w:name="_Toc16683"/>
            <w:bookmarkStart w:id="403" w:name="_Toc26644"/>
            <w:bookmarkStart w:id="404" w:name="_Toc6752"/>
            <w:bookmarkStart w:id="405" w:name="_Toc17011"/>
            <w:bookmarkStart w:id="406" w:name="_Toc23519"/>
            <w:bookmarkStart w:id="407" w:name="_Toc462"/>
            <w:bookmarkStart w:id="408" w:name="_Toc6386"/>
            <w:bookmarkStart w:id="409" w:name="_Toc16597"/>
            <w:r>
              <w:rPr>
                <w:b w:val="0"/>
                <w:bCs w:val="0"/>
                <w:sz w:val="21"/>
                <w:szCs w:val="21"/>
                <w:u w:val="none"/>
              </w:rPr>
              <w:t>特征因子</w:t>
            </w:r>
            <w:bookmarkEnd w:id="399"/>
            <w:bookmarkEnd w:id="400"/>
            <w:bookmarkEnd w:id="401"/>
            <w:bookmarkEnd w:id="402"/>
            <w:bookmarkEnd w:id="403"/>
            <w:bookmarkEnd w:id="404"/>
            <w:bookmarkEnd w:id="405"/>
            <w:bookmarkEnd w:id="406"/>
            <w:bookmarkEnd w:id="407"/>
            <w:bookmarkEnd w:id="408"/>
            <w:bookmarkEnd w:id="409"/>
          </w:p>
        </w:tc>
        <w:tc>
          <w:tcPr>
            <w:tcW w:w="3115" w:type="pct"/>
            <w:gridSpan w:val="6"/>
            <w:tcBorders>
              <w:tl2br w:val="nil"/>
              <w:tr2bl w:val="nil"/>
            </w:tcBorders>
            <w:noWrap w:val="0"/>
            <w:vAlign w:val="center"/>
          </w:tcPr>
          <w:p w14:paraId="2EAA243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default" w:eastAsia="宋体"/>
                <w:b w:val="0"/>
                <w:bCs w:val="0"/>
                <w:sz w:val="21"/>
                <w:szCs w:val="21"/>
                <w:u w:val="none"/>
                <w:lang w:val="en-US" w:eastAsia="zh-CN"/>
              </w:rPr>
            </w:pPr>
            <w:r>
              <w:rPr>
                <w:rFonts w:hint="eastAsia"/>
                <w:b w:val="0"/>
                <w:bCs w:val="0"/>
                <w:sz w:val="21"/>
                <w:szCs w:val="21"/>
                <w:u w:val="none"/>
                <w:lang w:val="en-US" w:eastAsia="zh-CN"/>
              </w:rPr>
              <w:t>pH</w:t>
            </w:r>
          </w:p>
        </w:tc>
        <w:tc>
          <w:tcPr>
            <w:tcW w:w="649" w:type="pct"/>
            <w:tcBorders>
              <w:tl2br w:val="nil"/>
              <w:tr2bl w:val="nil"/>
            </w:tcBorders>
            <w:noWrap w:val="0"/>
            <w:vAlign w:val="center"/>
          </w:tcPr>
          <w:p w14:paraId="4CA1C210">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6996E8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00B1FCD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726680E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410" w:name="_Toc7653"/>
            <w:bookmarkStart w:id="411" w:name="_Toc21082"/>
            <w:bookmarkStart w:id="412" w:name="_Toc19780"/>
            <w:bookmarkStart w:id="413" w:name="_Toc29734"/>
            <w:bookmarkStart w:id="414" w:name="_Toc13413"/>
            <w:bookmarkStart w:id="415" w:name="_Toc17587"/>
            <w:bookmarkStart w:id="416" w:name="_Toc18507"/>
            <w:bookmarkStart w:id="417" w:name="_Toc11889"/>
            <w:bookmarkStart w:id="418" w:name="_Toc8043"/>
            <w:bookmarkStart w:id="419" w:name="_Toc12072"/>
            <w:bookmarkStart w:id="420" w:name="_Toc26044"/>
            <w:r>
              <w:rPr>
                <w:b w:val="0"/>
                <w:bCs w:val="0"/>
                <w:sz w:val="21"/>
                <w:szCs w:val="21"/>
                <w:u w:val="none"/>
              </w:rPr>
              <w:t>所属土壤环境影响评价项目类别</w:t>
            </w:r>
            <w:bookmarkEnd w:id="410"/>
            <w:bookmarkEnd w:id="411"/>
            <w:bookmarkEnd w:id="412"/>
            <w:bookmarkEnd w:id="413"/>
            <w:bookmarkEnd w:id="414"/>
            <w:bookmarkEnd w:id="415"/>
            <w:bookmarkEnd w:id="416"/>
            <w:bookmarkEnd w:id="417"/>
            <w:bookmarkEnd w:id="418"/>
            <w:bookmarkEnd w:id="419"/>
            <w:bookmarkEnd w:id="420"/>
          </w:p>
        </w:tc>
        <w:tc>
          <w:tcPr>
            <w:tcW w:w="3115" w:type="pct"/>
            <w:gridSpan w:val="6"/>
            <w:tcBorders>
              <w:tl2br w:val="nil"/>
              <w:tr2bl w:val="nil"/>
            </w:tcBorders>
            <w:noWrap w:val="0"/>
            <w:vAlign w:val="center"/>
          </w:tcPr>
          <w:p w14:paraId="37B127AF">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421" w:name="_Toc10069"/>
            <w:bookmarkStart w:id="422" w:name="_Toc6145"/>
            <w:bookmarkStart w:id="423" w:name="_Toc8289"/>
            <w:bookmarkStart w:id="424" w:name="_Toc1643"/>
            <w:bookmarkStart w:id="425" w:name="_Toc13234"/>
            <w:bookmarkStart w:id="426" w:name="_Toc6666"/>
            <w:bookmarkStart w:id="427" w:name="_Toc26005"/>
            <w:bookmarkStart w:id="428" w:name="_Toc27929"/>
            <w:bookmarkStart w:id="429" w:name="_Toc21185"/>
            <w:bookmarkStart w:id="430" w:name="_Toc30340"/>
            <w:bookmarkStart w:id="431" w:name="_Toc18601"/>
            <w:r>
              <w:rPr>
                <w:b w:val="0"/>
                <w:bCs w:val="0"/>
                <w:sz w:val="21"/>
                <w:szCs w:val="21"/>
                <w:u w:val="none"/>
              </w:rPr>
              <w:t>I类</w:t>
            </w:r>
            <w:r>
              <w:rPr>
                <w:b w:val="0"/>
                <w:bCs w:val="0"/>
                <w:sz w:val="21"/>
                <w:szCs w:val="21"/>
                <w:u w:val="none"/>
              </w:rPr>
              <w:sym w:font="Wingdings 2" w:char="0052"/>
            </w:r>
            <w:r>
              <w:rPr>
                <w:b w:val="0"/>
                <w:bCs w:val="0"/>
                <w:sz w:val="21"/>
                <w:szCs w:val="21"/>
                <w:u w:val="none"/>
              </w:rPr>
              <w:t>；Ⅱ类□；Ⅲ类</w:t>
            </w:r>
            <w:r>
              <w:rPr>
                <w:rFonts w:hint="eastAsia"/>
                <w:b w:val="0"/>
                <w:bCs w:val="0"/>
                <w:sz w:val="21"/>
                <w:szCs w:val="21"/>
                <w:u w:val="none"/>
              </w:rPr>
              <w:t>□</w:t>
            </w:r>
            <w:r>
              <w:rPr>
                <w:b w:val="0"/>
                <w:bCs w:val="0"/>
                <w:sz w:val="21"/>
                <w:szCs w:val="21"/>
                <w:u w:val="none"/>
              </w:rPr>
              <w:t>；Ⅳ类□</w:t>
            </w:r>
            <w:bookmarkEnd w:id="421"/>
            <w:bookmarkEnd w:id="422"/>
            <w:bookmarkEnd w:id="423"/>
            <w:bookmarkEnd w:id="424"/>
            <w:bookmarkEnd w:id="425"/>
            <w:bookmarkEnd w:id="426"/>
            <w:bookmarkEnd w:id="427"/>
            <w:bookmarkEnd w:id="428"/>
            <w:bookmarkEnd w:id="429"/>
            <w:bookmarkEnd w:id="430"/>
            <w:bookmarkEnd w:id="431"/>
          </w:p>
        </w:tc>
        <w:tc>
          <w:tcPr>
            <w:tcW w:w="649" w:type="pct"/>
            <w:tcBorders>
              <w:tl2br w:val="nil"/>
              <w:tr2bl w:val="nil"/>
            </w:tcBorders>
            <w:noWrap w:val="0"/>
            <w:vAlign w:val="center"/>
          </w:tcPr>
          <w:p w14:paraId="11B4537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550C7BB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5DC81B52">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6011042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432" w:name="_Toc13106"/>
            <w:bookmarkStart w:id="433" w:name="_Toc27278"/>
            <w:bookmarkStart w:id="434" w:name="_Toc26921"/>
            <w:bookmarkStart w:id="435" w:name="_Toc4391"/>
            <w:bookmarkStart w:id="436" w:name="_Toc18403"/>
            <w:bookmarkStart w:id="437" w:name="_Toc30232"/>
            <w:bookmarkStart w:id="438" w:name="_Toc5226"/>
            <w:bookmarkStart w:id="439" w:name="_Toc21222"/>
            <w:bookmarkStart w:id="440" w:name="_Toc16256"/>
            <w:bookmarkStart w:id="441" w:name="_Toc7341"/>
            <w:bookmarkStart w:id="442" w:name="_Toc7578"/>
            <w:r>
              <w:rPr>
                <w:b w:val="0"/>
                <w:bCs w:val="0"/>
                <w:sz w:val="21"/>
                <w:szCs w:val="21"/>
                <w:u w:val="none"/>
              </w:rPr>
              <w:t>敏感程度</w:t>
            </w:r>
            <w:bookmarkEnd w:id="432"/>
            <w:bookmarkEnd w:id="433"/>
            <w:bookmarkEnd w:id="434"/>
            <w:bookmarkEnd w:id="435"/>
            <w:bookmarkEnd w:id="436"/>
            <w:bookmarkEnd w:id="437"/>
            <w:bookmarkEnd w:id="438"/>
            <w:bookmarkEnd w:id="439"/>
            <w:bookmarkEnd w:id="440"/>
            <w:bookmarkEnd w:id="441"/>
            <w:bookmarkEnd w:id="442"/>
          </w:p>
        </w:tc>
        <w:tc>
          <w:tcPr>
            <w:tcW w:w="3115" w:type="pct"/>
            <w:gridSpan w:val="6"/>
            <w:tcBorders>
              <w:tl2br w:val="nil"/>
              <w:tr2bl w:val="nil"/>
            </w:tcBorders>
            <w:noWrap w:val="0"/>
            <w:vAlign w:val="center"/>
          </w:tcPr>
          <w:p w14:paraId="6EDB454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443" w:name="_Toc1112"/>
            <w:bookmarkStart w:id="444" w:name="_Toc279"/>
            <w:bookmarkStart w:id="445" w:name="_Toc23954"/>
            <w:bookmarkStart w:id="446" w:name="_Toc5012"/>
            <w:bookmarkStart w:id="447" w:name="_Toc6106"/>
            <w:bookmarkStart w:id="448" w:name="_Toc23621"/>
            <w:bookmarkStart w:id="449" w:name="_Toc9994"/>
            <w:bookmarkStart w:id="450" w:name="_Toc21239"/>
            <w:bookmarkStart w:id="451" w:name="_Toc31482"/>
            <w:bookmarkStart w:id="452" w:name="_Toc13150"/>
            <w:bookmarkStart w:id="453" w:name="_Toc14663"/>
            <w:r>
              <w:rPr>
                <w:b w:val="0"/>
                <w:bCs w:val="0"/>
                <w:sz w:val="21"/>
                <w:szCs w:val="21"/>
                <w:u w:val="none"/>
              </w:rPr>
              <w:t>敏感</w:t>
            </w:r>
            <w:r>
              <w:rPr>
                <w:rFonts w:hint="eastAsia"/>
                <w:b w:val="0"/>
                <w:bCs w:val="0"/>
                <w:sz w:val="21"/>
                <w:szCs w:val="21"/>
                <w:u w:val="none"/>
              </w:rPr>
              <w:sym w:font="Wingdings 2" w:char="00A3"/>
            </w:r>
            <w:r>
              <w:rPr>
                <w:b w:val="0"/>
                <w:bCs w:val="0"/>
                <w:sz w:val="21"/>
                <w:szCs w:val="21"/>
                <w:u w:val="none"/>
              </w:rPr>
              <w:t>；较敏感□；不敏感</w:t>
            </w:r>
            <w:bookmarkEnd w:id="443"/>
            <w:bookmarkEnd w:id="444"/>
            <w:bookmarkEnd w:id="445"/>
            <w:bookmarkEnd w:id="446"/>
            <w:bookmarkEnd w:id="447"/>
            <w:bookmarkEnd w:id="448"/>
            <w:r>
              <w:rPr>
                <w:b w:val="0"/>
                <w:bCs w:val="0"/>
                <w:sz w:val="21"/>
                <w:szCs w:val="21"/>
                <w:u w:val="none"/>
              </w:rPr>
              <w:sym w:font="Wingdings 2" w:char="0052"/>
            </w:r>
            <w:bookmarkEnd w:id="449"/>
            <w:bookmarkEnd w:id="450"/>
            <w:bookmarkEnd w:id="451"/>
            <w:bookmarkEnd w:id="452"/>
            <w:bookmarkEnd w:id="453"/>
          </w:p>
        </w:tc>
        <w:tc>
          <w:tcPr>
            <w:tcW w:w="649" w:type="pct"/>
            <w:tcBorders>
              <w:tl2br w:val="nil"/>
              <w:tr2bl w:val="nil"/>
            </w:tcBorders>
            <w:noWrap w:val="0"/>
            <w:vAlign w:val="center"/>
          </w:tcPr>
          <w:p w14:paraId="583026B6">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2E484E0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5" w:type="pct"/>
            <w:gridSpan w:val="2"/>
            <w:tcBorders>
              <w:tl2br w:val="nil"/>
              <w:tr2bl w:val="nil"/>
            </w:tcBorders>
            <w:noWrap w:val="0"/>
            <w:vAlign w:val="center"/>
          </w:tcPr>
          <w:p w14:paraId="68DE1CA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454" w:name="_Toc32141"/>
            <w:bookmarkStart w:id="455" w:name="_Toc23651"/>
            <w:bookmarkStart w:id="456" w:name="_Toc23179"/>
            <w:bookmarkStart w:id="457" w:name="_Toc5484"/>
            <w:bookmarkStart w:id="458" w:name="_Toc26833"/>
            <w:bookmarkStart w:id="459" w:name="_Toc31834"/>
            <w:bookmarkStart w:id="460" w:name="_Toc9311"/>
            <w:bookmarkStart w:id="461" w:name="_Toc28131"/>
            <w:bookmarkStart w:id="462" w:name="_Toc23300"/>
            <w:bookmarkStart w:id="463" w:name="_Toc29422"/>
            <w:bookmarkStart w:id="464" w:name="_Toc15522"/>
            <w:r>
              <w:rPr>
                <w:b w:val="0"/>
                <w:bCs w:val="0"/>
                <w:sz w:val="21"/>
                <w:szCs w:val="21"/>
                <w:u w:val="none"/>
              </w:rPr>
              <w:t>评价工作等级</w:t>
            </w:r>
            <w:bookmarkEnd w:id="454"/>
            <w:bookmarkEnd w:id="455"/>
            <w:bookmarkEnd w:id="456"/>
            <w:bookmarkEnd w:id="457"/>
            <w:bookmarkEnd w:id="458"/>
            <w:bookmarkEnd w:id="459"/>
            <w:bookmarkEnd w:id="460"/>
            <w:bookmarkEnd w:id="461"/>
            <w:bookmarkEnd w:id="462"/>
            <w:bookmarkEnd w:id="463"/>
            <w:bookmarkEnd w:id="464"/>
          </w:p>
        </w:tc>
        <w:tc>
          <w:tcPr>
            <w:tcW w:w="3115" w:type="pct"/>
            <w:gridSpan w:val="6"/>
            <w:tcBorders>
              <w:tl2br w:val="nil"/>
              <w:tr2bl w:val="nil"/>
            </w:tcBorders>
            <w:noWrap w:val="0"/>
            <w:vAlign w:val="center"/>
          </w:tcPr>
          <w:p w14:paraId="164A7A54">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eastAsia"/>
                <w:b w:val="0"/>
                <w:bCs w:val="0"/>
                <w:sz w:val="21"/>
                <w:szCs w:val="21"/>
                <w:u w:val="none"/>
              </w:rPr>
            </w:pPr>
            <w:bookmarkStart w:id="465" w:name="_Toc28996"/>
            <w:bookmarkStart w:id="466" w:name="_Toc30473"/>
            <w:bookmarkStart w:id="467" w:name="_Toc7312"/>
            <w:bookmarkStart w:id="468" w:name="_Toc27886"/>
            <w:bookmarkStart w:id="469" w:name="_Toc8548"/>
            <w:bookmarkStart w:id="470" w:name="_Toc10470"/>
            <w:bookmarkStart w:id="471" w:name="_Toc30263"/>
            <w:bookmarkStart w:id="472" w:name="_Toc28653"/>
            <w:bookmarkStart w:id="473" w:name="_Toc23791"/>
            <w:bookmarkStart w:id="474" w:name="_Toc16179"/>
            <w:bookmarkStart w:id="475" w:name="_Toc24065"/>
            <w:r>
              <w:rPr>
                <w:b w:val="0"/>
                <w:bCs w:val="0"/>
                <w:sz w:val="21"/>
                <w:szCs w:val="21"/>
                <w:u w:val="none"/>
              </w:rPr>
              <w:t>一级</w:t>
            </w:r>
            <w:r>
              <w:rPr>
                <w:b w:val="0"/>
                <w:bCs w:val="0"/>
                <w:sz w:val="21"/>
                <w:szCs w:val="21"/>
                <w:u w:val="none"/>
              </w:rPr>
              <w:sym w:font="Wingdings 2" w:char="00A3"/>
            </w:r>
            <w:r>
              <w:rPr>
                <w:b w:val="0"/>
                <w:bCs w:val="0"/>
                <w:sz w:val="21"/>
                <w:szCs w:val="21"/>
                <w:u w:val="none"/>
              </w:rPr>
              <w:t>；二级</w:t>
            </w:r>
            <w:r>
              <w:rPr>
                <w:rFonts w:hint="eastAsia"/>
                <w:b w:val="0"/>
                <w:bCs w:val="0"/>
                <w:sz w:val="21"/>
                <w:szCs w:val="21"/>
                <w:u w:val="none"/>
                <w:lang w:eastAsia="zh-CN"/>
              </w:rPr>
              <w:t>☑</w:t>
            </w:r>
            <w:r>
              <w:rPr>
                <w:b w:val="0"/>
                <w:bCs w:val="0"/>
                <w:sz w:val="21"/>
                <w:szCs w:val="21"/>
                <w:u w:val="none"/>
              </w:rPr>
              <w:t>；三级</w:t>
            </w:r>
            <w:bookmarkEnd w:id="465"/>
            <w:bookmarkEnd w:id="466"/>
            <w:bookmarkEnd w:id="467"/>
            <w:bookmarkEnd w:id="468"/>
            <w:r>
              <w:rPr>
                <w:rFonts w:hint="eastAsia"/>
                <w:b w:val="0"/>
                <w:bCs w:val="0"/>
                <w:sz w:val="21"/>
                <w:szCs w:val="21"/>
                <w:u w:val="none"/>
              </w:rPr>
              <w:t>□</w:t>
            </w:r>
            <w:bookmarkEnd w:id="469"/>
            <w:bookmarkEnd w:id="470"/>
            <w:bookmarkEnd w:id="471"/>
            <w:bookmarkEnd w:id="472"/>
            <w:bookmarkEnd w:id="473"/>
            <w:bookmarkEnd w:id="474"/>
            <w:bookmarkEnd w:id="475"/>
          </w:p>
        </w:tc>
        <w:tc>
          <w:tcPr>
            <w:tcW w:w="649" w:type="pct"/>
            <w:tcBorders>
              <w:tl2br w:val="nil"/>
              <w:tr2bl w:val="nil"/>
            </w:tcBorders>
            <w:noWrap w:val="0"/>
            <w:vAlign w:val="center"/>
          </w:tcPr>
          <w:p w14:paraId="4156273A">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474A751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restart"/>
            <w:tcBorders>
              <w:tl2br w:val="nil"/>
              <w:tr2bl w:val="nil"/>
            </w:tcBorders>
            <w:noWrap w:val="0"/>
            <w:vAlign w:val="center"/>
          </w:tcPr>
          <w:p w14:paraId="3CC3F82F">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476" w:name="_Toc31020"/>
            <w:bookmarkStart w:id="477" w:name="_Toc5691"/>
            <w:bookmarkStart w:id="478" w:name="_Toc628"/>
            <w:bookmarkStart w:id="479" w:name="_Toc4179"/>
            <w:bookmarkStart w:id="480" w:name="_Toc4290"/>
            <w:bookmarkStart w:id="481" w:name="_Toc11031"/>
            <w:bookmarkStart w:id="482" w:name="_Toc30981"/>
            <w:bookmarkStart w:id="483" w:name="_Toc12792"/>
            <w:bookmarkStart w:id="484" w:name="_Toc14781"/>
            <w:bookmarkStart w:id="485" w:name="_Toc17846"/>
            <w:bookmarkStart w:id="486" w:name="_Toc3908"/>
            <w:r>
              <w:rPr>
                <w:b w:val="0"/>
                <w:bCs w:val="0"/>
                <w:sz w:val="21"/>
                <w:szCs w:val="21"/>
                <w:u w:val="none"/>
              </w:rPr>
              <w:t>现状调查内容</w:t>
            </w:r>
            <w:bookmarkEnd w:id="476"/>
            <w:bookmarkEnd w:id="477"/>
            <w:bookmarkEnd w:id="478"/>
            <w:bookmarkEnd w:id="479"/>
            <w:bookmarkEnd w:id="480"/>
            <w:bookmarkEnd w:id="481"/>
            <w:bookmarkEnd w:id="482"/>
            <w:bookmarkEnd w:id="483"/>
            <w:bookmarkEnd w:id="484"/>
            <w:bookmarkEnd w:id="485"/>
            <w:bookmarkEnd w:id="486"/>
          </w:p>
        </w:tc>
        <w:tc>
          <w:tcPr>
            <w:tcW w:w="994" w:type="pct"/>
            <w:tcBorders>
              <w:tl2br w:val="nil"/>
              <w:tr2bl w:val="nil"/>
            </w:tcBorders>
            <w:noWrap w:val="0"/>
            <w:vAlign w:val="center"/>
          </w:tcPr>
          <w:p w14:paraId="5049D003">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487" w:name="_Toc3430"/>
            <w:bookmarkStart w:id="488" w:name="_Toc15092"/>
            <w:bookmarkStart w:id="489" w:name="_Toc24278"/>
            <w:bookmarkStart w:id="490" w:name="_Toc13395"/>
            <w:bookmarkStart w:id="491" w:name="_Toc13742"/>
            <w:bookmarkStart w:id="492" w:name="_Toc18931"/>
            <w:bookmarkStart w:id="493" w:name="_Toc22718"/>
            <w:bookmarkStart w:id="494" w:name="_Toc25832"/>
            <w:bookmarkStart w:id="495" w:name="_Toc21154"/>
            <w:bookmarkStart w:id="496" w:name="_Toc28494"/>
            <w:bookmarkStart w:id="497" w:name="_Toc13762"/>
            <w:r>
              <w:rPr>
                <w:b w:val="0"/>
                <w:bCs w:val="0"/>
                <w:sz w:val="21"/>
                <w:szCs w:val="21"/>
                <w:u w:val="none"/>
              </w:rPr>
              <w:t>资料收集</w:t>
            </w:r>
            <w:bookmarkEnd w:id="487"/>
            <w:bookmarkEnd w:id="488"/>
            <w:bookmarkEnd w:id="489"/>
            <w:bookmarkEnd w:id="490"/>
            <w:bookmarkEnd w:id="491"/>
            <w:bookmarkEnd w:id="492"/>
            <w:bookmarkEnd w:id="493"/>
            <w:bookmarkEnd w:id="494"/>
            <w:bookmarkEnd w:id="495"/>
            <w:bookmarkEnd w:id="496"/>
            <w:bookmarkEnd w:id="497"/>
          </w:p>
        </w:tc>
        <w:tc>
          <w:tcPr>
            <w:tcW w:w="3115" w:type="pct"/>
            <w:gridSpan w:val="6"/>
            <w:tcBorders>
              <w:tl2br w:val="nil"/>
              <w:tr2bl w:val="nil"/>
            </w:tcBorders>
            <w:noWrap w:val="0"/>
            <w:vAlign w:val="center"/>
          </w:tcPr>
          <w:p w14:paraId="769E593B">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498" w:name="_Toc31135"/>
            <w:bookmarkStart w:id="499" w:name="_Toc19795"/>
            <w:bookmarkStart w:id="500" w:name="_Toc21385"/>
            <w:bookmarkStart w:id="501" w:name="_Toc30150"/>
            <w:bookmarkStart w:id="502" w:name="_Toc22974"/>
            <w:bookmarkStart w:id="503" w:name="_Toc13019"/>
            <w:bookmarkStart w:id="504" w:name="_Toc13362"/>
            <w:bookmarkStart w:id="505" w:name="_Toc20517"/>
            <w:bookmarkStart w:id="506" w:name="_Toc31098"/>
            <w:bookmarkStart w:id="507" w:name="_Toc18700"/>
            <w:bookmarkStart w:id="508" w:name="_Toc11948"/>
            <w:r>
              <w:rPr>
                <w:b w:val="0"/>
                <w:bCs w:val="0"/>
                <w:sz w:val="21"/>
                <w:szCs w:val="21"/>
                <w:u w:val="none"/>
              </w:rPr>
              <w:t>a）☑；b）□；c）□；d）□</w:t>
            </w:r>
            <w:bookmarkEnd w:id="498"/>
            <w:bookmarkEnd w:id="499"/>
            <w:bookmarkEnd w:id="500"/>
            <w:bookmarkEnd w:id="501"/>
            <w:bookmarkEnd w:id="502"/>
            <w:bookmarkEnd w:id="503"/>
            <w:bookmarkEnd w:id="504"/>
            <w:bookmarkEnd w:id="505"/>
            <w:bookmarkEnd w:id="506"/>
            <w:bookmarkEnd w:id="507"/>
            <w:bookmarkEnd w:id="508"/>
          </w:p>
        </w:tc>
        <w:tc>
          <w:tcPr>
            <w:tcW w:w="649" w:type="pct"/>
            <w:tcBorders>
              <w:tl2br w:val="nil"/>
              <w:tr2bl w:val="nil"/>
            </w:tcBorders>
            <w:noWrap w:val="0"/>
            <w:vAlign w:val="center"/>
          </w:tcPr>
          <w:p w14:paraId="125D3BE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555E04C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6C5241EB">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7D2DBF9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509" w:name="_Toc14748"/>
            <w:bookmarkStart w:id="510" w:name="_Toc17970"/>
            <w:bookmarkStart w:id="511" w:name="_Toc21312"/>
            <w:bookmarkStart w:id="512" w:name="_Toc11284"/>
            <w:bookmarkStart w:id="513" w:name="_Toc13282"/>
            <w:bookmarkStart w:id="514" w:name="_Toc17585"/>
            <w:bookmarkStart w:id="515" w:name="_Toc19543"/>
            <w:bookmarkStart w:id="516" w:name="_Toc3571"/>
            <w:bookmarkStart w:id="517" w:name="_Toc13753"/>
            <w:bookmarkStart w:id="518" w:name="_Toc14585"/>
            <w:bookmarkStart w:id="519" w:name="_Toc16677"/>
            <w:r>
              <w:rPr>
                <w:b w:val="0"/>
                <w:bCs w:val="0"/>
                <w:sz w:val="21"/>
                <w:szCs w:val="21"/>
                <w:u w:val="none"/>
              </w:rPr>
              <w:t>理化特性</w:t>
            </w:r>
            <w:bookmarkEnd w:id="509"/>
            <w:bookmarkEnd w:id="510"/>
            <w:bookmarkEnd w:id="511"/>
            <w:bookmarkEnd w:id="512"/>
            <w:bookmarkEnd w:id="513"/>
            <w:bookmarkEnd w:id="514"/>
            <w:bookmarkEnd w:id="515"/>
            <w:bookmarkEnd w:id="516"/>
            <w:bookmarkEnd w:id="517"/>
            <w:bookmarkEnd w:id="518"/>
            <w:bookmarkEnd w:id="519"/>
          </w:p>
        </w:tc>
        <w:tc>
          <w:tcPr>
            <w:tcW w:w="3115" w:type="pct"/>
            <w:gridSpan w:val="6"/>
            <w:tcBorders>
              <w:tl2br w:val="nil"/>
              <w:tr2bl w:val="nil"/>
            </w:tcBorders>
            <w:noWrap w:val="0"/>
            <w:vAlign w:val="center"/>
          </w:tcPr>
          <w:p w14:paraId="312DE842">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eastAsia"/>
                <w:b w:val="0"/>
                <w:bCs w:val="0"/>
                <w:sz w:val="21"/>
                <w:szCs w:val="21"/>
                <w:u w:val="none"/>
              </w:rPr>
            </w:pPr>
            <w:r>
              <w:rPr>
                <w:rFonts w:hint="eastAsia"/>
                <w:b w:val="0"/>
                <w:bCs w:val="0"/>
                <w:sz w:val="21"/>
                <w:szCs w:val="21"/>
                <w:u w:val="none"/>
              </w:rPr>
              <w:t>/</w:t>
            </w:r>
          </w:p>
        </w:tc>
        <w:tc>
          <w:tcPr>
            <w:tcW w:w="649" w:type="pct"/>
            <w:tcBorders>
              <w:tl2br w:val="nil"/>
              <w:tr2bl w:val="nil"/>
            </w:tcBorders>
            <w:noWrap w:val="0"/>
            <w:vAlign w:val="center"/>
          </w:tcPr>
          <w:p w14:paraId="4D76921B">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bookmarkStart w:id="520" w:name="_Toc2138"/>
            <w:bookmarkStart w:id="521" w:name="_Toc20007"/>
            <w:bookmarkStart w:id="522" w:name="_Toc25494"/>
            <w:bookmarkStart w:id="523" w:name="_Toc24077"/>
            <w:bookmarkStart w:id="524" w:name="_Toc3413"/>
            <w:bookmarkStart w:id="525" w:name="_Toc6735"/>
            <w:bookmarkStart w:id="526" w:name="_Toc319"/>
            <w:bookmarkStart w:id="527" w:name="_Toc18832"/>
            <w:bookmarkStart w:id="528" w:name="_Toc3781"/>
            <w:bookmarkStart w:id="529" w:name="_Toc11370"/>
            <w:bookmarkStart w:id="530" w:name="_Toc8574"/>
            <w:r>
              <w:rPr>
                <w:b w:val="0"/>
                <w:bCs w:val="0"/>
                <w:sz w:val="21"/>
                <w:szCs w:val="21"/>
                <w:u w:val="none"/>
              </w:rPr>
              <w:t>同附录C</w:t>
            </w:r>
            <w:bookmarkEnd w:id="520"/>
            <w:bookmarkEnd w:id="521"/>
            <w:bookmarkEnd w:id="522"/>
            <w:bookmarkEnd w:id="523"/>
            <w:bookmarkEnd w:id="524"/>
            <w:bookmarkEnd w:id="525"/>
            <w:bookmarkEnd w:id="526"/>
            <w:bookmarkEnd w:id="527"/>
            <w:bookmarkEnd w:id="528"/>
            <w:bookmarkEnd w:id="529"/>
            <w:bookmarkEnd w:id="530"/>
          </w:p>
        </w:tc>
      </w:tr>
      <w:tr w14:paraId="29CE5E0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3DEECBA2">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vMerge w:val="restart"/>
            <w:tcBorders>
              <w:tl2br w:val="nil"/>
              <w:tr2bl w:val="nil"/>
            </w:tcBorders>
            <w:noWrap w:val="0"/>
            <w:vAlign w:val="center"/>
          </w:tcPr>
          <w:p w14:paraId="2423126B">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531" w:name="_Toc1284"/>
            <w:bookmarkStart w:id="532" w:name="_Toc14118"/>
            <w:bookmarkStart w:id="533" w:name="_Toc19558"/>
            <w:bookmarkStart w:id="534" w:name="_Toc26158"/>
            <w:bookmarkStart w:id="535" w:name="_Toc24739"/>
            <w:bookmarkStart w:id="536" w:name="_Toc14500"/>
            <w:bookmarkStart w:id="537" w:name="_Toc20141"/>
            <w:bookmarkStart w:id="538" w:name="_Toc16645"/>
            <w:bookmarkStart w:id="539" w:name="_Toc11744"/>
            <w:bookmarkStart w:id="540" w:name="_Toc17876"/>
            <w:bookmarkStart w:id="541" w:name="_Toc5700"/>
            <w:r>
              <w:rPr>
                <w:b w:val="0"/>
                <w:bCs w:val="0"/>
                <w:sz w:val="21"/>
                <w:szCs w:val="21"/>
                <w:u w:val="none"/>
              </w:rPr>
              <w:t>现状监测点位</w:t>
            </w:r>
            <w:bookmarkEnd w:id="531"/>
            <w:bookmarkEnd w:id="532"/>
            <w:bookmarkEnd w:id="533"/>
            <w:bookmarkEnd w:id="534"/>
            <w:bookmarkEnd w:id="535"/>
            <w:bookmarkEnd w:id="536"/>
            <w:bookmarkEnd w:id="537"/>
            <w:bookmarkEnd w:id="538"/>
            <w:bookmarkEnd w:id="539"/>
            <w:bookmarkEnd w:id="540"/>
            <w:bookmarkEnd w:id="541"/>
          </w:p>
        </w:tc>
        <w:tc>
          <w:tcPr>
            <w:tcW w:w="766" w:type="pct"/>
            <w:tcBorders>
              <w:tl2br w:val="nil"/>
              <w:tr2bl w:val="nil"/>
            </w:tcBorders>
            <w:noWrap w:val="0"/>
            <w:vAlign w:val="center"/>
          </w:tcPr>
          <w:p w14:paraId="3BF9EB9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c>
          <w:tcPr>
            <w:tcW w:w="759" w:type="pct"/>
            <w:gridSpan w:val="2"/>
            <w:tcBorders>
              <w:tl2br w:val="nil"/>
              <w:tr2bl w:val="nil"/>
            </w:tcBorders>
            <w:noWrap w:val="0"/>
            <w:vAlign w:val="center"/>
          </w:tcPr>
          <w:p w14:paraId="09288C7F">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542" w:name="_Toc2063"/>
            <w:bookmarkStart w:id="543" w:name="_Toc505"/>
            <w:bookmarkStart w:id="544" w:name="_Toc15910"/>
            <w:bookmarkStart w:id="545" w:name="_Toc11386"/>
            <w:bookmarkStart w:id="546" w:name="_Toc14202"/>
            <w:bookmarkStart w:id="547" w:name="_Toc10532"/>
            <w:bookmarkStart w:id="548" w:name="_Toc4635"/>
            <w:bookmarkStart w:id="549" w:name="_Toc12585"/>
            <w:bookmarkStart w:id="550" w:name="_Toc5458"/>
            <w:bookmarkStart w:id="551" w:name="_Toc28127"/>
            <w:bookmarkStart w:id="552" w:name="_Toc17525"/>
            <w:r>
              <w:rPr>
                <w:b w:val="0"/>
                <w:bCs w:val="0"/>
                <w:sz w:val="21"/>
                <w:szCs w:val="21"/>
                <w:u w:val="none"/>
              </w:rPr>
              <w:t>占地范围内</w:t>
            </w:r>
            <w:bookmarkEnd w:id="542"/>
            <w:bookmarkEnd w:id="543"/>
            <w:bookmarkEnd w:id="544"/>
            <w:bookmarkEnd w:id="545"/>
            <w:bookmarkEnd w:id="546"/>
            <w:bookmarkEnd w:id="547"/>
            <w:bookmarkEnd w:id="548"/>
            <w:bookmarkEnd w:id="549"/>
            <w:bookmarkEnd w:id="550"/>
            <w:bookmarkEnd w:id="551"/>
            <w:bookmarkEnd w:id="552"/>
          </w:p>
        </w:tc>
        <w:tc>
          <w:tcPr>
            <w:tcW w:w="750" w:type="pct"/>
            <w:gridSpan w:val="2"/>
            <w:tcBorders>
              <w:tl2br w:val="nil"/>
              <w:tr2bl w:val="nil"/>
            </w:tcBorders>
            <w:noWrap w:val="0"/>
            <w:vAlign w:val="center"/>
          </w:tcPr>
          <w:p w14:paraId="15121E3A">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553" w:name="_Toc9526"/>
            <w:bookmarkStart w:id="554" w:name="_Toc12136"/>
            <w:bookmarkStart w:id="555" w:name="_Toc29539"/>
            <w:bookmarkStart w:id="556" w:name="_Toc25696"/>
            <w:bookmarkStart w:id="557" w:name="_Toc10558"/>
            <w:bookmarkStart w:id="558" w:name="_Toc28675"/>
            <w:bookmarkStart w:id="559" w:name="_Toc7655"/>
            <w:bookmarkStart w:id="560" w:name="_Toc27874"/>
            <w:bookmarkStart w:id="561" w:name="_Toc20588"/>
            <w:bookmarkStart w:id="562" w:name="_Toc16493"/>
            <w:bookmarkStart w:id="563" w:name="_Toc8757"/>
            <w:r>
              <w:rPr>
                <w:b w:val="0"/>
                <w:bCs w:val="0"/>
                <w:sz w:val="21"/>
                <w:szCs w:val="21"/>
                <w:u w:val="none"/>
              </w:rPr>
              <w:t>占地范围外</w:t>
            </w:r>
            <w:bookmarkEnd w:id="553"/>
            <w:bookmarkEnd w:id="554"/>
            <w:bookmarkEnd w:id="555"/>
            <w:bookmarkEnd w:id="556"/>
            <w:bookmarkEnd w:id="557"/>
            <w:bookmarkEnd w:id="558"/>
            <w:bookmarkEnd w:id="559"/>
            <w:bookmarkEnd w:id="560"/>
            <w:bookmarkEnd w:id="561"/>
            <w:bookmarkEnd w:id="562"/>
            <w:bookmarkEnd w:id="563"/>
          </w:p>
        </w:tc>
        <w:tc>
          <w:tcPr>
            <w:tcW w:w="839" w:type="pct"/>
            <w:tcBorders>
              <w:tl2br w:val="nil"/>
              <w:tr2bl w:val="nil"/>
            </w:tcBorders>
            <w:noWrap w:val="0"/>
            <w:vAlign w:val="center"/>
          </w:tcPr>
          <w:p w14:paraId="33729130">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564" w:name="_Toc10944"/>
            <w:bookmarkStart w:id="565" w:name="_Toc8592"/>
            <w:bookmarkStart w:id="566" w:name="_Toc6130"/>
            <w:bookmarkStart w:id="567" w:name="_Toc4169"/>
            <w:bookmarkStart w:id="568" w:name="_Toc12433"/>
            <w:bookmarkStart w:id="569" w:name="_Toc16581"/>
            <w:bookmarkStart w:id="570" w:name="_Toc20799"/>
            <w:bookmarkStart w:id="571" w:name="_Toc2724"/>
            <w:bookmarkStart w:id="572" w:name="_Toc3537"/>
            <w:bookmarkStart w:id="573" w:name="_Toc26967"/>
            <w:bookmarkStart w:id="574" w:name="_Toc15018"/>
            <w:r>
              <w:rPr>
                <w:b w:val="0"/>
                <w:bCs w:val="0"/>
                <w:sz w:val="21"/>
                <w:szCs w:val="21"/>
                <w:u w:val="none"/>
              </w:rPr>
              <w:t>深度</w:t>
            </w:r>
            <w:bookmarkEnd w:id="564"/>
            <w:bookmarkEnd w:id="565"/>
            <w:bookmarkEnd w:id="566"/>
            <w:bookmarkEnd w:id="567"/>
            <w:bookmarkEnd w:id="568"/>
            <w:bookmarkEnd w:id="569"/>
            <w:bookmarkEnd w:id="570"/>
            <w:bookmarkEnd w:id="571"/>
            <w:bookmarkEnd w:id="572"/>
            <w:bookmarkEnd w:id="573"/>
            <w:bookmarkEnd w:id="574"/>
          </w:p>
        </w:tc>
        <w:tc>
          <w:tcPr>
            <w:tcW w:w="649" w:type="pct"/>
            <w:vMerge w:val="restart"/>
            <w:tcBorders>
              <w:tl2br w:val="nil"/>
              <w:tr2bl w:val="nil"/>
            </w:tcBorders>
            <w:noWrap w:val="0"/>
            <w:vAlign w:val="center"/>
          </w:tcPr>
          <w:p w14:paraId="1DE99AD3">
            <w:pPr>
              <w:keepNext w:val="0"/>
              <w:keepLines w:val="0"/>
              <w:pageBreakBefore w:val="0"/>
              <w:widowControl w:val="0"/>
              <w:kinsoku/>
              <w:wordWrap/>
              <w:overflowPunct/>
              <w:topLinePunct w:val="0"/>
              <w:autoSpaceDE/>
              <w:autoSpaceDN/>
              <w:bidi w:val="0"/>
              <w:adjustRightInd w:val="0"/>
              <w:snapToGrid w:val="0"/>
              <w:spacing w:before="0" w:after="0" w:line="240" w:lineRule="auto"/>
              <w:ind w:left="0" w:leftChars="0" w:right="0" w:rightChars="0" w:firstLine="0" w:firstLineChars="0"/>
              <w:jc w:val="center"/>
              <w:textAlignment w:val="auto"/>
              <w:outlineLvl w:val="9"/>
              <w:rPr>
                <w:b w:val="0"/>
                <w:bCs w:val="0"/>
                <w:sz w:val="21"/>
                <w:szCs w:val="21"/>
                <w:u w:val="none"/>
              </w:rPr>
            </w:pPr>
            <w:bookmarkStart w:id="575" w:name="_Toc19890"/>
            <w:bookmarkStart w:id="576" w:name="_Toc11941"/>
            <w:bookmarkStart w:id="577" w:name="_Toc10694"/>
            <w:bookmarkStart w:id="578" w:name="_Toc30083"/>
            <w:bookmarkStart w:id="579" w:name="_Toc10549"/>
            <w:bookmarkStart w:id="580" w:name="_Toc29742"/>
            <w:bookmarkStart w:id="581" w:name="_Toc16471"/>
            <w:bookmarkStart w:id="582" w:name="_Toc12920"/>
            <w:bookmarkStart w:id="583" w:name="_Toc20884"/>
            <w:bookmarkStart w:id="584" w:name="_Toc12273"/>
            <w:bookmarkStart w:id="585" w:name="_Toc30109"/>
            <w:r>
              <w:rPr>
                <w:rFonts w:hint="eastAsia"/>
                <w:b w:val="0"/>
                <w:bCs w:val="0"/>
                <w:sz w:val="21"/>
                <w:szCs w:val="21"/>
                <w:u w:val="none"/>
                <w:lang w:val="en-US" w:eastAsia="zh-CN"/>
              </w:rPr>
              <w:t>监测</w:t>
            </w:r>
            <w:r>
              <w:rPr>
                <w:b w:val="0"/>
                <w:bCs w:val="0"/>
                <w:sz w:val="21"/>
                <w:szCs w:val="21"/>
                <w:u w:val="none"/>
              </w:rPr>
              <w:t>点位布置图</w:t>
            </w:r>
            <w:bookmarkEnd w:id="575"/>
            <w:bookmarkEnd w:id="576"/>
            <w:bookmarkEnd w:id="577"/>
            <w:bookmarkEnd w:id="578"/>
            <w:bookmarkEnd w:id="579"/>
            <w:bookmarkEnd w:id="580"/>
            <w:bookmarkEnd w:id="581"/>
            <w:bookmarkEnd w:id="582"/>
            <w:bookmarkEnd w:id="583"/>
            <w:bookmarkEnd w:id="584"/>
            <w:bookmarkEnd w:id="585"/>
          </w:p>
        </w:tc>
      </w:tr>
      <w:tr w14:paraId="6F35A6D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3FE7A39D">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vMerge w:val="continue"/>
            <w:tcBorders>
              <w:tl2br w:val="nil"/>
              <w:tr2bl w:val="nil"/>
            </w:tcBorders>
            <w:noWrap w:val="0"/>
            <w:vAlign w:val="center"/>
          </w:tcPr>
          <w:p w14:paraId="1BF78DC9">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766" w:type="pct"/>
            <w:tcBorders>
              <w:tl2br w:val="nil"/>
              <w:tr2bl w:val="nil"/>
            </w:tcBorders>
            <w:noWrap w:val="0"/>
            <w:vAlign w:val="center"/>
          </w:tcPr>
          <w:p w14:paraId="7D2EA999">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586" w:name="_Toc17998"/>
            <w:bookmarkStart w:id="587" w:name="_Toc9659"/>
            <w:bookmarkStart w:id="588" w:name="_Toc9144"/>
            <w:bookmarkStart w:id="589" w:name="_Toc15140"/>
            <w:bookmarkStart w:id="590" w:name="_Toc21158"/>
            <w:bookmarkStart w:id="591" w:name="_Toc27163"/>
            <w:bookmarkStart w:id="592" w:name="_Toc9815"/>
            <w:bookmarkStart w:id="593" w:name="_Toc12326"/>
            <w:bookmarkStart w:id="594" w:name="_Toc29996"/>
            <w:bookmarkStart w:id="595" w:name="_Toc130"/>
            <w:bookmarkStart w:id="596" w:name="_Toc30097"/>
            <w:r>
              <w:rPr>
                <w:b w:val="0"/>
                <w:bCs w:val="0"/>
                <w:sz w:val="21"/>
                <w:szCs w:val="21"/>
                <w:u w:val="none"/>
              </w:rPr>
              <w:t>表层样点数</w:t>
            </w:r>
            <w:bookmarkEnd w:id="586"/>
            <w:bookmarkEnd w:id="587"/>
            <w:bookmarkEnd w:id="588"/>
            <w:bookmarkEnd w:id="589"/>
            <w:bookmarkEnd w:id="590"/>
            <w:bookmarkEnd w:id="591"/>
            <w:bookmarkEnd w:id="592"/>
            <w:bookmarkEnd w:id="593"/>
            <w:bookmarkEnd w:id="594"/>
            <w:bookmarkEnd w:id="595"/>
            <w:bookmarkEnd w:id="596"/>
          </w:p>
        </w:tc>
        <w:tc>
          <w:tcPr>
            <w:tcW w:w="759" w:type="pct"/>
            <w:gridSpan w:val="2"/>
            <w:tcBorders>
              <w:tl2br w:val="nil"/>
              <w:tr2bl w:val="nil"/>
            </w:tcBorders>
            <w:noWrap w:val="0"/>
            <w:vAlign w:val="center"/>
          </w:tcPr>
          <w:p w14:paraId="04E2BE47">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eastAsia" w:eastAsia="宋体"/>
                <w:b w:val="0"/>
                <w:bCs w:val="0"/>
                <w:sz w:val="21"/>
                <w:szCs w:val="21"/>
                <w:u w:val="none"/>
                <w:lang w:eastAsia="zh-CN"/>
              </w:rPr>
            </w:pPr>
            <w:bookmarkStart w:id="597" w:name="_Toc8277"/>
            <w:bookmarkStart w:id="598" w:name="_Toc28091"/>
            <w:bookmarkStart w:id="599" w:name="_Toc28766"/>
            <w:bookmarkStart w:id="600" w:name="_Toc1847"/>
            <w:bookmarkStart w:id="601" w:name="_Toc30698"/>
            <w:r>
              <w:rPr>
                <w:rFonts w:hint="eastAsia"/>
                <w:b w:val="0"/>
                <w:bCs w:val="0"/>
                <w:sz w:val="21"/>
                <w:szCs w:val="21"/>
                <w:u w:val="none"/>
                <w:lang w:val="en-US" w:eastAsia="zh-CN"/>
              </w:rPr>
              <w:t>1</w:t>
            </w:r>
            <w:bookmarkEnd w:id="597"/>
            <w:bookmarkEnd w:id="598"/>
            <w:bookmarkEnd w:id="599"/>
            <w:bookmarkEnd w:id="600"/>
            <w:bookmarkEnd w:id="601"/>
          </w:p>
        </w:tc>
        <w:tc>
          <w:tcPr>
            <w:tcW w:w="750" w:type="pct"/>
            <w:gridSpan w:val="2"/>
            <w:tcBorders>
              <w:tl2br w:val="nil"/>
              <w:tr2bl w:val="nil"/>
            </w:tcBorders>
            <w:noWrap w:val="0"/>
            <w:vAlign w:val="center"/>
          </w:tcPr>
          <w:p w14:paraId="590792D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eastAsia" w:eastAsia="宋体"/>
                <w:b w:val="0"/>
                <w:bCs w:val="0"/>
                <w:sz w:val="21"/>
                <w:szCs w:val="21"/>
                <w:u w:val="none"/>
                <w:lang w:eastAsia="zh-CN"/>
              </w:rPr>
            </w:pPr>
            <w:bookmarkStart w:id="602" w:name="_Toc17121"/>
            <w:bookmarkStart w:id="603" w:name="_Toc22456"/>
            <w:bookmarkStart w:id="604" w:name="_Toc23498"/>
            <w:bookmarkStart w:id="605" w:name="_Toc17519"/>
            <w:bookmarkStart w:id="606" w:name="_Toc21758"/>
            <w:r>
              <w:rPr>
                <w:rFonts w:hint="eastAsia"/>
                <w:b w:val="0"/>
                <w:bCs w:val="0"/>
                <w:sz w:val="21"/>
                <w:szCs w:val="21"/>
                <w:u w:val="none"/>
                <w:lang w:val="en-US" w:eastAsia="zh-CN"/>
              </w:rPr>
              <w:t>2</w:t>
            </w:r>
            <w:bookmarkEnd w:id="602"/>
            <w:bookmarkEnd w:id="603"/>
            <w:bookmarkEnd w:id="604"/>
            <w:bookmarkEnd w:id="605"/>
            <w:bookmarkEnd w:id="606"/>
          </w:p>
        </w:tc>
        <w:tc>
          <w:tcPr>
            <w:tcW w:w="839" w:type="pct"/>
            <w:tcBorders>
              <w:tl2br w:val="nil"/>
              <w:tr2bl w:val="nil"/>
            </w:tcBorders>
            <w:noWrap w:val="0"/>
            <w:vAlign w:val="center"/>
          </w:tcPr>
          <w:p w14:paraId="60655F0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607" w:name="_Toc9409"/>
            <w:bookmarkStart w:id="608" w:name="_Toc26545"/>
            <w:bookmarkStart w:id="609" w:name="_Toc2562"/>
            <w:bookmarkStart w:id="610" w:name="_Toc13043"/>
            <w:bookmarkStart w:id="611" w:name="_Toc9017"/>
            <w:bookmarkStart w:id="612" w:name="_Toc25011"/>
            <w:bookmarkStart w:id="613" w:name="_Toc31450"/>
            <w:bookmarkStart w:id="614" w:name="_Toc27221"/>
            <w:bookmarkStart w:id="615" w:name="_Toc13236"/>
            <w:bookmarkStart w:id="616" w:name="_Toc13696"/>
            <w:bookmarkStart w:id="617" w:name="_Toc19409"/>
            <w:r>
              <w:rPr>
                <w:b w:val="0"/>
                <w:bCs w:val="0"/>
                <w:sz w:val="21"/>
                <w:szCs w:val="21"/>
                <w:u w:val="none"/>
              </w:rPr>
              <w:t>0</w:t>
            </w:r>
            <w:r>
              <w:rPr>
                <w:rFonts w:hint="eastAsia"/>
                <w:b w:val="0"/>
                <w:bCs w:val="0"/>
                <w:sz w:val="21"/>
                <w:szCs w:val="21"/>
                <w:u w:val="none"/>
              </w:rPr>
              <w:t>～</w:t>
            </w:r>
            <w:r>
              <w:rPr>
                <w:b w:val="0"/>
                <w:bCs w:val="0"/>
                <w:sz w:val="21"/>
                <w:szCs w:val="21"/>
                <w:u w:val="none"/>
              </w:rPr>
              <w:t>0.2m</w:t>
            </w:r>
            <w:bookmarkEnd w:id="607"/>
            <w:bookmarkEnd w:id="608"/>
            <w:bookmarkEnd w:id="609"/>
            <w:bookmarkEnd w:id="610"/>
            <w:bookmarkEnd w:id="611"/>
            <w:bookmarkEnd w:id="612"/>
            <w:bookmarkEnd w:id="613"/>
            <w:bookmarkEnd w:id="614"/>
            <w:bookmarkEnd w:id="615"/>
            <w:bookmarkEnd w:id="616"/>
            <w:bookmarkEnd w:id="617"/>
          </w:p>
        </w:tc>
        <w:tc>
          <w:tcPr>
            <w:tcW w:w="649" w:type="pct"/>
            <w:vMerge w:val="continue"/>
            <w:tcBorders>
              <w:tl2br w:val="nil"/>
              <w:tr2bl w:val="nil"/>
            </w:tcBorders>
            <w:noWrap w:val="0"/>
            <w:vAlign w:val="center"/>
          </w:tcPr>
          <w:p w14:paraId="3B0B03F9">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09E530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39108B4B">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vMerge w:val="continue"/>
            <w:tcBorders>
              <w:tl2br w:val="nil"/>
              <w:tr2bl w:val="nil"/>
            </w:tcBorders>
            <w:noWrap w:val="0"/>
            <w:vAlign w:val="center"/>
          </w:tcPr>
          <w:p w14:paraId="4E619CC6">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766" w:type="pct"/>
            <w:tcBorders>
              <w:tl2br w:val="nil"/>
              <w:tr2bl w:val="nil"/>
            </w:tcBorders>
            <w:noWrap w:val="0"/>
            <w:vAlign w:val="center"/>
          </w:tcPr>
          <w:p w14:paraId="79D6C3D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618" w:name="_Toc28545"/>
            <w:bookmarkStart w:id="619" w:name="_Toc798"/>
            <w:bookmarkStart w:id="620" w:name="_Toc29759"/>
            <w:bookmarkStart w:id="621" w:name="_Toc31665"/>
            <w:bookmarkStart w:id="622" w:name="_Toc19307"/>
            <w:bookmarkStart w:id="623" w:name="_Toc10677"/>
            <w:bookmarkStart w:id="624" w:name="_Toc26618"/>
            <w:bookmarkStart w:id="625" w:name="_Toc5478"/>
            <w:bookmarkStart w:id="626" w:name="_Toc2209"/>
            <w:bookmarkStart w:id="627" w:name="_Toc28191"/>
            <w:bookmarkStart w:id="628" w:name="_Toc10480"/>
            <w:r>
              <w:rPr>
                <w:b w:val="0"/>
                <w:bCs w:val="0"/>
                <w:sz w:val="21"/>
                <w:szCs w:val="21"/>
                <w:u w:val="none"/>
              </w:rPr>
              <w:t>柱状样点数</w:t>
            </w:r>
            <w:bookmarkEnd w:id="618"/>
            <w:bookmarkEnd w:id="619"/>
            <w:bookmarkEnd w:id="620"/>
            <w:bookmarkEnd w:id="621"/>
            <w:bookmarkEnd w:id="622"/>
            <w:bookmarkEnd w:id="623"/>
            <w:bookmarkEnd w:id="624"/>
            <w:bookmarkEnd w:id="625"/>
            <w:bookmarkEnd w:id="626"/>
            <w:bookmarkEnd w:id="627"/>
            <w:bookmarkEnd w:id="628"/>
          </w:p>
        </w:tc>
        <w:tc>
          <w:tcPr>
            <w:tcW w:w="759" w:type="pct"/>
            <w:gridSpan w:val="2"/>
            <w:tcBorders>
              <w:tl2br w:val="nil"/>
              <w:tr2bl w:val="nil"/>
            </w:tcBorders>
            <w:noWrap w:val="0"/>
            <w:vAlign w:val="center"/>
          </w:tcPr>
          <w:p w14:paraId="5C99C5F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eastAsia" w:eastAsia="宋体"/>
                <w:b w:val="0"/>
                <w:bCs w:val="0"/>
                <w:sz w:val="21"/>
                <w:szCs w:val="21"/>
                <w:u w:val="none"/>
                <w:lang w:eastAsia="zh-CN"/>
              </w:rPr>
            </w:pPr>
            <w:bookmarkStart w:id="629" w:name="_Toc21373"/>
            <w:bookmarkStart w:id="630" w:name="_Toc20789"/>
            <w:bookmarkStart w:id="631" w:name="_Toc13800"/>
            <w:bookmarkStart w:id="632" w:name="_Toc7638"/>
            <w:bookmarkStart w:id="633" w:name="_Toc30887"/>
            <w:r>
              <w:rPr>
                <w:rFonts w:hint="eastAsia"/>
                <w:b w:val="0"/>
                <w:bCs w:val="0"/>
                <w:sz w:val="21"/>
                <w:szCs w:val="21"/>
                <w:u w:val="none"/>
                <w:lang w:val="en-US" w:eastAsia="zh-CN"/>
              </w:rPr>
              <w:t>3</w:t>
            </w:r>
            <w:bookmarkEnd w:id="629"/>
            <w:bookmarkEnd w:id="630"/>
            <w:bookmarkEnd w:id="631"/>
            <w:bookmarkEnd w:id="632"/>
            <w:bookmarkEnd w:id="633"/>
          </w:p>
        </w:tc>
        <w:tc>
          <w:tcPr>
            <w:tcW w:w="750" w:type="pct"/>
            <w:gridSpan w:val="2"/>
            <w:tcBorders>
              <w:tl2br w:val="nil"/>
              <w:tr2bl w:val="nil"/>
            </w:tcBorders>
            <w:noWrap w:val="0"/>
            <w:vAlign w:val="center"/>
          </w:tcPr>
          <w:p w14:paraId="32C4B046">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634" w:name="_Toc19050"/>
            <w:bookmarkStart w:id="635" w:name="_Toc8149"/>
            <w:bookmarkStart w:id="636" w:name="_Toc25472"/>
            <w:bookmarkStart w:id="637" w:name="_Toc21793"/>
            <w:bookmarkStart w:id="638" w:name="_Toc10609"/>
            <w:bookmarkStart w:id="639" w:name="_Toc23170"/>
            <w:bookmarkStart w:id="640" w:name="_Toc20512"/>
            <w:bookmarkStart w:id="641" w:name="_Toc5393"/>
            <w:bookmarkStart w:id="642" w:name="_Toc1202"/>
            <w:bookmarkStart w:id="643" w:name="_Toc32423"/>
            <w:bookmarkStart w:id="644" w:name="_Toc12934"/>
            <w:r>
              <w:rPr>
                <w:b w:val="0"/>
                <w:bCs w:val="0"/>
                <w:sz w:val="21"/>
                <w:szCs w:val="21"/>
                <w:u w:val="none"/>
              </w:rPr>
              <w:t>-</w:t>
            </w:r>
            <w:bookmarkEnd w:id="634"/>
            <w:bookmarkEnd w:id="635"/>
            <w:bookmarkEnd w:id="636"/>
            <w:bookmarkEnd w:id="637"/>
            <w:bookmarkEnd w:id="638"/>
            <w:bookmarkEnd w:id="639"/>
            <w:bookmarkEnd w:id="640"/>
            <w:bookmarkEnd w:id="641"/>
            <w:bookmarkEnd w:id="642"/>
            <w:bookmarkEnd w:id="643"/>
            <w:bookmarkEnd w:id="644"/>
          </w:p>
        </w:tc>
        <w:tc>
          <w:tcPr>
            <w:tcW w:w="839" w:type="pct"/>
            <w:tcBorders>
              <w:tl2br w:val="nil"/>
              <w:tr2bl w:val="nil"/>
            </w:tcBorders>
            <w:noWrap w:val="0"/>
            <w:vAlign w:val="center"/>
          </w:tcPr>
          <w:p w14:paraId="3DBDB2DA">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645" w:name="_Toc11531"/>
            <w:bookmarkStart w:id="646" w:name="_Toc9530"/>
            <w:bookmarkStart w:id="647" w:name="_Toc11081"/>
            <w:bookmarkStart w:id="648" w:name="_Toc14155"/>
            <w:bookmarkStart w:id="649" w:name="_Toc3445"/>
            <w:bookmarkStart w:id="650" w:name="_Toc24773"/>
            <w:bookmarkStart w:id="651" w:name="_Toc16994"/>
            <w:r>
              <w:rPr>
                <w:rFonts w:hint="eastAsia"/>
                <w:b w:val="0"/>
                <w:bCs w:val="0"/>
                <w:sz w:val="21"/>
                <w:szCs w:val="21"/>
                <w:u w:val="none"/>
              </w:rPr>
              <w:t>0～0.5m、0.5～1.5m、1.5～3m</w:t>
            </w:r>
            <w:bookmarkEnd w:id="645"/>
            <w:bookmarkEnd w:id="646"/>
            <w:bookmarkEnd w:id="647"/>
            <w:bookmarkEnd w:id="648"/>
            <w:bookmarkEnd w:id="649"/>
            <w:bookmarkEnd w:id="650"/>
            <w:bookmarkEnd w:id="651"/>
          </w:p>
        </w:tc>
        <w:tc>
          <w:tcPr>
            <w:tcW w:w="649" w:type="pct"/>
            <w:vMerge w:val="continue"/>
            <w:tcBorders>
              <w:tl2br w:val="nil"/>
              <w:tr2bl w:val="nil"/>
            </w:tcBorders>
            <w:noWrap w:val="0"/>
            <w:vAlign w:val="center"/>
          </w:tcPr>
          <w:p w14:paraId="73C088DF">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16E20C9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31DC88DB">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4FC1CDD0">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652" w:name="_Toc14771"/>
            <w:bookmarkStart w:id="653" w:name="_Toc14145"/>
            <w:bookmarkStart w:id="654" w:name="_Toc24811"/>
            <w:bookmarkStart w:id="655" w:name="_Toc16944"/>
            <w:bookmarkStart w:id="656" w:name="_Toc16583"/>
            <w:bookmarkStart w:id="657" w:name="_Toc7737"/>
            <w:bookmarkStart w:id="658" w:name="_Toc26097"/>
            <w:bookmarkStart w:id="659" w:name="_Toc15088"/>
            <w:bookmarkStart w:id="660" w:name="_Toc21456"/>
            <w:bookmarkStart w:id="661" w:name="_Toc13821"/>
            <w:bookmarkStart w:id="662" w:name="_Toc26364"/>
            <w:r>
              <w:rPr>
                <w:b w:val="0"/>
                <w:bCs w:val="0"/>
                <w:sz w:val="21"/>
                <w:szCs w:val="21"/>
                <w:u w:val="none"/>
              </w:rPr>
              <w:t>现状监测因子</w:t>
            </w:r>
            <w:bookmarkEnd w:id="652"/>
            <w:bookmarkEnd w:id="653"/>
            <w:bookmarkEnd w:id="654"/>
            <w:bookmarkEnd w:id="655"/>
            <w:bookmarkEnd w:id="656"/>
            <w:bookmarkEnd w:id="657"/>
            <w:bookmarkEnd w:id="658"/>
            <w:bookmarkEnd w:id="659"/>
            <w:bookmarkEnd w:id="660"/>
            <w:bookmarkEnd w:id="661"/>
            <w:bookmarkEnd w:id="662"/>
          </w:p>
        </w:tc>
        <w:tc>
          <w:tcPr>
            <w:tcW w:w="3115" w:type="pct"/>
            <w:gridSpan w:val="6"/>
            <w:tcBorders>
              <w:tl2br w:val="nil"/>
              <w:tr2bl w:val="nil"/>
            </w:tcBorders>
            <w:noWrap w:val="0"/>
            <w:vAlign w:val="center"/>
          </w:tcPr>
          <w:p w14:paraId="2F24CBF6">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r>
              <w:rPr>
                <w:rFonts w:hint="eastAsia" w:ascii="宋体" w:hAnsi="宋体" w:cs="宋体"/>
                <w:color w:val="000000" w:themeColor="text1"/>
                <w:sz w:val="21"/>
                <w:szCs w:val="21"/>
                <w14:textFill>
                  <w14:solidFill>
                    <w14:schemeClr w14:val="tx1"/>
                  </w14:solidFill>
                </w14:textFill>
              </w:rPr>
              <w:t>①</w:t>
            </w:r>
            <w:r>
              <w:rPr>
                <w:color w:val="000000" w:themeColor="text1"/>
                <w:sz w:val="21"/>
                <w:szCs w:val="21"/>
                <w14:textFill>
                  <w14:solidFill>
                    <w14:schemeClr w14:val="tx1"/>
                  </w14:solidFill>
                </w14:textFill>
              </w:rPr>
              <w:t>重金属及特征污染物：砷、镉、铬（六价）、铜、铅、汞、镍、钴、钒、锑、铍、氰化物、二噁英类共计11项；</w:t>
            </w:r>
            <w:r>
              <w:rPr>
                <w:rFonts w:hint="eastAsia" w:ascii="宋体" w:hAnsi="宋体" w:cs="宋体"/>
                <w:color w:val="000000" w:themeColor="text1"/>
                <w:sz w:val="21"/>
                <w:szCs w:val="21"/>
                <w14:textFill>
                  <w14:solidFill>
                    <w14:schemeClr w14:val="tx1"/>
                  </w14:solidFill>
                </w14:textFill>
              </w:rPr>
              <w:t>②</w:t>
            </w:r>
            <w:r>
              <w:rPr>
                <w:color w:val="000000" w:themeColor="text1"/>
                <w:sz w:val="21"/>
                <w:szCs w:val="21"/>
                <w14:textFill>
                  <w14:solidFill>
                    <w14:schemeClr w14:val="tx1"/>
                  </w14:solidFill>
                </w14:textFill>
              </w:rPr>
              <w:t>挥发性有机物：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共计27项；</w:t>
            </w:r>
            <w:r>
              <w:rPr>
                <w:rFonts w:hint="eastAsia" w:ascii="宋体" w:hAnsi="宋体" w:cs="宋体"/>
                <w:color w:val="000000" w:themeColor="text1"/>
                <w:sz w:val="21"/>
                <w:szCs w:val="21"/>
                <w14:textFill>
                  <w14:solidFill>
                    <w14:schemeClr w14:val="tx1"/>
                  </w14:solidFill>
                </w14:textFill>
              </w:rPr>
              <w:t>③</w:t>
            </w:r>
            <w:r>
              <w:rPr>
                <w:color w:val="000000" w:themeColor="text1"/>
                <w:sz w:val="21"/>
                <w:szCs w:val="21"/>
                <w14:textFill>
                  <w14:solidFill>
                    <w14:schemeClr w14:val="tx1"/>
                  </w14:solidFill>
                </w14:textFill>
              </w:rPr>
              <w:t>半挥发性有机物：硝基苯、苯胺、2-氯酚、苯并[a]蒽、苯并[a]芘、苯并[b]荧蒽、苯并[k]荧蒽、䓛、二苯并[a，h]蒽、茚并[1，2，3，-cd]芘、萘，共计11项。检测项目共51项。</w:t>
            </w:r>
          </w:p>
        </w:tc>
        <w:tc>
          <w:tcPr>
            <w:tcW w:w="649" w:type="pct"/>
            <w:tcBorders>
              <w:tl2br w:val="nil"/>
              <w:tr2bl w:val="nil"/>
            </w:tcBorders>
            <w:noWrap w:val="0"/>
            <w:vAlign w:val="center"/>
          </w:tcPr>
          <w:p w14:paraId="28DC41A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257DAF9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restart"/>
            <w:tcBorders>
              <w:tl2br w:val="nil"/>
              <w:tr2bl w:val="nil"/>
            </w:tcBorders>
            <w:noWrap w:val="0"/>
            <w:vAlign w:val="center"/>
          </w:tcPr>
          <w:p w14:paraId="4CA77DF5">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663" w:name="_Toc5721"/>
            <w:bookmarkStart w:id="664" w:name="_Toc31061"/>
            <w:bookmarkStart w:id="665" w:name="_Toc13183"/>
            <w:bookmarkStart w:id="666" w:name="_Toc9103"/>
            <w:bookmarkStart w:id="667" w:name="_Toc6303"/>
            <w:bookmarkStart w:id="668" w:name="_Toc21441"/>
            <w:bookmarkStart w:id="669" w:name="_Toc17785"/>
            <w:bookmarkStart w:id="670" w:name="_Toc3678"/>
            <w:bookmarkStart w:id="671" w:name="_Toc19263"/>
            <w:bookmarkStart w:id="672" w:name="_Toc5800"/>
            <w:bookmarkStart w:id="673" w:name="_Toc13835"/>
            <w:r>
              <w:rPr>
                <w:b w:val="0"/>
                <w:bCs w:val="0"/>
                <w:sz w:val="21"/>
                <w:szCs w:val="21"/>
                <w:u w:val="none"/>
              </w:rPr>
              <w:t>现状评价</w:t>
            </w:r>
            <w:bookmarkEnd w:id="663"/>
            <w:bookmarkEnd w:id="664"/>
            <w:bookmarkEnd w:id="665"/>
            <w:bookmarkEnd w:id="666"/>
            <w:bookmarkEnd w:id="667"/>
            <w:bookmarkEnd w:id="668"/>
            <w:bookmarkEnd w:id="669"/>
            <w:bookmarkEnd w:id="670"/>
            <w:bookmarkEnd w:id="671"/>
            <w:bookmarkEnd w:id="672"/>
            <w:bookmarkEnd w:id="673"/>
          </w:p>
        </w:tc>
        <w:tc>
          <w:tcPr>
            <w:tcW w:w="994" w:type="pct"/>
            <w:tcBorders>
              <w:tl2br w:val="nil"/>
              <w:tr2bl w:val="nil"/>
            </w:tcBorders>
            <w:noWrap w:val="0"/>
            <w:vAlign w:val="center"/>
          </w:tcPr>
          <w:p w14:paraId="1B1B9AF2">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674" w:name="_Toc7190"/>
            <w:bookmarkStart w:id="675" w:name="_Toc30125"/>
            <w:bookmarkStart w:id="676" w:name="_Toc7188"/>
            <w:bookmarkStart w:id="677" w:name="_Toc17888"/>
            <w:bookmarkStart w:id="678" w:name="_Toc23393"/>
            <w:bookmarkStart w:id="679" w:name="_Toc693"/>
            <w:bookmarkStart w:id="680" w:name="_Toc27950"/>
            <w:bookmarkStart w:id="681" w:name="_Toc26339"/>
            <w:bookmarkStart w:id="682" w:name="_Toc13527"/>
            <w:bookmarkStart w:id="683" w:name="_Toc3907"/>
            <w:bookmarkStart w:id="684" w:name="_Toc19720"/>
            <w:r>
              <w:rPr>
                <w:b w:val="0"/>
                <w:bCs w:val="0"/>
                <w:sz w:val="21"/>
                <w:szCs w:val="21"/>
                <w:u w:val="none"/>
              </w:rPr>
              <w:t>评价因子</w:t>
            </w:r>
            <w:bookmarkEnd w:id="674"/>
            <w:bookmarkEnd w:id="675"/>
            <w:bookmarkEnd w:id="676"/>
            <w:bookmarkEnd w:id="677"/>
            <w:bookmarkEnd w:id="678"/>
            <w:bookmarkEnd w:id="679"/>
            <w:bookmarkEnd w:id="680"/>
            <w:bookmarkEnd w:id="681"/>
            <w:bookmarkEnd w:id="682"/>
            <w:bookmarkEnd w:id="683"/>
            <w:bookmarkEnd w:id="684"/>
          </w:p>
        </w:tc>
        <w:tc>
          <w:tcPr>
            <w:tcW w:w="3115" w:type="pct"/>
            <w:gridSpan w:val="6"/>
            <w:tcBorders>
              <w:tl2br w:val="nil"/>
              <w:tr2bl w:val="nil"/>
            </w:tcBorders>
            <w:noWrap w:val="0"/>
            <w:vAlign w:val="center"/>
          </w:tcPr>
          <w:p w14:paraId="72D9005A">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r>
              <w:rPr>
                <w:color w:val="000000" w:themeColor="text1"/>
                <w:sz w:val="21"/>
                <w:szCs w:val="21"/>
                <w14:textFill>
                  <w14:solidFill>
                    <w14:schemeClr w14:val="tx1"/>
                  </w14:solidFill>
                </w14:textFill>
              </w:rPr>
              <w:t>同监测因子</w:t>
            </w:r>
          </w:p>
        </w:tc>
        <w:tc>
          <w:tcPr>
            <w:tcW w:w="649" w:type="pct"/>
            <w:tcBorders>
              <w:tl2br w:val="nil"/>
              <w:tr2bl w:val="nil"/>
            </w:tcBorders>
            <w:noWrap w:val="0"/>
            <w:vAlign w:val="center"/>
          </w:tcPr>
          <w:p w14:paraId="6EB8BE1D">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33567BC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00FA486D">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48F4CCA7">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685" w:name="_Toc16127"/>
            <w:bookmarkStart w:id="686" w:name="_Toc15045"/>
            <w:bookmarkStart w:id="687" w:name="_Toc18151"/>
            <w:bookmarkStart w:id="688" w:name="_Toc31690"/>
            <w:bookmarkStart w:id="689" w:name="_Toc17442"/>
            <w:bookmarkStart w:id="690" w:name="_Toc32492"/>
            <w:bookmarkStart w:id="691" w:name="_Toc8987"/>
            <w:bookmarkStart w:id="692" w:name="_Toc18058"/>
            <w:bookmarkStart w:id="693" w:name="_Toc4063"/>
            <w:bookmarkStart w:id="694" w:name="_Toc15174"/>
            <w:bookmarkStart w:id="695" w:name="_Toc19027"/>
            <w:r>
              <w:rPr>
                <w:b w:val="0"/>
                <w:bCs w:val="0"/>
                <w:sz w:val="21"/>
                <w:szCs w:val="21"/>
                <w:u w:val="none"/>
              </w:rPr>
              <w:t>评价标准</w:t>
            </w:r>
            <w:bookmarkEnd w:id="685"/>
            <w:bookmarkEnd w:id="686"/>
            <w:bookmarkEnd w:id="687"/>
            <w:bookmarkEnd w:id="688"/>
            <w:bookmarkEnd w:id="689"/>
            <w:bookmarkEnd w:id="690"/>
            <w:bookmarkEnd w:id="691"/>
            <w:bookmarkEnd w:id="692"/>
            <w:bookmarkEnd w:id="693"/>
            <w:bookmarkEnd w:id="694"/>
            <w:bookmarkEnd w:id="695"/>
          </w:p>
        </w:tc>
        <w:tc>
          <w:tcPr>
            <w:tcW w:w="3115" w:type="pct"/>
            <w:gridSpan w:val="6"/>
            <w:tcBorders>
              <w:tl2br w:val="nil"/>
              <w:tr2bl w:val="nil"/>
            </w:tcBorders>
            <w:noWrap w:val="0"/>
            <w:vAlign w:val="center"/>
          </w:tcPr>
          <w:p w14:paraId="41F2A279">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bookmarkStart w:id="696" w:name="_Toc23903"/>
            <w:bookmarkStart w:id="697" w:name="_Toc7362"/>
            <w:bookmarkStart w:id="698" w:name="_Toc1346"/>
            <w:bookmarkStart w:id="699" w:name="_Toc12454"/>
            <w:bookmarkStart w:id="700" w:name="_Toc7667"/>
            <w:bookmarkStart w:id="701" w:name="_Toc26676"/>
            <w:bookmarkStart w:id="702" w:name="_Toc5593"/>
            <w:bookmarkStart w:id="703" w:name="_Toc8362"/>
            <w:bookmarkStart w:id="704" w:name="_Toc12589"/>
            <w:bookmarkStart w:id="705" w:name="_Toc1878"/>
            <w:bookmarkStart w:id="706" w:name="_Toc25184"/>
            <w:r>
              <w:rPr>
                <w:b w:val="0"/>
                <w:bCs w:val="0"/>
                <w:sz w:val="21"/>
                <w:szCs w:val="21"/>
                <w:u w:val="none"/>
              </w:rPr>
              <w:t>GB 15618</w:t>
            </w:r>
            <w:r>
              <w:rPr>
                <w:rFonts w:hint="eastAsia"/>
                <w:b w:val="0"/>
                <w:bCs w:val="0"/>
                <w:sz w:val="21"/>
                <w:szCs w:val="21"/>
                <w:u w:val="none"/>
              </w:rPr>
              <w:t>□</w:t>
            </w:r>
            <w:r>
              <w:rPr>
                <w:b w:val="0"/>
                <w:bCs w:val="0"/>
                <w:sz w:val="21"/>
                <w:szCs w:val="21"/>
                <w:u w:val="none"/>
              </w:rPr>
              <w:t>；GB 36600</w:t>
            </w:r>
            <w:r>
              <w:rPr>
                <w:b w:val="0"/>
                <w:bCs w:val="0"/>
                <w:sz w:val="21"/>
                <w:szCs w:val="21"/>
                <w:u w:val="none"/>
              </w:rPr>
              <w:sym w:font="Wingdings 2" w:char="0052"/>
            </w:r>
            <w:r>
              <w:rPr>
                <w:b w:val="0"/>
                <w:bCs w:val="0"/>
                <w:sz w:val="21"/>
                <w:szCs w:val="21"/>
                <w:u w:val="none"/>
              </w:rPr>
              <w:t>；表D.1□；表D.2□；其他（  ）</w:t>
            </w:r>
            <w:bookmarkEnd w:id="696"/>
            <w:bookmarkEnd w:id="697"/>
            <w:bookmarkEnd w:id="698"/>
            <w:bookmarkEnd w:id="699"/>
            <w:bookmarkEnd w:id="700"/>
            <w:bookmarkEnd w:id="701"/>
            <w:bookmarkEnd w:id="702"/>
            <w:bookmarkEnd w:id="703"/>
            <w:bookmarkEnd w:id="704"/>
            <w:bookmarkEnd w:id="705"/>
            <w:bookmarkEnd w:id="706"/>
          </w:p>
        </w:tc>
        <w:tc>
          <w:tcPr>
            <w:tcW w:w="649" w:type="pct"/>
            <w:tcBorders>
              <w:tl2br w:val="nil"/>
              <w:tr2bl w:val="nil"/>
            </w:tcBorders>
            <w:noWrap w:val="0"/>
            <w:vAlign w:val="center"/>
          </w:tcPr>
          <w:p w14:paraId="616A71B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2399FA5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7055BB05">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238D405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707" w:name="_Toc22532"/>
            <w:bookmarkStart w:id="708" w:name="_Toc16110"/>
            <w:bookmarkStart w:id="709" w:name="_Toc5796"/>
            <w:bookmarkStart w:id="710" w:name="_Toc27493"/>
            <w:bookmarkStart w:id="711" w:name="_Toc28601"/>
            <w:bookmarkStart w:id="712" w:name="_Toc30407"/>
            <w:bookmarkStart w:id="713" w:name="_Toc18534"/>
            <w:bookmarkStart w:id="714" w:name="_Toc25031"/>
            <w:bookmarkStart w:id="715" w:name="_Toc19020"/>
            <w:bookmarkStart w:id="716" w:name="_Toc5641"/>
            <w:bookmarkStart w:id="717" w:name="_Toc4050"/>
            <w:r>
              <w:rPr>
                <w:b w:val="0"/>
                <w:bCs w:val="0"/>
                <w:sz w:val="21"/>
                <w:szCs w:val="21"/>
                <w:u w:val="none"/>
              </w:rPr>
              <w:t>现状评价结论</w:t>
            </w:r>
            <w:bookmarkEnd w:id="707"/>
            <w:bookmarkEnd w:id="708"/>
            <w:bookmarkEnd w:id="709"/>
            <w:bookmarkEnd w:id="710"/>
            <w:bookmarkEnd w:id="711"/>
            <w:bookmarkEnd w:id="712"/>
            <w:bookmarkEnd w:id="713"/>
            <w:bookmarkEnd w:id="714"/>
            <w:bookmarkEnd w:id="715"/>
            <w:bookmarkEnd w:id="716"/>
            <w:bookmarkEnd w:id="717"/>
          </w:p>
        </w:tc>
        <w:tc>
          <w:tcPr>
            <w:tcW w:w="3115" w:type="pct"/>
            <w:gridSpan w:val="6"/>
            <w:tcBorders>
              <w:tl2br w:val="nil"/>
              <w:tr2bl w:val="nil"/>
            </w:tcBorders>
            <w:noWrap w:val="0"/>
            <w:vAlign w:val="center"/>
          </w:tcPr>
          <w:p w14:paraId="16BE56F3">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bookmarkStart w:id="718" w:name="_Toc23159"/>
            <w:bookmarkStart w:id="719" w:name="_Toc1663"/>
            <w:bookmarkStart w:id="720" w:name="_Toc21248"/>
            <w:bookmarkStart w:id="721" w:name="_Toc7330"/>
            <w:bookmarkStart w:id="722" w:name="_Toc24589"/>
            <w:bookmarkStart w:id="723" w:name="_Toc3421"/>
            <w:bookmarkStart w:id="724" w:name="_Toc6972"/>
            <w:bookmarkStart w:id="725" w:name="_Toc21259"/>
            <w:bookmarkStart w:id="726" w:name="_Toc16208"/>
            <w:bookmarkStart w:id="727" w:name="_Toc26660"/>
            <w:bookmarkStart w:id="728" w:name="_Toc4012"/>
            <w:r>
              <w:rPr>
                <w:b w:val="0"/>
                <w:bCs w:val="0"/>
                <w:sz w:val="21"/>
                <w:szCs w:val="21"/>
                <w:u w:val="none"/>
              </w:rPr>
              <w:t>各土壤监测点位监测因子均能够满足《土壤环境质量 建设用地土壤污染风险管控标准（试行）》（GB36600-2018）表1第二类用地筛选值标准要求</w:t>
            </w:r>
            <w:bookmarkEnd w:id="718"/>
            <w:bookmarkEnd w:id="719"/>
            <w:bookmarkEnd w:id="720"/>
            <w:bookmarkEnd w:id="721"/>
            <w:bookmarkEnd w:id="722"/>
            <w:bookmarkEnd w:id="723"/>
            <w:bookmarkEnd w:id="724"/>
            <w:bookmarkEnd w:id="725"/>
            <w:bookmarkEnd w:id="726"/>
            <w:bookmarkEnd w:id="727"/>
            <w:bookmarkEnd w:id="728"/>
          </w:p>
        </w:tc>
        <w:tc>
          <w:tcPr>
            <w:tcW w:w="649" w:type="pct"/>
            <w:tcBorders>
              <w:tl2br w:val="nil"/>
              <w:tr2bl w:val="nil"/>
            </w:tcBorders>
            <w:noWrap w:val="0"/>
            <w:vAlign w:val="center"/>
          </w:tcPr>
          <w:p w14:paraId="763A6E1D">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69C7F8E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restart"/>
            <w:tcBorders>
              <w:tl2br w:val="nil"/>
              <w:tr2bl w:val="nil"/>
            </w:tcBorders>
            <w:noWrap w:val="0"/>
            <w:vAlign w:val="center"/>
          </w:tcPr>
          <w:p w14:paraId="27BBA38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729" w:name="_Toc22056"/>
            <w:bookmarkStart w:id="730" w:name="_Toc7756"/>
            <w:bookmarkStart w:id="731" w:name="_Toc29970"/>
            <w:bookmarkStart w:id="732" w:name="_Toc13857"/>
            <w:bookmarkStart w:id="733" w:name="_Toc8235"/>
            <w:bookmarkStart w:id="734" w:name="_Toc30925"/>
            <w:bookmarkStart w:id="735" w:name="_Toc10865"/>
            <w:bookmarkStart w:id="736" w:name="_Toc22541"/>
            <w:bookmarkStart w:id="737" w:name="_Toc3095"/>
            <w:bookmarkStart w:id="738" w:name="_Toc19348"/>
            <w:bookmarkStart w:id="739" w:name="_Toc3644"/>
            <w:r>
              <w:rPr>
                <w:b w:val="0"/>
                <w:bCs w:val="0"/>
                <w:sz w:val="21"/>
                <w:szCs w:val="21"/>
                <w:u w:val="none"/>
              </w:rPr>
              <w:t>影响预测</w:t>
            </w:r>
            <w:bookmarkEnd w:id="729"/>
            <w:bookmarkEnd w:id="730"/>
            <w:bookmarkEnd w:id="731"/>
            <w:bookmarkEnd w:id="732"/>
            <w:bookmarkEnd w:id="733"/>
            <w:bookmarkEnd w:id="734"/>
            <w:bookmarkEnd w:id="735"/>
            <w:bookmarkEnd w:id="736"/>
            <w:bookmarkEnd w:id="737"/>
            <w:bookmarkEnd w:id="738"/>
            <w:bookmarkEnd w:id="739"/>
          </w:p>
        </w:tc>
        <w:tc>
          <w:tcPr>
            <w:tcW w:w="994" w:type="pct"/>
            <w:tcBorders>
              <w:tl2br w:val="nil"/>
              <w:tr2bl w:val="nil"/>
            </w:tcBorders>
            <w:noWrap w:val="0"/>
            <w:vAlign w:val="center"/>
          </w:tcPr>
          <w:p w14:paraId="7D7903FB">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740" w:name="_Toc22960"/>
            <w:bookmarkStart w:id="741" w:name="_Toc30341"/>
            <w:bookmarkStart w:id="742" w:name="_Toc4899"/>
            <w:bookmarkStart w:id="743" w:name="_Toc6304"/>
            <w:bookmarkStart w:id="744" w:name="_Toc12921"/>
            <w:bookmarkStart w:id="745" w:name="_Toc21781"/>
            <w:bookmarkStart w:id="746" w:name="_Toc23532"/>
            <w:bookmarkStart w:id="747" w:name="_Toc27624"/>
            <w:bookmarkStart w:id="748" w:name="_Toc7907"/>
            <w:bookmarkStart w:id="749" w:name="_Toc14039"/>
            <w:bookmarkStart w:id="750" w:name="_Toc26120"/>
            <w:r>
              <w:rPr>
                <w:b w:val="0"/>
                <w:bCs w:val="0"/>
                <w:sz w:val="21"/>
                <w:szCs w:val="21"/>
                <w:u w:val="none"/>
              </w:rPr>
              <w:t>预测因子</w:t>
            </w:r>
            <w:bookmarkEnd w:id="740"/>
            <w:bookmarkEnd w:id="741"/>
            <w:bookmarkEnd w:id="742"/>
            <w:bookmarkEnd w:id="743"/>
            <w:bookmarkEnd w:id="744"/>
            <w:bookmarkEnd w:id="745"/>
            <w:bookmarkEnd w:id="746"/>
            <w:bookmarkEnd w:id="747"/>
            <w:bookmarkEnd w:id="748"/>
            <w:bookmarkEnd w:id="749"/>
            <w:bookmarkEnd w:id="750"/>
          </w:p>
        </w:tc>
        <w:tc>
          <w:tcPr>
            <w:tcW w:w="3115" w:type="pct"/>
            <w:gridSpan w:val="6"/>
            <w:tcBorders>
              <w:tl2br w:val="nil"/>
              <w:tr2bl w:val="nil"/>
            </w:tcBorders>
            <w:noWrap w:val="0"/>
            <w:vAlign w:val="center"/>
          </w:tcPr>
          <w:p w14:paraId="588C9247">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default" w:eastAsia="宋体"/>
                <w:b w:val="0"/>
                <w:bCs w:val="0"/>
                <w:sz w:val="21"/>
                <w:szCs w:val="21"/>
                <w:u w:val="none"/>
                <w:lang w:val="en-US" w:eastAsia="zh-CN"/>
              </w:rPr>
            </w:pPr>
            <w:r>
              <w:rPr>
                <w:rFonts w:hint="eastAsia"/>
                <w:b w:val="0"/>
                <w:bCs w:val="0"/>
                <w:sz w:val="21"/>
                <w:szCs w:val="21"/>
                <w:u w:val="none"/>
                <w:lang w:val="en-US" w:eastAsia="zh-CN"/>
              </w:rPr>
              <w:t>pH</w:t>
            </w:r>
          </w:p>
        </w:tc>
        <w:tc>
          <w:tcPr>
            <w:tcW w:w="649" w:type="pct"/>
            <w:tcBorders>
              <w:tl2br w:val="nil"/>
              <w:tr2bl w:val="nil"/>
            </w:tcBorders>
            <w:noWrap w:val="0"/>
            <w:vAlign w:val="center"/>
          </w:tcPr>
          <w:p w14:paraId="53ADD287">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59707AD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70C6E90D">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615146E2">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751" w:name="_Toc1915"/>
            <w:bookmarkStart w:id="752" w:name="_Toc1045"/>
            <w:bookmarkStart w:id="753" w:name="_Toc13097"/>
            <w:bookmarkStart w:id="754" w:name="_Toc5213"/>
            <w:bookmarkStart w:id="755" w:name="_Toc13925"/>
            <w:bookmarkStart w:id="756" w:name="_Toc10426"/>
            <w:bookmarkStart w:id="757" w:name="_Toc17228"/>
            <w:bookmarkStart w:id="758" w:name="_Toc25842"/>
            <w:bookmarkStart w:id="759" w:name="_Toc23043"/>
            <w:bookmarkStart w:id="760" w:name="_Toc9231"/>
            <w:bookmarkStart w:id="761" w:name="_Toc5490"/>
            <w:r>
              <w:rPr>
                <w:b w:val="0"/>
                <w:bCs w:val="0"/>
                <w:sz w:val="21"/>
                <w:szCs w:val="21"/>
                <w:u w:val="none"/>
              </w:rPr>
              <w:t>预测方法</w:t>
            </w:r>
            <w:bookmarkEnd w:id="751"/>
            <w:bookmarkEnd w:id="752"/>
            <w:bookmarkEnd w:id="753"/>
            <w:bookmarkEnd w:id="754"/>
            <w:bookmarkEnd w:id="755"/>
            <w:bookmarkEnd w:id="756"/>
            <w:bookmarkEnd w:id="757"/>
            <w:bookmarkEnd w:id="758"/>
            <w:bookmarkEnd w:id="759"/>
            <w:bookmarkEnd w:id="760"/>
            <w:bookmarkEnd w:id="761"/>
          </w:p>
        </w:tc>
        <w:tc>
          <w:tcPr>
            <w:tcW w:w="3115" w:type="pct"/>
            <w:gridSpan w:val="6"/>
            <w:tcBorders>
              <w:tl2br w:val="nil"/>
              <w:tr2bl w:val="nil"/>
            </w:tcBorders>
            <w:noWrap w:val="0"/>
            <w:vAlign w:val="center"/>
          </w:tcPr>
          <w:p w14:paraId="738CFD8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762" w:name="_Toc30693"/>
            <w:bookmarkStart w:id="763" w:name="_Toc10625"/>
            <w:bookmarkStart w:id="764" w:name="_Toc6480"/>
            <w:bookmarkStart w:id="765" w:name="_Toc31277"/>
            <w:bookmarkStart w:id="766" w:name="_Toc16447"/>
            <w:bookmarkStart w:id="767" w:name="_Toc14264"/>
            <w:bookmarkStart w:id="768" w:name="_Toc27489"/>
            <w:bookmarkStart w:id="769" w:name="_Toc28530"/>
            <w:bookmarkStart w:id="770" w:name="_Toc16350"/>
            <w:bookmarkStart w:id="771" w:name="_Toc1002"/>
            <w:bookmarkStart w:id="772" w:name="_Toc266"/>
            <w:r>
              <w:rPr>
                <w:b w:val="0"/>
                <w:bCs w:val="0"/>
                <w:sz w:val="21"/>
                <w:szCs w:val="21"/>
                <w:u w:val="none"/>
              </w:rPr>
              <w:t>附录 E</w:t>
            </w:r>
            <w:r>
              <w:rPr>
                <w:b w:val="0"/>
                <w:bCs w:val="0"/>
                <w:sz w:val="21"/>
                <w:szCs w:val="21"/>
                <w:u w:val="none"/>
              </w:rPr>
              <w:sym w:font="Wingdings 2" w:char="0052"/>
            </w:r>
            <w:r>
              <w:rPr>
                <w:b w:val="0"/>
                <w:bCs w:val="0"/>
                <w:sz w:val="21"/>
                <w:szCs w:val="21"/>
                <w:u w:val="none"/>
              </w:rPr>
              <w:t>；附录 F□；其他（  ）</w:t>
            </w:r>
            <w:bookmarkEnd w:id="762"/>
            <w:bookmarkEnd w:id="763"/>
            <w:bookmarkEnd w:id="764"/>
            <w:bookmarkEnd w:id="765"/>
            <w:bookmarkEnd w:id="766"/>
            <w:bookmarkEnd w:id="767"/>
            <w:bookmarkEnd w:id="768"/>
            <w:bookmarkEnd w:id="769"/>
            <w:bookmarkEnd w:id="770"/>
            <w:bookmarkEnd w:id="771"/>
            <w:bookmarkEnd w:id="772"/>
          </w:p>
        </w:tc>
        <w:tc>
          <w:tcPr>
            <w:tcW w:w="649" w:type="pct"/>
            <w:tcBorders>
              <w:tl2br w:val="nil"/>
              <w:tr2bl w:val="nil"/>
            </w:tcBorders>
            <w:noWrap w:val="0"/>
            <w:vAlign w:val="center"/>
          </w:tcPr>
          <w:p w14:paraId="7AC0CA89">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06A61ED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240" w:type="pct"/>
            <w:vMerge w:val="continue"/>
            <w:tcBorders>
              <w:tl2br w:val="nil"/>
              <w:tr2bl w:val="nil"/>
            </w:tcBorders>
            <w:noWrap w:val="0"/>
            <w:vAlign w:val="center"/>
          </w:tcPr>
          <w:p w14:paraId="3B634CFA">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7B482420">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773" w:name="_Toc25818"/>
            <w:bookmarkStart w:id="774" w:name="_Toc6679"/>
            <w:bookmarkStart w:id="775" w:name="_Toc12214"/>
            <w:bookmarkStart w:id="776" w:name="_Toc3544"/>
            <w:bookmarkStart w:id="777" w:name="_Toc8388"/>
            <w:bookmarkStart w:id="778" w:name="_Toc3216"/>
            <w:bookmarkStart w:id="779" w:name="_Toc12725"/>
            <w:bookmarkStart w:id="780" w:name="_Toc4831"/>
            <w:bookmarkStart w:id="781" w:name="_Toc30788"/>
            <w:bookmarkStart w:id="782" w:name="_Toc2413"/>
            <w:bookmarkStart w:id="783" w:name="_Toc27596"/>
            <w:r>
              <w:rPr>
                <w:b w:val="0"/>
                <w:bCs w:val="0"/>
                <w:sz w:val="21"/>
                <w:szCs w:val="21"/>
                <w:u w:val="none"/>
              </w:rPr>
              <w:t>预测分析内容</w:t>
            </w:r>
            <w:bookmarkEnd w:id="773"/>
            <w:bookmarkEnd w:id="774"/>
            <w:bookmarkEnd w:id="775"/>
            <w:bookmarkEnd w:id="776"/>
            <w:bookmarkEnd w:id="777"/>
            <w:bookmarkEnd w:id="778"/>
            <w:bookmarkEnd w:id="779"/>
            <w:bookmarkEnd w:id="780"/>
            <w:bookmarkEnd w:id="781"/>
            <w:bookmarkEnd w:id="782"/>
            <w:bookmarkEnd w:id="783"/>
          </w:p>
        </w:tc>
        <w:tc>
          <w:tcPr>
            <w:tcW w:w="3115" w:type="pct"/>
            <w:gridSpan w:val="6"/>
            <w:tcBorders>
              <w:tl2br w:val="nil"/>
              <w:tr2bl w:val="nil"/>
            </w:tcBorders>
            <w:noWrap w:val="0"/>
            <w:vAlign w:val="center"/>
          </w:tcPr>
          <w:p w14:paraId="3E82FB93">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784" w:name="_Toc9601"/>
            <w:bookmarkStart w:id="785" w:name="_Toc14455"/>
            <w:bookmarkStart w:id="786" w:name="_Toc14184"/>
            <w:bookmarkStart w:id="787" w:name="_Toc19859"/>
            <w:bookmarkStart w:id="788" w:name="_Toc5507"/>
            <w:bookmarkStart w:id="789" w:name="_Toc26036"/>
            <w:bookmarkStart w:id="790" w:name="_Toc27281"/>
            <w:bookmarkStart w:id="791" w:name="_Toc7603"/>
            <w:bookmarkStart w:id="792" w:name="_Toc18886"/>
            <w:bookmarkStart w:id="793" w:name="_Toc31546"/>
            <w:bookmarkStart w:id="794" w:name="_Toc5233"/>
            <w:r>
              <w:rPr>
                <w:b w:val="0"/>
                <w:bCs w:val="0"/>
                <w:sz w:val="21"/>
                <w:szCs w:val="21"/>
                <w:u w:val="none"/>
              </w:rPr>
              <w:t>影响范围（</w:t>
            </w:r>
            <w:r>
              <w:rPr>
                <w:rFonts w:hint="eastAsia"/>
                <w:b w:val="0"/>
                <w:bCs w:val="0"/>
                <w:sz w:val="21"/>
                <w:szCs w:val="21"/>
                <w:u w:val="none"/>
                <w:lang w:val="en-US" w:eastAsia="zh-CN"/>
              </w:rPr>
              <w:t>小</w:t>
            </w:r>
            <w:r>
              <w:rPr>
                <w:b w:val="0"/>
                <w:bCs w:val="0"/>
                <w:sz w:val="21"/>
                <w:szCs w:val="21"/>
                <w:u w:val="none"/>
              </w:rPr>
              <w:t>）</w:t>
            </w:r>
            <w:bookmarkEnd w:id="784"/>
            <w:bookmarkEnd w:id="785"/>
            <w:bookmarkEnd w:id="786"/>
            <w:bookmarkEnd w:id="787"/>
            <w:bookmarkEnd w:id="788"/>
            <w:bookmarkEnd w:id="789"/>
            <w:bookmarkEnd w:id="790"/>
            <w:bookmarkEnd w:id="791"/>
            <w:bookmarkEnd w:id="792"/>
            <w:bookmarkEnd w:id="793"/>
            <w:bookmarkEnd w:id="794"/>
          </w:p>
          <w:p w14:paraId="25066B0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795" w:name="_Toc15204"/>
            <w:bookmarkStart w:id="796" w:name="_Toc2968"/>
            <w:bookmarkStart w:id="797" w:name="_Toc11011"/>
            <w:bookmarkStart w:id="798" w:name="_Toc18202"/>
            <w:bookmarkStart w:id="799" w:name="_Toc24306"/>
            <w:bookmarkStart w:id="800" w:name="_Toc24833"/>
            <w:bookmarkStart w:id="801" w:name="_Toc886"/>
            <w:bookmarkStart w:id="802" w:name="_Toc27126"/>
            <w:bookmarkStart w:id="803" w:name="_Toc26706"/>
            <w:bookmarkStart w:id="804" w:name="_Toc29731"/>
            <w:bookmarkStart w:id="805" w:name="_Toc15607"/>
            <w:r>
              <w:rPr>
                <w:b w:val="0"/>
                <w:bCs w:val="0"/>
                <w:sz w:val="21"/>
                <w:szCs w:val="21"/>
                <w:u w:val="none"/>
              </w:rPr>
              <w:t>影响程度（</w:t>
            </w:r>
            <w:r>
              <w:rPr>
                <w:rFonts w:hint="eastAsia"/>
                <w:b w:val="0"/>
                <w:bCs w:val="0"/>
                <w:sz w:val="21"/>
                <w:szCs w:val="21"/>
                <w:u w:val="none"/>
              </w:rPr>
              <w:t>小</w:t>
            </w:r>
            <w:r>
              <w:rPr>
                <w:b w:val="0"/>
                <w:bCs w:val="0"/>
                <w:sz w:val="21"/>
                <w:szCs w:val="21"/>
                <w:u w:val="none"/>
              </w:rPr>
              <w:t>）</w:t>
            </w:r>
            <w:bookmarkEnd w:id="795"/>
            <w:bookmarkEnd w:id="796"/>
            <w:bookmarkEnd w:id="797"/>
            <w:bookmarkEnd w:id="798"/>
            <w:bookmarkEnd w:id="799"/>
            <w:bookmarkEnd w:id="800"/>
            <w:bookmarkEnd w:id="801"/>
            <w:bookmarkEnd w:id="802"/>
            <w:bookmarkEnd w:id="803"/>
            <w:bookmarkEnd w:id="804"/>
            <w:bookmarkEnd w:id="805"/>
          </w:p>
        </w:tc>
        <w:tc>
          <w:tcPr>
            <w:tcW w:w="649" w:type="pct"/>
            <w:tcBorders>
              <w:tl2br w:val="nil"/>
              <w:tr2bl w:val="nil"/>
            </w:tcBorders>
            <w:noWrap w:val="0"/>
            <w:vAlign w:val="center"/>
          </w:tcPr>
          <w:p w14:paraId="109EF499">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0F66603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55B6BE0D">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74F8324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806" w:name="_Toc20515"/>
            <w:bookmarkStart w:id="807" w:name="_Toc16609"/>
            <w:bookmarkStart w:id="808" w:name="_Toc15164"/>
            <w:bookmarkStart w:id="809" w:name="_Toc31388"/>
            <w:bookmarkStart w:id="810" w:name="_Toc32749"/>
            <w:bookmarkStart w:id="811" w:name="_Toc4626"/>
            <w:bookmarkStart w:id="812" w:name="_Toc21629"/>
            <w:bookmarkStart w:id="813" w:name="_Toc5673"/>
            <w:bookmarkStart w:id="814" w:name="_Toc11583"/>
            <w:bookmarkStart w:id="815" w:name="_Toc7154"/>
            <w:bookmarkStart w:id="816" w:name="_Toc247"/>
            <w:r>
              <w:rPr>
                <w:b w:val="0"/>
                <w:bCs w:val="0"/>
                <w:sz w:val="21"/>
                <w:szCs w:val="21"/>
                <w:u w:val="none"/>
              </w:rPr>
              <w:t>预测结论</w:t>
            </w:r>
            <w:bookmarkEnd w:id="806"/>
            <w:bookmarkEnd w:id="807"/>
            <w:bookmarkEnd w:id="808"/>
            <w:bookmarkEnd w:id="809"/>
            <w:bookmarkEnd w:id="810"/>
            <w:bookmarkEnd w:id="811"/>
            <w:bookmarkEnd w:id="812"/>
            <w:bookmarkEnd w:id="813"/>
            <w:bookmarkEnd w:id="814"/>
            <w:bookmarkEnd w:id="815"/>
            <w:bookmarkEnd w:id="816"/>
          </w:p>
        </w:tc>
        <w:tc>
          <w:tcPr>
            <w:tcW w:w="3115" w:type="pct"/>
            <w:gridSpan w:val="6"/>
            <w:tcBorders>
              <w:tl2br w:val="nil"/>
              <w:tr2bl w:val="nil"/>
            </w:tcBorders>
            <w:noWrap w:val="0"/>
            <w:vAlign w:val="center"/>
          </w:tcPr>
          <w:p w14:paraId="2989E9B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817" w:name="_Toc4103"/>
            <w:bookmarkStart w:id="818" w:name="_Toc19031"/>
            <w:bookmarkStart w:id="819" w:name="_Toc12980"/>
            <w:bookmarkStart w:id="820" w:name="_Toc3110"/>
            <w:bookmarkStart w:id="821" w:name="_Toc17092"/>
            <w:bookmarkStart w:id="822" w:name="_Toc13831"/>
            <w:bookmarkStart w:id="823" w:name="_Toc22764"/>
            <w:bookmarkStart w:id="824" w:name="_Toc7143"/>
            <w:bookmarkStart w:id="825" w:name="_Toc16162"/>
            <w:bookmarkStart w:id="826" w:name="_Toc29476"/>
            <w:bookmarkStart w:id="827" w:name="_Toc5928"/>
            <w:r>
              <w:rPr>
                <w:b w:val="0"/>
                <w:bCs w:val="0"/>
                <w:sz w:val="21"/>
                <w:szCs w:val="21"/>
                <w:u w:val="none"/>
              </w:rPr>
              <w:t>达标结论：a）</w:t>
            </w:r>
            <w:r>
              <w:rPr>
                <w:b w:val="0"/>
                <w:bCs w:val="0"/>
                <w:sz w:val="21"/>
                <w:szCs w:val="21"/>
                <w:u w:val="none"/>
              </w:rPr>
              <w:sym w:font="Wingdings 2" w:char="0052"/>
            </w:r>
            <w:r>
              <w:rPr>
                <w:b w:val="0"/>
                <w:bCs w:val="0"/>
                <w:sz w:val="21"/>
                <w:szCs w:val="21"/>
                <w:u w:val="none"/>
              </w:rPr>
              <w:t>；b）□；c）□</w:t>
            </w:r>
            <w:bookmarkEnd w:id="817"/>
            <w:bookmarkEnd w:id="818"/>
            <w:bookmarkEnd w:id="819"/>
            <w:bookmarkEnd w:id="820"/>
            <w:bookmarkEnd w:id="821"/>
            <w:bookmarkEnd w:id="822"/>
            <w:bookmarkEnd w:id="823"/>
            <w:bookmarkEnd w:id="824"/>
            <w:bookmarkEnd w:id="825"/>
            <w:bookmarkEnd w:id="826"/>
            <w:bookmarkEnd w:id="827"/>
          </w:p>
          <w:p w14:paraId="04872277">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1050" w:firstLineChars="500"/>
              <w:jc w:val="both"/>
              <w:textAlignment w:val="auto"/>
              <w:outlineLvl w:val="9"/>
              <w:rPr>
                <w:b w:val="0"/>
                <w:bCs w:val="0"/>
                <w:sz w:val="21"/>
                <w:szCs w:val="21"/>
                <w:u w:val="none"/>
              </w:rPr>
            </w:pPr>
            <w:bookmarkStart w:id="828" w:name="_Toc11670"/>
            <w:bookmarkStart w:id="829" w:name="_Toc32754"/>
            <w:bookmarkStart w:id="830" w:name="_Toc9809"/>
            <w:bookmarkStart w:id="831" w:name="_Toc25750"/>
            <w:bookmarkStart w:id="832" w:name="_Toc21175"/>
            <w:bookmarkStart w:id="833" w:name="_Toc5958"/>
            <w:bookmarkStart w:id="834" w:name="_Toc7466"/>
            <w:bookmarkStart w:id="835" w:name="_Toc8680"/>
            <w:bookmarkStart w:id="836" w:name="_Toc12910"/>
            <w:bookmarkStart w:id="837" w:name="_Toc30783"/>
            <w:bookmarkStart w:id="838" w:name="_Toc22746"/>
            <w:r>
              <w:rPr>
                <w:b w:val="0"/>
                <w:bCs w:val="0"/>
                <w:sz w:val="21"/>
                <w:szCs w:val="21"/>
                <w:u w:val="none"/>
              </w:rPr>
              <w:t>不达标结论：a）□；b）□</w:t>
            </w:r>
            <w:bookmarkEnd w:id="828"/>
            <w:bookmarkEnd w:id="829"/>
            <w:bookmarkEnd w:id="830"/>
            <w:bookmarkEnd w:id="831"/>
            <w:bookmarkEnd w:id="832"/>
            <w:bookmarkEnd w:id="833"/>
            <w:bookmarkEnd w:id="834"/>
            <w:bookmarkEnd w:id="835"/>
            <w:bookmarkEnd w:id="836"/>
            <w:bookmarkEnd w:id="837"/>
            <w:bookmarkEnd w:id="838"/>
          </w:p>
        </w:tc>
        <w:tc>
          <w:tcPr>
            <w:tcW w:w="649" w:type="pct"/>
            <w:tcBorders>
              <w:tl2br w:val="nil"/>
              <w:tr2bl w:val="nil"/>
            </w:tcBorders>
            <w:noWrap w:val="0"/>
            <w:vAlign w:val="center"/>
          </w:tcPr>
          <w:p w14:paraId="69AA33C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6FBE7D3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restart"/>
            <w:tcBorders>
              <w:tl2br w:val="nil"/>
              <w:tr2bl w:val="nil"/>
            </w:tcBorders>
            <w:noWrap w:val="0"/>
            <w:vAlign w:val="center"/>
          </w:tcPr>
          <w:p w14:paraId="76FA26E6">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839" w:name="_Toc25015"/>
            <w:bookmarkStart w:id="840" w:name="_Toc14008"/>
            <w:bookmarkStart w:id="841" w:name="_Toc24190"/>
            <w:bookmarkStart w:id="842" w:name="_Toc2731"/>
            <w:bookmarkStart w:id="843" w:name="_Toc625"/>
            <w:bookmarkStart w:id="844" w:name="_Toc16564"/>
            <w:bookmarkStart w:id="845" w:name="_Toc4048"/>
            <w:bookmarkStart w:id="846" w:name="_Toc21744"/>
            <w:bookmarkStart w:id="847" w:name="_Toc28862"/>
            <w:bookmarkStart w:id="848" w:name="_Toc17027"/>
            <w:bookmarkStart w:id="849" w:name="_Toc4972"/>
            <w:r>
              <w:rPr>
                <w:b w:val="0"/>
                <w:bCs w:val="0"/>
                <w:sz w:val="21"/>
                <w:szCs w:val="21"/>
                <w:u w:val="none"/>
              </w:rPr>
              <w:t>防治措施</w:t>
            </w:r>
            <w:bookmarkEnd w:id="839"/>
            <w:bookmarkEnd w:id="840"/>
            <w:bookmarkEnd w:id="841"/>
            <w:bookmarkEnd w:id="842"/>
            <w:bookmarkEnd w:id="843"/>
            <w:bookmarkEnd w:id="844"/>
            <w:bookmarkEnd w:id="845"/>
            <w:bookmarkEnd w:id="846"/>
            <w:bookmarkEnd w:id="847"/>
            <w:bookmarkEnd w:id="848"/>
            <w:bookmarkEnd w:id="849"/>
          </w:p>
        </w:tc>
        <w:tc>
          <w:tcPr>
            <w:tcW w:w="994" w:type="pct"/>
            <w:tcBorders>
              <w:tl2br w:val="nil"/>
              <w:tr2bl w:val="nil"/>
            </w:tcBorders>
            <w:noWrap w:val="0"/>
            <w:vAlign w:val="center"/>
          </w:tcPr>
          <w:p w14:paraId="068B6C4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850" w:name="_Toc18392"/>
            <w:bookmarkStart w:id="851" w:name="_Toc794"/>
            <w:bookmarkStart w:id="852" w:name="_Toc12539"/>
            <w:bookmarkStart w:id="853" w:name="_Toc26294"/>
            <w:bookmarkStart w:id="854" w:name="_Toc12686"/>
            <w:bookmarkStart w:id="855" w:name="_Toc4019"/>
            <w:bookmarkStart w:id="856" w:name="_Toc23460"/>
            <w:bookmarkStart w:id="857" w:name="_Toc7505"/>
            <w:bookmarkStart w:id="858" w:name="_Toc22126"/>
            <w:bookmarkStart w:id="859" w:name="_Toc8889"/>
            <w:bookmarkStart w:id="860" w:name="_Toc32584"/>
            <w:r>
              <w:rPr>
                <w:b w:val="0"/>
                <w:bCs w:val="0"/>
                <w:sz w:val="21"/>
                <w:szCs w:val="21"/>
                <w:u w:val="none"/>
              </w:rPr>
              <w:t>防控措施</w:t>
            </w:r>
            <w:bookmarkEnd w:id="850"/>
            <w:bookmarkEnd w:id="851"/>
            <w:bookmarkEnd w:id="852"/>
            <w:bookmarkEnd w:id="853"/>
            <w:bookmarkEnd w:id="854"/>
            <w:bookmarkEnd w:id="855"/>
            <w:bookmarkEnd w:id="856"/>
            <w:bookmarkEnd w:id="857"/>
            <w:bookmarkEnd w:id="858"/>
            <w:bookmarkEnd w:id="859"/>
            <w:bookmarkEnd w:id="860"/>
          </w:p>
        </w:tc>
        <w:tc>
          <w:tcPr>
            <w:tcW w:w="3115" w:type="pct"/>
            <w:gridSpan w:val="6"/>
            <w:tcBorders>
              <w:tl2br w:val="nil"/>
              <w:tr2bl w:val="nil"/>
            </w:tcBorders>
            <w:noWrap w:val="0"/>
            <w:vAlign w:val="center"/>
          </w:tcPr>
          <w:p w14:paraId="54A28DA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bookmarkStart w:id="861" w:name="_Toc27813"/>
            <w:bookmarkStart w:id="862" w:name="_Toc9690"/>
            <w:bookmarkStart w:id="863" w:name="_Toc20553"/>
            <w:bookmarkStart w:id="864" w:name="_Toc1143"/>
            <w:bookmarkStart w:id="865" w:name="_Toc17433"/>
            <w:bookmarkStart w:id="866" w:name="_Toc6711"/>
            <w:bookmarkStart w:id="867" w:name="_Toc30870"/>
            <w:bookmarkStart w:id="868" w:name="_Toc17414"/>
            <w:bookmarkStart w:id="869" w:name="_Toc31223"/>
            <w:bookmarkStart w:id="870" w:name="_Toc7337"/>
            <w:bookmarkStart w:id="871" w:name="_Toc4355"/>
            <w:r>
              <w:rPr>
                <w:b w:val="0"/>
                <w:bCs w:val="0"/>
                <w:sz w:val="21"/>
                <w:szCs w:val="21"/>
                <w:u w:val="none"/>
              </w:rPr>
              <w:t>土壤环境质量现状保障□；源头控制</w:t>
            </w:r>
            <w:r>
              <w:rPr>
                <w:b w:val="0"/>
                <w:bCs w:val="0"/>
                <w:sz w:val="21"/>
                <w:szCs w:val="21"/>
                <w:u w:val="none"/>
              </w:rPr>
              <w:sym w:font="Wingdings 2" w:char="0052"/>
            </w:r>
            <w:r>
              <w:rPr>
                <w:b w:val="0"/>
                <w:bCs w:val="0"/>
                <w:sz w:val="21"/>
                <w:szCs w:val="21"/>
                <w:u w:val="none"/>
              </w:rPr>
              <w:t>；过程防控☑；其他（    ）</w:t>
            </w:r>
            <w:bookmarkEnd w:id="861"/>
            <w:bookmarkEnd w:id="862"/>
            <w:bookmarkEnd w:id="863"/>
            <w:bookmarkEnd w:id="864"/>
            <w:bookmarkEnd w:id="865"/>
            <w:bookmarkEnd w:id="866"/>
            <w:bookmarkEnd w:id="867"/>
            <w:bookmarkEnd w:id="868"/>
            <w:bookmarkEnd w:id="869"/>
            <w:bookmarkEnd w:id="870"/>
            <w:bookmarkEnd w:id="871"/>
          </w:p>
        </w:tc>
        <w:tc>
          <w:tcPr>
            <w:tcW w:w="649" w:type="pct"/>
            <w:tcBorders>
              <w:tl2br w:val="nil"/>
              <w:tr2bl w:val="nil"/>
            </w:tcBorders>
            <w:noWrap w:val="0"/>
            <w:vAlign w:val="center"/>
          </w:tcPr>
          <w:p w14:paraId="63AB91C4">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09BE28D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0827D664">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vMerge w:val="restart"/>
            <w:tcBorders>
              <w:tl2br w:val="nil"/>
              <w:tr2bl w:val="nil"/>
            </w:tcBorders>
            <w:noWrap w:val="0"/>
            <w:vAlign w:val="center"/>
          </w:tcPr>
          <w:p w14:paraId="2C4B0C99">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872" w:name="_Toc16097"/>
            <w:bookmarkStart w:id="873" w:name="_Toc24034"/>
            <w:bookmarkStart w:id="874" w:name="_Toc3326"/>
            <w:bookmarkStart w:id="875" w:name="_Toc238"/>
            <w:bookmarkStart w:id="876" w:name="_Toc4664"/>
            <w:bookmarkStart w:id="877" w:name="_Toc20308"/>
            <w:bookmarkStart w:id="878" w:name="_Toc22314"/>
            <w:bookmarkStart w:id="879" w:name="_Toc122"/>
            <w:bookmarkStart w:id="880" w:name="_Toc6713"/>
            <w:bookmarkStart w:id="881" w:name="_Toc28616"/>
            <w:bookmarkStart w:id="882" w:name="_Toc11280"/>
            <w:r>
              <w:rPr>
                <w:b w:val="0"/>
                <w:bCs w:val="0"/>
                <w:sz w:val="21"/>
                <w:szCs w:val="21"/>
                <w:u w:val="none"/>
              </w:rPr>
              <w:t>跟踪监测</w:t>
            </w:r>
            <w:bookmarkEnd w:id="872"/>
            <w:bookmarkEnd w:id="873"/>
            <w:bookmarkEnd w:id="874"/>
            <w:bookmarkEnd w:id="875"/>
            <w:bookmarkEnd w:id="876"/>
            <w:bookmarkEnd w:id="877"/>
            <w:bookmarkEnd w:id="878"/>
            <w:bookmarkEnd w:id="879"/>
            <w:bookmarkEnd w:id="880"/>
            <w:bookmarkEnd w:id="881"/>
            <w:bookmarkEnd w:id="882"/>
          </w:p>
        </w:tc>
        <w:tc>
          <w:tcPr>
            <w:tcW w:w="1091" w:type="pct"/>
            <w:gridSpan w:val="2"/>
            <w:tcBorders>
              <w:tl2br w:val="nil"/>
              <w:tr2bl w:val="nil"/>
            </w:tcBorders>
            <w:noWrap w:val="0"/>
            <w:vAlign w:val="center"/>
          </w:tcPr>
          <w:p w14:paraId="5190DA96">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883" w:name="_Toc5895"/>
            <w:bookmarkStart w:id="884" w:name="_Toc15097"/>
            <w:bookmarkStart w:id="885" w:name="_Toc754"/>
            <w:bookmarkStart w:id="886" w:name="_Toc17830"/>
            <w:bookmarkStart w:id="887" w:name="_Toc13447"/>
            <w:bookmarkStart w:id="888" w:name="_Toc22488"/>
            <w:bookmarkStart w:id="889" w:name="_Toc3518"/>
            <w:bookmarkStart w:id="890" w:name="_Toc3320"/>
            <w:bookmarkStart w:id="891" w:name="_Toc27367"/>
            <w:bookmarkStart w:id="892" w:name="_Toc26433"/>
            <w:bookmarkStart w:id="893" w:name="_Toc16550"/>
            <w:r>
              <w:rPr>
                <w:b w:val="0"/>
                <w:bCs w:val="0"/>
                <w:sz w:val="21"/>
                <w:szCs w:val="21"/>
                <w:u w:val="none"/>
              </w:rPr>
              <w:t>监测点数</w:t>
            </w:r>
            <w:bookmarkEnd w:id="883"/>
            <w:bookmarkEnd w:id="884"/>
            <w:bookmarkEnd w:id="885"/>
            <w:bookmarkEnd w:id="886"/>
            <w:bookmarkEnd w:id="887"/>
            <w:bookmarkEnd w:id="888"/>
            <w:bookmarkEnd w:id="889"/>
            <w:bookmarkEnd w:id="890"/>
            <w:bookmarkEnd w:id="891"/>
            <w:bookmarkEnd w:id="892"/>
            <w:bookmarkEnd w:id="893"/>
          </w:p>
        </w:tc>
        <w:tc>
          <w:tcPr>
            <w:tcW w:w="1047" w:type="pct"/>
            <w:gridSpan w:val="2"/>
            <w:tcBorders>
              <w:tl2br w:val="nil"/>
              <w:tr2bl w:val="nil"/>
            </w:tcBorders>
            <w:noWrap w:val="0"/>
            <w:vAlign w:val="center"/>
          </w:tcPr>
          <w:p w14:paraId="174DA351">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894" w:name="_Toc27866"/>
            <w:bookmarkStart w:id="895" w:name="_Toc25230"/>
            <w:bookmarkStart w:id="896" w:name="_Toc10316"/>
            <w:bookmarkStart w:id="897" w:name="_Toc20712"/>
            <w:bookmarkStart w:id="898" w:name="_Toc19488"/>
            <w:bookmarkStart w:id="899" w:name="_Toc11759"/>
            <w:bookmarkStart w:id="900" w:name="_Toc9316"/>
            <w:bookmarkStart w:id="901" w:name="_Toc5693"/>
            <w:bookmarkStart w:id="902" w:name="_Toc21027"/>
            <w:bookmarkStart w:id="903" w:name="_Toc19097"/>
            <w:bookmarkStart w:id="904" w:name="_Toc28120"/>
            <w:r>
              <w:rPr>
                <w:b w:val="0"/>
                <w:bCs w:val="0"/>
                <w:sz w:val="21"/>
                <w:szCs w:val="21"/>
                <w:u w:val="none"/>
              </w:rPr>
              <w:t>监测指标</w:t>
            </w:r>
            <w:bookmarkEnd w:id="894"/>
            <w:bookmarkEnd w:id="895"/>
            <w:bookmarkEnd w:id="896"/>
            <w:bookmarkEnd w:id="897"/>
            <w:bookmarkEnd w:id="898"/>
            <w:bookmarkEnd w:id="899"/>
            <w:bookmarkEnd w:id="900"/>
            <w:bookmarkEnd w:id="901"/>
            <w:bookmarkEnd w:id="902"/>
            <w:bookmarkEnd w:id="903"/>
            <w:bookmarkEnd w:id="904"/>
          </w:p>
        </w:tc>
        <w:tc>
          <w:tcPr>
            <w:tcW w:w="976" w:type="pct"/>
            <w:gridSpan w:val="2"/>
            <w:tcBorders>
              <w:tl2br w:val="nil"/>
              <w:tr2bl w:val="nil"/>
            </w:tcBorders>
            <w:noWrap w:val="0"/>
            <w:vAlign w:val="center"/>
          </w:tcPr>
          <w:p w14:paraId="7F50B06A">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905" w:name="_Toc8899"/>
            <w:bookmarkStart w:id="906" w:name="_Toc10745"/>
            <w:bookmarkStart w:id="907" w:name="_Toc12858"/>
            <w:bookmarkStart w:id="908" w:name="_Toc3457"/>
            <w:bookmarkStart w:id="909" w:name="_Toc15883"/>
            <w:bookmarkStart w:id="910" w:name="_Toc25378"/>
            <w:bookmarkStart w:id="911" w:name="_Toc32096"/>
            <w:bookmarkStart w:id="912" w:name="_Toc1050"/>
            <w:bookmarkStart w:id="913" w:name="_Toc5857"/>
            <w:bookmarkStart w:id="914" w:name="_Toc495"/>
            <w:bookmarkStart w:id="915" w:name="_Toc12613"/>
            <w:r>
              <w:rPr>
                <w:b w:val="0"/>
                <w:bCs w:val="0"/>
                <w:sz w:val="21"/>
                <w:szCs w:val="21"/>
                <w:u w:val="none"/>
              </w:rPr>
              <w:t>监测频次</w:t>
            </w:r>
            <w:bookmarkEnd w:id="905"/>
            <w:bookmarkEnd w:id="906"/>
            <w:bookmarkEnd w:id="907"/>
            <w:bookmarkEnd w:id="908"/>
            <w:bookmarkEnd w:id="909"/>
            <w:bookmarkEnd w:id="910"/>
            <w:bookmarkEnd w:id="911"/>
            <w:bookmarkEnd w:id="912"/>
            <w:bookmarkEnd w:id="913"/>
            <w:bookmarkEnd w:id="914"/>
            <w:bookmarkEnd w:id="915"/>
          </w:p>
        </w:tc>
        <w:tc>
          <w:tcPr>
            <w:tcW w:w="649" w:type="pct"/>
            <w:vMerge w:val="restart"/>
            <w:tcBorders>
              <w:tl2br w:val="nil"/>
              <w:tr2bl w:val="nil"/>
            </w:tcBorders>
            <w:noWrap w:val="0"/>
            <w:vAlign w:val="center"/>
          </w:tcPr>
          <w:p w14:paraId="59C95AC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7447231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054D8246">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vMerge w:val="continue"/>
            <w:tcBorders>
              <w:tl2br w:val="nil"/>
              <w:tr2bl w:val="nil"/>
            </w:tcBorders>
            <w:noWrap w:val="0"/>
            <w:vAlign w:val="center"/>
          </w:tcPr>
          <w:p w14:paraId="18F96F67">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1091" w:type="pct"/>
            <w:gridSpan w:val="2"/>
            <w:tcBorders>
              <w:tl2br w:val="nil"/>
              <w:tr2bl w:val="nil"/>
            </w:tcBorders>
            <w:noWrap w:val="0"/>
            <w:vAlign w:val="center"/>
          </w:tcPr>
          <w:p w14:paraId="0D0F2047">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eastAsia" w:eastAsia="宋体"/>
                <w:b w:val="0"/>
                <w:bCs w:val="0"/>
                <w:sz w:val="21"/>
                <w:szCs w:val="21"/>
                <w:u w:val="none"/>
                <w:lang w:val="en-US" w:eastAsia="zh-CN"/>
              </w:rPr>
            </w:pPr>
            <w:r>
              <w:rPr>
                <w:rFonts w:hint="eastAsia"/>
                <w:b w:val="0"/>
                <w:bCs w:val="0"/>
                <w:sz w:val="21"/>
                <w:szCs w:val="21"/>
                <w:u w:val="none"/>
                <w:lang w:val="en-US" w:eastAsia="zh-CN"/>
              </w:rPr>
              <w:t>1</w:t>
            </w:r>
          </w:p>
        </w:tc>
        <w:tc>
          <w:tcPr>
            <w:tcW w:w="1047" w:type="pct"/>
            <w:gridSpan w:val="2"/>
            <w:tcBorders>
              <w:tl2br w:val="nil"/>
              <w:tr2bl w:val="nil"/>
            </w:tcBorders>
            <w:noWrap w:val="0"/>
            <w:vAlign w:val="center"/>
          </w:tcPr>
          <w:p w14:paraId="4BD29CD0">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rFonts w:hint="default" w:eastAsia="宋体"/>
                <w:b w:val="0"/>
                <w:bCs w:val="0"/>
                <w:sz w:val="21"/>
                <w:szCs w:val="21"/>
                <w:u w:val="none"/>
                <w:lang w:val="en-US" w:eastAsia="zh-CN"/>
              </w:rPr>
            </w:pPr>
            <w:r>
              <w:rPr>
                <w:rFonts w:hint="eastAsia"/>
                <w:b w:val="0"/>
                <w:bCs w:val="0"/>
                <w:sz w:val="21"/>
                <w:szCs w:val="21"/>
                <w:u w:val="none"/>
                <w:lang w:val="en-US" w:eastAsia="zh-CN"/>
              </w:rPr>
              <w:t>pH</w:t>
            </w:r>
          </w:p>
        </w:tc>
        <w:tc>
          <w:tcPr>
            <w:tcW w:w="976" w:type="pct"/>
            <w:gridSpan w:val="2"/>
            <w:tcBorders>
              <w:tl2br w:val="nil"/>
              <w:tr2bl w:val="nil"/>
            </w:tcBorders>
            <w:noWrap w:val="0"/>
            <w:vAlign w:val="center"/>
          </w:tcPr>
          <w:p w14:paraId="2DDEA55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r>
              <w:rPr>
                <w:color w:val="000000" w:themeColor="text1"/>
                <w:sz w:val="21"/>
                <w:szCs w:val="21"/>
                <w14:textFill>
                  <w14:solidFill>
                    <w14:schemeClr w14:val="tx1"/>
                  </w14:solidFill>
                </w14:textFill>
              </w:rPr>
              <w:t>每</w:t>
            </w:r>
            <w:r>
              <w:rPr>
                <w:rFonts w:hint="eastAsia"/>
                <w:color w:val="000000" w:themeColor="text1"/>
                <w:sz w:val="21"/>
                <w:szCs w:val="21"/>
                <w:lang w:val="en-US" w:eastAsia="zh-CN"/>
                <w14:textFill>
                  <w14:solidFill>
                    <w14:schemeClr w14:val="tx1"/>
                  </w14:solidFill>
                </w14:textFill>
              </w:rPr>
              <w:t>5</w:t>
            </w:r>
            <w:r>
              <w:rPr>
                <w:color w:val="000000" w:themeColor="text1"/>
                <w:sz w:val="21"/>
                <w:szCs w:val="21"/>
                <w14:textFill>
                  <w14:solidFill>
                    <w14:schemeClr w14:val="tx1"/>
                  </w14:solidFill>
                </w14:textFill>
              </w:rPr>
              <w:t>年内1次</w:t>
            </w:r>
          </w:p>
        </w:tc>
        <w:tc>
          <w:tcPr>
            <w:tcW w:w="649" w:type="pct"/>
            <w:vMerge w:val="continue"/>
            <w:tcBorders>
              <w:tl2br w:val="nil"/>
              <w:tr2bl w:val="nil"/>
            </w:tcBorders>
            <w:noWrap w:val="0"/>
            <w:vAlign w:val="center"/>
          </w:tcPr>
          <w:p w14:paraId="2A7D280D">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48CEE0D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0" w:type="pct"/>
            <w:vMerge w:val="continue"/>
            <w:tcBorders>
              <w:tl2br w:val="nil"/>
              <w:tr2bl w:val="nil"/>
            </w:tcBorders>
            <w:noWrap w:val="0"/>
            <w:vAlign w:val="center"/>
          </w:tcPr>
          <w:p w14:paraId="5CB4615B">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p>
        </w:tc>
        <w:tc>
          <w:tcPr>
            <w:tcW w:w="994" w:type="pct"/>
            <w:tcBorders>
              <w:tl2br w:val="nil"/>
              <w:tr2bl w:val="nil"/>
            </w:tcBorders>
            <w:noWrap w:val="0"/>
            <w:vAlign w:val="center"/>
          </w:tcPr>
          <w:p w14:paraId="7369BDD0">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916" w:name="_Toc7303"/>
            <w:bookmarkStart w:id="917" w:name="_Toc9358"/>
            <w:bookmarkStart w:id="918" w:name="_Toc20620"/>
            <w:bookmarkStart w:id="919" w:name="_Toc25094"/>
            <w:bookmarkStart w:id="920" w:name="_Toc31744"/>
            <w:bookmarkStart w:id="921" w:name="_Toc16744"/>
            <w:bookmarkStart w:id="922" w:name="_Toc28679"/>
            <w:bookmarkStart w:id="923" w:name="_Toc30717"/>
            <w:bookmarkStart w:id="924" w:name="_Toc2636"/>
            <w:bookmarkStart w:id="925" w:name="_Toc18779"/>
            <w:bookmarkStart w:id="926" w:name="_Toc22289"/>
            <w:r>
              <w:rPr>
                <w:b w:val="0"/>
                <w:bCs w:val="0"/>
                <w:sz w:val="21"/>
                <w:szCs w:val="21"/>
                <w:u w:val="none"/>
              </w:rPr>
              <w:t>信息公开指标</w:t>
            </w:r>
            <w:bookmarkEnd w:id="916"/>
            <w:bookmarkEnd w:id="917"/>
            <w:bookmarkEnd w:id="918"/>
            <w:bookmarkEnd w:id="919"/>
            <w:bookmarkEnd w:id="920"/>
            <w:bookmarkEnd w:id="921"/>
            <w:bookmarkEnd w:id="922"/>
            <w:bookmarkEnd w:id="923"/>
            <w:bookmarkEnd w:id="924"/>
            <w:bookmarkEnd w:id="925"/>
            <w:bookmarkEnd w:id="926"/>
          </w:p>
        </w:tc>
        <w:tc>
          <w:tcPr>
            <w:tcW w:w="3115" w:type="pct"/>
            <w:gridSpan w:val="6"/>
            <w:tcBorders>
              <w:tl2br w:val="nil"/>
              <w:tr2bl w:val="nil"/>
            </w:tcBorders>
            <w:noWrap w:val="0"/>
            <w:vAlign w:val="center"/>
          </w:tcPr>
          <w:p w14:paraId="0237355D">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r>
              <w:rPr>
                <w:color w:val="000000" w:themeColor="text1"/>
                <w:sz w:val="21"/>
                <w:szCs w:val="21"/>
                <w14:textFill>
                  <w14:solidFill>
                    <w14:schemeClr w14:val="tx1"/>
                  </w14:solidFill>
                </w14:textFill>
              </w:rPr>
              <w:t>污染防治设施，污染物排放，有毒有害物质排放，危险废物产生、贮存、流向、利用、处置，自行监测等方面的信息</w:t>
            </w:r>
          </w:p>
        </w:tc>
        <w:tc>
          <w:tcPr>
            <w:tcW w:w="649" w:type="pct"/>
            <w:vMerge w:val="continue"/>
            <w:tcBorders>
              <w:tl2br w:val="nil"/>
              <w:tr2bl w:val="nil"/>
            </w:tcBorders>
            <w:noWrap w:val="0"/>
            <w:vAlign w:val="center"/>
          </w:tcPr>
          <w:p w14:paraId="638B3E2E">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66C3854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235" w:type="pct"/>
            <w:gridSpan w:val="2"/>
            <w:tcBorders>
              <w:tl2br w:val="nil"/>
              <w:tr2bl w:val="nil"/>
            </w:tcBorders>
            <w:noWrap w:val="0"/>
            <w:vAlign w:val="center"/>
          </w:tcPr>
          <w:p w14:paraId="0DD0623C">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center"/>
              <w:textAlignment w:val="auto"/>
              <w:outlineLvl w:val="9"/>
              <w:rPr>
                <w:b w:val="0"/>
                <w:bCs w:val="0"/>
                <w:sz w:val="21"/>
                <w:szCs w:val="21"/>
                <w:u w:val="none"/>
              </w:rPr>
            </w:pPr>
            <w:bookmarkStart w:id="927" w:name="_Toc22493"/>
            <w:bookmarkStart w:id="928" w:name="_Toc19953"/>
            <w:bookmarkStart w:id="929" w:name="_Toc16680"/>
            <w:bookmarkStart w:id="930" w:name="_Toc3153"/>
            <w:bookmarkStart w:id="931" w:name="_Toc1801"/>
            <w:bookmarkStart w:id="932" w:name="_Toc22658"/>
            <w:bookmarkStart w:id="933" w:name="_Toc3026"/>
            <w:bookmarkStart w:id="934" w:name="_Toc26408"/>
            <w:bookmarkStart w:id="935" w:name="_Toc7431"/>
            <w:bookmarkStart w:id="936" w:name="_Toc3780"/>
            <w:bookmarkStart w:id="937" w:name="_Toc27394"/>
            <w:r>
              <w:rPr>
                <w:b w:val="0"/>
                <w:bCs w:val="0"/>
                <w:sz w:val="21"/>
                <w:szCs w:val="21"/>
                <w:u w:val="none"/>
              </w:rPr>
              <w:t>评价结论</w:t>
            </w:r>
            <w:bookmarkEnd w:id="927"/>
            <w:bookmarkEnd w:id="928"/>
            <w:bookmarkEnd w:id="929"/>
            <w:bookmarkEnd w:id="930"/>
            <w:bookmarkEnd w:id="931"/>
            <w:bookmarkEnd w:id="932"/>
            <w:bookmarkEnd w:id="933"/>
            <w:bookmarkEnd w:id="934"/>
            <w:bookmarkEnd w:id="935"/>
            <w:bookmarkEnd w:id="936"/>
            <w:bookmarkEnd w:id="937"/>
          </w:p>
        </w:tc>
        <w:tc>
          <w:tcPr>
            <w:tcW w:w="3115" w:type="pct"/>
            <w:gridSpan w:val="6"/>
            <w:tcBorders>
              <w:tl2br w:val="nil"/>
              <w:tr2bl w:val="nil"/>
            </w:tcBorders>
            <w:noWrap w:val="0"/>
            <w:vAlign w:val="center"/>
          </w:tcPr>
          <w:p w14:paraId="2161AA8F">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bookmarkStart w:id="938" w:name="_Toc3940"/>
            <w:bookmarkStart w:id="939" w:name="_Toc5613"/>
            <w:bookmarkStart w:id="940" w:name="_Toc30729"/>
            <w:bookmarkStart w:id="941" w:name="_Toc3077"/>
            <w:bookmarkStart w:id="942" w:name="_Toc10127"/>
            <w:bookmarkStart w:id="943" w:name="_Toc6470"/>
            <w:bookmarkStart w:id="944" w:name="_Toc13793"/>
            <w:bookmarkStart w:id="945" w:name="_Toc16441"/>
            <w:bookmarkStart w:id="946" w:name="_Toc29705"/>
            <w:bookmarkStart w:id="947" w:name="_Toc20881"/>
            <w:bookmarkStart w:id="948" w:name="_Toc32761"/>
            <w:r>
              <w:rPr>
                <w:b w:val="0"/>
                <w:bCs w:val="0"/>
                <w:sz w:val="21"/>
                <w:szCs w:val="21"/>
                <w:u w:val="none"/>
              </w:rPr>
              <w:t>项目的实施通过采取有效的防渗措施，可有效防止土壤污染，从土壤环境影响的角度，项目建设可行</w:t>
            </w:r>
            <w:bookmarkEnd w:id="938"/>
            <w:bookmarkEnd w:id="939"/>
            <w:bookmarkEnd w:id="940"/>
            <w:bookmarkEnd w:id="941"/>
            <w:bookmarkEnd w:id="942"/>
            <w:bookmarkEnd w:id="943"/>
            <w:bookmarkEnd w:id="944"/>
            <w:bookmarkEnd w:id="945"/>
            <w:bookmarkEnd w:id="946"/>
            <w:bookmarkEnd w:id="947"/>
            <w:bookmarkEnd w:id="948"/>
          </w:p>
        </w:tc>
        <w:tc>
          <w:tcPr>
            <w:tcW w:w="649" w:type="pct"/>
            <w:tcBorders>
              <w:tl2br w:val="nil"/>
              <w:tr2bl w:val="nil"/>
            </w:tcBorders>
            <w:noWrap w:val="0"/>
            <w:vAlign w:val="center"/>
          </w:tcPr>
          <w:p w14:paraId="6DDC30C3">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21"/>
                <w:szCs w:val="21"/>
                <w:u w:val="none"/>
              </w:rPr>
            </w:pPr>
          </w:p>
        </w:tc>
      </w:tr>
      <w:tr w14:paraId="53927B7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00" w:type="pct"/>
            <w:gridSpan w:val="9"/>
            <w:tcBorders>
              <w:tl2br w:val="nil"/>
              <w:tr2bl w:val="nil"/>
            </w:tcBorders>
            <w:noWrap w:val="0"/>
            <w:vAlign w:val="center"/>
          </w:tcPr>
          <w:p w14:paraId="2AEA3C68">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18"/>
                <w:szCs w:val="18"/>
                <w:u w:val="none"/>
              </w:rPr>
            </w:pPr>
            <w:bookmarkStart w:id="949" w:name="_Toc29827"/>
            <w:bookmarkStart w:id="950" w:name="_Toc13970"/>
            <w:bookmarkStart w:id="951" w:name="_Toc11917"/>
            <w:bookmarkStart w:id="952" w:name="_Toc24040"/>
            <w:bookmarkStart w:id="953" w:name="_Toc15563"/>
            <w:bookmarkStart w:id="954" w:name="_Toc5768"/>
            <w:bookmarkStart w:id="955" w:name="_Toc27870"/>
            <w:bookmarkStart w:id="956" w:name="_Toc6206"/>
            <w:bookmarkStart w:id="957" w:name="_Toc1760"/>
            <w:bookmarkStart w:id="958" w:name="_Toc28370"/>
            <w:bookmarkStart w:id="959" w:name="_Toc8257"/>
            <w:r>
              <w:rPr>
                <w:b w:val="0"/>
                <w:bCs w:val="0"/>
                <w:sz w:val="18"/>
                <w:szCs w:val="18"/>
                <w:u w:val="none"/>
              </w:rPr>
              <w:t>注1：“□”为勾选项，可√；“（ ）”为内容填写项；“备注”为其他补充内容。</w:t>
            </w:r>
            <w:bookmarkEnd w:id="949"/>
            <w:bookmarkEnd w:id="950"/>
            <w:bookmarkEnd w:id="951"/>
            <w:bookmarkEnd w:id="952"/>
            <w:bookmarkEnd w:id="953"/>
            <w:bookmarkEnd w:id="954"/>
            <w:bookmarkEnd w:id="955"/>
            <w:bookmarkEnd w:id="956"/>
            <w:bookmarkEnd w:id="957"/>
            <w:bookmarkEnd w:id="958"/>
            <w:bookmarkEnd w:id="959"/>
          </w:p>
          <w:p w14:paraId="65F95535">
            <w:pPr>
              <w:keepNext w:val="0"/>
              <w:keepLines w:val="0"/>
              <w:pageBreakBefore w:val="0"/>
              <w:widowControl w:val="0"/>
              <w:kinsoku/>
              <w:wordWrap/>
              <w:overflowPunct/>
              <w:topLinePunct w:val="0"/>
              <w:autoSpaceDE/>
              <w:autoSpaceDN/>
              <w:bidi w:val="0"/>
              <w:adjustRightInd w:val="0"/>
              <w:snapToGrid w:val="0"/>
              <w:spacing w:before="0" w:after="0" w:line="240" w:lineRule="auto"/>
              <w:ind w:left="0" w:firstLine="0"/>
              <w:jc w:val="left"/>
              <w:textAlignment w:val="auto"/>
              <w:outlineLvl w:val="9"/>
              <w:rPr>
                <w:b w:val="0"/>
                <w:bCs w:val="0"/>
                <w:sz w:val="18"/>
                <w:szCs w:val="18"/>
                <w:u w:val="none"/>
              </w:rPr>
            </w:pPr>
            <w:bookmarkStart w:id="960" w:name="_Toc31355"/>
            <w:bookmarkStart w:id="961" w:name="_Toc12967"/>
            <w:bookmarkStart w:id="962" w:name="_Toc2808"/>
            <w:bookmarkStart w:id="963" w:name="_Toc23699"/>
            <w:bookmarkStart w:id="964" w:name="_Toc28638"/>
            <w:bookmarkStart w:id="965" w:name="_Toc31918"/>
            <w:bookmarkStart w:id="966" w:name="_Toc31683"/>
            <w:bookmarkStart w:id="967" w:name="_Toc9533"/>
            <w:bookmarkStart w:id="968" w:name="_Toc25602"/>
            <w:bookmarkStart w:id="969" w:name="_Toc10756"/>
            <w:bookmarkStart w:id="970" w:name="_Toc13747"/>
            <w:r>
              <w:rPr>
                <w:b w:val="0"/>
                <w:bCs w:val="0"/>
                <w:sz w:val="18"/>
                <w:szCs w:val="18"/>
                <w:u w:val="none"/>
              </w:rPr>
              <w:t>注2：需要分别开展土壤环境影响评级工作的，分别填写自查表。</w:t>
            </w:r>
            <w:bookmarkEnd w:id="960"/>
            <w:bookmarkEnd w:id="961"/>
            <w:bookmarkEnd w:id="962"/>
            <w:bookmarkEnd w:id="963"/>
            <w:bookmarkEnd w:id="964"/>
            <w:bookmarkEnd w:id="965"/>
            <w:bookmarkEnd w:id="966"/>
            <w:bookmarkEnd w:id="967"/>
            <w:bookmarkEnd w:id="968"/>
            <w:bookmarkEnd w:id="969"/>
            <w:bookmarkEnd w:id="970"/>
          </w:p>
        </w:tc>
      </w:tr>
    </w:tbl>
    <w:p w14:paraId="0FAF67D5">
      <w:pPr>
        <w:keepNext/>
        <w:keepLines/>
        <w:pageBreakBefore w:val="0"/>
        <w:widowControl/>
        <w:kinsoku/>
        <w:wordWrap/>
        <w:overflowPunct/>
        <w:topLinePunct w:val="0"/>
        <w:autoSpaceDE/>
        <w:autoSpaceDN/>
        <w:bidi w:val="0"/>
        <w:adjustRightInd/>
        <w:snapToGrid w:val="0"/>
        <w:spacing w:line="360" w:lineRule="auto"/>
        <w:jc w:val="left"/>
        <w:textAlignment w:val="auto"/>
        <w:outlineLvl w:val="2"/>
        <w:rPr>
          <w:rFonts w:hint="eastAsia"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rPr>
        <w:t>5.2.</w:t>
      </w:r>
      <w:r>
        <w:rPr>
          <w:rFonts w:hint="eastAsia" w:cs="Times New Roman"/>
          <w:b/>
          <w:bCs w:val="0"/>
          <w:kern w:val="2"/>
          <w:sz w:val="24"/>
          <w:szCs w:val="24"/>
          <w:highlight w:val="none"/>
          <w:lang w:val="en-US" w:eastAsia="zh-CN"/>
        </w:rPr>
        <w:t>7生态影响分析</w:t>
      </w:r>
    </w:p>
    <w:p w14:paraId="1A4C7650">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本项目在现水泥厂内建设，不涉及新增占地、施工活动干扰等直接或间接导致物种、种群、生物群落、生境、生态系统以及自然景观等发生的变化，无生态影响。因此，本评价不再开展生态环境影响分析。</w:t>
      </w:r>
    </w:p>
    <w:p w14:paraId="53E6F8DD">
      <w:pPr>
        <w:keepNext/>
        <w:keepLines/>
        <w:pageBreakBefore w:val="0"/>
        <w:widowControl/>
        <w:kinsoku/>
        <w:wordWrap/>
        <w:overflowPunct/>
        <w:topLinePunct w:val="0"/>
        <w:autoSpaceDE/>
        <w:autoSpaceDN/>
        <w:bidi w:val="0"/>
        <w:adjustRightInd/>
        <w:snapToGrid w:val="0"/>
        <w:spacing w:line="360" w:lineRule="auto"/>
        <w:jc w:val="left"/>
        <w:textAlignment w:val="auto"/>
        <w:outlineLvl w:val="1"/>
        <w:rPr>
          <w:rFonts w:hint="default" w:ascii="Times New Roman" w:hAnsi="Times New Roman" w:eastAsia="宋体" w:cs="Times New Roman"/>
          <w:b/>
          <w:bCs/>
          <w:sz w:val="24"/>
          <w:szCs w:val="16"/>
          <w:highlight w:val="none"/>
          <w:lang w:val="en-US" w:eastAsia="zh-CN"/>
        </w:rPr>
      </w:pPr>
      <w:bookmarkStart w:id="971" w:name="_Toc25124"/>
      <w:bookmarkStart w:id="972" w:name="_Toc9458"/>
      <w:bookmarkStart w:id="973" w:name="_Toc29278"/>
      <w:r>
        <w:rPr>
          <w:rFonts w:hint="default" w:ascii="Times New Roman" w:hAnsi="Times New Roman" w:eastAsia="宋体" w:cs="Times New Roman"/>
          <w:b/>
          <w:bCs/>
          <w:sz w:val="24"/>
          <w:szCs w:val="16"/>
          <w:highlight w:val="none"/>
          <w:lang w:val="en-US" w:eastAsia="zh-CN"/>
        </w:rPr>
        <w:t>5.</w:t>
      </w:r>
      <w:r>
        <w:rPr>
          <w:rFonts w:hint="default" w:ascii="Times New Roman" w:hAnsi="Times New Roman" w:cs="Times New Roman"/>
          <w:b/>
          <w:bCs/>
          <w:sz w:val="24"/>
          <w:szCs w:val="16"/>
          <w:highlight w:val="none"/>
          <w:lang w:val="en-US" w:eastAsia="zh-CN"/>
        </w:rPr>
        <w:t>3</w:t>
      </w:r>
      <w:r>
        <w:rPr>
          <w:rFonts w:hint="default" w:ascii="Times New Roman" w:hAnsi="Times New Roman" w:eastAsia="宋体" w:cs="Times New Roman"/>
          <w:b/>
          <w:bCs/>
          <w:sz w:val="24"/>
          <w:szCs w:val="16"/>
          <w:highlight w:val="none"/>
        </w:rPr>
        <w:t>环境风险</w:t>
      </w:r>
      <w:bookmarkEnd w:id="221"/>
      <w:r>
        <w:rPr>
          <w:rFonts w:hint="default" w:ascii="Times New Roman" w:hAnsi="Times New Roman" w:cs="Times New Roman"/>
          <w:b/>
          <w:bCs/>
          <w:sz w:val="24"/>
          <w:szCs w:val="16"/>
          <w:highlight w:val="none"/>
          <w:lang w:val="en-US" w:eastAsia="zh-CN"/>
        </w:rPr>
        <w:t>评价</w:t>
      </w:r>
      <w:bookmarkEnd w:id="971"/>
      <w:bookmarkEnd w:id="972"/>
      <w:bookmarkEnd w:id="973"/>
    </w:p>
    <w:p w14:paraId="7E271984">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rPr>
      </w:pPr>
      <w:bookmarkStart w:id="974" w:name="_Toc9868267"/>
      <w:r>
        <w:rPr>
          <w:rFonts w:hint="default" w:ascii="Times New Roman" w:hAnsi="Times New Roman" w:eastAsia="宋体" w:cs="Times New Roman"/>
          <w:b/>
          <w:bCs w:val="0"/>
          <w:kern w:val="2"/>
          <w:sz w:val="24"/>
          <w:szCs w:val="24"/>
          <w:highlight w:val="none"/>
          <w:lang w:val="en-US" w:eastAsia="zh-CN"/>
        </w:rPr>
        <w:t>5.</w:t>
      </w:r>
      <w:r>
        <w:rPr>
          <w:rFonts w:hint="default" w:ascii="Times New Roman" w:hAnsi="Times New Roman" w:cs="Times New Roman"/>
          <w:b/>
          <w:bCs w:val="0"/>
          <w:kern w:val="2"/>
          <w:sz w:val="24"/>
          <w:szCs w:val="24"/>
          <w:highlight w:val="none"/>
          <w:lang w:val="en-US" w:eastAsia="zh-CN"/>
        </w:rPr>
        <w:t>3</w:t>
      </w:r>
      <w:r>
        <w:rPr>
          <w:rFonts w:hint="default" w:ascii="Times New Roman" w:hAnsi="Times New Roman" w:eastAsia="宋体" w:cs="Times New Roman"/>
          <w:b/>
          <w:bCs w:val="0"/>
          <w:kern w:val="2"/>
          <w:sz w:val="24"/>
          <w:szCs w:val="24"/>
          <w:highlight w:val="none"/>
          <w:lang w:val="en-US" w:eastAsia="zh-CN"/>
        </w:rPr>
        <w:t>.1</w:t>
      </w:r>
      <w:r>
        <w:rPr>
          <w:rFonts w:hint="default" w:ascii="Times New Roman" w:hAnsi="Times New Roman" w:eastAsia="宋体" w:cs="Times New Roman"/>
          <w:b/>
          <w:bCs w:val="0"/>
          <w:kern w:val="2"/>
          <w:sz w:val="24"/>
          <w:szCs w:val="24"/>
          <w:highlight w:val="none"/>
        </w:rPr>
        <w:t>环境</w:t>
      </w:r>
      <w:bookmarkEnd w:id="974"/>
      <w:r>
        <w:rPr>
          <w:rFonts w:hint="default" w:ascii="Times New Roman" w:hAnsi="Times New Roman" w:eastAsia="宋体" w:cs="Times New Roman"/>
          <w:b/>
          <w:bCs w:val="0"/>
          <w:kern w:val="2"/>
          <w:sz w:val="24"/>
          <w:szCs w:val="24"/>
          <w:highlight w:val="none"/>
        </w:rPr>
        <w:t>风险评价目的和重点</w:t>
      </w:r>
    </w:p>
    <w:p w14:paraId="6F14655D">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风险评价的目的是分析和预测建设项目存在的潜在危险、有害因素，建设项目建设和运行期间可能发生地突发性事件或事故（一般不包括人为破坏和自然灾害），引起有毒有害和易燃易爆等物质泄漏，所造成的人身安全与环境影响和损害程度，提出合理可行的防范、应急与减缓措施，以使建设项目事故率、损失和环境影响达到可接受水平。</w:t>
      </w:r>
    </w:p>
    <w:p w14:paraId="55A66EF0">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环境风险评价应把事故引起厂界外人群的伤害、环境质量的恶化及对生态系统影响的预测和防护作为评价工作重点。</w:t>
      </w:r>
    </w:p>
    <w:p w14:paraId="55FA3BDE">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5.3.2环境风险评价原则</w:t>
      </w:r>
    </w:p>
    <w:p w14:paraId="6563616A">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风险评价应以突发性事故导致的危险物质环境急性损害防控为目标，对建设项目的环境风险进行分析、预测和评估，提出环境风险预防、控制、减缓措施，明确环境风险监控及应急建议要求，为建设项目环境风险防控提供科学依据。</w:t>
      </w:r>
    </w:p>
    <w:p w14:paraId="316D42CF">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5.3.</w:t>
      </w:r>
      <w:r>
        <w:rPr>
          <w:rFonts w:hint="default" w:ascii="Times New Roman" w:hAnsi="Times New Roman" w:cs="Times New Roman"/>
          <w:b/>
          <w:bCs w:val="0"/>
          <w:kern w:val="2"/>
          <w:sz w:val="24"/>
          <w:szCs w:val="24"/>
          <w:highlight w:val="none"/>
          <w:lang w:val="en-US" w:eastAsia="zh-CN"/>
        </w:rPr>
        <w:t>3</w:t>
      </w:r>
      <w:r>
        <w:rPr>
          <w:rFonts w:hint="default" w:ascii="Times New Roman" w:hAnsi="Times New Roman" w:eastAsia="宋体" w:cs="Times New Roman"/>
          <w:b/>
          <w:bCs w:val="0"/>
          <w:kern w:val="2"/>
          <w:sz w:val="24"/>
          <w:szCs w:val="24"/>
          <w:highlight w:val="none"/>
          <w:lang w:val="en-US" w:eastAsia="zh-CN"/>
        </w:rPr>
        <w:t>环境风险</w:t>
      </w:r>
      <w:r>
        <w:rPr>
          <w:rFonts w:hint="default" w:ascii="Times New Roman" w:hAnsi="Times New Roman" w:cs="Times New Roman"/>
          <w:b/>
          <w:bCs w:val="0"/>
          <w:kern w:val="2"/>
          <w:sz w:val="24"/>
          <w:szCs w:val="24"/>
          <w:highlight w:val="none"/>
          <w:lang w:val="en-US" w:eastAsia="zh-CN"/>
        </w:rPr>
        <w:t>源调查</w:t>
      </w:r>
    </w:p>
    <w:p w14:paraId="0B4C9CD3">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建设项目风险源调查</w:t>
      </w:r>
    </w:p>
    <w:p w14:paraId="742A1E8D">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根据本项目特点，</w:t>
      </w:r>
      <w:r>
        <w:rPr>
          <w:rFonts w:hint="default" w:ascii="Times New Roman" w:hAnsi="Times New Roman" w:cs="Times New Roman"/>
          <w:sz w:val="24"/>
          <w:szCs w:val="24"/>
          <w:highlight w:val="none"/>
          <w:lang w:val="en-US" w:eastAsia="zh-CN"/>
        </w:rPr>
        <w:t>项目</w:t>
      </w:r>
      <w:r>
        <w:rPr>
          <w:rFonts w:hint="default" w:ascii="Times New Roman" w:hAnsi="Times New Roman" w:eastAsia="宋体" w:cs="Times New Roman"/>
          <w:sz w:val="24"/>
          <w:szCs w:val="24"/>
          <w:highlight w:val="none"/>
        </w:rPr>
        <w:t>协同处置的</w:t>
      </w:r>
      <w:r>
        <w:rPr>
          <w:rFonts w:hint="default" w:ascii="Times New Roman" w:hAnsi="Times New Roman" w:cs="Times New Roman"/>
          <w:sz w:val="24"/>
          <w:szCs w:val="24"/>
          <w:highlight w:val="none"/>
          <w:lang w:val="en-US" w:eastAsia="zh-CN"/>
        </w:rPr>
        <w:t>危险废物为</w:t>
      </w:r>
      <w:r>
        <w:rPr>
          <w:rFonts w:hint="default" w:ascii="Times New Roman" w:hAnsi="Times New Roman" w:eastAsia="宋体" w:cs="Times New Roman"/>
          <w:sz w:val="24"/>
          <w:szCs w:val="24"/>
          <w:highlight w:val="none"/>
        </w:rPr>
        <w:t>精（蒸）馏残渣</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废物形态主要为固态和液态废物，危险特性为毒性。项目在生产、储运等过程操作不当或因设备损坏，危险物质泄漏可能发生环境风险。</w:t>
      </w:r>
    </w:p>
    <w:p w14:paraId="6EDE8CE8">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环境敏感目标调查</w:t>
      </w:r>
    </w:p>
    <w:p w14:paraId="2DE4F3E2">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本项目建设地点位于阿克苏市工业园区内，项目周边无环境敏感目标。</w:t>
      </w:r>
    </w:p>
    <w:p w14:paraId="0484D34C">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5.3.</w:t>
      </w:r>
      <w:r>
        <w:rPr>
          <w:rFonts w:hint="default" w:ascii="Times New Roman" w:hAnsi="Times New Roman" w:cs="Times New Roman"/>
          <w:b/>
          <w:bCs w:val="0"/>
          <w:kern w:val="2"/>
          <w:sz w:val="24"/>
          <w:szCs w:val="24"/>
          <w:highlight w:val="none"/>
          <w:lang w:val="en-US" w:eastAsia="zh-CN"/>
        </w:rPr>
        <w:t>4</w:t>
      </w:r>
      <w:r>
        <w:rPr>
          <w:rFonts w:hint="default" w:ascii="Times New Roman" w:hAnsi="Times New Roman" w:eastAsia="宋体" w:cs="Times New Roman"/>
          <w:b/>
          <w:bCs w:val="0"/>
          <w:kern w:val="2"/>
          <w:sz w:val="24"/>
          <w:szCs w:val="24"/>
          <w:highlight w:val="none"/>
          <w:lang w:val="en-US" w:eastAsia="zh-CN"/>
        </w:rPr>
        <w:t>环境风险潜势及评价等级</w:t>
      </w:r>
    </w:p>
    <w:p w14:paraId="0B181F8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建设项目环境风险潜势划分为Ⅰ、Ⅱ、Ⅲ、Ⅳ/Ⅳ+级。本次评价根据项目涉及的物质和工艺系统的危险性及其所在地的环境敏感程度，结合事故情形下环境影响途径，对建设项目潜在环境危害程度进行概化分析，</w:t>
      </w:r>
      <w:r>
        <w:rPr>
          <w:rFonts w:hint="default" w:ascii="Times New Roman" w:hAnsi="Times New Roman" w:eastAsia="宋体" w:cs="Times New Roman"/>
          <w:color w:val="auto"/>
          <w:sz w:val="24"/>
          <w:szCs w:val="24"/>
          <w:lang w:val="en-US" w:eastAsia="zh-CN"/>
        </w:rPr>
        <w:t>根据</w:t>
      </w:r>
      <w:r>
        <w:rPr>
          <w:rFonts w:hint="default" w:ascii="Times New Roman" w:hAnsi="Times New Roman" w:eastAsia="宋体" w:cs="Times New Roman"/>
          <w:color w:val="auto"/>
          <w:sz w:val="24"/>
          <w:szCs w:val="24"/>
        </w:rPr>
        <w:t>建设项目风险潜势划分确定环境风险潜势。</w:t>
      </w:r>
    </w:p>
    <w:p w14:paraId="34E495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根据《建设项目环境风险评价技术导则》（HJ169-2018）附录B中对应临界量，计算本项目所涉及的每种危险物质的最大存在总量与其临界量的比值Q。</w:t>
      </w:r>
    </w:p>
    <w:p w14:paraId="655EE01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当只涉及一种危险物质时，计算该物质的总量与其临界量比值，即为Q；当存在多种危险物质时，则按</w:t>
      </w:r>
      <w:r>
        <w:rPr>
          <w:rFonts w:hint="default" w:ascii="Times New Roman" w:hAnsi="Times New Roman" w:cs="Times New Roman"/>
          <w:color w:val="auto"/>
          <w:kern w:val="2"/>
          <w:sz w:val="24"/>
          <w:szCs w:val="24"/>
          <w:highlight w:val="none"/>
          <w:lang w:val="en-US" w:eastAsia="zh-CN" w:bidi="ar-SA"/>
        </w:rPr>
        <w:t>下</w:t>
      </w:r>
      <w:r>
        <w:rPr>
          <w:rFonts w:hint="default" w:ascii="Times New Roman" w:hAnsi="Times New Roman" w:eastAsia="宋体" w:cs="Times New Roman"/>
          <w:color w:val="auto"/>
          <w:kern w:val="2"/>
          <w:sz w:val="24"/>
          <w:szCs w:val="24"/>
          <w:highlight w:val="none"/>
          <w:lang w:val="en-US" w:eastAsia="zh-CN" w:bidi="ar-SA"/>
        </w:rPr>
        <w:t>式计算物质总量与其临界量比值（Q）：</w:t>
      </w:r>
    </w:p>
    <w:p w14:paraId="3B5A23F6">
      <w:pPr>
        <w:keepNext w:val="0"/>
        <w:keepLines w:val="0"/>
        <w:pageBreakBefore w:val="0"/>
        <w:widowControl/>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position w:val="-30"/>
          <w:sz w:val="24"/>
          <w:szCs w:val="24"/>
        </w:rPr>
        <w:object>
          <v:shape id="_x0000_i1041" o:spt="75" type="#_x0000_t75" style="height:34pt;width:101pt;" o:ole="t" filled="f" o:preferrelative="t" stroked="f" coordsize="21600,21600">
            <v:path/>
            <v:fill on="f" focussize="0,0"/>
            <v:stroke on="f"/>
            <v:imagedata r:id="rId74" o:title=""/>
            <o:lock v:ext="edit" aspectratio="t"/>
            <w10:wrap type="none"/>
            <w10:anchorlock/>
          </v:shape>
          <o:OLEObject Type="Embed" ProgID="Equation.KSEE3" ShapeID="_x0000_i1041" DrawAspect="Content" ObjectID="_1468075743" r:id="rId73">
            <o:LockedField>false</o:LockedField>
          </o:OLEObject>
        </w:object>
      </w:r>
    </w:p>
    <w:p w14:paraId="309FB02A">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式中：q</w:t>
      </w:r>
      <w:r>
        <w:rPr>
          <w:rFonts w:hint="default" w:ascii="Times New Roman" w:hAnsi="Times New Roman" w:eastAsia="宋体" w:cs="Times New Roman"/>
          <w:color w:val="auto"/>
          <w:kern w:val="0"/>
          <w:sz w:val="24"/>
          <w:szCs w:val="24"/>
          <w:vertAlign w:val="subscript"/>
        </w:rPr>
        <w:t>1</w:t>
      </w:r>
      <w:r>
        <w:rPr>
          <w:rFonts w:hint="default" w:ascii="Times New Roman" w:hAnsi="Times New Roman" w:eastAsia="宋体" w:cs="Times New Roman"/>
          <w:color w:val="auto"/>
          <w:kern w:val="0"/>
          <w:sz w:val="24"/>
          <w:szCs w:val="24"/>
        </w:rPr>
        <w:t>，q</w:t>
      </w:r>
      <w:r>
        <w:rPr>
          <w:rFonts w:hint="default" w:ascii="Times New Roman" w:hAnsi="Times New Roman" w:eastAsia="宋体" w:cs="Times New Roman"/>
          <w:color w:val="auto"/>
          <w:kern w:val="0"/>
          <w:sz w:val="24"/>
          <w:szCs w:val="24"/>
          <w:vertAlign w:val="subscript"/>
        </w:rPr>
        <w:t>2</w:t>
      </w:r>
      <w:r>
        <w:rPr>
          <w:rFonts w:hint="default" w:ascii="Times New Roman" w:hAnsi="Times New Roman" w:eastAsia="宋体" w:cs="Times New Roman"/>
          <w:color w:val="auto"/>
          <w:kern w:val="0"/>
          <w:sz w:val="24"/>
          <w:szCs w:val="24"/>
        </w:rPr>
        <w:t>，...q</w:t>
      </w:r>
      <w:r>
        <w:rPr>
          <w:rFonts w:hint="default" w:ascii="Times New Roman" w:hAnsi="Times New Roman" w:eastAsia="宋体" w:cs="Times New Roman"/>
          <w:color w:val="auto"/>
          <w:kern w:val="0"/>
          <w:sz w:val="24"/>
          <w:szCs w:val="24"/>
          <w:vertAlign w:val="subscript"/>
        </w:rPr>
        <w:t>n</w:t>
      </w:r>
      <w:r>
        <w:rPr>
          <w:rFonts w:hint="default" w:ascii="Times New Roman" w:hAnsi="Times New Roman" w:eastAsia="宋体" w:cs="Times New Roman"/>
          <w:color w:val="auto"/>
          <w:kern w:val="0"/>
          <w:sz w:val="24"/>
          <w:szCs w:val="24"/>
        </w:rPr>
        <w:t>——每种危险物质的最大存在总量，t；</w:t>
      </w:r>
    </w:p>
    <w:p w14:paraId="7B8FE762">
      <w:pPr>
        <w:keepNext w:val="0"/>
        <w:keepLines w:val="0"/>
        <w:pageBreakBefore w:val="0"/>
        <w:widowControl/>
        <w:kinsoku/>
        <w:wordWrap/>
        <w:overflowPunct/>
        <w:topLinePunct w:val="0"/>
        <w:autoSpaceDE/>
        <w:autoSpaceDN/>
        <w:bidi w:val="0"/>
        <w:adjustRightInd w:val="0"/>
        <w:snapToGrid w:val="0"/>
        <w:spacing w:line="360" w:lineRule="auto"/>
        <w:ind w:firstLine="1200" w:firstLineChars="5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Q</w:t>
      </w:r>
      <w:r>
        <w:rPr>
          <w:rFonts w:hint="default" w:ascii="Times New Roman" w:hAnsi="Times New Roman" w:eastAsia="宋体" w:cs="Times New Roman"/>
          <w:color w:val="auto"/>
          <w:kern w:val="0"/>
          <w:sz w:val="24"/>
          <w:szCs w:val="24"/>
          <w:vertAlign w:val="subscript"/>
        </w:rPr>
        <w:t>1</w:t>
      </w:r>
      <w:r>
        <w:rPr>
          <w:rFonts w:hint="default" w:ascii="Times New Roman" w:hAnsi="Times New Roman" w:cs="Times New Roman"/>
          <w:color w:val="auto"/>
          <w:kern w:val="0"/>
          <w:sz w:val="24"/>
          <w:szCs w:val="24"/>
          <w:lang w:eastAsia="zh-CN"/>
        </w:rPr>
        <w:t>，</w:t>
      </w:r>
      <w:r>
        <w:rPr>
          <w:rFonts w:hint="default" w:ascii="Times New Roman" w:hAnsi="Times New Roman" w:eastAsia="宋体" w:cs="Times New Roman"/>
          <w:color w:val="auto"/>
          <w:kern w:val="0"/>
          <w:sz w:val="24"/>
          <w:szCs w:val="24"/>
        </w:rPr>
        <w:t>Q</w:t>
      </w:r>
      <w:r>
        <w:rPr>
          <w:rFonts w:hint="default" w:ascii="Times New Roman" w:hAnsi="Times New Roman" w:eastAsia="宋体" w:cs="Times New Roman"/>
          <w:color w:val="auto"/>
          <w:kern w:val="0"/>
          <w:sz w:val="24"/>
          <w:szCs w:val="24"/>
          <w:vertAlign w:val="subscript"/>
        </w:rPr>
        <w:t>2</w:t>
      </w:r>
      <w:r>
        <w:rPr>
          <w:rFonts w:hint="default" w:ascii="Times New Roman" w:hAnsi="Times New Roman" w:cs="Times New Roman"/>
          <w:color w:val="auto"/>
          <w:kern w:val="0"/>
          <w:sz w:val="24"/>
          <w:szCs w:val="24"/>
          <w:lang w:eastAsia="zh-CN"/>
        </w:rPr>
        <w:t>，</w:t>
      </w:r>
      <w:r>
        <w:rPr>
          <w:rFonts w:hint="default" w:ascii="Times New Roman" w:hAnsi="Times New Roman" w:eastAsia="宋体" w:cs="Times New Roman"/>
          <w:color w:val="auto"/>
          <w:kern w:val="0"/>
          <w:sz w:val="24"/>
          <w:szCs w:val="24"/>
        </w:rPr>
        <w:t>...Q</w:t>
      </w:r>
      <w:r>
        <w:rPr>
          <w:rFonts w:hint="default" w:ascii="Times New Roman" w:hAnsi="Times New Roman" w:eastAsia="宋体" w:cs="Times New Roman"/>
          <w:color w:val="auto"/>
          <w:kern w:val="0"/>
          <w:sz w:val="24"/>
          <w:szCs w:val="24"/>
          <w:vertAlign w:val="subscript"/>
        </w:rPr>
        <w:t>n</w:t>
      </w:r>
      <w:r>
        <w:rPr>
          <w:rFonts w:hint="default" w:ascii="Times New Roman" w:hAnsi="Times New Roman" w:eastAsia="宋体" w:cs="Times New Roman"/>
          <w:color w:val="auto"/>
          <w:kern w:val="0"/>
          <w:sz w:val="24"/>
          <w:szCs w:val="24"/>
        </w:rPr>
        <w:t>——每种危险物质的临界量，t。</w:t>
      </w:r>
    </w:p>
    <w:p w14:paraId="6AC5F4BF">
      <w:pPr>
        <w:keepNext w:val="0"/>
        <w:keepLines w:val="0"/>
        <w:pageBreakBefore w:val="0"/>
        <w:widowControl/>
        <w:kinsoku/>
        <w:wordWrap/>
        <w:overflowPunct/>
        <w:topLinePunct w:val="0"/>
        <w:autoSpaceDE/>
        <w:autoSpaceDN/>
        <w:bidi w:val="0"/>
        <w:adjustRightInd w:val="0"/>
        <w:snapToGrid w:val="0"/>
        <w:spacing w:line="360" w:lineRule="auto"/>
        <w:ind w:firstLine="1200" w:firstLineChars="500"/>
        <w:jc w:val="left"/>
        <w:textAlignment w:val="auto"/>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当Q＜1时，该项目环境风险潜势为Ⅰ。</w:t>
      </w:r>
    </w:p>
    <w:p w14:paraId="2AADB5E1">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eastAsia="zh-CN"/>
        </w:rPr>
      </w:pPr>
      <w:r>
        <w:rPr>
          <w:rFonts w:hint="default" w:ascii="Times New Roman" w:hAnsi="Times New Roman" w:eastAsia="宋体" w:cs="Times New Roman"/>
          <w:color w:val="auto"/>
          <w:kern w:val="0"/>
          <w:sz w:val="24"/>
          <w:szCs w:val="24"/>
        </w:rPr>
        <w:t>当Q≥1时，将Q值划分为：（1）1≤Q＜10；（2）10≤Q＜100；（3）Q≥100。</w:t>
      </w:r>
    </w:p>
    <w:p w14:paraId="6E03F241">
      <w:pPr>
        <w:pStyle w:val="38"/>
        <w:keepNext w:val="0"/>
        <w:keepLines w:val="0"/>
        <w:pageBreakBefore w:val="0"/>
        <w:widowControl w:val="0"/>
        <w:kinsoku/>
        <w:wordWrap/>
        <w:overflowPunct/>
        <w:topLinePunct w:val="0"/>
        <w:autoSpaceDE/>
        <w:autoSpaceDN/>
        <w:bidi w:val="0"/>
        <w:adjustRightInd/>
        <w:snapToGrid/>
        <w:spacing w:after="0" w:line="360" w:lineRule="auto"/>
        <w:ind w:left="0" w:leftChars="0" w:firstLine="528"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rPr>
        <w:t>本项目危险物质与临界量的比</w:t>
      </w:r>
      <w:r>
        <w:rPr>
          <w:rFonts w:hint="default" w:ascii="Times New Roman" w:hAnsi="Times New Roman" w:eastAsia="宋体" w:cs="Times New Roman"/>
          <w:color w:val="auto"/>
          <w:kern w:val="0"/>
          <w:sz w:val="24"/>
          <w:szCs w:val="24"/>
          <w:highlight w:val="none"/>
        </w:rPr>
        <w:t>值计算结果见表</w:t>
      </w:r>
      <w:r>
        <w:rPr>
          <w:rFonts w:hint="eastAsia" w:ascii="Times New Roman" w:hAnsi="Times New Roman" w:cs="Times New Roman"/>
          <w:color w:val="auto"/>
          <w:kern w:val="0"/>
          <w:sz w:val="24"/>
          <w:szCs w:val="24"/>
          <w:highlight w:val="none"/>
          <w:lang w:val="en-US" w:eastAsia="zh-CN"/>
        </w:rPr>
        <w:t>5.3-1</w:t>
      </w:r>
      <w:r>
        <w:rPr>
          <w:rFonts w:hint="default" w:ascii="Times New Roman" w:hAnsi="Times New Roman" w:eastAsia="宋体" w:cs="Times New Roman"/>
          <w:color w:val="auto"/>
          <w:kern w:val="0"/>
          <w:sz w:val="24"/>
          <w:szCs w:val="24"/>
          <w:highlight w:val="none"/>
          <w:lang w:val="en-US" w:eastAsia="zh-CN"/>
        </w:rPr>
        <w:t>。</w:t>
      </w:r>
    </w:p>
    <w:p w14:paraId="4889964D">
      <w:pPr>
        <w:pStyle w:val="200"/>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表</w:t>
      </w:r>
      <w:r>
        <w:rPr>
          <w:rFonts w:hint="eastAsia" w:ascii="Times New Roman" w:hAnsi="Times New Roman" w:cs="Times New Roman"/>
          <w:b/>
          <w:bCs/>
          <w:color w:val="auto"/>
          <w:sz w:val="24"/>
          <w:szCs w:val="24"/>
          <w:highlight w:val="none"/>
          <w:lang w:val="en-US" w:eastAsia="zh-CN"/>
        </w:rPr>
        <w:t>5.3-1</w:t>
      </w:r>
      <w:r>
        <w:rPr>
          <w:rFonts w:hint="default" w:ascii="Times New Roman" w:hAnsi="Times New Roman" w:eastAsia="宋体" w:cs="Times New Roman"/>
          <w:b/>
          <w:bCs/>
          <w:color w:val="auto"/>
          <w:sz w:val="24"/>
          <w:szCs w:val="24"/>
          <w:highlight w:val="none"/>
          <w:lang w:val="en-US" w:eastAsia="zh-CN"/>
        </w:rPr>
        <w:t xml:space="preserve"> </w:t>
      </w:r>
      <w:r>
        <w:rPr>
          <w:rFonts w:hint="default" w:ascii="Times New Roman" w:hAnsi="Times New Roman" w:cs="Times New Roman"/>
          <w:b/>
          <w:bCs/>
          <w:color w:val="auto"/>
          <w:sz w:val="24"/>
          <w:szCs w:val="24"/>
          <w:highlight w:val="none"/>
          <w:lang w:val="en-US" w:eastAsia="zh-CN"/>
        </w:rPr>
        <w:t>项目</w:t>
      </w:r>
      <w:r>
        <w:rPr>
          <w:rFonts w:hint="default" w:ascii="Times New Roman" w:hAnsi="Times New Roman" w:eastAsia="宋体" w:cs="Times New Roman"/>
          <w:b/>
          <w:bCs/>
          <w:color w:val="auto"/>
          <w:sz w:val="24"/>
          <w:szCs w:val="24"/>
          <w:highlight w:val="none"/>
          <w:lang w:val="en-US" w:eastAsia="zh-CN"/>
        </w:rPr>
        <w:t>Q值确定表</w:t>
      </w:r>
    </w:p>
    <w:tbl>
      <w:tblPr>
        <w:tblStyle w:val="39"/>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2714"/>
        <w:gridCol w:w="1978"/>
        <w:gridCol w:w="1437"/>
        <w:gridCol w:w="1703"/>
      </w:tblGrid>
      <w:tr w14:paraId="09A1358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99" w:type="pct"/>
            <w:tcBorders>
              <w:tl2br w:val="nil"/>
              <w:tr2bl w:val="nil"/>
            </w:tcBorders>
            <w:noWrap w:val="0"/>
            <w:vAlign w:val="center"/>
          </w:tcPr>
          <w:p w14:paraId="114D4B22">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序号</w:t>
            </w:r>
          </w:p>
        </w:tc>
        <w:tc>
          <w:tcPr>
            <w:tcW w:w="1594" w:type="pct"/>
            <w:tcBorders>
              <w:tl2br w:val="nil"/>
              <w:tr2bl w:val="nil"/>
            </w:tcBorders>
            <w:noWrap w:val="0"/>
            <w:vAlign w:val="center"/>
          </w:tcPr>
          <w:p w14:paraId="6CEC18B8">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cs="Times New Roman"/>
                <w:b/>
                <w:bCs/>
                <w:sz w:val="21"/>
                <w:szCs w:val="21"/>
                <w:highlight w:val="none"/>
                <w:lang w:val="en-US" w:eastAsia="zh-CN"/>
              </w:rPr>
              <w:t>危险</w:t>
            </w:r>
            <w:r>
              <w:rPr>
                <w:rFonts w:hint="default" w:ascii="Times New Roman" w:hAnsi="Times New Roman" w:eastAsia="宋体" w:cs="Times New Roman"/>
                <w:b/>
                <w:bCs/>
                <w:sz w:val="21"/>
                <w:szCs w:val="21"/>
                <w:highlight w:val="none"/>
              </w:rPr>
              <w:t>物质名称</w:t>
            </w:r>
          </w:p>
        </w:tc>
        <w:tc>
          <w:tcPr>
            <w:tcW w:w="1162" w:type="pct"/>
            <w:tcBorders>
              <w:tl2br w:val="nil"/>
              <w:tr2bl w:val="nil"/>
            </w:tcBorders>
            <w:noWrap w:val="0"/>
            <w:vAlign w:val="center"/>
          </w:tcPr>
          <w:p w14:paraId="2E2FCB65">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lang w:val="en-US"/>
              </w:rPr>
            </w:pPr>
            <w:r>
              <w:rPr>
                <w:rFonts w:hint="default" w:ascii="Times New Roman" w:hAnsi="Times New Roman" w:cs="Times New Roman"/>
                <w:b/>
                <w:bCs/>
                <w:sz w:val="21"/>
                <w:szCs w:val="21"/>
                <w:highlight w:val="none"/>
                <w:lang w:val="en-US" w:eastAsia="zh-CN"/>
              </w:rPr>
              <w:t>最大存在总量q</w:t>
            </w:r>
            <w:r>
              <w:rPr>
                <w:rFonts w:hint="default" w:ascii="Times New Roman" w:hAnsi="Times New Roman" w:cs="Times New Roman"/>
                <w:b/>
                <w:bCs/>
                <w:sz w:val="21"/>
                <w:szCs w:val="21"/>
                <w:highlight w:val="none"/>
                <w:vertAlign w:val="subscript"/>
                <w:lang w:val="en-US" w:eastAsia="zh-CN"/>
              </w:rPr>
              <w:t>n</w:t>
            </w:r>
            <w:r>
              <w:rPr>
                <w:rFonts w:hint="default" w:ascii="Times New Roman" w:hAnsi="Times New Roman" w:cs="Times New Roman"/>
                <w:b/>
                <w:bCs/>
                <w:sz w:val="21"/>
                <w:szCs w:val="21"/>
                <w:highlight w:val="none"/>
                <w:lang w:val="en-US" w:eastAsia="zh-CN"/>
              </w:rPr>
              <w:t>/t</w:t>
            </w:r>
          </w:p>
        </w:tc>
        <w:tc>
          <w:tcPr>
            <w:tcW w:w="843" w:type="pct"/>
            <w:tcBorders>
              <w:tl2br w:val="nil"/>
              <w:tr2bl w:val="nil"/>
            </w:tcBorders>
            <w:noWrap w:val="0"/>
            <w:vAlign w:val="center"/>
          </w:tcPr>
          <w:p w14:paraId="3C7F7FD2">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临界量</w:t>
            </w:r>
            <w:r>
              <w:rPr>
                <w:rFonts w:hint="default" w:ascii="Times New Roman" w:hAnsi="Times New Roman" w:cs="Times New Roman"/>
                <w:b/>
                <w:bCs/>
                <w:sz w:val="21"/>
                <w:szCs w:val="21"/>
                <w:highlight w:val="none"/>
                <w:lang w:val="en-US" w:eastAsia="zh-CN"/>
              </w:rPr>
              <w:t>Q</w:t>
            </w:r>
            <w:r>
              <w:rPr>
                <w:rFonts w:hint="default" w:ascii="Times New Roman" w:hAnsi="Times New Roman" w:cs="Times New Roman"/>
                <w:b/>
                <w:bCs/>
                <w:sz w:val="21"/>
                <w:szCs w:val="21"/>
                <w:highlight w:val="none"/>
                <w:vertAlign w:val="subscript"/>
                <w:lang w:val="en-US" w:eastAsia="zh-CN"/>
              </w:rPr>
              <w:t>n</w:t>
            </w:r>
            <w:r>
              <w:rPr>
                <w:rFonts w:hint="default" w:ascii="Times New Roman" w:hAnsi="Times New Roman" w:cs="Times New Roman"/>
                <w:b/>
                <w:bCs/>
                <w:sz w:val="21"/>
                <w:szCs w:val="21"/>
                <w:highlight w:val="none"/>
                <w:lang w:val="en-US" w:eastAsia="zh-CN"/>
              </w:rPr>
              <w:t>/t</w:t>
            </w:r>
          </w:p>
        </w:tc>
        <w:tc>
          <w:tcPr>
            <w:tcW w:w="1000" w:type="pct"/>
            <w:tcBorders>
              <w:tl2br w:val="nil"/>
              <w:tr2bl w:val="nil"/>
            </w:tcBorders>
            <w:noWrap w:val="0"/>
            <w:vAlign w:val="center"/>
          </w:tcPr>
          <w:p w14:paraId="03618685">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Q值</w:t>
            </w:r>
          </w:p>
        </w:tc>
      </w:tr>
      <w:tr w14:paraId="708735C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99" w:type="pct"/>
            <w:tcBorders>
              <w:tl2br w:val="nil"/>
              <w:tr2bl w:val="nil"/>
            </w:tcBorders>
            <w:noWrap w:val="0"/>
            <w:vAlign w:val="center"/>
          </w:tcPr>
          <w:p w14:paraId="6BFF1677">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c>
          <w:tcPr>
            <w:tcW w:w="1594" w:type="pct"/>
            <w:tcBorders>
              <w:tl2br w:val="nil"/>
              <w:tr2bl w:val="nil"/>
            </w:tcBorders>
            <w:noWrap w:val="0"/>
            <w:vAlign w:val="center"/>
          </w:tcPr>
          <w:p w14:paraId="73ACA3DB">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液态废物（以二甲基硫醚计）</w:t>
            </w:r>
          </w:p>
        </w:tc>
        <w:tc>
          <w:tcPr>
            <w:tcW w:w="1162" w:type="pct"/>
            <w:tcBorders>
              <w:tl2br w:val="nil"/>
              <w:tr2bl w:val="nil"/>
            </w:tcBorders>
            <w:noWrap w:val="0"/>
            <w:vAlign w:val="center"/>
          </w:tcPr>
          <w:p w14:paraId="3F29475C">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0.4153</w:t>
            </w:r>
          </w:p>
        </w:tc>
        <w:tc>
          <w:tcPr>
            <w:tcW w:w="843" w:type="pct"/>
            <w:tcBorders>
              <w:tl2br w:val="nil"/>
              <w:tr2bl w:val="nil"/>
            </w:tcBorders>
            <w:noWrap w:val="0"/>
            <w:vAlign w:val="center"/>
          </w:tcPr>
          <w:p w14:paraId="23651743">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10</w:t>
            </w:r>
          </w:p>
        </w:tc>
        <w:tc>
          <w:tcPr>
            <w:tcW w:w="1000" w:type="pct"/>
            <w:tcBorders>
              <w:tl2br w:val="nil"/>
              <w:tr2bl w:val="nil"/>
            </w:tcBorders>
            <w:noWrap w:val="0"/>
            <w:vAlign w:val="center"/>
          </w:tcPr>
          <w:p w14:paraId="796C72DF">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0.04153</w:t>
            </w:r>
          </w:p>
        </w:tc>
      </w:tr>
      <w:tr w14:paraId="2594A50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99" w:type="pct"/>
            <w:tcBorders>
              <w:tl2br w:val="nil"/>
              <w:tr2bl w:val="nil"/>
            </w:tcBorders>
            <w:noWrap w:val="0"/>
            <w:vAlign w:val="center"/>
          </w:tcPr>
          <w:p w14:paraId="3C708E05">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1594" w:type="pct"/>
            <w:tcBorders>
              <w:tl2br w:val="nil"/>
              <w:tr2bl w:val="nil"/>
            </w:tcBorders>
            <w:noWrap w:val="0"/>
            <w:vAlign w:val="center"/>
          </w:tcPr>
          <w:p w14:paraId="5B844A19">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固态废物（健康危险急性毒性物质）</w:t>
            </w:r>
          </w:p>
        </w:tc>
        <w:tc>
          <w:tcPr>
            <w:tcW w:w="1162" w:type="pct"/>
            <w:tcBorders>
              <w:tl2br w:val="nil"/>
              <w:tr2bl w:val="nil"/>
            </w:tcBorders>
            <w:noWrap w:val="0"/>
            <w:vAlign w:val="center"/>
          </w:tcPr>
          <w:p w14:paraId="1B7E8F71">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2</w:t>
            </w:r>
          </w:p>
        </w:tc>
        <w:tc>
          <w:tcPr>
            <w:tcW w:w="843" w:type="pct"/>
            <w:tcBorders>
              <w:tl2br w:val="nil"/>
              <w:tr2bl w:val="nil"/>
            </w:tcBorders>
            <w:noWrap w:val="0"/>
            <w:vAlign w:val="center"/>
          </w:tcPr>
          <w:p w14:paraId="11FFF208">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50</w:t>
            </w:r>
          </w:p>
        </w:tc>
        <w:tc>
          <w:tcPr>
            <w:tcW w:w="1000" w:type="pct"/>
            <w:tcBorders>
              <w:tl2br w:val="nil"/>
              <w:tr2bl w:val="nil"/>
            </w:tcBorders>
            <w:noWrap w:val="0"/>
            <w:vAlign w:val="center"/>
          </w:tcPr>
          <w:p w14:paraId="7EE62630">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0.04</w:t>
            </w:r>
          </w:p>
        </w:tc>
      </w:tr>
      <w:tr w14:paraId="23A0928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3999" w:type="pct"/>
            <w:gridSpan w:val="4"/>
            <w:tcBorders>
              <w:tl2br w:val="nil"/>
              <w:tr2bl w:val="nil"/>
            </w:tcBorders>
            <w:noWrap w:val="0"/>
            <w:vAlign w:val="center"/>
          </w:tcPr>
          <w:p w14:paraId="14EA7290">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合计</w:t>
            </w:r>
          </w:p>
        </w:tc>
        <w:tc>
          <w:tcPr>
            <w:tcW w:w="1000" w:type="pct"/>
            <w:tcBorders>
              <w:tl2br w:val="nil"/>
              <w:tr2bl w:val="nil"/>
            </w:tcBorders>
            <w:noWrap w:val="0"/>
            <w:vAlign w:val="center"/>
          </w:tcPr>
          <w:p w14:paraId="52DA3ED3">
            <w:pPr>
              <w:keepNext w:val="0"/>
              <w:keepLines w:val="0"/>
              <w:pageBreakBefore w:val="0"/>
              <w:widowControl w:val="0"/>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0.08153</w:t>
            </w:r>
          </w:p>
        </w:tc>
      </w:tr>
    </w:tbl>
    <w:p w14:paraId="5C9B5BD8">
      <w:pPr>
        <w:pageBreakBefore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rPr>
      </w:pPr>
      <w:r>
        <w:rPr>
          <w:rFonts w:hint="default" w:ascii="Times New Roman" w:hAnsi="Times New Roman" w:eastAsia="宋体" w:cs="Times New Roman"/>
          <w:color w:val="auto"/>
          <w:kern w:val="2"/>
          <w:sz w:val="24"/>
          <w:szCs w:val="24"/>
          <w:highlight w:val="none"/>
          <w:lang w:val="en-US" w:eastAsia="zh-CN" w:bidi="ar-SA"/>
        </w:rPr>
        <w:t>根据上表计算结果，本项目Q=</w:t>
      </w:r>
      <w:r>
        <w:rPr>
          <w:rFonts w:hint="default" w:ascii="Times New Roman" w:hAnsi="Times New Roman" w:cs="Times New Roman"/>
          <w:color w:val="auto"/>
          <w:kern w:val="2"/>
          <w:sz w:val="24"/>
          <w:szCs w:val="24"/>
          <w:highlight w:val="none"/>
          <w:lang w:val="en-US" w:eastAsia="zh-CN" w:bidi="ar-SA"/>
        </w:rPr>
        <w:t>0.08153</w:t>
      </w:r>
      <w:r>
        <w:rPr>
          <w:rFonts w:hint="default" w:ascii="Times New Roman" w:hAnsi="Times New Roman" w:eastAsia="宋体" w:cs="Times New Roman"/>
          <w:color w:val="auto"/>
          <w:kern w:val="2"/>
          <w:sz w:val="24"/>
          <w:szCs w:val="24"/>
          <w:highlight w:val="none"/>
          <w:lang w:val="en-US" w:eastAsia="zh-CN" w:bidi="ar-SA"/>
        </w:rPr>
        <w:t>，Q＜1，判断项目风险潜势为Ⅰ</w:t>
      </w:r>
      <w:r>
        <w:rPr>
          <w:rFonts w:hint="default" w:ascii="Times New Roman" w:hAnsi="Times New Roman" w:cs="Times New Roman"/>
          <w:color w:val="auto"/>
          <w:kern w:val="2"/>
          <w:sz w:val="24"/>
          <w:szCs w:val="24"/>
          <w:highlight w:val="none"/>
          <w:lang w:val="en-US" w:eastAsia="zh-CN" w:bidi="ar-SA"/>
        </w:rPr>
        <w:t>。</w:t>
      </w:r>
    </w:p>
    <w:p w14:paraId="4F1F61B8">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975" w:name="_Ref130227794"/>
      <w:r>
        <w:rPr>
          <w:rFonts w:hint="default" w:ascii="Times New Roman" w:hAnsi="Times New Roman" w:cs="Times New Roman"/>
          <w:b/>
          <w:bCs/>
        </w:rPr>
        <w:t>表</w:t>
      </w:r>
      <w:bookmarkEnd w:id="975"/>
      <w:r>
        <w:rPr>
          <w:rFonts w:hint="eastAsia" w:ascii="Times New Roman" w:hAnsi="Times New Roman" w:cs="Times New Roman"/>
          <w:b/>
          <w:bCs/>
          <w:lang w:val="en-US" w:eastAsia="zh-CN"/>
        </w:rPr>
        <w:t>5.3-2</w:t>
      </w:r>
      <w:r>
        <w:rPr>
          <w:rFonts w:hint="default" w:ascii="Times New Roman" w:hAnsi="Times New Roman" w:cs="Times New Roman"/>
          <w:b/>
          <w:bCs/>
        </w:rPr>
        <w:t xml:space="preserve"> 评价工作等级划分</w:t>
      </w:r>
    </w:p>
    <w:tbl>
      <w:tblPr>
        <w:tblStyle w:val="39"/>
        <w:tblW w:w="4999"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02"/>
        <w:gridCol w:w="1703"/>
        <w:gridCol w:w="1703"/>
        <w:gridCol w:w="1703"/>
        <w:gridCol w:w="1703"/>
      </w:tblGrid>
      <w:tr w14:paraId="642CA06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00" w:type="pct"/>
            <w:tcBorders>
              <w:tl2br w:val="nil"/>
              <w:tr2bl w:val="nil"/>
            </w:tcBorders>
            <w:vAlign w:val="center"/>
          </w:tcPr>
          <w:p w14:paraId="01F4B5C0">
            <w:pPr>
              <w:widowControl/>
              <w:autoSpaceDE/>
              <w:autoSpaceDN/>
              <w:spacing w:before="0" w:after="0" w:line="240" w:lineRule="auto"/>
              <w:ind w:left="0" w:firstLine="0"/>
              <w:jc w:val="center"/>
              <w:textAlignment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环境风险潜势</w:t>
            </w:r>
          </w:p>
        </w:tc>
        <w:tc>
          <w:tcPr>
            <w:tcW w:w="1000" w:type="pct"/>
            <w:tcBorders>
              <w:tl2br w:val="nil"/>
              <w:tr2bl w:val="nil"/>
            </w:tcBorders>
            <w:vAlign w:val="center"/>
          </w:tcPr>
          <w:p w14:paraId="23ED3B6D">
            <w:pPr>
              <w:widowControl/>
              <w:autoSpaceDE/>
              <w:autoSpaceDN/>
              <w:spacing w:before="0" w:after="0" w:line="240" w:lineRule="auto"/>
              <w:ind w:left="0" w:firstLine="0"/>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Ⅳ，Ⅵ</w:t>
            </w:r>
          </w:p>
        </w:tc>
        <w:tc>
          <w:tcPr>
            <w:tcW w:w="1000" w:type="pct"/>
            <w:tcBorders>
              <w:tl2br w:val="nil"/>
              <w:tr2bl w:val="nil"/>
            </w:tcBorders>
            <w:vAlign w:val="center"/>
          </w:tcPr>
          <w:p w14:paraId="5F0D92AC">
            <w:pPr>
              <w:widowControl/>
              <w:autoSpaceDE/>
              <w:autoSpaceDN/>
              <w:spacing w:before="0" w:after="0" w:line="240" w:lineRule="auto"/>
              <w:ind w:left="0" w:firstLine="0"/>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Ⅲ</w:t>
            </w:r>
          </w:p>
        </w:tc>
        <w:tc>
          <w:tcPr>
            <w:tcW w:w="1000" w:type="pct"/>
            <w:tcBorders>
              <w:tl2br w:val="nil"/>
              <w:tr2bl w:val="nil"/>
            </w:tcBorders>
            <w:vAlign w:val="center"/>
          </w:tcPr>
          <w:p w14:paraId="26C0CBAB">
            <w:pPr>
              <w:widowControl/>
              <w:autoSpaceDE/>
              <w:autoSpaceDN/>
              <w:spacing w:before="0" w:after="0" w:line="240" w:lineRule="auto"/>
              <w:ind w:left="0" w:firstLine="0"/>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Ⅱ</w:t>
            </w:r>
          </w:p>
        </w:tc>
        <w:tc>
          <w:tcPr>
            <w:tcW w:w="1000" w:type="pct"/>
            <w:tcBorders>
              <w:tl2br w:val="nil"/>
              <w:tr2bl w:val="nil"/>
            </w:tcBorders>
            <w:vAlign w:val="center"/>
          </w:tcPr>
          <w:p w14:paraId="4D522A46">
            <w:pPr>
              <w:widowControl/>
              <w:autoSpaceDE/>
              <w:autoSpaceDN/>
              <w:spacing w:before="0" w:after="0" w:line="240" w:lineRule="auto"/>
              <w:ind w:left="0" w:firstLine="0"/>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Ⅰ</w:t>
            </w:r>
          </w:p>
        </w:tc>
      </w:tr>
      <w:tr w14:paraId="7A481E6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000" w:type="pct"/>
            <w:tcBorders>
              <w:tl2br w:val="nil"/>
              <w:tr2bl w:val="nil"/>
            </w:tcBorders>
            <w:vAlign w:val="center"/>
          </w:tcPr>
          <w:p w14:paraId="1F11D174">
            <w:pPr>
              <w:widowControl/>
              <w:autoSpaceDE/>
              <w:autoSpaceDN/>
              <w:spacing w:before="0" w:after="0" w:line="240" w:lineRule="auto"/>
              <w:ind w:left="0" w:firstLine="0"/>
              <w:jc w:val="center"/>
              <w:textAlignment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评价工作等级</w:t>
            </w:r>
          </w:p>
        </w:tc>
        <w:tc>
          <w:tcPr>
            <w:tcW w:w="1000" w:type="pct"/>
            <w:tcBorders>
              <w:tl2br w:val="nil"/>
              <w:tr2bl w:val="nil"/>
            </w:tcBorders>
            <w:vAlign w:val="center"/>
          </w:tcPr>
          <w:p w14:paraId="099D20AB">
            <w:pPr>
              <w:widowControl/>
              <w:autoSpaceDE/>
              <w:autoSpaceDN/>
              <w:spacing w:before="0" w:after="0" w:line="240" w:lineRule="auto"/>
              <w:ind w:left="0" w:firstLine="0"/>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一</w:t>
            </w:r>
          </w:p>
        </w:tc>
        <w:tc>
          <w:tcPr>
            <w:tcW w:w="1000" w:type="pct"/>
            <w:tcBorders>
              <w:tl2br w:val="nil"/>
              <w:tr2bl w:val="nil"/>
            </w:tcBorders>
            <w:vAlign w:val="center"/>
          </w:tcPr>
          <w:p w14:paraId="6BFAE535">
            <w:pPr>
              <w:widowControl/>
              <w:autoSpaceDE/>
              <w:autoSpaceDN/>
              <w:spacing w:before="0" w:after="0" w:line="240" w:lineRule="auto"/>
              <w:ind w:left="0" w:firstLine="0"/>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二</w:t>
            </w:r>
          </w:p>
        </w:tc>
        <w:tc>
          <w:tcPr>
            <w:tcW w:w="1000" w:type="pct"/>
            <w:tcBorders>
              <w:tl2br w:val="nil"/>
              <w:tr2bl w:val="nil"/>
            </w:tcBorders>
            <w:vAlign w:val="center"/>
          </w:tcPr>
          <w:p w14:paraId="13381F16">
            <w:pPr>
              <w:widowControl/>
              <w:autoSpaceDE/>
              <w:autoSpaceDN/>
              <w:spacing w:before="0" w:after="0" w:line="240" w:lineRule="auto"/>
              <w:ind w:left="0" w:firstLine="0"/>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三</w:t>
            </w:r>
          </w:p>
        </w:tc>
        <w:tc>
          <w:tcPr>
            <w:tcW w:w="1000" w:type="pct"/>
            <w:tcBorders>
              <w:tl2br w:val="nil"/>
              <w:tr2bl w:val="nil"/>
            </w:tcBorders>
            <w:vAlign w:val="center"/>
          </w:tcPr>
          <w:p w14:paraId="6B0D5A25">
            <w:pPr>
              <w:widowControl/>
              <w:autoSpaceDE/>
              <w:autoSpaceDN/>
              <w:spacing w:before="0" w:after="0" w:line="240" w:lineRule="auto"/>
              <w:ind w:left="0" w:firstLine="0"/>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简单分析</w:t>
            </w:r>
          </w:p>
        </w:tc>
      </w:tr>
    </w:tbl>
    <w:p w14:paraId="1601384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2"/>
          <w:sz w:val="24"/>
          <w:szCs w:val="24"/>
          <w:highlight w:val="none"/>
          <w:lang w:val="en-US" w:eastAsia="zh-CN" w:bidi="ar-SA"/>
        </w:rPr>
        <w:t>根据《建设项目环境风险评价技术导则》（HJ169-2018）相关要求，</w:t>
      </w:r>
      <w:r>
        <w:rPr>
          <w:rFonts w:hint="default" w:ascii="Times New Roman" w:hAnsi="Times New Roman" w:cs="Times New Roman"/>
        </w:rPr>
        <w:t>环境风险评级工作等级划分为一级、二级、三级</w:t>
      </w:r>
      <w:r>
        <w:rPr>
          <w:rFonts w:hint="eastAsia" w:cs="Times New Roman"/>
          <w:lang w:eastAsia="zh-CN"/>
        </w:rPr>
        <w:t>，</w:t>
      </w:r>
      <w:r>
        <w:rPr>
          <w:rFonts w:hint="default" w:ascii="Times New Roman" w:hAnsi="Times New Roman" w:cs="Times New Roman"/>
        </w:rPr>
        <w:t>按照</w:t>
      </w:r>
      <w:r>
        <w:rPr>
          <w:rFonts w:hint="default" w:ascii="Times New Roman" w:hAnsi="Times New Roman" w:cs="Times New Roman"/>
        </w:rPr>
        <w:fldChar w:fldCharType="begin"/>
      </w:r>
      <w:r>
        <w:rPr>
          <w:rFonts w:hint="default" w:ascii="Times New Roman" w:hAnsi="Times New Roman" w:cs="Times New Roman"/>
        </w:rPr>
        <w:instrText xml:space="preserve"> REF _Ref130227794 \h  \* MERGEFORMAT </w:instrText>
      </w:r>
      <w:r>
        <w:rPr>
          <w:rFonts w:hint="default" w:ascii="Times New Roman" w:hAnsi="Times New Roman" w:cs="Times New Roman"/>
        </w:rPr>
        <w:fldChar w:fldCharType="separate"/>
      </w:r>
      <w:r>
        <w:rPr>
          <w:rFonts w:hint="default" w:ascii="Times New Roman" w:hAnsi="Times New Roman" w:cs="Times New Roman"/>
        </w:rPr>
        <w:t>表5.3</w:t>
      </w:r>
      <w:r>
        <w:rPr>
          <w:rFonts w:hint="default" w:ascii="Times New Roman" w:hAnsi="Times New Roman" w:cs="Times New Roman"/>
        </w:rPr>
        <w:noBreakHyphen/>
      </w:r>
      <w:r>
        <w:rPr>
          <w:rFonts w:hint="eastAsia"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rPr>
        <w:t>确定评价工作等级</w:t>
      </w:r>
      <w:r>
        <w:rPr>
          <w:rFonts w:hint="eastAsia" w:cs="Times New Roman"/>
          <w:lang w:eastAsia="zh-CN"/>
        </w:rPr>
        <w:t>，</w:t>
      </w:r>
      <w:r>
        <w:rPr>
          <w:rFonts w:hint="default" w:ascii="Times New Roman" w:hAnsi="Times New Roman" w:cs="Times New Roman"/>
        </w:rPr>
        <w:t>本项目风险潜势为Ⅰ，按照导则要求对项目环境风险进行简单分析。</w:t>
      </w:r>
    </w:p>
    <w:p w14:paraId="63CFFC22">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5.3.</w:t>
      </w:r>
      <w:r>
        <w:rPr>
          <w:rFonts w:hint="default" w:ascii="Times New Roman" w:hAnsi="Times New Roman" w:cs="Times New Roman"/>
          <w:b/>
          <w:bCs w:val="0"/>
          <w:kern w:val="2"/>
          <w:sz w:val="24"/>
          <w:szCs w:val="24"/>
          <w:highlight w:val="none"/>
          <w:lang w:val="en-US" w:eastAsia="zh-CN"/>
        </w:rPr>
        <w:t>5</w:t>
      </w:r>
      <w:r>
        <w:rPr>
          <w:rFonts w:hint="default" w:ascii="Times New Roman" w:hAnsi="Times New Roman" w:eastAsia="宋体" w:cs="Times New Roman"/>
          <w:b/>
          <w:bCs w:val="0"/>
          <w:kern w:val="2"/>
          <w:sz w:val="24"/>
          <w:szCs w:val="24"/>
          <w:highlight w:val="none"/>
          <w:lang w:val="en-US" w:eastAsia="zh-CN"/>
        </w:rPr>
        <w:t>环境风险</w:t>
      </w:r>
      <w:r>
        <w:rPr>
          <w:rFonts w:hint="default" w:ascii="Times New Roman" w:hAnsi="Times New Roman" w:cs="Times New Roman"/>
          <w:b/>
          <w:bCs w:val="0"/>
          <w:kern w:val="2"/>
          <w:sz w:val="24"/>
          <w:szCs w:val="24"/>
          <w:highlight w:val="none"/>
          <w:lang w:val="en-US" w:eastAsia="zh-CN"/>
        </w:rPr>
        <w:t>识别</w:t>
      </w:r>
    </w:p>
    <w:p w14:paraId="2D6ACB9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1</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物质危险性识别</w:t>
      </w:r>
    </w:p>
    <w:p w14:paraId="4B6BE1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项目所处置危险废物均不在企业厂区内贮存，需处置时直接由兴发化工危险废物贮存设施送至兴悦化工水泥窑内，项目</w:t>
      </w:r>
      <w:r>
        <w:rPr>
          <w:rFonts w:hint="eastAsia" w:ascii="Times New Roman" w:hAnsi="Times New Roman" w:cs="Times New Roman"/>
          <w:sz w:val="24"/>
          <w:szCs w:val="24"/>
          <w:highlight w:val="none"/>
          <w:lang w:val="en-US" w:eastAsia="zh-CN"/>
        </w:rPr>
        <w:t>协同处置过程</w:t>
      </w:r>
      <w:r>
        <w:rPr>
          <w:rFonts w:hint="default" w:ascii="Times New Roman" w:hAnsi="Times New Roman" w:cs="Times New Roman"/>
          <w:sz w:val="24"/>
          <w:szCs w:val="24"/>
          <w:highlight w:val="none"/>
          <w:lang w:val="en-US" w:eastAsia="zh-CN"/>
        </w:rPr>
        <w:t>不设置危险废物贮存设施。</w:t>
      </w:r>
    </w:p>
    <w:p w14:paraId="73522A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根据《建设项目环境风险评价技术导则》(HJ169-2018），物质危险性识别包括主要原辅材料、燃料、中间产品、副产品、最终产品、污染物、火灾和爆炸伴生/次生物等。经分析，本项目主要风险物质为精（蒸）馏残渣（</w:t>
      </w:r>
      <w:r>
        <w:rPr>
          <w:rFonts w:hint="eastAsia" w:cs="Times New Roman"/>
          <w:sz w:val="24"/>
          <w:szCs w:val="24"/>
          <w:highlight w:val="none"/>
          <w:lang w:val="en-US" w:eastAsia="zh-CN"/>
        </w:rPr>
        <w:t>甲磺酸钠</w:t>
      </w:r>
      <w:r>
        <w:rPr>
          <w:rFonts w:hint="default" w:ascii="Times New Roman" w:hAnsi="Times New Roman" w:cs="Times New Roman"/>
          <w:sz w:val="24"/>
          <w:szCs w:val="24"/>
          <w:highlight w:val="none"/>
          <w:lang w:val="en-US" w:eastAsia="zh-CN"/>
        </w:rPr>
        <w:t>）、二甲基硫醚废液，其理化性质和危险特性</w:t>
      </w:r>
      <w:r>
        <w:rPr>
          <w:rFonts w:hint="eastAsia" w:ascii="Times New Roman" w:hAnsi="Times New Roman" w:cs="Times New Roman"/>
          <w:sz w:val="24"/>
          <w:szCs w:val="24"/>
          <w:highlight w:val="none"/>
          <w:lang w:val="en-US" w:eastAsia="zh-CN"/>
        </w:rPr>
        <w:t>如下表所示</w:t>
      </w:r>
      <w:r>
        <w:rPr>
          <w:rFonts w:hint="default" w:ascii="Times New Roman" w:hAnsi="Times New Roman" w:cs="Times New Roman"/>
          <w:sz w:val="24"/>
          <w:szCs w:val="24"/>
          <w:highlight w:val="none"/>
          <w:lang w:val="en-US" w:eastAsia="zh-CN"/>
        </w:rPr>
        <w:t>。</w:t>
      </w:r>
    </w:p>
    <w:p w14:paraId="0B0D005C">
      <w:pPr>
        <w:keepNext w:val="0"/>
        <w:keepLines w:val="0"/>
        <w:pageBreakBefore w:val="0"/>
        <w:widowControl w:val="0"/>
        <w:kinsoku/>
        <w:wordWrap/>
        <w:overflowPunct/>
        <w:topLinePunct w:val="0"/>
        <w:autoSpaceDE/>
        <w:autoSpaceDN/>
        <w:bidi w:val="0"/>
        <w:adjustRightInd/>
        <w:snapToGrid/>
        <w:jc w:val="center"/>
        <w:textAlignment w:val="auto"/>
        <w:rPr>
          <w:b/>
          <w:bCs/>
          <w:sz w:val="24"/>
          <w:szCs w:val="24"/>
          <w:highlight w:val="none"/>
        </w:rPr>
      </w:pPr>
      <w:r>
        <w:rPr>
          <w:rFonts w:hint="eastAsia"/>
          <w:b/>
          <w:bCs/>
          <w:sz w:val="24"/>
          <w:szCs w:val="24"/>
          <w:highlight w:val="none"/>
        </w:rPr>
        <w:t>表5</w:t>
      </w:r>
      <w:r>
        <w:rPr>
          <w:rFonts w:hint="eastAsia"/>
          <w:b/>
          <w:bCs/>
          <w:sz w:val="24"/>
          <w:szCs w:val="24"/>
          <w:highlight w:val="none"/>
          <w:lang w:val="en-US" w:eastAsia="zh-CN"/>
        </w:rPr>
        <w:t>.3-3</w:t>
      </w:r>
      <w:r>
        <w:rPr>
          <w:rFonts w:hint="eastAsia"/>
          <w:b/>
          <w:bCs/>
          <w:sz w:val="24"/>
          <w:szCs w:val="24"/>
          <w:highlight w:val="none"/>
        </w:rPr>
        <w:t xml:space="preserve"> </w:t>
      </w:r>
      <w:r>
        <w:rPr>
          <w:rFonts w:hint="eastAsia"/>
          <w:b/>
          <w:bCs/>
          <w:sz w:val="24"/>
          <w:szCs w:val="24"/>
          <w:highlight w:val="none"/>
          <w:lang w:val="en-US" w:eastAsia="zh-CN"/>
        </w:rPr>
        <w:t>固态废物（甲磺酸钠）理</w:t>
      </w:r>
      <w:r>
        <w:rPr>
          <w:rFonts w:hint="eastAsia"/>
          <w:b/>
          <w:bCs/>
          <w:sz w:val="24"/>
          <w:szCs w:val="24"/>
          <w:highlight w:val="none"/>
        </w:rPr>
        <w:t>化性质表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418"/>
        <w:gridCol w:w="1681"/>
        <w:gridCol w:w="1056"/>
        <w:gridCol w:w="2461"/>
        <w:gridCol w:w="2735"/>
      </w:tblGrid>
      <w:tr w14:paraId="65772D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restart"/>
            <w:tcBorders>
              <w:tl2br w:val="nil"/>
              <w:tr2bl w:val="nil"/>
            </w:tcBorders>
            <w:noWrap w:val="0"/>
            <w:vAlign w:val="center"/>
          </w:tcPr>
          <w:p w14:paraId="14AED6C3">
            <w:pPr>
              <w:autoSpaceDE/>
              <w:autoSpaceDN/>
              <w:spacing w:before="0" w:after="0" w:line="240" w:lineRule="exact"/>
              <w:ind w:left="0" w:firstLine="0"/>
              <w:jc w:val="center"/>
              <w:rPr>
                <w:rFonts w:cs="Arial"/>
                <w:b/>
                <w:bCs/>
                <w:spacing w:val="10"/>
                <w:sz w:val="21"/>
                <w:szCs w:val="21"/>
              </w:rPr>
            </w:pPr>
            <w:r>
              <w:rPr>
                <w:rFonts w:cs="Arial"/>
                <w:b/>
                <w:bCs/>
                <w:spacing w:val="10"/>
                <w:sz w:val="21"/>
                <w:szCs w:val="21"/>
              </w:rPr>
              <w:t>标识</w:t>
            </w:r>
          </w:p>
        </w:tc>
        <w:tc>
          <w:tcPr>
            <w:tcW w:w="3111" w:type="pct"/>
            <w:gridSpan w:val="3"/>
            <w:tcBorders>
              <w:tl2br w:val="nil"/>
              <w:tr2bl w:val="nil"/>
            </w:tcBorders>
            <w:noWrap w:val="0"/>
            <w:vAlign w:val="center"/>
          </w:tcPr>
          <w:p w14:paraId="5EB05A43">
            <w:pPr>
              <w:autoSpaceDE/>
              <w:autoSpaceDN/>
              <w:spacing w:before="0" w:after="0" w:line="240" w:lineRule="exact"/>
              <w:ind w:left="0" w:firstLine="0"/>
              <w:rPr>
                <w:rFonts w:hint="eastAsia" w:eastAsia="宋体" w:cs="Arial"/>
                <w:spacing w:val="10"/>
                <w:sz w:val="21"/>
                <w:szCs w:val="21"/>
                <w:lang w:eastAsia="zh-CN"/>
              </w:rPr>
            </w:pPr>
            <w:r>
              <w:rPr>
                <w:rFonts w:cs="Arial"/>
                <w:spacing w:val="10"/>
                <w:sz w:val="21"/>
                <w:szCs w:val="21"/>
              </w:rPr>
              <w:t>中文名：</w:t>
            </w:r>
            <w:r>
              <w:rPr>
                <w:rFonts w:hint="eastAsia" w:cs="Arial"/>
                <w:sz w:val="21"/>
                <w:szCs w:val="21"/>
                <w:lang w:val="en-US" w:eastAsia="zh-CN"/>
              </w:rPr>
              <w:t>甲磺酸钠</w:t>
            </w:r>
          </w:p>
        </w:tc>
        <w:tc>
          <w:tcPr>
            <w:tcW w:w="1637" w:type="pct"/>
            <w:tcBorders>
              <w:tl2br w:val="nil"/>
              <w:tr2bl w:val="nil"/>
            </w:tcBorders>
            <w:noWrap w:val="0"/>
            <w:vAlign w:val="center"/>
          </w:tcPr>
          <w:p w14:paraId="298257C8">
            <w:pPr>
              <w:autoSpaceDE/>
              <w:autoSpaceDN/>
              <w:spacing w:before="0" w:after="0" w:line="240" w:lineRule="exact"/>
              <w:ind w:left="0" w:firstLine="0"/>
              <w:rPr>
                <w:rFonts w:hint="default" w:eastAsia="宋体" w:cs="Arial"/>
                <w:spacing w:val="10"/>
                <w:sz w:val="21"/>
                <w:szCs w:val="21"/>
                <w:lang w:val="en-US" w:eastAsia="zh-CN"/>
              </w:rPr>
            </w:pPr>
            <w:r>
              <w:rPr>
                <w:rFonts w:cs="Arial"/>
                <w:spacing w:val="10"/>
                <w:sz w:val="21"/>
                <w:szCs w:val="21"/>
              </w:rPr>
              <w:t>危险货物编号：</w:t>
            </w:r>
            <w:r>
              <w:rPr>
                <w:rFonts w:hint="eastAsia" w:cs="Arial"/>
                <w:spacing w:val="10"/>
                <w:sz w:val="21"/>
                <w:szCs w:val="21"/>
                <w:lang w:val="en-US" w:eastAsia="zh-CN"/>
              </w:rPr>
              <w:t>2811</w:t>
            </w:r>
          </w:p>
        </w:tc>
      </w:tr>
      <w:tr w14:paraId="407FFCE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25FA5A93">
            <w:pPr>
              <w:widowControl/>
              <w:autoSpaceDE/>
              <w:autoSpaceDN/>
              <w:spacing w:before="0" w:after="0" w:line="240" w:lineRule="exact"/>
              <w:ind w:left="0" w:firstLine="0"/>
              <w:jc w:val="left"/>
              <w:rPr>
                <w:rFonts w:cs="Arial"/>
                <w:b/>
                <w:bCs/>
                <w:spacing w:val="10"/>
                <w:sz w:val="21"/>
                <w:szCs w:val="21"/>
              </w:rPr>
            </w:pPr>
          </w:p>
        </w:tc>
        <w:tc>
          <w:tcPr>
            <w:tcW w:w="3111" w:type="pct"/>
            <w:gridSpan w:val="3"/>
            <w:tcBorders>
              <w:tl2br w:val="nil"/>
              <w:tr2bl w:val="nil"/>
            </w:tcBorders>
            <w:noWrap w:val="0"/>
            <w:vAlign w:val="center"/>
          </w:tcPr>
          <w:p w14:paraId="57C9823E">
            <w:pPr>
              <w:autoSpaceDE/>
              <w:autoSpaceDN/>
              <w:spacing w:before="0" w:after="0" w:line="240" w:lineRule="exact"/>
              <w:ind w:left="0" w:firstLine="0"/>
              <w:rPr>
                <w:rFonts w:hint="default" w:eastAsia="宋体" w:cs="Arial"/>
                <w:spacing w:val="10"/>
                <w:sz w:val="21"/>
                <w:szCs w:val="21"/>
                <w:lang w:val="en-US" w:eastAsia="zh-CN"/>
              </w:rPr>
            </w:pPr>
            <w:r>
              <w:rPr>
                <w:rFonts w:cs="Arial"/>
                <w:spacing w:val="10"/>
                <w:sz w:val="21"/>
                <w:szCs w:val="21"/>
              </w:rPr>
              <w:t>英文名：</w:t>
            </w:r>
            <w:r>
              <w:rPr>
                <w:rFonts w:hint="eastAsia" w:cs="Arial"/>
                <w:sz w:val="21"/>
                <w:szCs w:val="21"/>
                <w:lang w:val="en-US" w:eastAsia="zh-CN"/>
              </w:rPr>
              <w:t>Sodium methanesulfinate</w:t>
            </w:r>
          </w:p>
        </w:tc>
        <w:tc>
          <w:tcPr>
            <w:tcW w:w="1637" w:type="pct"/>
            <w:tcBorders>
              <w:tl2br w:val="nil"/>
              <w:tr2bl w:val="nil"/>
            </w:tcBorders>
            <w:noWrap w:val="0"/>
            <w:vAlign w:val="center"/>
          </w:tcPr>
          <w:p w14:paraId="04647A72">
            <w:pPr>
              <w:autoSpaceDE/>
              <w:autoSpaceDN/>
              <w:spacing w:before="0" w:after="0" w:line="240" w:lineRule="exact"/>
              <w:ind w:left="0" w:firstLine="0"/>
              <w:rPr>
                <w:rFonts w:hint="default" w:eastAsia="宋体" w:cs="Arial"/>
                <w:spacing w:val="10"/>
                <w:sz w:val="21"/>
                <w:szCs w:val="21"/>
                <w:lang w:val="en-US" w:eastAsia="zh-CN"/>
              </w:rPr>
            </w:pPr>
            <w:r>
              <w:rPr>
                <w:rFonts w:cs="Arial"/>
                <w:spacing w:val="10"/>
                <w:sz w:val="21"/>
                <w:szCs w:val="21"/>
              </w:rPr>
              <w:t>UN编号：</w:t>
            </w:r>
            <w:r>
              <w:rPr>
                <w:rFonts w:hint="eastAsia" w:cs="Arial"/>
                <w:sz w:val="21"/>
                <w:szCs w:val="21"/>
                <w:lang w:val="en-US" w:eastAsia="zh-CN"/>
              </w:rPr>
              <w:t>/</w:t>
            </w:r>
          </w:p>
        </w:tc>
      </w:tr>
      <w:tr w14:paraId="1BF24F4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7A917E8A">
            <w:pPr>
              <w:widowControl/>
              <w:autoSpaceDE/>
              <w:autoSpaceDN/>
              <w:spacing w:before="0" w:after="0" w:line="240" w:lineRule="exact"/>
              <w:ind w:left="0" w:firstLine="0"/>
              <w:jc w:val="left"/>
              <w:rPr>
                <w:rFonts w:cs="Arial"/>
                <w:b/>
                <w:bCs/>
                <w:spacing w:val="10"/>
                <w:sz w:val="21"/>
                <w:szCs w:val="21"/>
              </w:rPr>
            </w:pPr>
          </w:p>
        </w:tc>
        <w:tc>
          <w:tcPr>
            <w:tcW w:w="1638" w:type="pct"/>
            <w:gridSpan w:val="2"/>
            <w:tcBorders>
              <w:tl2br w:val="nil"/>
              <w:tr2bl w:val="nil"/>
            </w:tcBorders>
            <w:noWrap w:val="0"/>
            <w:vAlign w:val="center"/>
          </w:tcPr>
          <w:p w14:paraId="4BCE712B">
            <w:pPr>
              <w:autoSpaceDE/>
              <w:autoSpaceDN/>
              <w:spacing w:before="0" w:after="0" w:line="240" w:lineRule="exact"/>
              <w:ind w:left="0" w:firstLine="0"/>
              <w:rPr>
                <w:rFonts w:hint="eastAsia" w:eastAsia="宋体" w:cs="Arial"/>
                <w:spacing w:val="10"/>
                <w:sz w:val="21"/>
                <w:szCs w:val="21"/>
                <w:lang w:val="en-US" w:eastAsia="zh-CN"/>
              </w:rPr>
            </w:pPr>
            <w:r>
              <w:rPr>
                <w:rFonts w:cs="Arial"/>
                <w:spacing w:val="10"/>
                <w:sz w:val="21"/>
                <w:szCs w:val="21"/>
              </w:rPr>
              <w:t>分子式：</w:t>
            </w:r>
            <w:r>
              <w:rPr>
                <w:rFonts w:hint="eastAsia" w:cs="Arial"/>
                <w:spacing w:val="10"/>
                <w:sz w:val="21"/>
                <w:szCs w:val="21"/>
                <w:lang w:val="en-US" w:eastAsia="zh-CN"/>
              </w:rPr>
              <w:t>CH</w:t>
            </w:r>
            <w:r>
              <w:rPr>
                <w:rFonts w:hint="eastAsia" w:cs="Arial"/>
                <w:spacing w:val="10"/>
                <w:sz w:val="21"/>
                <w:szCs w:val="21"/>
                <w:vertAlign w:val="subscript"/>
                <w:lang w:val="en-US" w:eastAsia="zh-CN"/>
              </w:rPr>
              <w:t>3</w:t>
            </w:r>
            <w:r>
              <w:rPr>
                <w:rFonts w:hint="eastAsia" w:cs="Arial"/>
                <w:spacing w:val="10"/>
                <w:sz w:val="21"/>
                <w:szCs w:val="21"/>
                <w:lang w:val="en-US" w:eastAsia="zh-CN"/>
              </w:rPr>
              <w:t>NaO</w:t>
            </w:r>
            <w:r>
              <w:rPr>
                <w:rFonts w:hint="eastAsia" w:cs="Arial"/>
                <w:spacing w:val="10"/>
                <w:sz w:val="21"/>
                <w:szCs w:val="21"/>
                <w:vertAlign w:val="subscript"/>
                <w:lang w:val="en-US" w:eastAsia="zh-CN"/>
              </w:rPr>
              <w:t>2</w:t>
            </w:r>
            <w:r>
              <w:rPr>
                <w:rFonts w:hint="eastAsia" w:cs="Arial"/>
                <w:spacing w:val="10"/>
                <w:sz w:val="21"/>
                <w:szCs w:val="21"/>
                <w:lang w:val="en-US" w:eastAsia="zh-CN"/>
              </w:rPr>
              <w:t>S</w:t>
            </w:r>
          </w:p>
        </w:tc>
        <w:tc>
          <w:tcPr>
            <w:tcW w:w="1473" w:type="pct"/>
            <w:tcBorders>
              <w:tl2br w:val="nil"/>
              <w:tr2bl w:val="nil"/>
            </w:tcBorders>
            <w:noWrap w:val="0"/>
            <w:vAlign w:val="center"/>
          </w:tcPr>
          <w:p w14:paraId="156D7649">
            <w:pPr>
              <w:autoSpaceDE/>
              <w:autoSpaceDN/>
              <w:spacing w:before="0" w:after="0" w:line="240" w:lineRule="exact"/>
              <w:ind w:left="0" w:firstLine="0"/>
              <w:rPr>
                <w:rFonts w:hint="default" w:eastAsia="宋体" w:cs="Arial"/>
                <w:spacing w:val="10"/>
                <w:sz w:val="21"/>
                <w:szCs w:val="21"/>
                <w:lang w:val="en-US" w:eastAsia="zh-CN"/>
              </w:rPr>
            </w:pPr>
            <w:r>
              <w:rPr>
                <w:rFonts w:cs="Arial"/>
                <w:spacing w:val="10"/>
                <w:sz w:val="21"/>
                <w:szCs w:val="21"/>
              </w:rPr>
              <w:t>分子量：</w:t>
            </w:r>
            <w:r>
              <w:rPr>
                <w:rFonts w:hint="eastAsia" w:cs="Arial"/>
                <w:spacing w:val="10"/>
                <w:sz w:val="21"/>
                <w:szCs w:val="21"/>
                <w:lang w:val="en-US" w:eastAsia="zh-CN"/>
              </w:rPr>
              <w:t>102.09</w:t>
            </w:r>
          </w:p>
        </w:tc>
        <w:tc>
          <w:tcPr>
            <w:tcW w:w="1637" w:type="pct"/>
            <w:tcBorders>
              <w:tl2br w:val="nil"/>
              <w:tr2bl w:val="nil"/>
            </w:tcBorders>
            <w:noWrap w:val="0"/>
            <w:vAlign w:val="center"/>
          </w:tcPr>
          <w:p w14:paraId="3732D1EB">
            <w:pPr>
              <w:autoSpaceDE/>
              <w:autoSpaceDN/>
              <w:spacing w:before="0" w:after="0" w:line="240" w:lineRule="exact"/>
              <w:ind w:left="0" w:firstLine="0"/>
              <w:rPr>
                <w:rFonts w:hint="default" w:eastAsia="宋体" w:cs="Arial"/>
                <w:spacing w:val="10"/>
                <w:sz w:val="21"/>
                <w:szCs w:val="21"/>
                <w:lang w:val="en-US" w:eastAsia="zh-CN"/>
              </w:rPr>
            </w:pPr>
            <w:r>
              <w:rPr>
                <w:rFonts w:cs="Arial"/>
                <w:spacing w:val="10"/>
                <w:sz w:val="21"/>
                <w:szCs w:val="21"/>
              </w:rPr>
              <w:t>CAS号：</w:t>
            </w:r>
            <w:r>
              <w:rPr>
                <w:rFonts w:hint="eastAsia" w:cs="Arial"/>
                <w:sz w:val="21"/>
                <w:szCs w:val="21"/>
                <w:lang w:val="en-US" w:eastAsia="zh-CN"/>
              </w:rPr>
              <w:t>20277-69-4</w:t>
            </w:r>
          </w:p>
        </w:tc>
      </w:tr>
      <w:tr w14:paraId="34FA899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restart"/>
            <w:tcBorders>
              <w:tl2br w:val="nil"/>
              <w:tr2bl w:val="nil"/>
            </w:tcBorders>
            <w:noWrap w:val="0"/>
            <w:vAlign w:val="center"/>
          </w:tcPr>
          <w:p w14:paraId="29E37725">
            <w:pPr>
              <w:autoSpaceDE/>
              <w:autoSpaceDN/>
              <w:spacing w:before="0" w:after="0" w:line="240" w:lineRule="exact"/>
              <w:ind w:left="0" w:firstLine="0"/>
              <w:jc w:val="center"/>
              <w:rPr>
                <w:rFonts w:cs="Arial"/>
                <w:b/>
                <w:bCs/>
                <w:spacing w:val="10"/>
                <w:sz w:val="21"/>
                <w:szCs w:val="21"/>
              </w:rPr>
            </w:pPr>
            <w:r>
              <w:rPr>
                <w:rFonts w:cs="Arial"/>
                <w:b/>
                <w:bCs/>
                <w:spacing w:val="10"/>
                <w:sz w:val="21"/>
                <w:szCs w:val="21"/>
              </w:rPr>
              <w:t>理化性质</w:t>
            </w:r>
          </w:p>
        </w:tc>
        <w:tc>
          <w:tcPr>
            <w:tcW w:w="1006" w:type="pct"/>
            <w:tcBorders>
              <w:tl2br w:val="nil"/>
              <w:tr2bl w:val="nil"/>
            </w:tcBorders>
            <w:noWrap w:val="0"/>
            <w:vAlign w:val="center"/>
          </w:tcPr>
          <w:p w14:paraId="4A06B74A">
            <w:pPr>
              <w:autoSpaceDE/>
              <w:autoSpaceDN/>
              <w:spacing w:before="0" w:after="0" w:line="240" w:lineRule="exact"/>
              <w:ind w:left="0" w:firstLine="0"/>
              <w:jc w:val="center"/>
              <w:rPr>
                <w:rFonts w:cs="Arial"/>
                <w:spacing w:val="10"/>
                <w:sz w:val="21"/>
                <w:szCs w:val="21"/>
              </w:rPr>
            </w:pPr>
            <w:r>
              <w:rPr>
                <w:rFonts w:cs="Arial"/>
                <w:spacing w:val="10"/>
                <w:sz w:val="21"/>
                <w:szCs w:val="21"/>
              </w:rPr>
              <w:t>外观与性状</w:t>
            </w:r>
          </w:p>
        </w:tc>
        <w:tc>
          <w:tcPr>
            <w:tcW w:w="3742" w:type="pct"/>
            <w:gridSpan w:val="3"/>
            <w:tcBorders>
              <w:tl2br w:val="nil"/>
              <w:tr2bl w:val="nil"/>
            </w:tcBorders>
            <w:noWrap w:val="0"/>
            <w:vAlign w:val="center"/>
          </w:tcPr>
          <w:p w14:paraId="481BF459">
            <w:pPr>
              <w:autoSpaceDE/>
              <w:autoSpaceDN/>
              <w:spacing w:before="0" w:after="0" w:line="240" w:lineRule="exact"/>
              <w:ind w:left="0" w:firstLine="0"/>
              <w:rPr>
                <w:rFonts w:hint="default" w:eastAsia="宋体" w:cs="Arial"/>
                <w:spacing w:val="10"/>
                <w:sz w:val="21"/>
                <w:szCs w:val="21"/>
                <w:lang w:val="en-US" w:eastAsia="zh-CN"/>
              </w:rPr>
            </w:pPr>
            <w:r>
              <w:rPr>
                <w:rFonts w:hint="eastAsia" w:cs="Arial"/>
                <w:sz w:val="21"/>
                <w:szCs w:val="21"/>
                <w:lang w:val="en-US" w:eastAsia="zh-CN"/>
              </w:rPr>
              <w:t>白色至浅米色粉末</w:t>
            </w:r>
          </w:p>
        </w:tc>
      </w:tr>
      <w:tr w14:paraId="1B0B8F6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42B869FC">
            <w:pPr>
              <w:widowControl/>
              <w:autoSpaceDE/>
              <w:autoSpaceDN/>
              <w:spacing w:before="0" w:after="0" w:line="240" w:lineRule="exact"/>
              <w:ind w:left="0" w:firstLine="0"/>
              <w:jc w:val="left"/>
              <w:rPr>
                <w:rFonts w:cs="Arial"/>
                <w:b/>
                <w:bCs/>
                <w:spacing w:val="10"/>
                <w:sz w:val="21"/>
                <w:szCs w:val="21"/>
              </w:rPr>
            </w:pPr>
          </w:p>
        </w:tc>
        <w:tc>
          <w:tcPr>
            <w:tcW w:w="1006" w:type="pct"/>
            <w:tcBorders>
              <w:tl2br w:val="nil"/>
              <w:tr2bl w:val="nil"/>
            </w:tcBorders>
            <w:noWrap w:val="0"/>
            <w:vAlign w:val="center"/>
          </w:tcPr>
          <w:p w14:paraId="08B8B6E4">
            <w:pPr>
              <w:autoSpaceDE/>
              <w:autoSpaceDN/>
              <w:spacing w:before="0" w:after="0" w:line="240" w:lineRule="exact"/>
              <w:ind w:left="0" w:firstLine="0"/>
              <w:jc w:val="center"/>
              <w:rPr>
                <w:rFonts w:cs="Arial"/>
                <w:spacing w:val="10"/>
                <w:sz w:val="21"/>
                <w:szCs w:val="21"/>
              </w:rPr>
            </w:pPr>
            <w:r>
              <w:rPr>
                <w:rFonts w:cs="Arial"/>
                <w:spacing w:val="10"/>
                <w:sz w:val="21"/>
                <w:szCs w:val="21"/>
              </w:rPr>
              <w:t>熔点（</w:t>
            </w:r>
            <w:r>
              <w:rPr>
                <w:rFonts w:ascii="宋体" w:hAnsi="宋体" w:cs="Arial"/>
                <w:spacing w:val="10"/>
                <w:sz w:val="21"/>
                <w:szCs w:val="21"/>
              </w:rPr>
              <w:t>℃</w:t>
            </w:r>
            <w:r>
              <w:rPr>
                <w:rFonts w:cs="Arial"/>
                <w:spacing w:val="10"/>
                <w:sz w:val="21"/>
                <w:szCs w:val="21"/>
              </w:rPr>
              <w:t>）</w:t>
            </w:r>
          </w:p>
        </w:tc>
        <w:tc>
          <w:tcPr>
            <w:tcW w:w="632" w:type="pct"/>
            <w:tcBorders>
              <w:tl2br w:val="nil"/>
              <w:tr2bl w:val="nil"/>
            </w:tcBorders>
            <w:noWrap w:val="0"/>
            <w:vAlign w:val="center"/>
          </w:tcPr>
          <w:p w14:paraId="0C395164">
            <w:pPr>
              <w:autoSpaceDE/>
              <w:autoSpaceDN/>
              <w:spacing w:before="0" w:after="0" w:line="240" w:lineRule="exact"/>
              <w:ind w:left="0" w:firstLine="0"/>
              <w:jc w:val="center"/>
              <w:rPr>
                <w:rFonts w:hint="default" w:eastAsia="宋体" w:cs="Arial"/>
                <w:spacing w:val="10"/>
                <w:sz w:val="21"/>
                <w:szCs w:val="21"/>
                <w:lang w:val="en-US" w:eastAsia="zh-CN"/>
              </w:rPr>
            </w:pPr>
            <w:r>
              <w:rPr>
                <w:rFonts w:hint="default" w:ascii="Times New Roman" w:hAnsi="Times New Roman" w:cs="Times New Roman"/>
                <w:sz w:val="21"/>
                <w:szCs w:val="21"/>
                <w:lang w:val="en-US" w:eastAsia="zh-CN"/>
              </w:rPr>
              <w:t>222-226</w:t>
            </w:r>
          </w:p>
        </w:tc>
        <w:tc>
          <w:tcPr>
            <w:tcW w:w="1473" w:type="pct"/>
            <w:tcBorders>
              <w:tl2br w:val="nil"/>
              <w:tr2bl w:val="nil"/>
            </w:tcBorders>
            <w:noWrap w:val="0"/>
            <w:vAlign w:val="center"/>
          </w:tcPr>
          <w:p w14:paraId="37BECD21">
            <w:pPr>
              <w:autoSpaceDE/>
              <w:autoSpaceDN/>
              <w:spacing w:before="0" w:after="0" w:line="240" w:lineRule="exact"/>
              <w:ind w:left="0" w:firstLine="0"/>
              <w:jc w:val="center"/>
              <w:rPr>
                <w:rFonts w:hint="default" w:eastAsia="宋体" w:cs="Arial"/>
                <w:spacing w:val="10"/>
                <w:sz w:val="21"/>
                <w:szCs w:val="21"/>
                <w:lang w:val="en-US" w:eastAsia="zh-CN"/>
              </w:rPr>
            </w:pPr>
            <w:r>
              <w:rPr>
                <w:rFonts w:cs="Arial"/>
                <w:spacing w:val="10"/>
                <w:sz w:val="21"/>
                <w:szCs w:val="21"/>
              </w:rPr>
              <w:t>相对密度(水=1)</w:t>
            </w:r>
          </w:p>
        </w:tc>
        <w:tc>
          <w:tcPr>
            <w:tcW w:w="1637" w:type="pct"/>
            <w:tcBorders>
              <w:tl2br w:val="nil"/>
              <w:tr2bl w:val="nil"/>
            </w:tcBorders>
            <w:noWrap w:val="0"/>
            <w:vAlign w:val="center"/>
          </w:tcPr>
          <w:p w14:paraId="0B968E74">
            <w:pPr>
              <w:autoSpaceDE/>
              <w:autoSpaceDN/>
              <w:spacing w:before="0" w:after="0" w:line="240" w:lineRule="exact"/>
              <w:ind w:left="0" w:firstLine="0"/>
              <w:jc w:val="center"/>
              <w:rPr>
                <w:rFonts w:cs="Arial"/>
                <w:spacing w:val="10"/>
                <w:sz w:val="21"/>
                <w:szCs w:val="21"/>
              </w:rPr>
            </w:pPr>
            <w:r>
              <w:rPr>
                <w:rFonts w:hint="eastAsia" w:cs="Arial"/>
                <w:spacing w:val="10"/>
                <w:sz w:val="21"/>
                <w:szCs w:val="21"/>
                <w:lang w:val="en-US" w:eastAsia="zh-CN"/>
              </w:rPr>
              <w:t>/</w:t>
            </w:r>
          </w:p>
        </w:tc>
      </w:tr>
      <w:tr w14:paraId="3E4160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24425F1A">
            <w:pPr>
              <w:widowControl/>
              <w:autoSpaceDE/>
              <w:autoSpaceDN/>
              <w:spacing w:before="0" w:after="0" w:line="240" w:lineRule="exact"/>
              <w:ind w:left="0" w:firstLine="0"/>
              <w:jc w:val="left"/>
              <w:rPr>
                <w:rFonts w:cs="Arial"/>
                <w:b/>
                <w:bCs/>
                <w:spacing w:val="10"/>
                <w:sz w:val="21"/>
                <w:szCs w:val="21"/>
              </w:rPr>
            </w:pPr>
          </w:p>
        </w:tc>
        <w:tc>
          <w:tcPr>
            <w:tcW w:w="1006" w:type="pct"/>
            <w:tcBorders>
              <w:tl2br w:val="nil"/>
              <w:tr2bl w:val="nil"/>
            </w:tcBorders>
            <w:noWrap w:val="0"/>
            <w:vAlign w:val="center"/>
          </w:tcPr>
          <w:p w14:paraId="6B03BD3E">
            <w:pPr>
              <w:autoSpaceDE/>
              <w:autoSpaceDN/>
              <w:spacing w:before="0" w:after="0" w:line="240" w:lineRule="exact"/>
              <w:ind w:left="0" w:firstLine="0"/>
              <w:jc w:val="center"/>
              <w:rPr>
                <w:rFonts w:cs="Arial"/>
                <w:spacing w:val="10"/>
                <w:sz w:val="21"/>
                <w:szCs w:val="21"/>
              </w:rPr>
            </w:pPr>
            <w:r>
              <w:rPr>
                <w:rFonts w:cs="Arial"/>
                <w:spacing w:val="10"/>
                <w:sz w:val="21"/>
                <w:szCs w:val="21"/>
              </w:rPr>
              <w:t>沸点（</w:t>
            </w:r>
            <w:r>
              <w:rPr>
                <w:rFonts w:ascii="宋体" w:hAnsi="宋体" w:cs="Arial"/>
                <w:spacing w:val="10"/>
                <w:sz w:val="21"/>
                <w:szCs w:val="21"/>
              </w:rPr>
              <w:t>℃</w:t>
            </w:r>
            <w:r>
              <w:rPr>
                <w:rFonts w:cs="Arial"/>
                <w:spacing w:val="10"/>
                <w:sz w:val="21"/>
                <w:szCs w:val="21"/>
              </w:rPr>
              <w:t>）</w:t>
            </w:r>
          </w:p>
        </w:tc>
        <w:tc>
          <w:tcPr>
            <w:tcW w:w="632" w:type="pct"/>
            <w:tcBorders>
              <w:tl2br w:val="nil"/>
              <w:tr2bl w:val="nil"/>
            </w:tcBorders>
            <w:noWrap w:val="0"/>
            <w:vAlign w:val="center"/>
          </w:tcPr>
          <w:p w14:paraId="6280B42B">
            <w:pPr>
              <w:autoSpaceDE/>
              <w:autoSpaceDN/>
              <w:spacing w:before="0" w:after="0" w:line="240" w:lineRule="exact"/>
              <w:ind w:left="0" w:firstLine="0"/>
              <w:jc w:val="center"/>
              <w:rPr>
                <w:rFonts w:hint="default" w:eastAsia="宋体" w:cs="Arial"/>
                <w:spacing w:val="10"/>
                <w:sz w:val="21"/>
                <w:szCs w:val="21"/>
                <w:lang w:val="en-US" w:eastAsia="zh-CN"/>
              </w:rPr>
            </w:pPr>
            <w:r>
              <w:rPr>
                <w:rFonts w:hint="eastAsia" w:cs="Arial"/>
                <w:spacing w:val="10"/>
                <w:sz w:val="21"/>
                <w:szCs w:val="21"/>
                <w:lang w:val="en-US" w:eastAsia="zh-CN"/>
              </w:rPr>
              <w:t>254.4</w:t>
            </w:r>
          </w:p>
        </w:tc>
        <w:tc>
          <w:tcPr>
            <w:tcW w:w="1473" w:type="pct"/>
            <w:tcBorders>
              <w:tl2br w:val="nil"/>
              <w:tr2bl w:val="nil"/>
            </w:tcBorders>
            <w:noWrap w:val="0"/>
            <w:vAlign w:val="center"/>
          </w:tcPr>
          <w:p w14:paraId="319D7819">
            <w:pPr>
              <w:autoSpaceDE/>
              <w:autoSpaceDN/>
              <w:spacing w:before="0" w:after="0" w:line="240" w:lineRule="exact"/>
              <w:ind w:left="-40" w:firstLine="0"/>
              <w:jc w:val="center"/>
              <w:rPr>
                <w:rFonts w:cs="Arial"/>
                <w:spacing w:val="10"/>
                <w:sz w:val="21"/>
                <w:szCs w:val="21"/>
              </w:rPr>
            </w:pPr>
            <w:r>
              <w:rPr>
                <w:rFonts w:cs="Arial"/>
                <w:spacing w:val="10"/>
                <w:sz w:val="21"/>
                <w:szCs w:val="21"/>
              </w:rPr>
              <w:t>饱和蒸气压（kPa）</w:t>
            </w:r>
          </w:p>
        </w:tc>
        <w:tc>
          <w:tcPr>
            <w:tcW w:w="1637" w:type="pct"/>
            <w:tcBorders>
              <w:tl2br w:val="nil"/>
              <w:tr2bl w:val="nil"/>
            </w:tcBorders>
            <w:noWrap w:val="0"/>
            <w:vAlign w:val="center"/>
          </w:tcPr>
          <w:p w14:paraId="72AC8AE8">
            <w:pPr>
              <w:autoSpaceDE/>
              <w:autoSpaceDN/>
              <w:spacing w:before="0" w:after="0" w:line="240" w:lineRule="exact"/>
              <w:ind w:left="355" w:firstLine="0"/>
              <w:jc w:val="center"/>
              <w:rPr>
                <w:rFonts w:hint="eastAsia" w:eastAsia="宋体" w:cs="Arial"/>
                <w:spacing w:val="10"/>
                <w:sz w:val="21"/>
                <w:szCs w:val="21"/>
                <w:lang w:eastAsia="zh-CN"/>
              </w:rPr>
            </w:pPr>
            <w:r>
              <w:rPr>
                <w:rFonts w:hint="eastAsia" w:cs="Arial"/>
                <w:spacing w:val="10"/>
                <w:sz w:val="21"/>
                <w:szCs w:val="21"/>
                <w:lang w:val="en-US" w:eastAsia="zh-CN"/>
              </w:rPr>
              <w:t>/</w:t>
            </w:r>
          </w:p>
        </w:tc>
      </w:tr>
      <w:tr w14:paraId="5080752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771F482C">
            <w:pPr>
              <w:widowControl/>
              <w:autoSpaceDE/>
              <w:autoSpaceDN/>
              <w:spacing w:before="0" w:after="0" w:line="240" w:lineRule="exact"/>
              <w:ind w:left="0" w:firstLine="0"/>
              <w:jc w:val="left"/>
              <w:rPr>
                <w:rFonts w:cs="Arial"/>
                <w:b/>
                <w:bCs/>
                <w:spacing w:val="10"/>
                <w:sz w:val="21"/>
                <w:szCs w:val="21"/>
              </w:rPr>
            </w:pPr>
          </w:p>
        </w:tc>
        <w:tc>
          <w:tcPr>
            <w:tcW w:w="1006" w:type="pct"/>
            <w:tcBorders>
              <w:tl2br w:val="nil"/>
              <w:tr2bl w:val="nil"/>
            </w:tcBorders>
            <w:noWrap w:val="0"/>
            <w:vAlign w:val="center"/>
          </w:tcPr>
          <w:p w14:paraId="5CE5BFE4">
            <w:pPr>
              <w:autoSpaceDE/>
              <w:autoSpaceDN/>
              <w:spacing w:before="0" w:after="0" w:line="240" w:lineRule="exact"/>
              <w:ind w:left="0" w:firstLine="0"/>
              <w:jc w:val="center"/>
              <w:rPr>
                <w:rFonts w:cs="Arial"/>
                <w:spacing w:val="10"/>
                <w:sz w:val="21"/>
                <w:szCs w:val="21"/>
              </w:rPr>
            </w:pPr>
            <w:r>
              <w:rPr>
                <w:rFonts w:cs="Arial"/>
                <w:spacing w:val="10"/>
                <w:sz w:val="21"/>
                <w:szCs w:val="21"/>
              </w:rPr>
              <w:t>溶解性</w:t>
            </w:r>
          </w:p>
        </w:tc>
        <w:tc>
          <w:tcPr>
            <w:tcW w:w="3742" w:type="pct"/>
            <w:gridSpan w:val="3"/>
            <w:tcBorders>
              <w:tl2br w:val="nil"/>
              <w:tr2bl w:val="nil"/>
            </w:tcBorders>
            <w:noWrap w:val="0"/>
            <w:vAlign w:val="center"/>
          </w:tcPr>
          <w:p w14:paraId="1258B4A7">
            <w:pPr>
              <w:autoSpaceDE/>
              <w:autoSpaceDN/>
              <w:spacing w:before="0" w:after="0" w:line="240" w:lineRule="exact"/>
              <w:ind w:left="0" w:firstLine="0"/>
              <w:rPr>
                <w:rFonts w:hint="default" w:eastAsia="宋体" w:cs="Arial"/>
                <w:spacing w:val="10"/>
                <w:sz w:val="21"/>
                <w:szCs w:val="21"/>
                <w:lang w:val="en-US" w:eastAsia="zh-CN"/>
              </w:rPr>
            </w:pPr>
            <w:r>
              <w:rPr>
                <w:rFonts w:hint="eastAsia" w:cs="Arial"/>
                <w:spacing w:val="10"/>
                <w:sz w:val="21"/>
                <w:szCs w:val="21"/>
                <w:lang w:val="en-US" w:eastAsia="zh-CN"/>
              </w:rPr>
              <w:t>易溶于水，也溶于乙醇、乙醚等有机溶剂</w:t>
            </w:r>
          </w:p>
        </w:tc>
      </w:tr>
      <w:tr w14:paraId="4C33BCF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restart"/>
            <w:tcBorders>
              <w:tl2br w:val="nil"/>
              <w:tr2bl w:val="nil"/>
            </w:tcBorders>
            <w:noWrap w:val="0"/>
            <w:vAlign w:val="center"/>
          </w:tcPr>
          <w:p w14:paraId="71263AA1">
            <w:pPr>
              <w:autoSpaceDE/>
              <w:autoSpaceDN/>
              <w:spacing w:before="0" w:after="0" w:line="240" w:lineRule="exact"/>
              <w:ind w:left="0" w:firstLine="0"/>
              <w:jc w:val="center"/>
              <w:rPr>
                <w:rFonts w:cs="Arial"/>
                <w:b/>
                <w:bCs/>
                <w:spacing w:val="10"/>
                <w:sz w:val="21"/>
                <w:szCs w:val="21"/>
              </w:rPr>
            </w:pPr>
            <w:r>
              <w:rPr>
                <w:rFonts w:cs="Arial"/>
                <w:b/>
                <w:bCs/>
                <w:spacing w:val="10"/>
                <w:sz w:val="21"/>
                <w:szCs w:val="21"/>
              </w:rPr>
              <w:t>毒性及健康危害</w:t>
            </w:r>
          </w:p>
        </w:tc>
        <w:tc>
          <w:tcPr>
            <w:tcW w:w="1006" w:type="pct"/>
            <w:tcBorders>
              <w:tl2br w:val="nil"/>
              <w:tr2bl w:val="nil"/>
            </w:tcBorders>
            <w:noWrap w:val="0"/>
            <w:vAlign w:val="center"/>
          </w:tcPr>
          <w:p w14:paraId="13A860A0">
            <w:pPr>
              <w:autoSpaceDE/>
              <w:autoSpaceDN/>
              <w:spacing w:before="0" w:after="0" w:line="240" w:lineRule="exact"/>
              <w:ind w:left="0" w:firstLine="0"/>
              <w:jc w:val="center"/>
              <w:rPr>
                <w:rFonts w:cs="Arial"/>
                <w:spacing w:val="10"/>
                <w:sz w:val="21"/>
                <w:szCs w:val="21"/>
              </w:rPr>
            </w:pPr>
            <w:r>
              <w:rPr>
                <w:rFonts w:cs="Arial"/>
                <w:spacing w:val="10"/>
                <w:sz w:val="21"/>
                <w:szCs w:val="21"/>
              </w:rPr>
              <w:t>毒性</w:t>
            </w:r>
          </w:p>
        </w:tc>
        <w:tc>
          <w:tcPr>
            <w:tcW w:w="3742" w:type="pct"/>
            <w:gridSpan w:val="3"/>
            <w:tcBorders>
              <w:tl2br w:val="nil"/>
              <w:tr2bl w:val="nil"/>
            </w:tcBorders>
            <w:noWrap w:val="0"/>
            <w:vAlign w:val="center"/>
          </w:tcPr>
          <w:p w14:paraId="7BA094F5">
            <w:pPr>
              <w:autoSpaceDE/>
              <w:autoSpaceDN/>
              <w:spacing w:before="0" w:after="0" w:line="240" w:lineRule="exact"/>
              <w:ind w:left="0" w:firstLine="0"/>
              <w:rPr>
                <w:rFonts w:cs="Arial"/>
                <w:spacing w:val="10"/>
                <w:sz w:val="21"/>
                <w:szCs w:val="21"/>
              </w:rPr>
            </w:pPr>
            <w:r>
              <w:rPr>
                <w:rFonts w:hint="eastAsia" w:cs="Arial"/>
                <w:spacing w:val="10"/>
                <w:sz w:val="21"/>
                <w:szCs w:val="21"/>
              </w:rPr>
              <w:t>急性经口毒性 类别4</w:t>
            </w:r>
            <w:r>
              <w:rPr>
                <w:rFonts w:cs="Arial"/>
                <w:sz w:val="21"/>
                <w:szCs w:val="21"/>
              </w:rPr>
              <w:t>；</w:t>
            </w:r>
          </w:p>
        </w:tc>
      </w:tr>
      <w:tr w14:paraId="30D393B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798B585F">
            <w:pPr>
              <w:widowControl/>
              <w:autoSpaceDE/>
              <w:autoSpaceDN/>
              <w:spacing w:before="0" w:after="0" w:line="240" w:lineRule="exact"/>
              <w:ind w:left="0" w:firstLine="0"/>
              <w:jc w:val="left"/>
              <w:rPr>
                <w:rFonts w:cs="Arial"/>
                <w:b/>
                <w:bCs/>
                <w:spacing w:val="10"/>
                <w:sz w:val="21"/>
                <w:szCs w:val="21"/>
              </w:rPr>
            </w:pPr>
          </w:p>
        </w:tc>
        <w:tc>
          <w:tcPr>
            <w:tcW w:w="1006" w:type="pct"/>
            <w:tcBorders>
              <w:tl2br w:val="nil"/>
              <w:tr2bl w:val="nil"/>
            </w:tcBorders>
            <w:noWrap w:val="0"/>
            <w:vAlign w:val="center"/>
          </w:tcPr>
          <w:p w14:paraId="42761D69">
            <w:pPr>
              <w:autoSpaceDE/>
              <w:autoSpaceDN/>
              <w:spacing w:before="0" w:after="0" w:line="240" w:lineRule="exact"/>
              <w:ind w:left="0" w:firstLine="0"/>
              <w:jc w:val="center"/>
              <w:rPr>
                <w:rFonts w:cs="Arial"/>
                <w:spacing w:val="10"/>
                <w:sz w:val="21"/>
                <w:szCs w:val="21"/>
              </w:rPr>
            </w:pPr>
            <w:r>
              <w:rPr>
                <w:rFonts w:cs="Arial"/>
                <w:spacing w:val="10"/>
                <w:sz w:val="21"/>
                <w:szCs w:val="21"/>
              </w:rPr>
              <w:t>健康危害</w:t>
            </w:r>
          </w:p>
        </w:tc>
        <w:tc>
          <w:tcPr>
            <w:tcW w:w="3742" w:type="pct"/>
            <w:gridSpan w:val="3"/>
            <w:tcBorders>
              <w:tl2br w:val="nil"/>
              <w:tr2bl w:val="nil"/>
            </w:tcBorders>
            <w:noWrap w:val="0"/>
            <w:vAlign w:val="center"/>
          </w:tcPr>
          <w:p w14:paraId="568483A8">
            <w:pPr>
              <w:autoSpaceDE/>
              <w:autoSpaceDN/>
              <w:spacing w:before="0" w:after="0" w:line="240" w:lineRule="exact"/>
              <w:ind w:left="0" w:firstLine="0"/>
              <w:rPr>
                <w:rFonts w:cs="Arial"/>
                <w:spacing w:val="10"/>
                <w:sz w:val="21"/>
                <w:szCs w:val="21"/>
              </w:rPr>
            </w:pPr>
            <w:r>
              <w:rPr>
                <w:rFonts w:hint="eastAsia" w:cs="Arial"/>
                <w:spacing w:val="10"/>
                <w:sz w:val="21"/>
                <w:szCs w:val="21"/>
              </w:rPr>
              <w:t>吞咽有害</w:t>
            </w:r>
            <w:r>
              <w:rPr>
                <w:rFonts w:hint="eastAsia" w:cs="Arial"/>
                <w:spacing w:val="10"/>
                <w:sz w:val="21"/>
                <w:szCs w:val="21"/>
                <w:lang w:eastAsia="zh-CN"/>
              </w:rPr>
              <w:t>。</w:t>
            </w:r>
            <w:r>
              <w:rPr>
                <w:rFonts w:hint="eastAsia" w:cs="Arial"/>
                <w:spacing w:val="10"/>
                <w:sz w:val="21"/>
                <w:szCs w:val="21"/>
              </w:rPr>
              <w:t>毒作用为麻痹血管运动中枢、呼吸中枢及周围血管</w:t>
            </w:r>
            <w:r>
              <w:rPr>
                <w:rFonts w:hint="eastAsia" w:cs="Arial"/>
                <w:spacing w:val="10"/>
                <w:sz w:val="21"/>
                <w:szCs w:val="21"/>
                <w:lang w:eastAsia="zh-CN"/>
              </w:rPr>
              <w:t>；</w:t>
            </w:r>
            <w:r>
              <w:rPr>
                <w:rFonts w:hint="eastAsia" w:cs="Arial"/>
                <w:spacing w:val="10"/>
                <w:sz w:val="21"/>
                <w:szCs w:val="21"/>
              </w:rPr>
              <w:t>形成高铁血红蛋白。急性中毒表现为全身无力、头痛、头晕、恶心、呕吐、腹泻、胸部紧迫感以及呼吸困难</w:t>
            </w:r>
            <w:r>
              <w:rPr>
                <w:rFonts w:hint="eastAsia" w:cs="Arial"/>
                <w:spacing w:val="10"/>
                <w:sz w:val="21"/>
                <w:szCs w:val="21"/>
                <w:lang w:eastAsia="zh-CN"/>
              </w:rPr>
              <w:t>；</w:t>
            </w:r>
            <w:r>
              <w:rPr>
                <w:rFonts w:hint="eastAsia" w:cs="Arial"/>
                <w:spacing w:val="10"/>
                <w:sz w:val="21"/>
                <w:szCs w:val="21"/>
              </w:rPr>
              <w:t>检查见皮肤粘膜明显紫绀。严重者血压下降、昏迷、死亡。接触工人手、足部皮肤可发生损害。</w:t>
            </w:r>
          </w:p>
        </w:tc>
      </w:tr>
      <w:tr w14:paraId="3DAD77F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2509529A">
            <w:pPr>
              <w:widowControl/>
              <w:autoSpaceDE/>
              <w:autoSpaceDN/>
              <w:spacing w:before="0" w:after="0" w:line="240" w:lineRule="exact"/>
              <w:ind w:left="0" w:firstLine="0"/>
              <w:jc w:val="left"/>
              <w:rPr>
                <w:rFonts w:cs="Arial"/>
                <w:b/>
                <w:bCs/>
                <w:spacing w:val="10"/>
                <w:sz w:val="21"/>
                <w:szCs w:val="21"/>
              </w:rPr>
            </w:pPr>
          </w:p>
        </w:tc>
        <w:tc>
          <w:tcPr>
            <w:tcW w:w="1006" w:type="pct"/>
            <w:tcBorders>
              <w:tl2br w:val="nil"/>
              <w:tr2bl w:val="nil"/>
            </w:tcBorders>
            <w:noWrap w:val="0"/>
            <w:vAlign w:val="center"/>
          </w:tcPr>
          <w:p w14:paraId="46F557EE">
            <w:pPr>
              <w:autoSpaceDE/>
              <w:autoSpaceDN/>
              <w:spacing w:before="0" w:after="0" w:line="240" w:lineRule="exact"/>
              <w:ind w:left="0" w:firstLine="0"/>
              <w:jc w:val="center"/>
              <w:rPr>
                <w:rFonts w:cs="Arial"/>
                <w:spacing w:val="10"/>
                <w:sz w:val="21"/>
                <w:szCs w:val="21"/>
              </w:rPr>
            </w:pPr>
            <w:r>
              <w:rPr>
                <w:rFonts w:cs="Arial"/>
                <w:spacing w:val="10"/>
                <w:sz w:val="21"/>
                <w:szCs w:val="21"/>
              </w:rPr>
              <w:t>急救方法</w:t>
            </w:r>
          </w:p>
        </w:tc>
        <w:tc>
          <w:tcPr>
            <w:tcW w:w="3742" w:type="pct"/>
            <w:gridSpan w:val="3"/>
            <w:tcBorders>
              <w:tl2br w:val="nil"/>
              <w:tr2bl w:val="nil"/>
            </w:tcBorders>
            <w:noWrap w:val="0"/>
            <w:vAlign w:val="center"/>
          </w:tcPr>
          <w:p w14:paraId="4066F887">
            <w:pPr>
              <w:autoSpaceDE/>
              <w:autoSpaceDN/>
              <w:spacing w:before="0" w:after="0" w:line="240" w:lineRule="exact"/>
              <w:ind w:left="0" w:firstLine="0"/>
              <w:rPr>
                <w:rFonts w:hint="eastAsia" w:cs="Arial"/>
                <w:sz w:val="21"/>
                <w:szCs w:val="21"/>
              </w:rPr>
            </w:pPr>
            <w:r>
              <w:rPr>
                <w:rFonts w:hint="eastAsia" w:cs="Arial"/>
                <w:sz w:val="21"/>
                <w:szCs w:val="21"/>
              </w:rPr>
              <w:t>吸入</w:t>
            </w:r>
            <w:r>
              <w:rPr>
                <w:rFonts w:hint="eastAsia" w:cs="Arial"/>
                <w:sz w:val="21"/>
                <w:szCs w:val="21"/>
                <w:lang w:eastAsia="zh-CN"/>
              </w:rPr>
              <w:t>：</w:t>
            </w:r>
            <w:r>
              <w:rPr>
                <w:rFonts w:hint="eastAsia" w:cs="Arial"/>
                <w:sz w:val="21"/>
                <w:szCs w:val="21"/>
              </w:rPr>
              <w:t>如果吸入，请将患者移到新鲜空气处。</w:t>
            </w:r>
          </w:p>
          <w:p w14:paraId="61D7056F">
            <w:pPr>
              <w:autoSpaceDE/>
              <w:autoSpaceDN/>
              <w:spacing w:before="0" w:after="0" w:line="240" w:lineRule="exact"/>
              <w:ind w:left="0" w:firstLine="0"/>
              <w:rPr>
                <w:rFonts w:hint="eastAsia" w:cs="Arial"/>
                <w:sz w:val="21"/>
                <w:szCs w:val="21"/>
              </w:rPr>
            </w:pPr>
            <w:r>
              <w:rPr>
                <w:rFonts w:hint="eastAsia" w:cs="Arial"/>
                <w:sz w:val="21"/>
                <w:szCs w:val="21"/>
              </w:rPr>
              <w:t>皮肤接触</w:t>
            </w:r>
            <w:r>
              <w:rPr>
                <w:rFonts w:hint="eastAsia" w:cs="Arial"/>
                <w:sz w:val="21"/>
                <w:szCs w:val="21"/>
                <w:lang w:eastAsia="zh-CN"/>
              </w:rPr>
              <w:t>：</w:t>
            </w:r>
            <w:r>
              <w:rPr>
                <w:rFonts w:hint="eastAsia" w:cs="Arial"/>
                <w:sz w:val="21"/>
                <w:szCs w:val="21"/>
              </w:rPr>
              <w:t>脱去污染的衣着，用肥皂水和清水彻底冲洗皮肤。如有不适感，就医。</w:t>
            </w:r>
          </w:p>
          <w:p w14:paraId="5F2787B3">
            <w:pPr>
              <w:autoSpaceDE/>
              <w:autoSpaceDN/>
              <w:spacing w:before="0" w:after="0" w:line="240" w:lineRule="exact"/>
              <w:ind w:left="0" w:firstLine="0"/>
              <w:rPr>
                <w:rFonts w:hint="eastAsia" w:cs="Arial"/>
                <w:sz w:val="21"/>
                <w:szCs w:val="21"/>
              </w:rPr>
            </w:pPr>
            <w:r>
              <w:rPr>
                <w:rFonts w:hint="eastAsia" w:cs="Arial"/>
                <w:sz w:val="21"/>
                <w:szCs w:val="21"/>
              </w:rPr>
              <w:t>眼晴接触</w:t>
            </w:r>
            <w:r>
              <w:rPr>
                <w:rFonts w:hint="eastAsia" w:cs="Arial"/>
                <w:sz w:val="21"/>
                <w:szCs w:val="21"/>
                <w:lang w:eastAsia="zh-CN"/>
              </w:rPr>
              <w:t>：</w:t>
            </w:r>
            <w:r>
              <w:rPr>
                <w:rFonts w:hint="eastAsia" w:cs="Arial"/>
                <w:sz w:val="21"/>
                <w:szCs w:val="21"/>
              </w:rPr>
              <w:t>分开眼睑，用流动清水或生理盐水冲洗。立即就医。</w:t>
            </w:r>
          </w:p>
          <w:p w14:paraId="05BEB89B">
            <w:pPr>
              <w:autoSpaceDE/>
              <w:autoSpaceDN/>
              <w:spacing w:before="0" w:after="0" w:line="240" w:lineRule="exact"/>
              <w:ind w:left="0" w:firstLine="0"/>
              <w:rPr>
                <w:rFonts w:cs="Arial"/>
                <w:spacing w:val="10"/>
                <w:sz w:val="21"/>
                <w:szCs w:val="21"/>
              </w:rPr>
            </w:pPr>
            <w:r>
              <w:rPr>
                <w:rFonts w:hint="eastAsia" w:cs="Arial"/>
                <w:sz w:val="21"/>
                <w:szCs w:val="21"/>
              </w:rPr>
              <w:t>食入</w:t>
            </w:r>
            <w:r>
              <w:rPr>
                <w:rFonts w:hint="eastAsia" w:cs="Arial"/>
                <w:sz w:val="21"/>
                <w:szCs w:val="21"/>
                <w:lang w:eastAsia="zh-CN"/>
              </w:rPr>
              <w:t>：</w:t>
            </w:r>
            <w:r>
              <w:rPr>
                <w:rFonts w:hint="eastAsia" w:cs="Arial"/>
                <w:sz w:val="21"/>
                <w:szCs w:val="21"/>
              </w:rPr>
              <w:t>漱口，禁止催吐。立即就医。</w:t>
            </w:r>
          </w:p>
        </w:tc>
      </w:tr>
      <w:tr w14:paraId="7C17E96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restart"/>
            <w:tcBorders>
              <w:tl2br w:val="nil"/>
              <w:tr2bl w:val="nil"/>
            </w:tcBorders>
            <w:noWrap w:val="0"/>
            <w:vAlign w:val="center"/>
          </w:tcPr>
          <w:p w14:paraId="6E7A3211">
            <w:pPr>
              <w:autoSpaceDE/>
              <w:autoSpaceDN/>
              <w:spacing w:before="0" w:after="0" w:line="240" w:lineRule="exact"/>
              <w:ind w:left="0" w:firstLine="0"/>
              <w:jc w:val="center"/>
              <w:rPr>
                <w:rFonts w:cs="Arial"/>
                <w:b/>
                <w:bCs/>
                <w:spacing w:val="10"/>
                <w:sz w:val="21"/>
                <w:szCs w:val="21"/>
              </w:rPr>
            </w:pPr>
            <w:r>
              <w:rPr>
                <w:rFonts w:cs="Arial"/>
                <w:b/>
                <w:bCs/>
                <w:spacing w:val="10"/>
                <w:sz w:val="21"/>
                <w:szCs w:val="21"/>
              </w:rPr>
              <w:t>燃烧爆炸危险性</w:t>
            </w:r>
          </w:p>
        </w:tc>
        <w:tc>
          <w:tcPr>
            <w:tcW w:w="1006" w:type="pct"/>
            <w:tcBorders>
              <w:tl2br w:val="nil"/>
              <w:tr2bl w:val="nil"/>
            </w:tcBorders>
            <w:noWrap w:val="0"/>
            <w:vAlign w:val="center"/>
          </w:tcPr>
          <w:p w14:paraId="01C35551">
            <w:pPr>
              <w:autoSpaceDE/>
              <w:autoSpaceDN/>
              <w:spacing w:before="0" w:after="0" w:line="240" w:lineRule="exact"/>
              <w:ind w:left="0" w:firstLine="0"/>
              <w:jc w:val="center"/>
              <w:rPr>
                <w:rFonts w:cs="Arial"/>
                <w:spacing w:val="10"/>
                <w:sz w:val="21"/>
                <w:szCs w:val="21"/>
              </w:rPr>
            </w:pPr>
            <w:r>
              <w:rPr>
                <w:rFonts w:cs="Arial"/>
                <w:spacing w:val="10"/>
                <w:sz w:val="21"/>
                <w:szCs w:val="21"/>
              </w:rPr>
              <w:t>燃烧性</w:t>
            </w:r>
          </w:p>
        </w:tc>
        <w:tc>
          <w:tcPr>
            <w:tcW w:w="632" w:type="pct"/>
            <w:tcBorders>
              <w:tl2br w:val="nil"/>
              <w:tr2bl w:val="nil"/>
            </w:tcBorders>
            <w:noWrap w:val="0"/>
            <w:vAlign w:val="center"/>
          </w:tcPr>
          <w:p w14:paraId="0ACA59E0">
            <w:pPr>
              <w:autoSpaceDE/>
              <w:autoSpaceDN/>
              <w:spacing w:before="0" w:after="0" w:line="240" w:lineRule="exact"/>
              <w:ind w:left="0" w:firstLine="0"/>
              <w:jc w:val="center"/>
              <w:rPr>
                <w:rFonts w:hint="eastAsia" w:cs="Arial"/>
                <w:spacing w:val="10"/>
                <w:sz w:val="21"/>
                <w:szCs w:val="21"/>
              </w:rPr>
            </w:pPr>
            <w:r>
              <w:rPr>
                <w:rFonts w:hint="eastAsia" w:cs="Arial"/>
                <w:spacing w:val="10"/>
                <w:sz w:val="21"/>
                <w:szCs w:val="21"/>
              </w:rPr>
              <w:t>助燃</w:t>
            </w:r>
          </w:p>
        </w:tc>
        <w:tc>
          <w:tcPr>
            <w:tcW w:w="1473" w:type="pct"/>
            <w:tcBorders>
              <w:tl2br w:val="nil"/>
              <w:tr2bl w:val="nil"/>
            </w:tcBorders>
            <w:noWrap w:val="0"/>
            <w:vAlign w:val="center"/>
          </w:tcPr>
          <w:p w14:paraId="73A25B45">
            <w:pPr>
              <w:autoSpaceDE/>
              <w:autoSpaceDN/>
              <w:spacing w:before="0" w:after="0" w:line="240" w:lineRule="exact"/>
              <w:ind w:left="0" w:firstLine="0"/>
              <w:jc w:val="center"/>
              <w:rPr>
                <w:rFonts w:cs="Arial"/>
                <w:spacing w:val="10"/>
                <w:sz w:val="21"/>
                <w:szCs w:val="21"/>
              </w:rPr>
            </w:pPr>
            <w:r>
              <w:rPr>
                <w:rFonts w:cs="Arial"/>
                <w:spacing w:val="10"/>
                <w:sz w:val="21"/>
                <w:szCs w:val="21"/>
              </w:rPr>
              <w:t>燃烧分解物</w:t>
            </w:r>
          </w:p>
        </w:tc>
        <w:tc>
          <w:tcPr>
            <w:tcW w:w="1637" w:type="pct"/>
            <w:tcBorders>
              <w:tl2br w:val="nil"/>
              <w:tr2bl w:val="nil"/>
            </w:tcBorders>
            <w:noWrap w:val="0"/>
            <w:vAlign w:val="center"/>
          </w:tcPr>
          <w:p w14:paraId="576D6AD5">
            <w:pPr>
              <w:autoSpaceDE/>
              <w:autoSpaceDN/>
              <w:spacing w:before="0" w:after="0" w:line="240" w:lineRule="exact"/>
              <w:ind w:left="0" w:firstLine="0"/>
              <w:jc w:val="center"/>
              <w:rPr>
                <w:rFonts w:hint="eastAsia" w:eastAsia="宋体" w:cs="Arial"/>
                <w:spacing w:val="10"/>
                <w:sz w:val="21"/>
                <w:szCs w:val="21"/>
                <w:lang w:eastAsia="zh-CN"/>
              </w:rPr>
            </w:pPr>
            <w:r>
              <w:rPr>
                <w:rFonts w:hint="eastAsia" w:cs="Arial"/>
                <w:spacing w:val="10"/>
                <w:sz w:val="21"/>
                <w:szCs w:val="21"/>
                <w:lang w:val="en-US" w:eastAsia="zh-CN"/>
              </w:rPr>
              <w:t>氮氧化物</w:t>
            </w:r>
          </w:p>
        </w:tc>
      </w:tr>
      <w:tr w14:paraId="5A3E9E2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5C1C3B77">
            <w:pPr>
              <w:widowControl/>
              <w:autoSpaceDE/>
              <w:autoSpaceDN/>
              <w:spacing w:before="0" w:after="0" w:line="240" w:lineRule="exact"/>
              <w:ind w:left="0" w:firstLine="0"/>
              <w:jc w:val="left"/>
              <w:rPr>
                <w:rFonts w:cs="Arial"/>
                <w:spacing w:val="10"/>
                <w:sz w:val="21"/>
                <w:szCs w:val="21"/>
              </w:rPr>
            </w:pPr>
          </w:p>
        </w:tc>
        <w:tc>
          <w:tcPr>
            <w:tcW w:w="1006" w:type="pct"/>
            <w:tcBorders>
              <w:tl2br w:val="nil"/>
              <w:tr2bl w:val="nil"/>
            </w:tcBorders>
            <w:noWrap w:val="0"/>
            <w:vAlign w:val="center"/>
          </w:tcPr>
          <w:p w14:paraId="01C7658A">
            <w:pPr>
              <w:autoSpaceDE/>
              <w:autoSpaceDN/>
              <w:spacing w:before="0" w:after="0" w:line="240" w:lineRule="exact"/>
              <w:ind w:left="0" w:firstLine="0"/>
              <w:jc w:val="center"/>
              <w:rPr>
                <w:rFonts w:cs="Arial"/>
                <w:spacing w:val="10"/>
                <w:sz w:val="21"/>
                <w:szCs w:val="21"/>
              </w:rPr>
            </w:pPr>
            <w:r>
              <w:rPr>
                <w:rFonts w:cs="Arial"/>
                <w:spacing w:val="10"/>
                <w:sz w:val="21"/>
                <w:szCs w:val="21"/>
              </w:rPr>
              <w:t>闪点(</w:t>
            </w:r>
            <w:r>
              <w:rPr>
                <w:rFonts w:ascii="宋体" w:hAnsi="宋体" w:cs="Arial"/>
                <w:spacing w:val="10"/>
                <w:sz w:val="21"/>
                <w:szCs w:val="21"/>
              </w:rPr>
              <w:t>℃</w:t>
            </w:r>
            <w:r>
              <w:rPr>
                <w:rFonts w:cs="Arial"/>
                <w:spacing w:val="10"/>
                <w:sz w:val="21"/>
                <w:szCs w:val="21"/>
              </w:rPr>
              <w:t>)</w:t>
            </w:r>
          </w:p>
        </w:tc>
        <w:tc>
          <w:tcPr>
            <w:tcW w:w="632" w:type="pct"/>
            <w:tcBorders>
              <w:tl2br w:val="nil"/>
              <w:tr2bl w:val="nil"/>
            </w:tcBorders>
            <w:noWrap w:val="0"/>
            <w:vAlign w:val="center"/>
          </w:tcPr>
          <w:p w14:paraId="70DB2220">
            <w:pPr>
              <w:autoSpaceDE/>
              <w:autoSpaceDN/>
              <w:spacing w:before="0" w:after="0" w:line="240" w:lineRule="exact"/>
              <w:ind w:left="0" w:firstLine="0"/>
              <w:jc w:val="center"/>
              <w:rPr>
                <w:rFonts w:hint="eastAsia" w:eastAsia="宋体" w:cs="Arial"/>
                <w:spacing w:val="10"/>
                <w:sz w:val="21"/>
                <w:szCs w:val="21"/>
                <w:lang w:eastAsia="zh-CN"/>
              </w:rPr>
            </w:pPr>
            <w:r>
              <w:rPr>
                <w:rFonts w:hint="eastAsia" w:cs="Arial"/>
                <w:spacing w:val="10"/>
                <w:sz w:val="21"/>
                <w:szCs w:val="21"/>
                <w:lang w:val="en-US" w:eastAsia="zh-CN"/>
              </w:rPr>
              <w:t>/</w:t>
            </w:r>
          </w:p>
        </w:tc>
        <w:tc>
          <w:tcPr>
            <w:tcW w:w="1473" w:type="pct"/>
            <w:tcBorders>
              <w:tl2br w:val="nil"/>
              <w:tr2bl w:val="nil"/>
            </w:tcBorders>
            <w:noWrap w:val="0"/>
            <w:vAlign w:val="center"/>
          </w:tcPr>
          <w:p w14:paraId="641B2F8E">
            <w:pPr>
              <w:autoSpaceDE/>
              <w:autoSpaceDN/>
              <w:spacing w:before="0" w:after="0" w:line="240" w:lineRule="exact"/>
              <w:ind w:left="0" w:firstLine="0"/>
              <w:jc w:val="center"/>
              <w:rPr>
                <w:rFonts w:cs="Arial"/>
                <w:spacing w:val="10"/>
                <w:sz w:val="21"/>
                <w:szCs w:val="21"/>
              </w:rPr>
            </w:pPr>
            <w:r>
              <w:rPr>
                <w:rFonts w:cs="Arial"/>
                <w:spacing w:val="10"/>
                <w:sz w:val="21"/>
                <w:szCs w:val="21"/>
              </w:rPr>
              <w:t>爆炸上限（v%）</w:t>
            </w:r>
          </w:p>
        </w:tc>
        <w:tc>
          <w:tcPr>
            <w:tcW w:w="1637" w:type="pct"/>
            <w:tcBorders>
              <w:tl2br w:val="nil"/>
              <w:tr2bl w:val="nil"/>
            </w:tcBorders>
            <w:noWrap w:val="0"/>
            <w:vAlign w:val="center"/>
          </w:tcPr>
          <w:p w14:paraId="3EBC5A4B">
            <w:pPr>
              <w:autoSpaceDE/>
              <w:autoSpaceDN/>
              <w:spacing w:before="0" w:after="0" w:line="240" w:lineRule="exact"/>
              <w:ind w:left="0" w:firstLine="0"/>
              <w:jc w:val="center"/>
              <w:rPr>
                <w:rFonts w:hint="eastAsia" w:eastAsia="宋体" w:cs="Arial"/>
                <w:spacing w:val="10"/>
                <w:sz w:val="21"/>
                <w:szCs w:val="21"/>
                <w:lang w:eastAsia="zh-CN"/>
              </w:rPr>
            </w:pPr>
            <w:r>
              <w:rPr>
                <w:rFonts w:hint="eastAsia" w:cs="Arial"/>
                <w:spacing w:val="10"/>
                <w:sz w:val="21"/>
                <w:szCs w:val="21"/>
                <w:lang w:val="en-US" w:eastAsia="zh-CN"/>
              </w:rPr>
              <w:t>/</w:t>
            </w:r>
          </w:p>
        </w:tc>
      </w:tr>
      <w:tr w14:paraId="07F11C5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57D4836B">
            <w:pPr>
              <w:widowControl/>
              <w:autoSpaceDE/>
              <w:autoSpaceDN/>
              <w:spacing w:before="0" w:after="0" w:line="240" w:lineRule="exact"/>
              <w:ind w:left="0" w:firstLine="0"/>
              <w:jc w:val="left"/>
              <w:rPr>
                <w:rFonts w:cs="Arial"/>
                <w:spacing w:val="10"/>
                <w:sz w:val="21"/>
                <w:szCs w:val="21"/>
              </w:rPr>
            </w:pPr>
          </w:p>
        </w:tc>
        <w:tc>
          <w:tcPr>
            <w:tcW w:w="1006" w:type="pct"/>
            <w:tcBorders>
              <w:tl2br w:val="nil"/>
              <w:tr2bl w:val="nil"/>
            </w:tcBorders>
            <w:noWrap w:val="0"/>
            <w:vAlign w:val="center"/>
          </w:tcPr>
          <w:p w14:paraId="722C57DC">
            <w:pPr>
              <w:autoSpaceDE/>
              <w:autoSpaceDN/>
              <w:spacing w:before="0" w:after="0" w:line="240" w:lineRule="exact"/>
              <w:ind w:left="0" w:firstLine="0"/>
              <w:jc w:val="center"/>
              <w:rPr>
                <w:rFonts w:cs="Arial"/>
                <w:spacing w:val="10"/>
                <w:sz w:val="21"/>
                <w:szCs w:val="21"/>
              </w:rPr>
            </w:pPr>
            <w:r>
              <w:rPr>
                <w:rFonts w:cs="Arial"/>
                <w:spacing w:val="10"/>
                <w:sz w:val="21"/>
                <w:szCs w:val="21"/>
              </w:rPr>
              <w:t>引燃温度(</w:t>
            </w:r>
            <w:r>
              <w:rPr>
                <w:rFonts w:ascii="宋体" w:hAnsi="宋体" w:cs="Arial"/>
                <w:spacing w:val="10"/>
                <w:sz w:val="21"/>
                <w:szCs w:val="21"/>
              </w:rPr>
              <w:t>℃</w:t>
            </w:r>
            <w:r>
              <w:rPr>
                <w:rFonts w:cs="Arial"/>
                <w:spacing w:val="10"/>
                <w:sz w:val="21"/>
                <w:szCs w:val="21"/>
              </w:rPr>
              <w:t>)</w:t>
            </w:r>
          </w:p>
        </w:tc>
        <w:tc>
          <w:tcPr>
            <w:tcW w:w="632" w:type="pct"/>
            <w:tcBorders>
              <w:tl2br w:val="nil"/>
              <w:tr2bl w:val="nil"/>
            </w:tcBorders>
            <w:noWrap w:val="0"/>
            <w:vAlign w:val="center"/>
          </w:tcPr>
          <w:p w14:paraId="2D389774">
            <w:pPr>
              <w:autoSpaceDE/>
              <w:autoSpaceDN/>
              <w:spacing w:before="0" w:after="0" w:line="240" w:lineRule="exact"/>
              <w:ind w:left="0" w:firstLine="0"/>
              <w:jc w:val="center"/>
              <w:rPr>
                <w:rFonts w:hint="eastAsia" w:eastAsia="宋体" w:cs="Arial"/>
                <w:spacing w:val="10"/>
                <w:sz w:val="21"/>
                <w:szCs w:val="21"/>
                <w:lang w:eastAsia="zh-CN"/>
              </w:rPr>
            </w:pPr>
            <w:r>
              <w:rPr>
                <w:rFonts w:hint="eastAsia" w:cs="Arial"/>
                <w:spacing w:val="10"/>
                <w:sz w:val="21"/>
                <w:szCs w:val="21"/>
                <w:lang w:val="en-US" w:eastAsia="zh-CN"/>
              </w:rPr>
              <w:t>/</w:t>
            </w:r>
          </w:p>
        </w:tc>
        <w:tc>
          <w:tcPr>
            <w:tcW w:w="1473" w:type="pct"/>
            <w:tcBorders>
              <w:tl2br w:val="nil"/>
              <w:tr2bl w:val="nil"/>
            </w:tcBorders>
            <w:noWrap w:val="0"/>
            <w:vAlign w:val="center"/>
          </w:tcPr>
          <w:p w14:paraId="0CFE73A2">
            <w:pPr>
              <w:autoSpaceDE/>
              <w:autoSpaceDN/>
              <w:spacing w:before="0" w:after="0" w:line="240" w:lineRule="exact"/>
              <w:ind w:left="0" w:firstLine="0"/>
              <w:jc w:val="center"/>
              <w:rPr>
                <w:rFonts w:cs="Arial"/>
                <w:spacing w:val="10"/>
                <w:sz w:val="21"/>
                <w:szCs w:val="21"/>
              </w:rPr>
            </w:pPr>
            <w:r>
              <w:rPr>
                <w:rFonts w:cs="Arial"/>
                <w:spacing w:val="10"/>
                <w:sz w:val="21"/>
                <w:szCs w:val="21"/>
              </w:rPr>
              <w:t>爆炸下限（v%）</w:t>
            </w:r>
          </w:p>
        </w:tc>
        <w:tc>
          <w:tcPr>
            <w:tcW w:w="1637" w:type="pct"/>
            <w:tcBorders>
              <w:tl2br w:val="nil"/>
              <w:tr2bl w:val="nil"/>
            </w:tcBorders>
            <w:noWrap w:val="0"/>
            <w:vAlign w:val="center"/>
          </w:tcPr>
          <w:p w14:paraId="1227AE2F">
            <w:pPr>
              <w:autoSpaceDE/>
              <w:autoSpaceDN/>
              <w:spacing w:before="0" w:after="0" w:line="240" w:lineRule="exact"/>
              <w:ind w:left="0" w:firstLine="0"/>
              <w:jc w:val="center"/>
              <w:rPr>
                <w:rFonts w:hint="eastAsia" w:eastAsia="宋体" w:cs="Arial"/>
                <w:spacing w:val="10"/>
                <w:sz w:val="21"/>
                <w:szCs w:val="21"/>
                <w:lang w:eastAsia="zh-CN"/>
              </w:rPr>
            </w:pPr>
            <w:r>
              <w:rPr>
                <w:rFonts w:hint="eastAsia" w:cs="Arial"/>
                <w:spacing w:val="10"/>
                <w:sz w:val="21"/>
                <w:szCs w:val="21"/>
                <w:lang w:val="en-US" w:eastAsia="zh-CN"/>
              </w:rPr>
              <w:t>/</w:t>
            </w:r>
          </w:p>
        </w:tc>
      </w:tr>
      <w:tr w14:paraId="241A232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2ACE6359">
            <w:pPr>
              <w:widowControl/>
              <w:autoSpaceDE/>
              <w:autoSpaceDN/>
              <w:spacing w:before="0" w:after="0" w:line="240" w:lineRule="exact"/>
              <w:ind w:left="0" w:firstLine="0"/>
              <w:jc w:val="left"/>
              <w:rPr>
                <w:rFonts w:cs="Arial"/>
                <w:spacing w:val="10"/>
                <w:sz w:val="21"/>
                <w:szCs w:val="21"/>
              </w:rPr>
            </w:pPr>
          </w:p>
        </w:tc>
        <w:tc>
          <w:tcPr>
            <w:tcW w:w="1006" w:type="pct"/>
            <w:tcBorders>
              <w:tl2br w:val="nil"/>
              <w:tr2bl w:val="nil"/>
            </w:tcBorders>
            <w:noWrap w:val="0"/>
            <w:vAlign w:val="center"/>
          </w:tcPr>
          <w:p w14:paraId="3BF6ACE7">
            <w:pPr>
              <w:autoSpaceDE/>
              <w:autoSpaceDN/>
              <w:spacing w:before="0" w:after="0" w:line="240" w:lineRule="exact"/>
              <w:ind w:left="0" w:firstLine="0"/>
              <w:jc w:val="center"/>
              <w:rPr>
                <w:rFonts w:cs="Arial"/>
                <w:spacing w:val="10"/>
                <w:sz w:val="21"/>
                <w:szCs w:val="21"/>
              </w:rPr>
            </w:pPr>
            <w:r>
              <w:rPr>
                <w:rFonts w:cs="Arial"/>
                <w:spacing w:val="10"/>
                <w:sz w:val="21"/>
                <w:szCs w:val="21"/>
              </w:rPr>
              <w:t>危险特性</w:t>
            </w:r>
          </w:p>
        </w:tc>
        <w:tc>
          <w:tcPr>
            <w:tcW w:w="3742" w:type="pct"/>
            <w:gridSpan w:val="3"/>
            <w:tcBorders>
              <w:tl2br w:val="nil"/>
              <w:tr2bl w:val="nil"/>
            </w:tcBorders>
            <w:noWrap w:val="0"/>
            <w:vAlign w:val="center"/>
          </w:tcPr>
          <w:p w14:paraId="03B3C521">
            <w:pPr>
              <w:autoSpaceDE/>
              <w:autoSpaceDN/>
              <w:spacing w:before="0" w:after="0" w:line="240" w:lineRule="exact"/>
              <w:ind w:left="0" w:firstLine="0"/>
              <w:rPr>
                <w:rFonts w:cs="Arial"/>
                <w:spacing w:val="10"/>
                <w:sz w:val="21"/>
                <w:szCs w:val="21"/>
              </w:rPr>
            </w:pPr>
            <w:r>
              <w:rPr>
                <w:rFonts w:hint="eastAsia" w:cs="Arial"/>
                <w:spacing w:val="10"/>
                <w:sz w:val="21"/>
                <w:szCs w:val="21"/>
              </w:rPr>
              <w:t>无机氧化剂。与有机物、可燃物的混合物能燃烧和爆炸，并放出有毒和刺激性的氧化氮气体。与铵盐、可燃物粉末或氰化物的混合物会爆炸。加热或遇酸能产生剧毒的氨氧化物气体。</w:t>
            </w:r>
          </w:p>
        </w:tc>
      </w:tr>
      <w:tr w14:paraId="556BD21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24E4D911">
            <w:pPr>
              <w:widowControl/>
              <w:autoSpaceDE/>
              <w:autoSpaceDN/>
              <w:spacing w:before="0" w:after="0" w:line="240" w:lineRule="exact"/>
              <w:ind w:left="0" w:firstLine="0"/>
              <w:jc w:val="left"/>
              <w:rPr>
                <w:rFonts w:cs="Arial"/>
                <w:spacing w:val="10"/>
                <w:sz w:val="21"/>
                <w:szCs w:val="21"/>
              </w:rPr>
            </w:pPr>
          </w:p>
        </w:tc>
        <w:tc>
          <w:tcPr>
            <w:tcW w:w="1006" w:type="pct"/>
            <w:tcBorders>
              <w:tl2br w:val="nil"/>
              <w:tr2bl w:val="nil"/>
            </w:tcBorders>
            <w:noWrap w:val="0"/>
            <w:vAlign w:val="center"/>
          </w:tcPr>
          <w:p w14:paraId="7FA8E6AC">
            <w:pPr>
              <w:autoSpaceDE/>
              <w:autoSpaceDN/>
              <w:spacing w:before="0" w:after="0" w:line="240" w:lineRule="exact"/>
              <w:ind w:left="0" w:firstLine="0"/>
              <w:jc w:val="center"/>
              <w:rPr>
                <w:rFonts w:hint="eastAsia" w:cs="Arial"/>
                <w:spacing w:val="10"/>
                <w:sz w:val="21"/>
                <w:szCs w:val="21"/>
              </w:rPr>
            </w:pPr>
            <w:r>
              <w:rPr>
                <w:rFonts w:cs="Arial"/>
                <w:spacing w:val="10"/>
                <w:sz w:val="21"/>
                <w:szCs w:val="21"/>
              </w:rPr>
              <w:t>储运</w:t>
            </w:r>
            <w:r>
              <w:rPr>
                <w:rFonts w:hint="eastAsia" w:cs="Arial"/>
                <w:spacing w:val="10"/>
                <w:sz w:val="21"/>
                <w:szCs w:val="21"/>
              </w:rPr>
              <w:t>注意事项</w:t>
            </w:r>
          </w:p>
        </w:tc>
        <w:tc>
          <w:tcPr>
            <w:tcW w:w="3742" w:type="pct"/>
            <w:gridSpan w:val="3"/>
            <w:tcBorders>
              <w:tl2br w:val="nil"/>
              <w:tr2bl w:val="nil"/>
            </w:tcBorders>
            <w:noWrap w:val="0"/>
            <w:vAlign w:val="center"/>
          </w:tcPr>
          <w:p w14:paraId="12B31834">
            <w:pPr>
              <w:autoSpaceDE/>
              <w:autoSpaceDN/>
              <w:spacing w:before="0" w:after="0" w:line="240" w:lineRule="exact"/>
              <w:ind w:left="0" w:firstLine="0"/>
              <w:rPr>
                <w:rFonts w:hint="eastAsia" w:cs="Arial"/>
                <w:sz w:val="21"/>
                <w:szCs w:val="21"/>
              </w:rPr>
            </w:pPr>
            <w:r>
              <w:rPr>
                <w:rFonts w:hint="eastAsia" w:cs="Arial"/>
                <w:sz w:val="21"/>
                <w:szCs w:val="21"/>
              </w:rPr>
              <w:t>储存于阴凉、通风的库房</w:t>
            </w:r>
            <w:r>
              <w:rPr>
                <w:rFonts w:hint="eastAsia" w:cs="Arial"/>
                <w:sz w:val="21"/>
                <w:szCs w:val="21"/>
                <w:lang w:eastAsia="zh-CN"/>
              </w:rPr>
              <w:t>，</w:t>
            </w:r>
            <w:r>
              <w:rPr>
                <w:rFonts w:hint="eastAsia" w:cs="Arial"/>
                <w:sz w:val="21"/>
                <w:szCs w:val="21"/>
              </w:rPr>
              <w:t>库温不宜超过37°C。应与氧化剂、食用化学品分开存放，切忌混储（禁配物参见第10部分）。保持容器密封。远离火种、热源。库房必须安装避雷设备。排风系统应设有导除静电的接地装置。采用防爆型照明、通风设置。禁止使用易产生火花的设备和工具。储区应备有泄漏应急处理设备和合适的收容材料。</w:t>
            </w:r>
          </w:p>
        </w:tc>
      </w:tr>
      <w:tr w14:paraId="56A490C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23F39333">
            <w:pPr>
              <w:widowControl/>
              <w:autoSpaceDE/>
              <w:autoSpaceDN/>
              <w:spacing w:before="0" w:after="0" w:line="240" w:lineRule="exact"/>
              <w:ind w:left="0" w:firstLine="0"/>
              <w:jc w:val="left"/>
              <w:rPr>
                <w:rFonts w:cs="Arial"/>
                <w:spacing w:val="10"/>
                <w:sz w:val="21"/>
                <w:szCs w:val="21"/>
              </w:rPr>
            </w:pPr>
          </w:p>
        </w:tc>
        <w:tc>
          <w:tcPr>
            <w:tcW w:w="1006" w:type="pct"/>
            <w:tcBorders>
              <w:tl2br w:val="nil"/>
              <w:tr2bl w:val="nil"/>
            </w:tcBorders>
            <w:noWrap w:val="0"/>
            <w:vAlign w:val="center"/>
          </w:tcPr>
          <w:p w14:paraId="3E0E25FF">
            <w:pPr>
              <w:autoSpaceDE/>
              <w:autoSpaceDN/>
              <w:spacing w:before="0" w:after="0" w:line="240" w:lineRule="exact"/>
              <w:ind w:left="0" w:firstLine="0"/>
              <w:jc w:val="center"/>
              <w:rPr>
                <w:rFonts w:hint="eastAsia" w:cs="Arial"/>
                <w:spacing w:val="10"/>
                <w:sz w:val="21"/>
                <w:szCs w:val="21"/>
              </w:rPr>
            </w:pPr>
            <w:r>
              <w:rPr>
                <w:rFonts w:hint="eastAsia" w:cs="Arial"/>
                <w:spacing w:val="10"/>
                <w:sz w:val="21"/>
                <w:szCs w:val="21"/>
              </w:rPr>
              <w:t>应急处理</w:t>
            </w:r>
          </w:p>
        </w:tc>
        <w:tc>
          <w:tcPr>
            <w:tcW w:w="3742" w:type="pct"/>
            <w:gridSpan w:val="3"/>
            <w:tcBorders>
              <w:tl2br w:val="nil"/>
              <w:tr2bl w:val="nil"/>
            </w:tcBorders>
            <w:noWrap w:val="0"/>
            <w:vAlign w:val="center"/>
          </w:tcPr>
          <w:p w14:paraId="4BCB2055">
            <w:pPr>
              <w:autoSpaceDE/>
              <w:autoSpaceDN/>
              <w:spacing w:before="0" w:after="0" w:line="240" w:lineRule="exact"/>
              <w:ind w:left="0" w:firstLine="0"/>
              <w:rPr>
                <w:rFonts w:hint="eastAsia" w:cs="Arial"/>
                <w:sz w:val="21"/>
                <w:szCs w:val="21"/>
              </w:rPr>
            </w:pPr>
            <w:r>
              <w:rPr>
                <w:rFonts w:hint="eastAsia" w:cs="Arial"/>
                <w:sz w:val="21"/>
                <w:szCs w:val="21"/>
              </w:rPr>
              <w:t>建议应急处理人员戴携气式呼吸器，穿防静电服，戴橡胶耐油手套。禁止接触或跨越泄漏物。作业时使用的所有设备应接地。尽可能切断泄漏源。消除所有点火源。根据液体流动、蒸汽或粉尘扩散的影响区域划定警戒区，无关人员从侧风、上风向撤离至安全区。</w:t>
            </w:r>
          </w:p>
        </w:tc>
      </w:tr>
      <w:tr w14:paraId="301A2E3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7FC07E1C">
            <w:pPr>
              <w:widowControl/>
              <w:autoSpaceDE/>
              <w:autoSpaceDN/>
              <w:spacing w:before="0" w:after="0" w:line="240" w:lineRule="exact"/>
              <w:ind w:left="0" w:firstLine="0"/>
              <w:jc w:val="left"/>
              <w:rPr>
                <w:rFonts w:cs="Arial"/>
                <w:spacing w:val="10"/>
                <w:sz w:val="21"/>
                <w:szCs w:val="21"/>
              </w:rPr>
            </w:pPr>
          </w:p>
        </w:tc>
        <w:tc>
          <w:tcPr>
            <w:tcW w:w="1006" w:type="pct"/>
            <w:tcBorders>
              <w:tl2br w:val="nil"/>
              <w:tr2bl w:val="nil"/>
            </w:tcBorders>
            <w:noWrap w:val="0"/>
            <w:vAlign w:val="center"/>
          </w:tcPr>
          <w:p w14:paraId="033D62F8">
            <w:pPr>
              <w:autoSpaceDE/>
              <w:autoSpaceDN/>
              <w:spacing w:before="0" w:after="0" w:line="240" w:lineRule="exact"/>
              <w:ind w:left="0" w:firstLine="0"/>
              <w:jc w:val="center"/>
              <w:rPr>
                <w:rFonts w:cs="Arial"/>
                <w:spacing w:val="10"/>
                <w:sz w:val="21"/>
                <w:szCs w:val="21"/>
              </w:rPr>
            </w:pPr>
            <w:r>
              <w:rPr>
                <w:rFonts w:cs="Arial"/>
                <w:spacing w:val="10"/>
                <w:sz w:val="21"/>
                <w:szCs w:val="21"/>
              </w:rPr>
              <w:t>灭火方法</w:t>
            </w:r>
          </w:p>
        </w:tc>
        <w:tc>
          <w:tcPr>
            <w:tcW w:w="3742" w:type="pct"/>
            <w:gridSpan w:val="3"/>
            <w:tcBorders>
              <w:tl2br w:val="nil"/>
              <w:tr2bl w:val="nil"/>
            </w:tcBorders>
            <w:noWrap w:val="0"/>
            <w:vAlign w:val="center"/>
          </w:tcPr>
          <w:p w14:paraId="49E86063">
            <w:pPr>
              <w:autoSpaceDE/>
              <w:autoSpaceDN/>
              <w:spacing w:before="0" w:after="0" w:line="240" w:lineRule="exact"/>
              <w:ind w:left="0" w:firstLine="0"/>
              <w:rPr>
                <w:rFonts w:hint="eastAsia" w:ascii="宋体" w:hAnsi="宋体"/>
                <w:sz w:val="21"/>
                <w:szCs w:val="21"/>
              </w:rPr>
            </w:pPr>
            <w:r>
              <w:rPr>
                <w:rFonts w:hint="eastAsia" w:ascii="宋体" w:hAnsi="宋体"/>
                <w:sz w:val="21"/>
                <w:szCs w:val="21"/>
              </w:rPr>
              <w:t>用水雾、干粉、泡沫或二氧化碳灭火剂灭火。避免使用直流水灭火，直流水可能导致可燃性液体的飞溅，使火势扩散。</w:t>
            </w:r>
          </w:p>
          <w:p w14:paraId="7F1D2FEC">
            <w:pPr>
              <w:autoSpaceDE/>
              <w:autoSpaceDN/>
              <w:spacing w:before="0" w:after="0" w:line="240" w:lineRule="exact"/>
              <w:ind w:left="0" w:firstLine="0"/>
              <w:rPr>
                <w:rFonts w:cs="Arial"/>
                <w:spacing w:val="10"/>
                <w:sz w:val="21"/>
                <w:szCs w:val="21"/>
              </w:rPr>
            </w:pPr>
            <w:r>
              <w:rPr>
                <w:rFonts w:hint="eastAsia" w:ascii="宋体" w:hAnsi="宋体"/>
                <w:sz w:val="21"/>
                <w:szCs w:val="21"/>
              </w:rPr>
              <w:t>消防人员须佩戴携气式呼吸器，穿全身消防服，在上风向灭火。尽可能将容器从火场移至空旷处。处在火场中的容器若已变色或从安全泄压装置中发出声音，必须马上撤离。隔离事故现场，禁止无关人员进入。收容和处理消防水，防止污染环境。</w:t>
            </w:r>
          </w:p>
        </w:tc>
      </w:tr>
    </w:tbl>
    <w:p w14:paraId="5905EAC4">
      <w:pPr>
        <w:keepNext w:val="0"/>
        <w:keepLines w:val="0"/>
        <w:pageBreakBefore w:val="0"/>
        <w:widowControl w:val="0"/>
        <w:kinsoku/>
        <w:wordWrap/>
        <w:overflowPunct/>
        <w:topLinePunct w:val="0"/>
        <w:autoSpaceDE/>
        <w:autoSpaceDN/>
        <w:bidi w:val="0"/>
        <w:adjustRightInd/>
        <w:snapToGrid/>
        <w:jc w:val="center"/>
        <w:textAlignment w:val="auto"/>
        <w:rPr>
          <w:b/>
          <w:bCs/>
          <w:sz w:val="24"/>
          <w:szCs w:val="24"/>
        </w:rPr>
      </w:pPr>
      <w:r>
        <w:rPr>
          <w:rFonts w:hint="eastAsia"/>
          <w:b/>
          <w:bCs/>
          <w:sz w:val="24"/>
          <w:szCs w:val="24"/>
        </w:rPr>
        <w:t>表5</w:t>
      </w:r>
      <w:r>
        <w:rPr>
          <w:rFonts w:hint="eastAsia"/>
          <w:b/>
          <w:bCs/>
          <w:sz w:val="24"/>
          <w:szCs w:val="24"/>
          <w:lang w:val="en-US" w:eastAsia="zh-CN"/>
        </w:rPr>
        <w:t>.3-4</w:t>
      </w:r>
      <w:r>
        <w:rPr>
          <w:rFonts w:hint="eastAsia"/>
          <w:b/>
          <w:bCs/>
          <w:sz w:val="24"/>
          <w:szCs w:val="24"/>
        </w:rPr>
        <w:t xml:space="preserve"> </w:t>
      </w:r>
      <w:r>
        <w:rPr>
          <w:rFonts w:hint="eastAsia"/>
          <w:b/>
          <w:bCs/>
          <w:sz w:val="24"/>
          <w:szCs w:val="24"/>
          <w:lang w:val="en-US" w:eastAsia="zh-CN"/>
        </w:rPr>
        <w:t>二甲基硫醚理</w:t>
      </w:r>
      <w:r>
        <w:rPr>
          <w:rFonts w:hint="eastAsia"/>
          <w:b/>
          <w:bCs/>
          <w:sz w:val="24"/>
          <w:szCs w:val="24"/>
        </w:rPr>
        <w:t>化性质表</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419"/>
        <w:gridCol w:w="1684"/>
        <w:gridCol w:w="979"/>
        <w:gridCol w:w="77"/>
        <w:gridCol w:w="324"/>
        <w:gridCol w:w="2136"/>
        <w:gridCol w:w="2732"/>
      </w:tblGrid>
      <w:tr w14:paraId="2E54601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restart"/>
            <w:tcBorders>
              <w:tl2br w:val="nil"/>
              <w:tr2bl w:val="nil"/>
            </w:tcBorders>
            <w:noWrap w:val="0"/>
            <w:vAlign w:val="center"/>
          </w:tcPr>
          <w:p w14:paraId="1F7C9479">
            <w:pPr>
              <w:autoSpaceDE/>
              <w:autoSpaceDN/>
              <w:spacing w:before="0" w:after="0" w:line="240" w:lineRule="exact"/>
              <w:ind w:left="0" w:firstLine="0"/>
              <w:jc w:val="center"/>
              <w:rPr>
                <w:rFonts w:hint="default" w:ascii="Times New Roman" w:hAnsi="Times New Roman" w:eastAsia="宋体" w:cs="Times New Roman"/>
                <w:b/>
                <w:bCs/>
                <w:spacing w:val="10"/>
                <w:sz w:val="21"/>
                <w:szCs w:val="21"/>
              </w:rPr>
            </w:pPr>
            <w:r>
              <w:rPr>
                <w:rFonts w:hint="default" w:ascii="Times New Roman" w:hAnsi="Times New Roman" w:eastAsia="宋体" w:cs="Times New Roman"/>
                <w:b/>
                <w:bCs/>
                <w:spacing w:val="10"/>
                <w:sz w:val="21"/>
                <w:szCs w:val="21"/>
              </w:rPr>
              <w:t>标识</w:t>
            </w:r>
          </w:p>
        </w:tc>
        <w:tc>
          <w:tcPr>
            <w:tcW w:w="3113" w:type="pct"/>
            <w:gridSpan w:val="5"/>
            <w:tcBorders>
              <w:tl2br w:val="nil"/>
              <w:tr2bl w:val="nil"/>
            </w:tcBorders>
            <w:noWrap w:val="0"/>
            <w:vAlign w:val="center"/>
          </w:tcPr>
          <w:p w14:paraId="2303E646">
            <w:pPr>
              <w:autoSpaceDE/>
              <w:autoSpaceDN/>
              <w:spacing w:before="0" w:after="0" w:line="240" w:lineRule="exact"/>
              <w:ind w:left="0" w:firstLine="0"/>
              <w:rPr>
                <w:rFonts w:hint="default" w:ascii="Times New Roman" w:hAnsi="Times New Roman" w:eastAsia="宋体" w:cs="Times New Roman"/>
                <w:spacing w:val="10"/>
                <w:sz w:val="21"/>
                <w:szCs w:val="21"/>
                <w:lang w:eastAsia="zh-CN"/>
              </w:rPr>
            </w:pPr>
            <w:r>
              <w:rPr>
                <w:rFonts w:hint="default" w:ascii="Times New Roman" w:hAnsi="Times New Roman" w:eastAsia="宋体" w:cs="Times New Roman"/>
                <w:spacing w:val="10"/>
                <w:sz w:val="21"/>
                <w:szCs w:val="21"/>
              </w:rPr>
              <w:t>中文名：</w:t>
            </w:r>
            <w:r>
              <w:rPr>
                <w:rFonts w:hint="default" w:ascii="Times New Roman" w:hAnsi="Times New Roman" w:eastAsia="宋体" w:cs="Times New Roman"/>
                <w:sz w:val="21"/>
                <w:szCs w:val="21"/>
                <w:lang w:val="en-US" w:eastAsia="zh-CN"/>
              </w:rPr>
              <w:t>二甲基硫醚</w:t>
            </w:r>
          </w:p>
        </w:tc>
        <w:tc>
          <w:tcPr>
            <w:tcW w:w="1634" w:type="pct"/>
            <w:tcBorders>
              <w:tl2br w:val="nil"/>
              <w:tr2bl w:val="nil"/>
            </w:tcBorders>
            <w:noWrap w:val="0"/>
            <w:vAlign w:val="center"/>
          </w:tcPr>
          <w:p w14:paraId="15E9DC9C">
            <w:pPr>
              <w:autoSpaceDE/>
              <w:autoSpaceDN/>
              <w:spacing w:before="0" w:after="0" w:line="240" w:lineRule="exact"/>
              <w:ind w:left="0" w:firstLine="0"/>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rPr>
              <w:t>危险货物编号：</w:t>
            </w:r>
            <w:r>
              <w:rPr>
                <w:rFonts w:hint="default" w:ascii="Times New Roman" w:hAnsi="Times New Roman" w:eastAsia="宋体" w:cs="Times New Roman"/>
                <w:spacing w:val="10"/>
                <w:sz w:val="21"/>
                <w:szCs w:val="21"/>
                <w:lang w:val="en-US" w:eastAsia="zh-CN"/>
              </w:rPr>
              <w:t>31033</w:t>
            </w:r>
          </w:p>
        </w:tc>
      </w:tr>
      <w:tr w14:paraId="397EADB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22ACAE57">
            <w:pPr>
              <w:widowControl/>
              <w:autoSpaceDE/>
              <w:autoSpaceDN/>
              <w:spacing w:before="0" w:after="0" w:line="240" w:lineRule="exact"/>
              <w:ind w:left="0" w:firstLine="0"/>
              <w:jc w:val="left"/>
              <w:rPr>
                <w:rFonts w:hint="default" w:ascii="Times New Roman" w:hAnsi="Times New Roman" w:eastAsia="宋体" w:cs="Times New Roman"/>
                <w:b/>
                <w:bCs/>
                <w:spacing w:val="10"/>
                <w:sz w:val="21"/>
                <w:szCs w:val="21"/>
              </w:rPr>
            </w:pPr>
          </w:p>
        </w:tc>
        <w:tc>
          <w:tcPr>
            <w:tcW w:w="3113" w:type="pct"/>
            <w:gridSpan w:val="5"/>
            <w:tcBorders>
              <w:tl2br w:val="nil"/>
              <w:tr2bl w:val="nil"/>
            </w:tcBorders>
            <w:noWrap w:val="0"/>
            <w:vAlign w:val="center"/>
          </w:tcPr>
          <w:p w14:paraId="1D2E2A96">
            <w:pPr>
              <w:autoSpaceDE/>
              <w:autoSpaceDN/>
              <w:spacing w:before="0" w:after="0" w:line="240" w:lineRule="exact"/>
              <w:ind w:left="0" w:firstLine="0"/>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rPr>
              <w:t>英文名：</w:t>
            </w:r>
            <w:r>
              <w:rPr>
                <w:rFonts w:hint="default" w:ascii="Times New Roman" w:hAnsi="Times New Roman" w:eastAsia="宋体" w:cs="Times New Roman"/>
                <w:sz w:val="21"/>
                <w:szCs w:val="21"/>
                <w:lang w:val="en-US" w:eastAsia="zh-CN"/>
              </w:rPr>
              <w:t>dimethyl sulfide</w:t>
            </w:r>
          </w:p>
        </w:tc>
        <w:tc>
          <w:tcPr>
            <w:tcW w:w="1634" w:type="pct"/>
            <w:tcBorders>
              <w:tl2br w:val="nil"/>
              <w:tr2bl w:val="nil"/>
            </w:tcBorders>
            <w:noWrap w:val="0"/>
            <w:vAlign w:val="center"/>
          </w:tcPr>
          <w:p w14:paraId="56C4AFA4">
            <w:pPr>
              <w:autoSpaceDE/>
              <w:autoSpaceDN/>
              <w:spacing w:before="0" w:after="0" w:line="240" w:lineRule="exact"/>
              <w:ind w:left="0" w:firstLine="0"/>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rPr>
              <w:t>UN编号：</w:t>
            </w:r>
            <w:r>
              <w:rPr>
                <w:rFonts w:hint="default" w:ascii="Times New Roman" w:hAnsi="Times New Roman" w:eastAsia="宋体" w:cs="Times New Roman"/>
                <w:spacing w:val="10"/>
                <w:sz w:val="21"/>
                <w:szCs w:val="21"/>
                <w:lang w:val="en-US" w:eastAsia="zh-CN"/>
              </w:rPr>
              <w:t>1164</w:t>
            </w:r>
          </w:p>
        </w:tc>
      </w:tr>
      <w:tr w14:paraId="76C9C34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7E94CF1C">
            <w:pPr>
              <w:widowControl/>
              <w:autoSpaceDE/>
              <w:autoSpaceDN/>
              <w:spacing w:before="0" w:after="0" w:line="240" w:lineRule="exact"/>
              <w:ind w:left="0" w:firstLine="0"/>
              <w:jc w:val="left"/>
              <w:rPr>
                <w:rFonts w:hint="default" w:ascii="Times New Roman" w:hAnsi="Times New Roman" w:eastAsia="宋体" w:cs="Times New Roman"/>
                <w:b/>
                <w:bCs/>
                <w:spacing w:val="10"/>
                <w:sz w:val="21"/>
                <w:szCs w:val="21"/>
              </w:rPr>
            </w:pPr>
          </w:p>
        </w:tc>
        <w:tc>
          <w:tcPr>
            <w:tcW w:w="1640" w:type="pct"/>
            <w:gridSpan w:val="3"/>
            <w:tcBorders>
              <w:tl2br w:val="nil"/>
              <w:tr2bl w:val="nil"/>
            </w:tcBorders>
            <w:noWrap w:val="0"/>
            <w:vAlign w:val="center"/>
          </w:tcPr>
          <w:p w14:paraId="47598853">
            <w:pPr>
              <w:autoSpaceDE/>
              <w:autoSpaceDN/>
              <w:spacing w:before="0" w:after="0" w:line="240" w:lineRule="exact"/>
              <w:ind w:left="0" w:firstLine="0"/>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rPr>
              <w:t>分子式：</w:t>
            </w:r>
            <w:r>
              <w:rPr>
                <w:rFonts w:hint="default" w:ascii="Times New Roman" w:hAnsi="Times New Roman" w:eastAsia="宋体" w:cs="Times New Roman"/>
                <w:spacing w:val="10"/>
                <w:sz w:val="21"/>
                <w:szCs w:val="21"/>
                <w:lang w:val="en-US" w:eastAsia="zh-CN"/>
              </w:rPr>
              <w:t>C</w:t>
            </w:r>
            <w:r>
              <w:rPr>
                <w:rFonts w:hint="default" w:ascii="Times New Roman" w:hAnsi="Times New Roman" w:eastAsia="宋体" w:cs="Times New Roman"/>
                <w:spacing w:val="10"/>
                <w:sz w:val="21"/>
                <w:szCs w:val="21"/>
                <w:vertAlign w:val="subscript"/>
                <w:lang w:val="en-US" w:eastAsia="zh-CN"/>
              </w:rPr>
              <w:t>2</w:t>
            </w:r>
            <w:r>
              <w:rPr>
                <w:rFonts w:hint="default" w:ascii="Times New Roman" w:hAnsi="Times New Roman" w:eastAsia="宋体" w:cs="Times New Roman"/>
                <w:spacing w:val="10"/>
                <w:sz w:val="21"/>
                <w:szCs w:val="21"/>
                <w:lang w:val="en-US" w:eastAsia="zh-CN"/>
              </w:rPr>
              <w:t>H</w:t>
            </w:r>
            <w:r>
              <w:rPr>
                <w:rFonts w:hint="default" w:ascii="Times New Roman" w:hAnsi="Times New Roman" w:eastAsia="宋体" w:cs="Times New Roman"/>
                <w:spacing w:val="10"/>
                <w:sz w:val="21"/>
                <w:szCs w:val="21"/>
                <w:vertAlign w:val="subscript"/>
                <w:lang w:val="en-US" w:eastAsia="zh-CN"/>
              </w:rPr>
              <w:t>6</w:t>
            </w:r>
            <w:r>
              <w:rPr>
                <w:rFonts w:hint="default" w:ascii="Times New Roman" w:hAnsi="Times New Roman" w:eastAsia="宋体" w:cs="Times New Roman"/>
                <w:spacing w:val="10"/>
                <w:sz w:val="21"/>
                <w:szCs w:val="21"/>
                <w:lang w:val="en-US" w:eastAsia="zh-CN"/>
              </w:rPr>
              <w:t>S</w:t>
            </w:r>
          </w:p>
        </w:tc>
        <w:tc>
          <w:tcPr>
            <w:tcW w:w="1473" w:type="pct"/>
            <w:gridSpan w:val="2"/>
            <w:tcBorders>
              <w:tl2br w:val="nil"/>
              <w:tr2bl w:val="nil"/>
            </w:tcBorders>
            <w:noWrap w:val="0"/>
            <w:vAlign w:val="center"/>
          </w:tcPr>
          <w:p w14:paraId="1119860C">
            <w:pPr>
              <w:autoSpaceDE/>
              <w:autoSpaceDN/>
              <w:spacing w:before="0" w:after="0" w:line="240" w:lineRule="exact"/>
              <w:ind w:left="0" w:firstLine="0"/>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rPr>
              <w:t>分子量：</w:t>
            </w:r>
            <w:r>
              <w:rPr>
                <w:rFonts w:hint="default" w:ascii="Times New Roman" w:hAnsi="Times New Roman" w:eastAsia="宋体" w:cs="Times New Roman"/>
                <w:spacing w:val="10"/>
                <w:sz w:val="21"/>
                <w:szCs w:val="21"/>
                <w:lang w:val="en-US" w:eastAsia="zh-CN"/>
              </w:rPr>
              <w:t>62.13</w:t>
            </w:r>
          </w:p>
        </w:tc>
        <w:tc>
          <w:tcPr>
            <w:tcW w:w="1634" w:type="pct"/>
            <w:tcBorders>
              <w:tl2br w:val="nil"/>
              <w:tr2bl w:val="nil"/>
            </w:tcBorders>
            <w:noWrap w:val="0"/>
            <w:vAlign w:val="center"/>
          </w:tcPr>
          <w:p w14:paraId="103E736C">
            <w:pPr>
              <w:autoSpaceDE/>
              <w:autoSpaceDN/>
              <w:spacing w:before="0" w:after="0" w:line="240" w:lineRule="exact"/>
              <w:ind w:left="0" w:firstLine="0"/>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rPr>
              <w:t>CAS号：</w:t>
            </w:r>
            <w:r>
              <w:rPr>
                <w:rFonts w:hint="default" w:ascii="Times New Roman" w:hAnsi="Times New Roman" w:eastAsia="宋体" w:cs="Times New Roman"/>
                <w:sz w:val="21"/>
                <w:szCs w:val="21"/>
                <w:lang w:val="en-US" w:eastAsia="zh-CN"/>
              </w:rPr>
              <w:t>75-18-3</w:t>
            </w:r>
          </w:p>
        </w:tc>
      </w:tr>
      <w:tr w14:paraId="658927D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restart"/>
            <w:tcBorders>
              <w:tl2br w:val="nil"/>
              <w:tr2bl w:val="nil"/>
            </w:tcBorders>
            <w:noWrap w:val="0"/>
            <w:vAlign w:val="center"/>
          </w:tcPr>
          <w:p w14:paraId="0FD54D3B">
            <w:pPr>
              <w:autoSpaceDE/>
              <w:autoSpaceDN/>
              <w:spacing w:before="0" w:after="0" w:line="240" w:lineRule="exact"/>
              <w:ind w:left="0" w:firstLine="0"/>
              <w:jc w:val="center"/>
              <w:rPr>
                <w:rFonts w:hint="default" w:ascii="Times New Roman" w:hAnsi="Times New Roman" w:eastAsia="宋体" w:cs="Times New Roman"/>
                <w:b/>
                <w:bCs/>
                <w:spacing w:val="10"/>
                <w:sz w:val="21"/>
                <w:szCs w:val="21"/>
              </w:rPr>
            </w:pPr>
            <w:r>
              <w:rPr>
                <w:rFonts w:hint="default" w:ascii="Times New Roman" w:hAnsi="Times New Roman" w:eastAsia="宋体" w:cs="Times New Roman"/>
                <w:b/>
                <w:bCs/>
                <w:spacing w:val="10"/>
                <w:sz w:val="21"/>
                <w:szCs w:val="21"/>
              </w:rPr>
              <w:t>理化性质</w:t>
            </w:r>
          </w:p>
        </w:tc>
        <w:tc>
          <w:tcPr>
            <w:tcW w:w="1008" w:type="pct"/>
            <w:tcBorders>
              <w:tl2br w:val="nil"/>
              <w:tr2bl w:val="nil"/>
            </w:tcBorders>
            <w:noWrap w:val="0"/>
            <w:vAlign w:val="center"/>
          </w:tcPr>
          <w:p w14:paraId="374F01EC">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外观与性状</w:t>
            </w:r>
          </w:p>
        </w:tc>
        <w:tc>
          <w:tcPr>
            <w:tcW w:w="3739" w:type="pct"/>
            <w:gridSpan w:val="5"/>
            <w:tcBorders>
              <w:tl2br w:val="nil"/>
              <w:tr2bl w:val="nil"/>
            </w:tcBorders>
            <w:noWrap w:val="0"/>
            <w:vAlign w:val="center"/>
          </w:tcPr>
          <w:p w14:paraId="56826210">
            <w:pPr>
              <w:autoSpaceDE/>
              <w:autoSpaceDN/>
              <w:spacing w:before="0" w:after="0" w:line="240" w:lineRule="exact"/>
              <w:ind w:left="0" w:firstLine="0"/>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z w:val="21"/>
                <w:szCs w:val="21"/>
                <w:lang w:val="en-US" w:eastAsia="zh-CN"/>
              </w:rPr>
              <w:t>无色液体，有不愉快的气味</w:t>
            </w:r>
          </w:p>
        </w:tc>
      </w:tr>
      <w:tr w14:paraId="4A333A3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74DCE2CB">
            <w:pPr>
              <w:widowControl/>
              <w:autoSpaceDE/>
              <w:autoSpaceDN/>
              <w:spacing w:before="0" w:after="0" w:line="240" w:lineRule="exact"/>
              <w:ind w:left="0" w:firstLine="0"/>
              <w:jc w:val="left"/>
              <w:rPr>
                <w:rFonts w:hint="default" w:ascii="Times New Roman" w:hAnsi="Times New Roman" w:eastAsia="宋体" w:cs="Times New Roman"/>
                <w:b/>
                <w:bCs/>
                <w:spacing w:val="10"/>
                <w:sz w:val="21"/>
                <w:szCs w:val="21"/>
              </w:rPr>
            </w:pPr>
          </w:p>
        </w:tc>
        <w:tc>
          <w:tcPr>
            <w:tcW w:w="1008" w:type="pct"/>
            <w:tcBorders>
              <w:tl2br w:val="nil"/>
              <w:tr2bl w:val="nil"/>
            </w:tcBorders>
            <w:noWrap w:val="0"/>
            <w:vAlign w:val="center"/>
          </w:tcPr>
          <w:p w14:paraId="79821991">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熔点（℃）</w:t>
            </w:r>
          </w:p>
        </w:tc>
        <w:tc>
          <w:tcPr>
            <w:tcW w:w="586" w:type="pct"/>
            <w:tcBorders>
              <w:tl2br w:val="nil"/>
              <w:tr2bl w:val="nil"/>
            </w:tcBorders>
            <w:noWrap w:val="0"/>
            <w:vAlign w:val="center"/>
          </w:tcPr>
          <w:p w14:paraId="53E7B06C">
            <w:pPr>
              <w:autoSpaceDE/>
              <w:autoSpaceDN/>
              <w:spacing w:before="0" w:after="0" w:line="240" w:lineRule="exact"/>
              <w:ind w:left="0" w:firstLine="0"/>
              <w:jc w:val="center"/>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z w:val="21"/>
                <w:szCs w:val="21"/>
              </w:rPr>
              <w:t>-</w:t>
            </w:r>
            <w:r>
              <w:rPr>
                <w:rFonts w:hint="default" w:ascii="Times New Roman" w:hAnsi="Times New Roman" w:eastAsia="宋体" w:cs="Times New Roman"/>
                <w:sz w:val="21"/>
                <w:szCs w:val="21"/>
                <w:lang w:val="en-US" w:eastAsia="zh-CN"/>
              </w:rPr>
              <w:t>98.3</w:t>
            </w:r>
          </w:p>
        </w:tc>
        <w:tc>
          <w:tcPr>
            <w:tcW w:w="1518" w:type="pct"/>
            <w:gridSpan w:val="3"/>
            <w:tcBorders>
              <w:tl2br w:val="nil"/>
              <w:tr2bl w:val="nil"/>
            </w:tcBorders>
            <w:noWrap w:val="0"/>
            <w:vAlign w:val="center"/>
          </w:tcPr>
          <w:p w14:paraId="46C20361">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相对密度(水=1)</w:t>
            </w:r>
          </w:p>
        </w:tc>
        <w:tc>
          <w:tcPr>
            <w:tcW w:w="1634" w:type="pct"/>
            <w:tcBorders>
              <w:tl2br w:val="nil"/>
              <w:tr2bl w:val="nil"/>
            </w:tcBorders>
            <w:noWrap w:val="0"/>
            <w:vAlign w:val="center"/>
          </w:tcPr>
          <w:p w14:paraId="6B8D815D">
            <w:pPr>
              <w:autoSpaceDE/>
              <w:autoSpaceDN/>
              <w:spacing w:before="0" w:after="0" w:line="240" w:lineRule="exact"/>
              <w:ind w:left="0" w:firstLine="0"/>
              <w:jc w:val="center"/>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lang w:val="en-US" w:eastAsia="zh-CN"/>
              </w:rPr>
              <w:t>0.85</w:t>
            </w:r>
          </w:p>
        </w:tc>
      </w:tr>
      <w:tr w14:paraId="1A9D6DA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4963466C">
            <w:pPr>
              <w:widowControl/>
              <w:autoSpaceDE/>
              <w:autoSpaceDN/>
              <w:spacing w:before="0" w:after="0" w:line="240" w:lineRule="exact"/>
              <w:ind w:left="0" w:firstLine="0"/>
              <w:jc w:val="left"/>
              <w:rPr>
                <w:rFonts w:hint="default" w:ascii="Times New Roman" w:hAnsi="Times New Roman" w:eastAsia="宋体" w:cs="Times New Roman"/>
                <w:b/>
                <w:bCs/>
                <w:spacing w:val="10"/>
                <w:sz w:val="21"/>
                <w:szCs w:val="21"/>
              </w:rPr>
            </w:pPr>
          </w:p>
        </w:tc>
        <w:tc>
          <w:tcPr>
            <w:tcW w:w="1008" w:type="pct"/>
            <w:tcBorders>
              <w:tl2br w:val="nil"/>
              <w:tr2bl w:val="nil"/>
            </w:tcBorders>
            <w:noWrap w:val="0"/>
            <w:vAlign w:val="center"/>
          </w:tcPr>
          <w:p w14:paraId="49FF5141">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沸点（℃）</w:t>
            </w:r>
          </w:p>
        </w:tc>
        <w:tc>
          <w:tcPr>
            <w:tcW w:w="586" w:type="pct"/>
            <w:tcBorders>
              <w:tl2br w:val="nil"/>
              <w:tr2bl w:val="nil"/>
            </w:tcBorders>
            <w:noWrap w:val="0"/>
            <w:vAlign w:val="center"/>
          </w:tcPr>
          <w:p w14:paraId="747731D1">
            <w:pPr>
              <w:autoSpaceDE/>
              <w:autoSpaceDN/>
              <w:spacing w:before="0" w:after="0" w:line="240" w:lineRule="exact"/>
              <w:ind w:left="0" w:firstLine="0"/>
              <w:jc w:val="center"/>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lang w:val="en-US" w:eastAsia="zh-CN"/>
              </w:rPr>
              <w:t>37.5</w:t>
            </w:r>
          </w:p>
        </w:tc>
        <w:tc>
          <w:tcPr>
            <w:tcW w:w="1518" w:type="pct"/>
            <w:gridSpan w:val="3"/>
            <w:tcBorders>
              <w:tl2br w:val="nil"/>
              <w:tr2bl w:val="nil"/>
            </w:tcBorders>
            <w:noWrap w:val="0"/>
            <w:vAlign w:val="center"/>
          </w:tcPr>
          <w:p w14:paraId="15D50BB5">
            <w:pPr>
              <w:autoSpaceDE/>
              <w:autoSpaceDN/>
              <w:spacing w:before="0" w:after="0" w:line="240" w:lineRule="exact"/>
              <w:ind w:left="-4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饱和蒸气压（kPa）</w:t>
            </w:r>
          </w:p>
        </w:tc>
        <w:tc>
          <w:tcPr>
            <w:tcW w:w="1634" w:type="pct"/>
            <w:tcBorders>
              <w:tl2br w:val="nil"/>
              <w:tr2bl w:val="nil"/>
            </w:tcBorders>
            <w:noWrap w:val="0"/>
            <w:vAlign w:val="center"/>
          </w:tcPr>
          <w:p w14:paraId="3A203E9F">
            <w:pPr>
              <w:autoSpaceDE/>
              <w:autoSpaceDN/>
              <w:spacing w:before="0" w:after="0" w:line="240" w:lineRule="exact"/>
              <w:ind w:left="355"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lang w:val="en-US" w:eastAsia="zh-CN"/>
              </w:rPr>
              <w:t>64.64</w:t>
            </w:r>
            <w:r>
              <w:rPr>
                <w:rFonts w:hint="default" w:ascii="Times New Roman" w:hAnsi="Times New Roman" w:eastAsia="宋体" w:cs="Times New Roman"/>
                <w:spacing w:val="10"/>
                <w:sz w:val="21"/>
                <w:szCs w:val="21"/>
              </w:rPr>
              <w:t>（2</w:t>
            </w:r>
            <w:r>
              <w:rPr>
                <w:rFonts w:hint="default" w:ascii="Times New Roman" w:hAnsi="Times New Roman" w:eastAsia="宋体" w:cs="Times New Roman"/>
                <w:spacing w:val="10"/>
                <w:sz w:val="21"/>
                <w:szCs w:val="21"/>
                <w:lang w:val="en-US" w:eastAsia="zh-CN"/>
              </w:rPr>
              <w:t>5</w:t>
            </w:r>
            <w:r>
              <w:rPr>
                <w:rFonts w:hint="default" w:ascii="Times New Roman" w:hAnsi="Times New Roman" w:eastAsia="宋体" w:cs="Times New Roman"/>
                <w:spacing w:val="10"/>
                <w:sz w:val="21"/>
                <w:szCs w:val="21"/>
              </w:rPr>
              <w:t>℃）</w:t>
            </w:r>
          </w:p>
        </w:tc>
      </w:tr>
      <w:tr w14:paraId="67C2463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47648BED">
            <w:pPr>
              <w:widowControl/>
              <w:autoSpaceDE/>
              <w:autoSpaceDN/>
              <w:spacing w:before="0" w:after="0" w:line="240" w:lineRule="exact"/>
              <w:ind w:left="0" w:firstLine="0"/>
              <w:jc w:val="left"/>
              <w:rPr>
                <w:rFonts w:hint="default" w:ascii="Times New Roman" w:hAnsi="Times New Roman" w:eastAsia="宋体" w:cs="Times New Roman"/>
                <w:b/>
                <w:bCs/>
                <w:spacing w:val="10"/>
                <w:sz w:val="21"/>
                <w:szCs w:val="21"/>
              </w:rPr>
            </w:pPr>
          </w:p>
        </w:tc>
        <w:tc>
          <w:tcPr>
            <w:tcW w:w="1008" w:type="pct"/>
            <w:tcBorders>
              <w:tl2br w:val="nil"/>
              <w:tr2bl w:val="nil"/>
            </w:tcBorders>
            <w:noWrap w:val="0"/>
            <w:vAlign w:val="center"/>
          </w:tcPr>
          <w:p w14:paraId="6D1CC155">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溶解性</w:t>
            </w:r>
          </w:p>
        </w:tc>
        <w:tc>
          <w:tcPr>
            <w:tcW w:w="3739" w:type="pct"/>
            <w:gridSpan w:val="5"/>
            <w:tcBorders>
              <w:tl2br w:val="nil"/>
              <w:tr2bl w:val="nil"/>
            </w:tcBorders>
            <w:noWrap w:val="0"/>
            <w:vAlign w:val="center"/>
          </w:tcPr>
          <w:p w14:paraId="0FF7555B">
            <w:pPr>
              <w:autoSpaceDE/>
              <w:autoSpaceDN/>
              <w:spacing w:before="0" w:after="0" w:line="240" w:lineRule="exact"/>
              <w:ind w:left="0" w:firstLine="0"/>
              <w:rPr>
                <w:rFonts w:hint="default" w:ascii="Times New Roman" w:hAnsi="Times New Roman" w:eastAsia="宋体" w:cs="Times New Roman"/>
                <w:spacing w:val="10"/>
                <w:sz w:val="21"/>
                <w:szCs w:val="21"/>
              </w:rPr>
            </w:pPr>
            <w:r>
              <w:rPr>
                <w:rFonts w:hint="default" w:ascii="Times New Roman" w:hAnsi="Times New Roman" w:eastAsia="宋体" w:cs="Times New Roman"/>
                <w:sz w:val="21"/>
                <w:szCs w:val="21"/>
              </w:rPr>
              <w:t>与水混溶。</w:t>
            </w:r>
          </w:p>
        </w:tc>
      </w:tr>
      <w:tr w14:paraId="5D49A68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restart"/>
            <w:tcBorders>
              <w:tl2br w:val="nil"/>
              <w:tr2bl w:val="nil"/>
            </w:tcBorders>
            <w:noWrap w:val="0"/>
            <w:vAlign w:val="center"/>
          </w:tcPr>
          <w:p w14:paraId="41BB4240">
            <w:pPr>
              <w:autoSpaceDE/>
              <w:autoSpaceDN/>
              <w:spacing w:before="0" w:after="0" w:line="240" w:lineRule="exact"/>
              <w:ind w:left="0" w:firstLine="0"/>
              <w:jc w:val="center"/>
              <w:rPr>
                <w:rFonts w:hint="default" w:ascii="Times New Roman" w:hAnsi="Times New Roman" w:eastAsia="宋体" w:cs="Times New Roman"/>
                <w:b/>
                <w:bCs/>
                <w:spacing w:val="10"/>
                <w:sz w:val="21"/>
                <w:szCs w:val="21"/>
              </w:rPr>
            </w:pPr>
            <w:r>
              <w:rPr>
                <w:rFonts w:hint="default" w:ascii="Times New Roman" w:hAnsi="Times New Roman" w:eastAsia="宋体" w:cs="Times New Roman"/>
                <w:b/>
                <w:bCs/>
                <w:spacing w:val="10"/>
                <w:sz w:val="21"/>
                <w:szCs w:val="21"/>
              </w:rPr>
              <w:t>毒性及健康危害</w:t>
            </w:r>
          </w:p>
        </w:tc>
        <w:tc>
          <w:tcPr>
            <w:tcW w:w="1008" w:type="pct"/>
            <w:tcBorders>
              <w:tl2br w:val="nil"/>
              <w:tr2bl w:val="nil"/>
            </w:tcBorders>
            <w:noWrap w:val="0"/>
            <w:vAlign w:val="center"/>
          </w:tcPr>
          <w:p w14:paraId="67DC006E">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毒性</w:t>
            </w:r>
          </w:p>
        </w:tc>
        <w:tc>
          <w:tcPr>
            <w:tcW w:w="3739" w:type="pct"/>
            <w:gridSpan w:val="5"/>
            <w:tcBorders>
              <w:tl2br w:val="nil"/>
              <w:tr2bl w:val="nil"/>
            </w:tcBorders>
            <w:noWrap w:val="0"/>
            <w:vAlign w:val="center"/>
          </w:tcPr>
          <w:p w14:paraId="5A1424EB">
            <w:pPr>
              <w:autoSpaceDE/>
              <w:autoSpaceDN/>
              <w:spacing w:before="0" w:after="0" w:line="240" w:lineRule="exact"/>
              <w:ind w:left="0" w:firstLine="0"/>
              <w:rPr>
                <w:rFonts w:hint="default" w:ascii="Times New Roman" w:hAnsi="Times New Roman" w:eastAsia="宋体" w:cs="Times New Roman"/>
                <w:spacing w:val="10"/>
                <w:sz w:val="21"/>
                <w:szCs w:val="21"/>
                <w:vertAlign w:val="baseline"/>
                <w:lang w:val="en-US" w:eastAsia="zh-CN"/>
              </w:rPr>
            </w:pPr>
            <w:r>
              <w:rPr>
                <w:rFonts w:hint="default" w:ascii="Times New Roman" w:hAnsi="Times New Roman" w:eastAsia="宋体" w:cs="Times New Roman"/>
                <w:spacing w:val="10"/>
                <w:sz w:val="21"/>
                <w:szCs w:val="21"/>
              </w:rPr>
              <w:t>LD</w:t>
            </w:r>
            <w:r>
              <w:rPr>
                <w:rFonts w:hint="default" w:ascii="Times New Roman" w:hAnsi="Times New Roman" w:eastAsia="宋体" w:cs="Times New Roman"/>
                <w:spacing w:val="10"/>
                <w:sz w:val="21"/>
                <w:szCs w:val="21"/>
                <w:vertAlign w:val="subscript"/>
              </w:rPr>
              <w:t>50</w:t>
            </w:r>
            <w:r>
              <w:rPr>
                <w:rFonts w:hint="default" w:ascii="Times New Roman" w:hAnsi="Times New Roman" w:eastAsia="宋体" w:cs="Times New Roman"/>
                <w:spacing w:val="10"/>
                <w:sz w:val="21"/>
                <w:szCs w:val="21"/>
              </w:rPr>
              <w:t>：</w:t>
            </w:r>
            <w:r>
              <w:rPr>
                <w:rFonts w:hint="default" w:ascii="Times New Roman" w:hAnsi="Times New Roman" w:eastAsia="宋体" w:cs="Times New Roman"/>
                <w:spacing w:val="10"/>
                <w:sz w:val="21"/>
                <w:szCs w:val="21"/>
                <w:lang w:val="en-US" w:eastAsia="zh-CN"/>
              </w:rPr>
              <w:t>535mg/kg（大鼠经口）</w:t>
            </w:r>
            <w:r>
              <w:rPr>
                <w:rFonts w:hint="default" w:ascii="Times New Roman" w:hAnsi="Times New Roman" w:eastAsia="宋体" w:cs="Times New Roman"/>
                <w:sz w:val="21"/>
                <w:szCs w:val="21"/>
              </w:rPr>
              <w:t xml:space="preserve">；            </w:t>
            </w:r>
            <w:r>
              <w:rPr>
                <w:rFonts w:hint="default" w:ascii="Times New Roman" w:hAnsi="Times New Roman" w:eastAsia="宋体" w:cs="Times New Roman"/>
                <w:spacing w:val="10"/>
                <w:sz w:val="21"/>
                <w:szCs w:val="21"/>
              </w:rPr>
              <w:t>LC</w:t>
            </w:r>
            <w:r>
              <w:rPr>
                <w:rFonts w:hint="default" w:ascii="Times New Roman" w:hAnsi="Times New Roman" w:eastAsia="宋体" w:cs="Times New Roman"/>
                <w:spacing w:val="10"/>
                <w:sz w:val="21"/>
                <w:szCs w:val="21"/>
                <w:vertAlign w:val="subscript"/>
              </w:rPr>
              <w:t>50</w:t>
            </w:r>
            <w:r>
              <w:rPr>
                <w:rFonts w:hint="default" w:ascii="Times New Roman" w:hAnsi="Times New Roman" w:eastAsia="宋体" w:cs="Times New Roman"/>
                <w:spacing w:val="10"/>
                <w:sz w:val="21"/>
                <w:szCs w:val="21"/>
              </w:rPr>
              <w:t>：</w:t>
            </w:r>
            <w:r>
              <w:rPr>
                <w:rFonts w:hint="default" w:ascii="Times New Roman" w:hAnsi="Times New Roman" w:eastAsia="宋体" w:cs="Times New Roman"/>
                <w:spacing w:val="10"/>
                <w:sz w:val="21"/>
                <w:szCs w:val="21"/>
                <w:lang w:val="en-US" w:eastAsia="zh-CN"/>
              </w:rPr>
              <w:t>102235mg/m</w:t>
            </w:r>
            <w:r>
              <w:rPr>
                <w:rFonts w:hint="default" w:ascii="Times New Roman" w:hAnsi="Times New Roman" w:eastAsia="宋体" w:cs="Times New Roman"/>
                <w:spacing w:val="10"/>
                <w:sz w:val="21"/>
                <w:szCs w:val="21"/>
                <w:vertAlign w:val="superscript"/>
                <w:lang w:val="en-US" w:eastAsia="zh-CN"/>
              </w:rPr>
              <w:t>3</w:t>
            </w:r>
            <w:r>
              <w:rPr>
                <w:rFonts w:hint="default" w:ascii="Times New Roman" w:hAnsi="Times New Roman" w:eastAsia="宋体" w:cs="Times New Roman"/>
                <w:spacing w:val="10"/>
                <w:sz w:val="21"/>
                <w:szCs w:val="21"/>
                <w:vertAlign w:val="baseline"/>
                <w:lang w:val="en-US" w:eastAsia="zh-CN"/>
              </w:rPr>
              <w:t>（大鼠吸入）</w:t>
            </w:r>
          </w:p>
        </w:tc>
      </w:tr>
      <w:tr w14:paraId="7D753FE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0394B4F4">
            <w:pPr>
              <w:widowControl/>
              <w:autoSpaceDE/>
              <w:autoSpaceDN/>
              <w:spacing w:before="0" w:after="0" w:line="240" w:lineRule="exact"/>
              <w:ind w:left="0" w:firstLine="0"/>
              <w:jc w:val="left"/>
              <w:rPr>
                <w:rFonts w:hint="default" w:ascii="Times New Roman" w:hAnsi="Times New Roman" w:eastAsia="宋体" w:cs="Times New Roman"/>
                <w:b/>
                <w:bCs/>
                <w:spacing w:val="10"/>
                <w:sz w:val="21"/>
                <w:szCs w:val="21"/>
              </w:rPr>
            </w:pPr>
          </w:p>
        </w:tc>
        <w:tc>
          <w:tcPr>
            <w:tcW w:w="1008" w:type="pct"/>
            <w:tcBorders>
              <w:tl2br w:val="nil"/>
              <w:tr2bl w:val="nil"/>
            </w:tcBorders>
            <w:noWrap w:val="0"/>
            <w:vAlign w:val="center"/>
          </w:tcPr>
          <w:p w14:paraId="502015A8">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健康危害</w:t>
            </w:r>
          </w:p>
        </w:tc>
        <w:tc>
          <w:tcPr>
            <w:tcW w:w="3739" w:type="pct"/>
            <w:gridSpan w:val="5"/>
            <w:tcBorders>
              <w:tl2br w:val="nil"/>
              <w:tr2bl w:val="nil"/>
            </w:tcBorders>
            <w:noWrap w:val="0"/>
            <w:vAlign w:val="center"/>
          </w:tcPr>
          <w:p w14:paraId="23D60CF6">
            <w:pPr>
              <w:autoSpaceDE/>
              <w:autoSpaceDN/>
              <w:spacing w:before="0" w:after="0" w:line="240" w:lineRule="exact"/>
              <w:ind w:left="0" w:firstLine="0"/>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落气对鼻、喉有刺激性，引起咳嗽和胸部不适。持续或高浓度吸入出现头痛恶心和呕吐。液体或雾对眼有刺激性。可引起皮炎。</w:t>
            </w:r>
          </w:p>
        </w:tc>
      </w:tr>
      <w:tr w14:paraId="6A1659F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3D978109">
            <w:pPr>
              <w:widowControl/>
              <w:autoSpaceDE/>
              <w:autoSpaceDN/>
              <w:spacing w:before="0" w:after="0" w:line="240" w:lineRule="exact"/>
              <w:ind w:left="0" w:firstLine="0"/>
              <w:jc w:val="left"/>
              <w:rPr>
                <w:rFonts w:hint="default" w:ascii="Times New Roman" w:hAnsi="Times New Roman" w:eastAsia="宋体" w:cs="Times New Roman"/>
                <w:b/>
                <w:bCs/>
                <w:spacing w:val="10"/>
                <w:sz w:val="21"/>
                <w:szCs w:val="21"/>
              </w:rPr>
            </w:pPr>
          </w:p>
        </w:tc>
        <w:tc>
          <w:tcPr>
            <w:tcW w:w="1008" w:type="pct"/>
            <w:tcBorders>
              <w:tl2br w:val="nil"/>
              <w:tr2bl w:val="nil"/>
            </w:tcBorders>
            <w:noWrap w:val="0"/>
            <w:vAlign w:val="center"/>
          </w:tcPr>
          <w:p w14:paraId="3C4C704E">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急救方法</w:t>
            </w:r>
          </w:p>
        </w:tc>
        <w:tc>
          <w:tcPr>
            <w:tcW w:w="3739" w:type="pct"/>
            <w:gridSpan w:val="5"/>
            <w:tcBorders>
              <w:tl2br w:val="nil"/>
              <w:tr2bl w:val="nil"/>
            </w:tcBorders>
            <w:noWrap w:val="0"/>
            <w:vAlign w:val="center"/>
          </w:tcPr>
          <w:p w14:paraId="246E9126">
            <w:pPr>
              <w:autoSpaceDE/>
              <w:autoSpaceDN/>
              <w:spacing w:before="0" w:after="0" w:line="240" w:lineRule="exact"/>
              <w:ind w:left="0"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皮肤接触：脱去污染的衣着，用肥皂水和清水彻底冲洗皮肤。</w:t>
            </w:r>
          </w:p>
          <w:p w14:paraId="41FB0302">
            <w:pPr>
              <w:autoSpaceDE/>
              <w:autoSpaceDN/>
              <w:spacing w:before="0" w:after="0" w:line="240" w:lineRule="exact"/>
              <w:ind w:left="0"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眼睛接触：提起眼睑，用流动清水或生理盐水冲洗。就医。</w:t>
            </w:r>
          </w:p>
          <w:p w14:paraId="3CC1B733">
            <w:pPr>
              <w:autoSpaceDE/>
              <w:autoSpaceDN/>
              <w:spacing w:before="0" w:after="0" w:line="240" w:lineRule="exact"/>
              <w:ind w:left="0" w:firstLine="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吸入：迅速脱离现场至空气新鲜处。保持呼吸道通畅。如呼吸团难，给输氧。如呼吸停止，立即进行人工呼吸。就医。</w:t>
            </w:r>
          </w:p>
          <w:p w14:paraId="7D63146D">
            <w:pPr>
              <w:autoSpaceDE/>
              <w:autoSpaceDN/>
              <w:spacing w:before="0" w:after="0" w:line="240" w:lineRule="exact"/>
              <w:ind w:left="0" w:firstLine="0"/>
              <w:rPr>
                <w:rFonts w:hint="default" w:ascii="Times New Roman" w:hAnsi="Times New Roman" w:eastAsia="宋体" w:cs="Times New Roman"/>
                <w:spacing w:val="10"/>
                <w:sz w:val="21"/>
                <w:szCs w:val="21"/>
              </w:rPr>
            </w:pPr>
            <w:r>
              <w:rPr>
                <w:rFonts w:hint="default" w:ascii="Times New Roman" w:hAnsi="Times New Roman" w:eastAsia="宋体" w:cs="Times New Roman"/>
                <w:sz w:val="21"/>
                <w:szCs w:val="21"/>
              </w:rPr>
              <w:t>食入：饮足量温水，催吐。就医。</w:t>
            </w:r>
          </w:p>
        </w:tc>
      </w:tr>
      <w:tr w14:paraId="0FF5E6E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restart"/>
            <w:tcBorders>
              <w:tl2br w:val="nil"/>
              <w:tr2bl w:val="nil"/>
            </w:tcBorders>
            <w:noWrap w:val="0"/>
            <w:vAlign w:val="center"/>
          </w:tcPr>
          <w:p w14:paraId="57AA6D62">
            <w:pPr>
              <w:autoSpaceDE/>
              <w:autoSpaceDN/>
              <w:spacing w:before="0" w:after="0" w:line="240" w:lineRule="exact"/>
              <w:ind w:left="0" w:firstLine="0"/>
              <w:jc w:val="center"/>
              <w:rPr>
                <w:rFonts w:hint="default" w:ascii="Times New Roman" w:hAnsi="Times New Roman" w:eastAsia="宋体" w:cs="Times New Roman"/>
                <w:b/>
                <w:bCs/>
                <w:spacing w:val="10"/>
                <w:sz w:val="21"/>
                <w:szCs w:val="21"/>
              </w:rPr>
            </w:pPr>
            <w:r>
              <w:rPr>
                <w:rFonts w:hint="default" w:ascii="Times New Roman" w:hAnsi="Times New Roman" w:eastAsia="宋体" w:cs="Times New Roman"/>
                <w:b/>
                <w:bCs/>
                <w:spacing w:val="10"/>
                <w:sz w:val="21"/>
                <w:szCs w:val="21"/>
              </w:rPr>
              <w:t>燃烧爆炸危险性</w:t>
            </w:r>
          </w:p>
        </w:tc>
        <w:tc>
          <w:tcPr>
            <w:tcW w:w="1008" w:type="pct"/>
            <w:tcBorders>
              <w:tl2br w:val="nil"/>
              <w:tr2bl w:val="nil"/>
            </w:tcBorders>
            <w:noWrap w:val="0"/>
            <w:vAlign w:val="center"/>
          </w:tcPr>
          <w:p w14:paraId="5707A609">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燃烧性</w:t>
            </w:r>
          </w:p>
        </w:tc>
        <w:tc>
          <w:tcPr>
            <w:tcW w:w="826" w:type="pct"/>
            <w:gridSpan w:val="3"/>
            <w:tcBorders>
              <w:tl2br w:val="nil"/>
              <w:tr2bl w:val="nil"/>
            </w:tcBorders>
            <w:noWrap w:val="0"/>
            <w:vAlign w:val="center"/>
          </w:tcPr>
          <w:p w14:paraId="50A5FEB8">
            <w:pPr>
              <w:autoSpaceDE/>
              <w:autoSpaceDN/>
              <w:spacing w:before="0" w:after="0" w:line="240" w:lineRule="exact"/>
              <w:ind w:left="0" w:firstLine="0"/>
              <w:jc w:val="center"/>
              <w:rPr>
                <w:rFonts w:hint="default" w:ascii="Times New Roman" w:hAnsi="Times New Roman" w:eastAsia="宋体" w:cs="Times New Roman"/>
                <w:spacing w:val="10"/>
                <w:sz w:val="21"/>
                <w:szCs w:val="21"/>
                <w:lang w:eastAsia="zh-CN"/>
              </w:rPr>
            </w:pPr>
            <w:r>
              <w:rPr>
                <w:rFonts w:hint="default" w:ascii="Times New Roman" w:hAnsi="Times New Roman" w:eastAsia="宋体" w:cs="Times New Roman"/>
                <w:spacing w:val="10"/>
                <w:sz w:val="21"/>
                <w:szCs w:val="21"/>
                <w:lang w:val="en-US" w:eastAsia="zh-CN"/>
              </w:rPr>
              <w:t>易燃</w:t>
            </w:r>
          </w:p>
        </w:tc>
        <w:tc>
          <w:tcPr>
            <w:tcW w:w="1277" w:type="pct"/>
            <w:tcBorders>
              <w:tl2br w:val="nil"/>
              <w:tr2bl w:val="nil"/>
            </w:tcBorders>
            <w:noWrap w:val="0"/>
            <w:vAlign w:val="center"/>
          </w:tcPr>
          <w:p w14:paraId="3BA33EFA">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燃烧分解物</w:t>
            </w:r>
          </w:p>
        </w:tc>
        <w:tc>
          <w:tcPr>
            <w:tcW w:w="1634" w:type="pct"/>
            <w:tcBorders>
              <w:tl2br w:val="nil"/>
              <w:tr2bl w:val="nil"/>
            </w:tcBorders>
            <w:noWrap w:val="0"/>
            <w:vAlign w:val="center"/>
          </w:tcPr>
          <w:p w14:paraId="005FA6E4">
            <w:pPr>
              <w:autoSpaceDE/>
              <w:autoSpaceDN/>
              <w:spacing w:before="0" w:after="0" w:line="240" w:lineRule="exact"/>
              <w:ind w:left="0" w:firstLine="0"/>
              <w:jc w:val="center"/>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lang w:val="en-US" w:eastAsia="zh-CN"/>
              </w:rPr>
              <w:t>一氧化碳、二氧化碳、硫化物</w:t>
            </w:r>
          </w:p>
        </w:tc>
      </w:tr>
      <w:tr w14:paraId="7497C33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27E9CAE9">
            <w:pPr>
              <w:widowControl/>
              <w:autoSpaceDE/>
              <w:autoSpaceDN/>
              <w:spacing w:before="0" w:after="0" w:line="240" w:lineRule="exact"/>
              <w:ind w:left="0" w:firstLine="0"/>
              <w:jc w:val="left"/>
              <w:rPr>
                <w:rFonts w:hint="default" w:ascii="Times New Roman" w:hAnsi="Times New Roman" w:eastAsia="宋体" w:cs="Times New Roman"/>
                <w:spacing w:val="10"/>
                <w:sz w:val="21"/>
                <w:szCs w:val="21"/>
              </w:rPr>
            </w:pPr>
          </w:p>
        </w:tc>
        <w:tc>
          <w:tcPr>
            <w:tcW w:w="1008" w:type="pct"/>
            <w:tcBorders>
              <w:tl2br w:val="nil"/>
              <w:tr2bl w:val="nil"/>
            </w:tcBorders>
            <w:noWrap w:val="0"/>
            <w:vAlign w:val="center"/>
          </w:tcPr>
          <w:p w14:paraId="50D7D297">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闪点(℃)</w:t>
            </w:r>
          </w:p>
        </w:tc>
        <w:tc>
          <w:tcPr>
            <w:tcW w:w="826" w:type="pct"/>
            <w:gridSpan w:val="3"/>
            <w:tcBorders>
              <w:tl2br w:val="nil"/>
              <w:tr2bl w:val="nil"/>
            </w:tcBorders>
            <w:noWrap w:val="0"/>
            <w:vAlign w:val="center"/>
          </w:tcPr>
          <w:p w14:paraId="3C7F05B8">
            <w:pPr>
              <w:autoSpaceDE/>
              <w:autoSpaceDN/>
              <w:spacing w:before="0" w:after="0" w:line="240" w:lineRule="exact"/>
              <w:ind w:left="0" w:firstLine="0"/>
              <w:jc w:val="center"/>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lang w:val="en-US" w:eastAsia="zh-CN"/>
              </w:rPr>
              <w:t>-36</w:t>
            </w:r>
          </w:p>
        </w:tc>
        <w:tc>
          <w:tcPr>
            <w:tcW w:w="1277" w:type="pct"/>
            <w:tcBorders>
              <w:tl2br w:val="nil"/>
              <w:tr2bl w:val="nil"/>
            </w:tcBorders>
            <w:noWrap w:val="0"/>
            <w:vAlign w:val="center"/>
          </w:tcPr>
          <w:p w14:paraId="0D80D49D">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爆炸上限（v%）</w:t>
            </w:r>
          </w:p>
        </w:tc>
        <w:tc>
          <w:tcPr>
            <w:tcW w:w="1634" w:type="pct"/>
            <w:tcBorders>
              <w:tl2br w:val="nil"/>
              <w:tr2bl w:val="nil"/>
            </w:tcBorders>
            <w:noWrap w:val="0"/>
            <w:vAlign w:val="center"/>
          </w:tcPr>
          <w:p w14:paraId="1D580335">
            <w:pPr>
              <w:autoSpaceDE/>
              <w:autoSpaceDN/>
              <w:spacing w:before="0" w:after="0" w:line="240" w:lineRule="exact"/>
              <w:ind w:left="0" w:firstLine="0"/>
              <w:jc w:val="center"/>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lang w:val="en-US" w:eastAsia="zh-CN"/>
              </w:rPr>
              <w:t>19.7</w:t>
            </w:r>
          </w:p>
        </w:tc>
      </w:tr>
      <w:tr w14:paraId="45DC36D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10A64DD4">
            <w:pPr>
              <w:widowControl/>
              <w:autoSpaceDE/>
              <w:autoSpaceDN/>
              <w:spacing w:before="0" w:after="0" w:line="240" w:lineRule="exact"/>
              <w:ind w:left="0" w:firstLine="0"/>
              <w:jc w:val="left"/>
              <w:rPr>
                <w:rFonts w:hint="default" w:ascii="Times New Roman" w:hAnsi="Times New Roman" w:eastAsia="宋体" w:cs="Times New Roman"/>
                <w:spacing w:val="10"/>
                <w:sz w:val="21"/>
                <w:szCs w:val="21"/>
              </w:rPr>
            </w:pPr>
          </w:p>
        </w:tc>
        <w:tc>
          <w:tcPr>
            <w:tcW w:w="1008" w:type="pct"/>
            <w:tcBorders>
              <w:tl2br w:val="nil"/>
              <w:tr2bl w:val="nil"/>
            </w:tcBorders>
            <w:noWrap w:val="0"/>
            <w:vAlign w:val="center"/>
          </w:tcPr>
          <w:p w14:paraId="330A4D24">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引燃温度(℃)</w:t>
            </w:r>
          </w:p>
        </w:tc>
        <w:tc>
          <w:tcPr>
            <w:tcW w:w="826" w:type="pct"/>
            <w:gridSpan w:val="3"/>
            <w:tcBorders>
              <w:tl2br w:val="nil"/>
              <w:tr2bl w:val="nil"/>
            </w:tcBorders>
            <w:noWrap w:val="0"/>
            <w:vAlign w:val="center"/>
          </w:tcPr>
          <w:p w14:paraId="1651CCDC">
            <w:pPr>
              <w:autoSpaceDE/>
              <w:autoSpaceDN/>
              <w:spacing w:before="0" w:after="0" w:line="240" w:lineRule="exact"/>
              <w:ind w:left="0" w:firstLine="0"/>
              <w:jc w:val="center"/>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lang w:val="en-US" w:eastAsia="zh-CN"/>
              </w:rPr>
              <w:t>206</w:t>
            </w:r>
          </w:p>
        </w:tc>
        <w:tc>
          <w:tcPr>
            <w:tcW w:w="1277" w:type="pct"/>
            <w:tcBorders>
              <w:tl2br w:val="nil"/>
              <w:tr2bl w:val="nil"/>
            </w:tcBorders>
            <w:noWrap w:val="0"/>
            <w:vAlign w:val="center"/>
          </w:tcPr>
          <w:p w14:paraId="675021AB">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爆炸下限（v%）</w:t>
            </w:r>
          </w:p>
        </w:tc>
        <w:tc>
          <w:tcPr>
            <w:tcW w:w="1634" w:type="pct"/>
            <w:tcBorders>
              <w:tl2br w:val="nil"/>
              <w:tr2bl w:val="nil"/>
            </w:tcBorders>
            <w:noWrap w:val="0"/>
            <w:vAlign w:val="center"/>
          </w:tcPr>
          <w:p w14:paraId="2F389576">
            <w:pPr>
              <w:autoSpaceDE/>
              <w:autoSpaceDN/>
              <w:spacing w:before="0" w:after="0" w:line="240" w:lineRule="exact"/>
              <w:ind w:left="0" w:firstLine="0"/>
              <w:jc w:val="center"/>
              <w:rPr>
                <w:rFonts w:hint="default" w:ascii="Times New Roman" w:hAnsi="Times New Roman" w:eastAsia="宋体" w:cs="Times New Roman"/>
                <w:spacing w:val="10"/>
                <w:sz w:val="21"/>
                <w:szCs w:val="21"/>
                <w:lang w:val="en-US" w:eastAsia="zh-CN"/>
              </w:rPr>
            </w:pPr>
            <w:r>
              <w:rPr>
                <w:rFonts w:hint="default" w:ascii="Times New Roman" w:hAnsi="Times New Roman" w:eastAsia="宋体" w:cs="Times New Roman"/>
                <w:spacing w:val="10"/>
                <w:sz w:val="21"/>
                <w:szCs w:val="21"/>
                <w:lang w:val="en-US" w:eastAsia="zh-CN"/>
              </w:rPr>
              <w:t>2.2</w:t>
            </w:r>
          </w:p>
        </w:tc>
      </w:tr>
      <w:tr w14:paraId="5FF735B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51" w:type="pct"/>
            <w:vMerge w:val="continue"/>
            <w:tcBorders>
              <w:tl2br w:val="nil"/>
              <w:tr2bl w:val="nil"/>
            </w:tcBorders>
            <w:noWrap w:val="0"/>
            <w:vAlign w:val="center"/>
          </w:tcPr>
          <w:p w14:paraId="46253701">
            <w:pPr>
              <w:widowControl/>
              <w:autoSpaceDE/>
              <w:autoSpaceDN/>
              <w:spacing w:before="0" w:after="0" w:line="240" w:lineRule="exact"/>
              <w:ind w:left="0" w:firstLine="0"/>
              <w:jc w:val="left"/>
              <w:rPr>
                <w:rFonts w:hint="default" w:ascii="Times New Roman" w:hAnsi="Times New Roman" w:eastAsia="宋体" w:cs="Times New Roman"/>
                <w:spacing w:val="10"/>
                <w:sz w:val="21"/>
                <w:szCs w:val="21"/>
              </w:rPr>
            </w:pPr>
          </w:p>
        </w:tc>
        <w:tc>
          <w:tcPr>
            <w:tcW w:w="1008" w:type="pct"/>
            <w:tcBorders>
              <w:tl2br w:val="nil"/>
              <w:tr2bl w:val="nil"/>
            </w:tcBorders>
            <w:noWrap w:val="0"/>
            <w:vAlign w:val="center"/>
          </w:tcPr>
          <w:p w14:paraId="0F439463">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危险特性</w:t>
            </w:r>
          </w:p>
        </w:tc>
        <w:tc>
          <w:tcPr>
            <w:tcW w:w="3739" w:type="pct"/>
            <w:gridSpan w:val="5"/>
            <w:tcBorders>
              <w:tl2br w:val="nil"/>
              <w:tr2bl w:val="nil"/>
            </w:tcBorders>
            <w:noWrap w:val="0"/>
            <w:vAlign w:val="center"/>
          </w:tcPr>
          <w:p w14:paraId="03EFB5F0">
            <w:pPr>
              <w:autoSpaceDE/>
              <w:autoSpaceDN/>
              <w:spacing w:before="0" w:after="0" w:line="240" w:lineRule="exact"/>
              <w:ind w:left="0" w:firstLine="0"/>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其蒸气与空气可形成爆炸性混合物，</w:t>
            </w:r>
            <w:r>
              <w:rPr>
                <w:rFonts w:hint="default" w:ascii="Times New Roman" w:hAnsi="Times New Roman" w:eastAsia="宋体" w:cs="Times New Roman"/>
                <w:spacing w:val="10"/>
                <w:sz w:val="21"/>
                <w:szCs w:val="21"/>
                <w:lang w:val="en-US" w:eastAsia="zh-CN"/>
              </w:rPr>
              <w:t>遇</w:t>
            </w:r>
            <w:r>
              <w:rPr>
                <w:rFonts w:hint="default" w:ascii="Times New Roman" w:hAnsi="Times New Roman" w:eastAsia="宋体" w:cs="Times New Roman"/>
                <w:spacing w:val="10"/>
                <w:sz w:val="21"/>
                <w:szCs w:val="21"/>
              </w:rPr>
              <w:t>明火，高热极易燃烧爆炸。受高热分解产生有毒的硫化物烟气。与氧化剂能发生强烈反应。与水、水蒸气、酸类反应产生有毒和易燃气体。其蒸气比空气重，能在较低处扩散到相当远的地方，遇火源会着火回燃。</w:t>
            </w:r>
          </w:p>
        </w:tc>
      </w:tr>
      <w:tr w14:paraId="30D88EB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0C23B866">
            <w:pPr>
              <w:widowControl/>
              <w:autoSpaceDE/>
              <w:autoSpaceDN/>
              <w:spacing w:before="0" w:after="0" w:line="240" w:lineRule="exact"/>
              <w:ind w:left="0" w:firstLine="0"/>
              <w:jc w:val="left"/>
              <w:rPr>
                <w:rFonts w:hint="default" w:ascii="Times New Roman" w:hAnsi="Times New Roman" w:eastAsia="宋体" w:cs="Times New Roman"/>
                <w:spacing w:val="10"/>
                <w:sz w:val="21"/>
                <w:szCs w:val="21"/>
              </w:rPr>
            </w:pPr>
          </w:p>
        </w:tc>
        <w:tc>
          <w:tcPr>
            <w:tcW w:w="1008" w:type="pct"/>
            <w:tcBorders>
              <w:tl2br w:val="nil"/>
              <w:tr2bl w:val="nil"/>
            </w:tcBorders>
            <w:noWrap w:val="0"/>
            <w:vAlign w:val="center"/>
          </w:tcPr>
          <w:p w14:paraId="4D5B91CA">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储运注意事项</w:t>
            </w:r>
          </w:p>
        </w:tc>
        <w:tc>
          <w:tcPr>
            <w:tcW w:w="3739" w:type="pct"/>
            <w:gridSpan w:val="5"/>
            <w:tcBorders>
              <w:tl2br w:val="nil"/>
              <w:tr2bl w:val="nil"/>
            </w:tcBorders>
            <w:noWrap w:val="0"/>
            <w:vAlign w:val="center"/>
          </w:tcPr>
          <w:p w14:paraId="0ED6BE35">
            <w:pPr>
              <w:autoSpaceDE/>
              <w:autoSpaceDN/>
              <w:spacing w:before="0" w:after="0" w:line="240" w:lineRule="exact"/>
              <w:ind w:left="0" w:firstLine="0"/>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①操作注意事项:密闭操作，全面通风。操作人员必须经过专门培训，严格遵守操作规程。建议操作人员佩戴自吸过滤式防毒面具(半面罩)，戴化学安全防护眼镜，穿防静电工作服，戴橡胶耐油手套。远离火种、热源，工作场所严禁吸烟。使用防爆型的通风系统和设备。防止蒸气泄漏到工作场所空气中。避免与氧化剂，碱类、氨接触。尤其要注意避免与水接触。灌装时应控制流速，且有接地装置，防止静电积聚。搬运时要轻装轻卸，防止包装及容器损坏。配备相应品种和数量的消防器材及泄漏应急处理设备。倒空的容器可能残留有害物。</w:t>
            </w:r>
          </w:p>
          <w:p w14:paraId="5EE4A56A">
            <w:pPr>
              <w:autoSpaceDE/>
              <w:autoSpaceDN/>
              <w:spacing w:before="0" w:after="0" w:line="240" w:lineRule="exact"/>
              <w:ind w:left="0" w:firstLine="0"/>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②储存注意事项:储存于阴凉、通风的库房。远离火种，热源。库温不官超过30℃。包装要求密封，不可与空气接触。应与氧化剂，碱类、氨分开存放，切忌混储。采用防爆型照明、通风设施。禁止使用易产生火花的机械设备和工具。储区应备有泄漏应急处理设备和合适的收容材料。</w:t>
            </w:r>
          </w:p>
          <w:p w14:paraId="07A7754B">
            <w:pPr>
              <w:autoSpaceDE/>
              <w:autoSpaceDN/>
              <w:spacing w:before="0" w:after="0" w:line="240" w:lineRule="exact"/>
              <w:ind w:left="0" w:firstLine="0"/>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③运输注意事项:运输时运输车辆应配备相应品种和数量的消防器材及泄漏应急处理设备。夏季最好早晚运输。运输时所用的槽车应有接地链，槽内可设孔隔板以减少震荡产生静电。严禁与氧化剂、碱类、氨、食用化学品等混装混运。运输途中应防曝晒，雨淋，防高温。中途停留时应远离火种，热源高温区。装运该物品的车辆排气管必须配备阻火装置，禁止使用易产生火花的机械设备和工具装卸。公路运输时要按规定路线行驶，匆在居民区和人口密区停留。铁路运输时要禁止溜放。严禁用木船、水泥船散装运输。</w:t>
            </w:r>
          </w:p>
        </w:tc>
      </w:tr>
      <w:tr w14:paraId="6696CFD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7DD1B0EB">
            <w:pPr>
              <w:widowControl/>
              <w:autoSpaceDE/>
              <w:autoSpaceDN/>
              <w:spacing w:before="0" w:after="0" w:line="240" w:lineRule="exact"/>
              <w:ind w:left="0" w:firstLine="0"/>
              <w:jc w:val="left"/>
              <w:rPr>
                <w:rFonts w:hint="default" w:ascii="Times New Roman" w:hAnsi="Times New Roman" w:eastAsia="宋体" w:cs="Times New Roman"/>
                <w:spacing w:val="10"/>
                <w:sz w:val="21"/>
                <w:szCs w:val="21"/>
              </w:rPr>
            </w:pPr>
          </w:p>
        </w:tc>
        <w:tc>
          <w:tcPr>
            <w:tcW w:w="1008" w:type="pct"/>
            <w:tcBorders>
              <w:tl2br w:val="nil"/>
              <w:tr2bl w:val="nil"/>
            </w:tcBorders>
            <w:noWrap w:val="0"/>
            <w:vAlign w:val="center"/>
          </w:tcPr>
          <w:p w14:paraId="56AB92C1">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应急处理</w:t>
            </w:r>
          </w:p>
        </w:tc>
        <w:tc>
          <w:tcPr>
            <w:tcW w:w="3739" w:type="pct"/>
            <w:gridSpan w:val="5"/>
            <w:tcBorders>
              <w:tl2br w:val="nil"/>
              <w:tr2bl w:val="nil"/>
            </w:tcBorders>
            <w:noWrap w:val="0"/>
            <w:vAlign w:val="center"/>
          </w:tcPr>
          <w:p w14:paraId="6546B9C3">
            <w:pPr>
              <w:autoSpaceDE/>
              <w:autoSpaceDN/>
              <w:spacing w:before="0" w:after="0" w:line="240" w:lineRule="exact"/>
              <w:ind w:left="0" w:firstLine="0"/>
              <w:rPr>
                <w:rFonts w:hint="default" w:ascii="Times New Roman" w:hAnsi="Times New Roman" w:eastAsia="宋体" w:cs="Times New Roman"/>
                <w:b/>
                <w:spacing w:val="10"/>
                <w:sz w:val="21"/>
                <w:szCs w:val="21"/>
              </w:rPr>
            </w:pPr>
            <w:r>
              <w:rPr>
                <w:rFonts w:hint="default" w:ascii="Times New Roman" w:hAnsi="Times New Roman" w:eastAsia="宋体" w:cs="Times New Roman"/>
                <w:bCs/>
                <w:spacing w:val="10"/>
                <w:sz w:val="21"/>
                <w:szCs w:val="21"/>
              </w:rPr>
              <w:t>迅速撤离泄漏污染区人员至安全区，并进行隔离，严格限制出入。切断火源。建议应急处理人员戴自给正压式呼吸器，穿防静电工作服。尽可能切断泄漏源。防止流入下水道、排洪沟等限制性空间。小量泄漏</w:t>
            </w:r>
            <w:r>
              <w:rPr>
                <w:rFonts w:hint="default" w:ascii="Times New Roman" w:hAnsi="Times New Roman" w:eastAsia="宋体" w:cs="Times New Roman"/>
                <w:bCs/>
                <w:spacing w:val="10"/>
                <w:sz w:val="21"/>
                <w:szCs w:val="21"/>
                <w:lang w:eastAsia="zh-CN"/>
              </w:rPr>
              <w:t>：</w:t>
            </w:r>
            <w:r>
              <w:rPr>
                <w:rFonts w:hint="default" w:ascii="Times New Roman" w:hAnsi="Times New Roman" w:eastAsia="宋体" w:cs="Times New Roman"/>
                <w:bCs/>
                <w:spacing w:val="10"/>
                <w:sz w:val="21"/>
                <w:szCs w:val="21"/>
              </w:rPr>
              <w:t>用活性炭或其它惰性材料吸收。也可以用不燃性分散剂制成的乳液刷洗，洗液释后放入度水系统。大量泄漏</w:t>
            </w:r>
            <w:r>
              <w:rPr>
                <w:rFonts w:hint="default" w:ascii="Times New Roman" w:hAnsi="Times New Roman" w:eastAsia="宋体" w:cs="Times New Roman"/>
                <w:bCs/>
                <w:spacing w:val="10"/>
                <w:sz w:val="21"/>
                <w:szCs w:val="21"/>
                <w:lang w:eastAsia="zh-CN"/>
              </w:rPr>
              <w:t>：</w:t>
            </w:r>
            <w:r>
              <w:rPr>
                <w:rFonts w:hint="default" w:ascii="Times New Roman" w:hAnsi="Times New Roman" w:eastAsia="宋体" w:cs="Times New Roman"/>
                <w:bCs/>
                <w:spacing w:val="10"/>
                <w:sz w:val="21"/>
                <w:szCs w:val="21"/>
              </w:rPr>
              <w:t>构筑围堤或挖坑收容。用防爆泵转移至槽车或专用收集器内回收或运至废物处理场所处置。</w:t>
            </w:r>
          </w:p>
        </w:tc>
      </w:tr>
      <w:tr w14:paraId="659CACF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251" w:type="pct"/>
            <w:vMerge w:val="continue"/>
            <w:tcBorders>
              <w:tl2br w:val="nil"/>
              <w:tr2bl w:val="nil"/>
            </w:tcBorders>
            <w:noWrap w:val="0"/>
            <w:vAlign w:val="center"/>
          </w:tcPr>
          <w:p w14:paraId="285F237D">
            <w:pPr>
              <w:widowControl/>
              <w:autoSpaceDE/>
              <w:autoSpaceDN/>
              <w:spacing w:before="0" w:after="0" w:line="240" w:lineRule="exact"/>
              <w:ind w:left="0" w:firstLine="0"/>
              <w:jc w:val="left"/>
              <w:rPr>
                <w:rFonts w:hint="default" w:ascii="Times New Roman" w:hAnsi="Times New Roman" w:eastAsia="宋体" w:cs="Times New Roman"/>
                <w:spacing w:val="10"/>
                <w:sz w:val="21"/>
                <w:szCs w:val="21"/>
              </w:rPr>
            </w:pPr>
          </w:p>
        </w:tc>
        <w:tc>
          <w:tcPr>
            <w:tcW w:w="1008" w:type="pct"/>
            <w:tcBorders>
              <w:tl2br w:val="nil"/>
              <w:tr2bl w:val="nil"/>
            </w:tcBorders>
            <w:noWrap w:val="0"/>
            <w:vAlign w:val="center"/>
          </w:tcPr>
          <w:p w14:paraId="27EF6543">
            <w:pPr>
              <w:autoSpaceDE/>
              <w:autoSpaceDN/>
              <w:spacing w:before="0" w:after="0" w:line="240" w:lineRule="exact"/>
              <w:ind w:left="0" w:firstLine="0"/>
              <w:jc w:val="center"/>
              <w:rPr>
                <w:rFonts w:hint="default" w:ascii="Times New Roman" w:hAnsi="Times New Roman" w:eastAsia="宋体" w:cs="Times New Roman"/>
                <w:spacing w:val="10"/>
                <w:sz w:val="21"/>
                <w:szCs w:val="21"/>
              </w:rPr>
            </w:pPr>
            <w:r>
              <w:rPr>
                <w:rFonts w:hint="default" w:ascii="Times New Roman" w:hAnsi="Times New Roman" w:eastAsia="宋体" w:cs="Times New Roman"/>
                <w:spacing w:val="10"/>
                <w:sz w:val="21"/>
                <w:szCs w:val="21"/>
              </w:rPr>
              <w:t>灭火方法</w:t>
            </w:r>
          </w:p>
        </w:tc>
        <w:tc>
          <w:tcPr>
            <w:tcW w:w="3739" w:type="pct"/>
            <w:gridSpan w:val="5"/>
            <w:tcBorders>
              <w:tl2br w:val="nil"/>
              <w:tr2bl w:val="nil"/>
            </w:tcBorders>
            <w:noWrap w:val="0"/>
            <w:vAlign w:val="center"/>
          </w:tcPr>
          <w:p w14:paraId="3610A53A">
            <w:pPr>
              <w:autoSpaceDE/>
              <w:autoSpaceDN/>
              <w:spacing w:before="0" w:after="0" w:line="240" w:lineRule="exact"/>
              <w:ind w:left="0" w:firstLine="0"/>
              <w:rPr>
                <w:rFonts w:hint="default" w:ascii="Times New Roman" w:hAnsi="Times New Roman" w:eastAsia="宋体" w:cs="Times New Roman"/>
                <w:spacing w:val="10"/>
                <w:sz w:val="21"/>
                <w:szCs w:val="21"/>
              </w:rPr>
            </w:pPr>
            <w:r>
              <w:rPr>
                <w:rFonts w:hint="default" w:ascii="Times New Roman" w:hAnsi="Times New Roman" w:eastAsia="宋体" w:cs="Times New Roman"/>
                <w:sz w:val="21"/>
                <w:szCs w:val="21"/>
              </w:rPr>
              <w:t>尽可能将容器从火场移至空旷处。喷水保持火场容器冷却，直至灭火结束。处在火场中的容器若已变色或从安全泄压装置中产生声音，必须马上微离。灭火剂:抗溶性泡沫、二氧化碳，干粉、砂土。用水灭火无效。</w:t>
            </w:r>
          </w:p>
        </w:tc>
      </w:tr>
    </w:tbl>
    <w:p w14:paraId="4CA8ACD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（2）生产、储运、运输过程的风险性识别与分析</w:t>
      </w:r>
    </w:p>
    <w:p w14:paraId="0F2C87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①运输过程危险性分析</w:t>
      </w:r>
    </w:p>
    <w:p w14:paraId="1756A4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本项目所涉及液态危险废物通过</w:t>
      </w:r>
      <w:r>
        <w:rPr>
          <w:rFonts w:hint="eastAsia" w:cs="Times New Roman"/>
          <w:sz w:val="24"/>
          <w:szCs w:val="24"/>
          <w:highlight w:val="none"/>
          <w:lang w:val="en-US" w:eastAsia="zh-CN"/>
        </w:rPr>
        <w:t>架空密闭管道</w:t>
      </w:r>
      <w:r>
        <w:rPr>
          <w:rFonts w:hint="default" w:ascii="Times New Roman" w:hAnsi="Times New Roman" w:cs="Times New Roman"/>
          <w:sz w:val="24"/>
          <w:szCs w:val="24"/>
          <w:highlight w:val="none"/>
          <w:lang w:val="en-US" w:eastAsia="zh-CN"/>
        </w:rPr>
        <w:t>管输至</w:t>
      </w:r>
      <w:r>
        <w:rPr>
          <w:rFonts w:hint="eastAsia" w:cs="Times New Roman"/>
          <w:sz w:val="24"/>
          <w:szCs w:val="24"/>
          <w:highlight w:val="none"/>
          <w:lang w:val="en-US" w:eastAsia="zh-CN"/>
        </w:rPr>
        <w:t>厂区</w:t>
      </w:r>
      <w:r>
        <w:rPr>
          <w:rFonts w:hint="default" w:ascii="Times New Roman" w:hAnsi="Times New Roman" w:cs="Times New Roman"/>
          <w:sz w:val="24"/>
          <w:szCs w:val="24"/>
          <w:highlight w:val="none"/>
          <w:lang w:val="en-US" w:eastAsia="zh-CN"/>
        </w:rPr>
        <w:t>水泥窑内，固态危险废物由兴发化工危险废物贮存设施内通过叉车送至固态危险废物投料点，运输全过程均在两企业厂内进行，当发生叉车翻车事故或管道泄漏事故时，可能导致危险废物散落至地面从而对区域环境空气、土壤及地下水造成污染。</w:t>
      </w:r>
    </w:p>
    <w:p w14:paraId="3E79CC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②生产过程危险性分析</w:t>
      </w:r>
    </w:p>
    <w:p w14:paraId="706217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根据《水泥窑协同处置固体废物污染控制标准》（GB30485-2013）、《水泥窑协同处置固体废物污染防治技术政策》、《水泥窑协同处置固体废物环境保护技术规范》（HJ662-2013）等技术文件要求，当窑温不够、烟气中污染物浓度明显升高时，立即停止投加固体废物的操作，因此生产过程可能的环境风险主要考虑尾气处理装置操作失误或停车，造成尾气直接排放对周边环境造成危害。</w:t>
      </w:r>
    </w:p>
    <w:p w14:paraId="083841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③储存过程危险性分析</w:t>
      </w:r>
    </w:p>
    <w:p w14:paraId="74FE8C9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项目所处置危险废物均不在企业厂区内贮存，需处置时直接由兴发化工危险废物贮存设施送至兴悦化工水泥窑内，因此项目不会发生泄漏事故，不会对区域地下水及土壤造成污染。</w:t>
      </w:r>
    </w:p>
    <w:p w14:paraId="435E01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④伴生、次生事故分析</w:t>
      </w:r>
    </w:p>
    <w:p w14:paraId="38979B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本项目处置</w:t>
      </w:r>
      <w:r>
        <w:rPr>
          <w:rFonts w:hint="eastAsia" w:ascii="Times New Roman" w:hAnsi="Times New Roman" w:cs="Times New Roman"/>
          <w:sz w:val="24"/>
          <w:szCs w:val="24"/>
          <w:highlight w:val="none"/>
          <w:lang w:val="en-US" w:eastAsia="zh-CN"/>
        </w:rPr>
        <w:t>危险</w:t>
      </w:r>
      <w:r>
        <w:rPr>
          <w:rFonts w:hint="default" w:ascii="Times New Roman" w:hAnsi="Times New Roman" w:cs="Times New Roman"/>
          <w:sz w:val="24"/>
          <w:szCs w:val="24"/>
          <w:highlight w:val="none"/>
          <w:lang w:val="en-US" w:eastAsia="zh-CN"/>
        </w:rPr>
        <w:t>废物</w:t>
      </w:r>
      <w:r>
        <w:rPr>
          <w:rFonts w:hint="eastAsia" w:ascii="Times New Roman" w:hAnsi="Times New Roman" w:cs="Times New Roman"/>
          <w:sz w:val="24"/>
          <w:szCs w:val="24"/>
          <w:highlight w:val="none"/>
          <w:lang w:val="en-US" w:eastAsia="zh-CN"/>
        </w:rPr>
        <w:t>中</w:t>
      </w:r>
      <w:r>
        <w:rPr>
          <w:rFonts w:hint="default" w:ascii="Times New Roman" w:hAnsi="Times New Roman" w:cs="Times New Roman"/>
          <w:sz w:val="24"/>
          <w:szCs w:val="24"/>
          <w:highlight w:val="none"/>
          <w:lang w:val="en-US" w:eastAsia="zh-CN"/>
        </w:rPr>
        <w:t>的二甲基硫醚属易燃物质，在遇高热、明火或与氧化剂接触，有引起燃烧的危险，若遇高热导致容器内压增大，有开裂和爆炸的危险。发生火灾爆炸事故时，进入大气的燃烧产物包括不完全燃烧形成的CO烟雾、SO</w:t>
      </w:r>
      <w:r>
        <w:rPr>
          <w:rFonts w:hint="default" w:ascii="Times New Roman" w:hAnsi="Times New Roman" w:cs="Times New Roman"/>
          <w:sz w:val="24"/>
          <w:szCs w:val="24"/>
          <w:highlight w:val="none"/>
          <w:vertAlign w:val="subscript"/>
          <w:lang w:val="en-US" w:eastAsia="zh-CN"/>
        </w:rPr>
        <w:t>2</w:t>
      </w:r>
      <w:r>
        <w:rPr>
          <w:rFonts w:hint="default" w:ascii="Times New Roman" w:hAnsi="Times New Roman" w:cs="Times New Roman"/>
          <w:sz w:val="24"/>
          <w:szCs w:val="24"/>
          <w:highlight w:val="none"/>
          <w:lang w:val="en-US" w:eastAsia="zh-CN"/>
        </w:rPr>
        <w:t>或苯等其它中间产物化学物质，这些物质往往具有毒性特征，会形成与毒物泄漏同样后果的次生环境污染事故。而在火灾事故的扑救中，会产生大量的消防废水，其中可能含有危废成分。如果该废水经雨水排放系统排放至外界水环境或者下渗，存在地表水体和地下水污染的风险。</w:t>
      </w:r>
    </w:p>
    <w:p w14:paraId="0038F254">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5.3.</w:t>
      </w:r>
      <w:r>
        <w:rPr>
          <w:rFonts w:hint="default" w:ascii="Times New Roman" w:hAnsi="Times New Roman" w:cs="Times New Roman"/>
          <w:b/>
          <w:bCs w:val="0"/>
          <w:kern w:val="2"/>
          <w:sz w:val="24"/>
          <w:szCs w:val="24"/>
          <w:highlight w:val="none"/>
          <w:lang w:val="en-US" w:eastAsia="zh-CN"/>
        </w:rPr>
        <w:t>6</w:t>
      </w:r>
      <w:r>
        <w:rPr>
          <w:rFonts w:hint="default" w:ascii="Times New Roman" w:hAnsi="Times New Roman" w:eastAsia="宋体" w:cs="Times New Roman"/>
          <w:b/>
          <w:bCs w:val="0"/>
          <w:kern w:val="2"/>
          <w:sz w:val="24"/>
          <w:szCs w:val="24"/>
          <w:highlight w:val="none"/>
          <w:lang w:val="en-US" w:eastAsia="zh-CN"/>
        </w:rPr>
        <w:t>环境风险影响分析</w:t>
      </w:r>
    </w:p>
    <w:p w14:paraId="01B8A0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（1）大气环境风险分析</w:t>
      </w:r>
    </w:p>
    <w:p w14:paraId="272D943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本项目利用现有水泥窑协同处置危险废物，在生产过程中各生产设备、环保设施发生故障时，会对现场操作人员造成伤害并使得厂址周围局部地区大气环境质量出现短时恶化。</w:t>
      </w:r>
    </w:p>
    <w:p w14:paraId="4025A9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可燃或易燃泄漏物若遇明火将会引发火灾，发生次生灾害，火灾燃烧时产生的烟气为伴生污染物，含硝物质燃烧在放出大量辐射热的同时，还散发出大量的浓烟、CO、NO</w:t>
      </w:r>
      <w:r>
        <w:rPr>
          <w:rFonts w:hint="default" w:ascii="Times New Roman" w:hAnsi="Times New Roman" w:cs="Times New Roman"/>
          <w:sz w:val="24"/>
          <w:szCs w:val="24"/>
          <w:highlight w:val="none"/>
          <w:vertAlign w:val="subscript"/>
          <w:lang w:val="en-US" w:eastAsia="zh-CN"/>
        </w:rPr>
        <w:t>2</w:t>
      </w:r>
      <w:r>
        <w:rPr>
          <w:rFonts w:hint="default" w:ascii="Times New Roman" w:hAnsi="Times New Roman" w:cs="Times New Roman"/>
          <w:sz w:val="24"/>
          <w:szCs w:val="24"/>
          <w:highlight w:val="none"/>
          <w:lang w:val="en-US" w:eastAsia="zh-CN"/>
        </w:rPr>
        <w:t>等有毒有害气体，对火场周围人员的生命安全和周围的大气环境质量造成污染和破坏。火灾事故严重而措施不当时，可能引起爆炸等连锁效应。</w:t>
      </w:r>
    </w:p>
    <w:p w14:paraId="10DD56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（2）水环境风险分析</w:t>
      </w:r>
    </w:p>
    <w:p w14:paraId="7F4D06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非正常工况发生后，污染物主要向下游迁移，</w:t>
      </w:r>
      <w:r>
        <w:rPr>
          <w:rFonts w:hint="eastAsia" w:ascii="Times New Roman" w:hAnsi="Times New Roman" w:cs="Times New Roman"/>
          <w:sz w:val="24"/>
          <w:szCs w:val="24"/>
          <w:highlight w:val="none"/>
          <w:lang w:val="en-US" w:eastAsia="zh-CN"/>
        </w:rPr>
        <w:t>当发生危险废物</w:t>
      </w:r>
      <w:r>
        <w:rPr>
          <w:rFonts w:hint="default" w:ascii="Times New Roman" w:hAnsi="Times New Roman" w:cs="Times New Roman"/>
          <w:sz w:val="24"/>
          <w:szCs w:val="24"/>
          <w:highlight w:val="none"/>
          <w:lang w:val="en-US" w:eastAsia="zh-CN"/>
        </w:rPr>
        <w:t>渗漏情况下预测结果显示，甲磺酸钠在地下水中运移100天时，甲磺酸钠浓度在下游10m处达到最大，最大浓度为0.234mg/L，到下游190m处浓度接近0；甲磺酸钠在地下水中运移365天时，甲磺酸钠浓度在下游40m处达到最大，最大浓度为0.064mg/L，到下游500m处浓度接近0；甲磺酸钠在地下水中运移1000天时，甲磺酸钠浓度在下游110m处达到最大，最大浓度为0.0233mg/L，到下游300m处浓度接近0。</w:t>
      </w:r>
    </w:p>
    <w:p w14:paraId="237A17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一旦发生火灾事故，必须启动消防救援系统。根据火灾性质的不同将使用不同的消防系统，包括泡沫消防和消防水。这样对消防水和消防泡沫的及时处理就成为整个应急系统的重要组成部分，尤其对消防水处理不当就会形成新的水环境风险。本项目设置了事故池，用于收集消防废水或泄漏的液体，避免消防废水或泄漏液体对水环境产生影响。</w:t>
      </w:r>
    </w:p>
    <w:p w14:paraId="13A030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（3）土壤环境风险分析</w:t>
      </w:r>
    </w:p>
    <w:p w14:paraId="099126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本项目为利用水泥窑协同处置危险废物项目，</w:t>
      </w:r>
      <w:r>
        <w:rPr>
          <w:rFonts w:hint="eastAsia" w:ascii="Times New Roman" w:hAnsi="Times New Roman" w:cs="Times New Roman"/>
          <w:sz w:val="24"/>
          <w:szCs w:val="24"/>
          <w:highlight w:val="none"/>
          <w:lang w:val="en-US" w:eastAsia="zh-CN"/>
        </w:rPr>
        <w:t>项目</w:t>
      </w:r>
      <w:r>
        <w:rPr>
          <w:rFonts w:hint="eastAsia" w:cs="Times New Roman"/>
          <w:sz w:val="24"/>
          <w:szCs w:val="24"/>
          <w:highlight w:val="none"/>
          <w:lang w:val="en-US" w:eastAsia="zh-CN"/>
        </w:rPr>
        <w:t>试验系统</w:t>
      </w:r>
      <w:r>
        <w:rPr>
          <w:rFonts w:hint="eastAsia" w:ascii="Times New Roman" w:hAnsi="Times New Roman" w:cs="Times New Roman"/>
          <w:sz w:val="24"/>
          <w:szCs w:val="24"/>
          <w:highlight w:val="none"/>
          <w:lang w:val="en-US" w:eastAsia="zh-CN"/>
        </w:rPr>
        <w:t>产生的</w:t>
      </w:r>
      <w:r>
        <w:rPr>
          <w:rFonts w:hint="eastAsia" w:cs="Times New Roman"/>
          <w:sz w:val="24"/>
          <w:szCs w:val="24"/>
          <w:highlight w:val="none"/>
          <w:lang w:val="en-US" w:eastAsia="zh-CN"/>
        </w:rPr>
        <w:t>试验废物</w:t>
      </w:r>
      <w:r>
        <w:rPr>
          <w:rFonts w:hint="eastAsia" w:ascii="Times New Roman" w:hAnsi="Times New Roman" w:cs="Times New Roman"/>
          <w:sz w:val="24"/>
          <w:szCs w:val="24"/>
          <w:highlight w:val="none"/>
          <w:lang w:val="en-US" w:eastAsia="zh-CN"/>
        </w:rPr>
        <w:t>储存在企业既有</w:t>
      </w:r>
      <w:r>
        <w:rPr>
          <w:rFonts w:hint="eastAsia" w:cs="Times New Roman"/>
          <w:sz w:val="24"/>
          <w:szCs w:val="24"/>
          <w:highlight w:val="none"/>
          <w:lang w:val="en-US" w:eastAsia="zh-CN"/>
        </w:rPr>
        <w:t>危险废物贮存设施</w:t>
      </w:r>
      <w:r>
        <w:rPr>
          <w:rFonts w:hint="eastAsia" w:ascii="Times New Roman" w:hAnsi="Times New Roman" w:cs="Times New Roman"/>
          <w:sz w:val="24"/>
          <w:szCs w:val="24"/>
          <w:highlight w:val="none"/>
          <w:lang w:val="en-US" w:eastAsia="zh-CN"/>
        </w:rPr>
        <w:t>内，</w:t>
      </w:r>
      <w:r>
        <w:rPr>
          <w:rFonts w:hint="eastAsia" w:cs="Times New Roman"/>
          <w:sz w:val="24"/>
          <w:szCs w:val="24"/>
          <w:highlight w:val="none"/>
          <w:lang w:val="en-US" w:eastAsia="zh-CN"/>
        </w:rPr>
        <w:t>项目投料车间及</w:t>
      </w:r>
      <w:r>
        <w:rPr>
          <w:rFonts w:hint="eastAsia" w:ascii="Times New Roman" w:hAnsi="Times New Roman" w:cs="Times New Roman"/>
          <w:sz w:val="24"/>
          <w:szCs w:val="24"/>
          <w:highlight w:val="none"/>
          <w:lang w:val="en-US" w:eastAsia="zh-CN"/>
        </w:rPr>
        <w:t>危废间采取有防渗措施</w:t>
      </w:r>
      <w:r>
        <w:rPr>
          <w:rFonts w:hint="eastAsia" w:cs="Times New Roman"/>
          <w:sz w:val="24"/>
          <w:szCs w:val="24"/>
          <w:highlight w:val="none"/>
          <w:lang w:val="en-US" w:eastAsia="zh-CN"/>
        </w:rPr>
        <w:t>，正常情况下</w:t>
      </w:r>
      <w:r>
        <w:rPr>
          <w:rFonts w:hint="default" w:ascii="Times New Roman" w:hAnsi="Times New Roman" w:cs="Times New Roman"/>
          <w:sz w:val="24"/>
          <w:szCs w:val="24"/>
          <w:highlight w:val="none"/>
          <w:lang w:val="en-US" w:eastAsia="zh-CN"/>
        </w:rPr>
        <w:t>项目</w:t>
      </w:r>
      <w:r>
        <w:rPr>
          <w:rFonts w:hint="eastAsia" w:cs="Times New Roman"/>
          <w:sz w:val="24"/>
          <w:szCs w:val="24"/>
          <w:highlight w:val="none"/>
          <w:lang w:val="en-US" w:eastAsia="zh-CN"/>
        </w:rPr>
        <w:t>对土壤不会造成影响</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highlight w:val="none"/>
          <w:lang w:val="en-US" w:eastAsia="zh-CN"/>
        </w:rPr>
        <w:t>根据预测，项目区土壤中各因子质量均满足《土壤环境质量 建设用地土壤污染风险管控标准》（试行）（GB36600-2018）中第二类用地筛选值。本项目在做好分区防渗和应急处置等措施的前提下，不会对区域土壤产生明显影响，因此项目土壤环境</w:t>
      </w:r>
      <w:r>
        <w:rPr>
          <w:rFonts w:hint="eastAsia" w:ascii="Times New Roman" w:hAnsi="Times New Roman" w:cs="Times New Roman"/>
          <w:sz w:val="24"/>
          <w:szCs w:val="24"/>
          <w:highlight w:val="none"/>
          <w:lang w:val="en-US" w:eastAsia="zh-CN"/>
        </w:rPr>
        <w:t>风险</w:t>
      </w:r>
      <w:r>
        <w:rPr>
          <w:rFonts w:hint="default" w:ascii="Times New Roman" w:hAnsi="Times New Roman" w:cs="Times New Roman"/>
          <w:sz w:val="24"/>
          <w:szCs w:val="24"/>
          <w:highlight w:val="none"/>
          <w:lang w:val="en-US" w:eastAsia="zh-CN"/>
        </w:rPr>
        <w:t>可以接受。</w:t>
      </w:r>
    </w:p>
    <w:p w14:paraId="72ECF35B">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5.3.</w:t>
      </w:r>
      <w:r>
        <w:rPr>
          <w:rFonts w:hint="default" w:ascii="Times New Roman" w:hAnsi="Times New Roman" w:cs="Times New Roman"/>
          <w:b/>
          <w:bCs w:val="0"/>
          <w:kern w:val="2"/>
          <w:sz w:val="24"/>
          <w:szCs w:val="24"/>
          <w:highlight w:val="none"/>
          <w:lang w:val="en-US" w:eastAsia="zh-CN"/>
        </w:rPr>
        <w:t>7</w:t>
      </w:r>
      <w:r>
        <w:rPr>
          <w:rFonts w:hint="default" w:ascii="Times New Roman" w:hAnsi="Times New Roman" w:eastAsia="宋体" w:cs="Times New Roman"/>
          <w:b/>
          <w:bCs w:val="0"/>
          <w:kern w:val="2"/>
          <w:sz w:val="24"/>
          <w:szCs w:val="24"/>
          <w:highlight w:val="none"/>
          <w:lang w:val="en-US" w:eastAsia="zh-CN"/>
        </w:rPr>
        <w:t>风险事故情形分析</w:t>
      </w:r>
    </w:p>
    <w:p w14:paraId="4860E0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（1）运输过程的环境风险分析</w:t>
      </w:r>
    </w:p>
    <w:p w14:paraId="3500C3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工业危险废物的运输是其处理处置过程的首要环节，严格按危险废物的种类进行收集、包装是降低废物运输过程环境影响的关键。</w:t>
      </w:r>
    </w:p>
    <w:p w14:paraId="3393B5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本项目处置的危废由新疆兴发化工有限公司负责运输至本项目厂区。在运输过程中，不适当的操作或意外的事故均有可能导致运输途中的环境污染。可能造成运输污染的主要因素有：</w:t>
      </w:r>
      <w:r>
        <w:rPr>
          <w:rFonts w:hint="eastAsia" w:ascii="Times New Roman" w:hAnsi="Times New Roman" w:cs="Times New Roman"/>
          <w:sz w:val="24"/>
          <w:szCs w:val="24"/>
          <w:highlight w:val="none"/>
          <w:lang w:val="en-US" w:eastAsia="zh-CN"/>
        </w:rPr>
        <w:t>①</w:t>
      </w:r>
      <w:r>
        <w:rPr>
          <w:rFonts w:hint="default" w:ascii="Times New Roman" w:hAnsi="Times New Roman" w:cs="Times New Roman"/>
          <w:sz w:val="24"/>
          <w:szCs w:val="24"/>
          <w:highlight w:val="none"/>
          <w:lang w:val="en-US" w:eastAsia="zh-CN"/>
        </w:rPr>
        <w:t>由于危险废物装运不合格，造成废物在中途发性泄漏、流失等情况，造成沿途污染；</w:t>
      </w:r>
      <w:r>
        <w:rPr>
          <w:rFonts w:hint="eastAsia" w:ascii="Times New Roman" w:hAnsi="Times New Roman" w:cs="Times New Roman"/>
          <w:sz w:val="24"/>
          <w:szCs w:val="24"/>
          <w:highlight w:val="none"/>
          <w:lang w:val="en-US" w:eastAsia="zh-CN"/>
        </w:rPr>
        <w:t>②</w:t>
      </w:r>
      <w:r>
        <w:rPr>
          <w:rFonts w:hint="default" w:ascii="Times New Roman" w:hAnsi="Times New Roman" w:cs="Times New Roman"/>
          <w:sz w:val="24"/>
          <w:szCs w:val="24"/>
          <w:highlight w:val="none"/>
          <w:lang w:val="en-US" w:eastAsia="zh-CN"/>
        </w:rPr>
        <w:t>由于运输车辆发生交通事故造成危险废物大量倾倒、流失，造成事故发生地发生污染事故。一旦发生事故，导致危险废物大量倾倒、流失，会对周边环境造成严重的影响。因此，在运输过程中，应采取严格的防范措施。</w:t>
      </w:r>
    </w:p>
    <w:p w14:paraId="29F80E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运输路线环境影响：本项目处置的危险废物均为临厂新疆兴发化工有限公司生产过程产生的危险废物，运输严格按照划定路线运至指定区域焚烧，液态废物采用管输。项目主要运输路线不涉及自然保护区、风景名胜区和饮用水保护区等；本项目危废进厂路线（项目周边）专用进厂道路，在采取有效的设施密闭、优化运输时间、控制车速等措施后，对周边环境影响较小。</w:t>
      </w:r>
    </w:p>
    <w:p w14:paraId="475D15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为提高危险废物运输突发事故应急处置能力，最大程度上地预防和降低事故对环境造成的危害和影响，加强事故发生后的组织领导和协调处置，确保紧急情况下能够及时有序地实施应急处置，最大限度降低对环境污染的程度，企业必须制定相应的应急预案。当发生污染突发事件发生后，应启动应急响应行动。</w:t>
      </w:r>
    </w:p>
    <w:p w14:paraId="0C65D4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（2）废液泄漏事故概率</w:t>
      </w:r>
    </w:p>
    <w:p w14:paraId="14E11B85">
      <w:pPr>
        <w:pStyle w:val="6"/>
        <w:rPr>
          <w:rFonts w:hint="default" w:ascii="Times New Roman" w:hAnsi="Times New Roman" w:cs="Times New Roman"/>
        </w:rPr>
      </w:pPr>
      <w:r>
        <w:rPr>
          <w:rFonts w:hint="default" w:ascii="Times New Roman" w:hAnsi="Times New Roman" w:cs="Times New Roman"/>
        </w:rPr>
        <w:t>项目对液体危险废物的</w:t>
      </w:r>
      <w:r>
        <w:rPr>
          <w:rFonts w:hint="default" w:ascii="Times New Roman" w:hAnsi="Times New Roman" w:cs="Times New Roman"/>
          <w:lang w:val="en-US" w:eastAsia="zh-CN"/>
        </w:rPr>
        <w:t>采用管道直接输送至回转窑内</w:t>
      </w:r>
      <w:r>
        <w:rPr>
          <w:rFonts w:hint="default" w:ascii="Times New Roman" w:hAnsi="Times New Roman" w:cs="Times New Roman"/>
          <w:lang w:eastAsia="zh-CN"/>
        </w:rPr>
        <w:t>，</w:t>
      </w:r>
      <w:r>
        <w:rPr>
          <w:rFonts w:hint="default" w:ascii="Times New Roman" w:hAnsi="Times New Roman" w:cs="Times New Roman"/>
        </w:rPr>
        <w:t>根据相近行业的有关资料对引发风险事故概率的介绍，主要风险事故的概率见</w:t>
      </w:r>
      <w:r>
        <w:rPr>
          <w:rFonts w:hint="default" w:ascii="Times New Roman" w:hAnsi="Times New Roman" w:cs="Times New Roman"/>
        </w:rPr>
        <w:fldChar w:fldCharType="begin"/>
      </w:r>
      <w:r>
        <w:rPr>
          <w:rFonts w:hint="default" w:ascii="Times New Roman" w:hAnsi="Times New Roman" w:cs="Times New Roman"/>
        </w:rPr>
        <w:instrText xml:space="preserve"> REF _Ref130829405 \h  \* MERGEFORMAT </w:instrText>
      </w:r>
      <w:r>
        <w:rPr>
          <w:rFonts w:hint="default" w:ascii="Times New Roman" w:hAnsi="Times New Roman" w:cs="Times New Roman"/>
        </w:rPr>
        <w:fldChar w:fldCharType="separate"/>
      </w:r>
      <w:r>
        <w:rPr>
          <w:rFonts w:hint="default" w:ascii="Times New Roman" w:hAnsi="Times New Roman" w:cs="Times New Roman"/>
        </w:rPr>
        <w:t>表5.3</w:t>
      </w:r>
      <w:r>
        <w:rPr>
          <w:rFonts w:hint="eastAsia" w:ascii="Times New Roman" w:hAnsi="Times New Roman" w:cs="Times New Roman"/>
          <w:lang w:val="en-US" w:eastAsia="zh-CN"/>
        </w:rPr>
        <w:t>-</w:t>
      </w:r>
      <w:r>
        <w:rPr>
          <w:rFonts w:hint="default" w:ascii="Times New Roman" w:hAnsi="Times New Roman" w:cs="Times New Roman"/>
        </w:rPr>
        <w:fldChar w:fldCharType="end"/>
      </w:r>
      <w:r>
        <w:rPr>
          <w:rFonts w:hint="eastAsia" w:cs="Times New Roman"/>
          <w:lang w:val="en-US" w:eastAsia="zh-CN"/>
        </w:rPr>
        <w:t>5</w:t>
      </w:r>
      <w:r>
        <w:rPr>
          <w:rFonts w:hint="default" w:ascii="Times New Roman" w:hAnsi="Times New Roman" w:cs="Times New Roman"/>
        </w:rPr>
        <w:t>。</w:t>
      </w:r>
    </w:p>
    <w:p w14:paraId="1AE98AF2">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976" w:name="_Ref130829405"/>
      <w:r>
        <w:rPr>
          <w:rFonts w:hint="default" w:ascii="Times New Roman" w:hAnsi="Times New Roman" w:cs="Times New Roman"/>
          <w:b/>
          <w:bCs/>
        </w:rPr>
        <w:t>表</w:t>
      </w:r>
      <w:bookmarkEnd w:id="976"/>
      <w:r>
        <w:rPr>
          <w:rFonts w:hint="eastAsia" w:ascii="Times New Roman" w:hAnsi="Times New Roman" w:cs="Times New Roman"/>
          <w:b/>
          <w:bCs/>
          <w:lang w:val="en-US" w:eastAsia="zh-CN"/>
        </w:rPr>
        <w:t>5.3-</w:t>
      </w:r>
      <w:r>
        <w:rPr>
          <w:rFonts w:hint="eastAsia" w:cs="Times New Roman"/>
          <w:b/>
          <w:bCs/>
          <w:lang w:val="en-US" w:eastAsia="zh-CN"/>
        </w:rPr>
        <w:t>5</w:t>
      </w:r>
      <w:r>
        <w:rPr>
          <w:rFonts w:hint="default" w:ascii="Times New Roman" w:hAnsi="Times New Roman" w:cs="Times New Roman"/>
          <w:b/>
          <w:bCs/>
        </w:rPr>
        <w:t xml:space="preserve"> 废液泄漏事故概率一览表</w:t>
      </w:r>
    </w:p>
    <w:tbl>
      <w:tblPr>
        <w:tblStyle w:val="39"/>
        <w:tblW w:w="5010" w:type="pct"/>
        <w:tblInd w:w="0" w:type="dxa"/>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3981"/>
        <w:gridCol w:w="1797"/>
        <w:gridCol w:w="2539"/>
      </w:tblGrid>
      <w:tr w14:paraId="1570AD36">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393" w:type="pct"/>
            <w:tcBorders>
              <w:tl2br w:val="nil"/>
              <w:tr2bl w:val="nil"/>
            </w:tcBorders>
            <w:vAlign w:val="center"/>
          </w:tcPr>
          <w:p w14:paraId="0C842049">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事故</w:t>
            </w:r>
          </w:p>
        </w:tc>
        <w:tc>
          <w:tcPr>
            <w:tcW w:w="1080" w:type="pct"/>
            <w:tcBorders>
              <w:tl2br w:val="nil"/>
              <w:tr2bl w:val="nil"/>
            </w:tcBorders>
            <w:vAlign w:val="center"/>
          </w:tcPr>
          <w:p w14:paraId="43D7571A">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发生概率</w:t>
            </w:r>
          </w:p>
        </w:tc>
        <w:tc>
          <w:tcPr>
            <w:tcW w:w="1526" w:type="pct"/>
            <w:tcBorders>
              <w:tl2br w:val="nil"/>
              <w:tr2bl w:val="nil"/>
            </w:tcBorders>
            <w:vAlign w:val="center"/>
          </w:tcPr>
          <w:p w14:paraId="37355E55">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发生频率</w:t>
            </w:r>
          </w:p>
        </w:tc>
      </w:tr>
      <w:tr w14:paraId="543E4389">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393" w:type="pct"/>
            <w:tcBorders>
              <w:tl2br w:val="nil"/>
              <w:tr2bl w:val="nil"/>
            </w:tcBorders>
            <w:vAlign w:val="center"/>
          </w:tcPr>
          <w:p w14:paraId="1EB1AB4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输送泵、输送管接头、阀门损坏等泄漏</w:t>
            </w:r>
          </w:p>
        </w:tc>
        <w:tc>
          <w:tcPr>
            <w:tcW w:w="1080" w:type="pct"/>
            <w:tcBorders>
              <w:tl2br w:val="nil"/>
              <w:tr2bl w:val="nil"/>
            </w:tcBorders>
            <w:vAlign w:val="center"/>
          </w:tcPr>
          <w:p w14:paraId="2104F1FA">
            <w:pPr>
              <w:pStyle w:val="52"/>
              <w:spacing w:before="0" w:after="0" w:line="240" w:lineRule="auto"/>
              <w:ind w:left="0" w:firstLine="0"/>
              <w:rPr>
                <w:rFonts w:hint="default" w:ascii="Times New Roman" w:hAnsi="Times New Roman" w:cs="Times New Roman"/>
                <w:color w:val="000000" w:themeColor="text1"/>
                <w:sz w:val="11"/>
                <w:szCs w:val="18"/>
                <w14:textFill>
                  <w14:solidFill>
                    <w14:schemeClr w14:val="tx1"/>
                  </w14:solidFill>
                </w14:textFill>
              </w:rPr>
            </w:pPr>
            <w:r>
              <w:rPr>
                <w:rFonts w:hint="default" w:ascii="Times New Roman" w:hAnsi="Times New Roman" w:cs="Times New Roman"/>
                <w:color w:val="000000" w:themeColor="text1"/>
                <w:position w:val="-6"/>
                <w:sz w:val="21"/>
                <w:szCs w:val="18"/>
                <w14:textFill>
                  <w14:solidFill>
                    <w14:schemeClr w14:val="tx1"/>
                  </w14:solidFill>
                </w14:textFill>
              </w:rPr>
              <w:t>10</w:t>
            </w:r>
            <w:r>
              <w:rPr>
                <w:rFonts w:hint="default" w:ascii="Times New Roman" w:hAnsi="Times New Roman" w:cs="Times New Roman"/>
                <w:color w:val="000000" w:themeColor="text1"/>
                <w:sz w:val="11"/>
                <w:szCs w:val="18"/>
                <w14:textFill>
                  <w14:solidFill>
                    <w14:schemeClr w14:val="tx1"/>
                  </w14:solidFill>
                </w14:textFill>
              </w:rPr>
              <w:t>-1</w:t>
            </w:r>
          </w:p>
        </w:tc>
        <w:tc>
          <w:tcPr>
            <w:tcW w:w="1526" w:type="pct"/>
            <w:tcBorders>
              <w:tl2br w:val="nil"/>
              <w:tr2bl w:val="nil"/>
            </w:tcBorders>
            <w:vAlign w:val="center"/>
          </w:tcPr>
          <w:p w14:paraId="55C3D13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可能发生</w:t>
            </w:r>
          </w:p>
        </w:tc>
      </w:tr>
      <w:tr w14:paraId="56265761">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393" w:type="pct"/>
            <w:tcBorders>
              <w:tl2br w:val="nil"/>
              <w:tr2bl w:val="nil"/>
            </w:tcBorders>
            <w:vAlign w:val="center"/>
          </w:tcPr>
          <w:p w14:paraId="0C67F6B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雷击或火灾引起严重泄漏事故</w:t>
            </w:r>
          </w:p>
        </w:tc>
        <w:tc>
          <w:tcPr>
            <w:tcW w:w="1080" w:type="pct"/>
            <w:tcBorders>
              <w:tl2br w:val="nil"/>
              <w:tr2bl w:val="nil"/>
            </w:tcBorders>
            <w:vAlign w:val="center"/>
          </w:tcPr>
          <w:p w14:paraId="0B711A1C">
            <w:pPr>
              <w:pStyle w:val="52"/>
              <w:spacing w:before="0" w:after="0" w:line="240" w:lineRule="auto"/>
              <w:ind w:left="0" w:firstLine="0"/>
              <w:rPr>
                <w:rFonts w:hint="default" w:ascii="Times New Roman" w:hAnsi="Times New Roman" w:cs="Times New Roman"/>
                <w:color w:val="000000" w:themeColor="text1"/>
                <w:sz w:val="11"/>
                <w:szCs w:val="18"/>
                <w14:textFill>
                  <w14:solidFill>
                    <w14:schemeClr w14:val="tx1"/>
                  </w14:solidFill>
                </w14:textFill>
              </w:rPr>
            </w:pPr>
            <w:r>
              <w:rPr>
                <w:rFonts w:hint="default" w:ascii="Times New Roman" w:hAnsi="Times New Roman" w:cs="Times New Roman"/>
                <w:color w:val="000000" w:themeColor="text1"/>
                <w:position w:val="-6"/>
                <w:sz w:val="21"/>
                <w:szCs w:val="18"/>
                <w14:textFill>
                  <w14:solidFill>
                    <w14:schemeClr w14:val="tx1"/>
                  </w14:solidFill>
                </w14:textFill>
              </w:rPr>
              <w:t>10</w:t>
            </w:r>
            <w:r>
              <w:rPr>
                <w:rFonts w:hint="default" w:ascii="Times New Roman" w:hAnsi="Times New Roman" w:cs="Times New Roman"/>
                <w:color w:val="000000" w:themeColor="text1"/>
                <w:sz w:val="11"/>
                <w:szCs w:val="18"/>
                <w14:textFill>
                  <w14:solidFill>
                    <w14:schemeClr w14:val="tx1"/>
                  </w14:solidFill>
                </w14:textFill>
              </w:rPr>
              <w:t>-3</w:t>
            </w:r>
          </w:p>
        </w:tc>
        <w:tc>
          <w:tcPr>
            <w:tcW w:w="1526" w:type="pct"/>
            <w:tcBorders>
              <w:tl2br w:val="nil"/>
              <w:tr2bl w:val="nil"/>
            </w:tcBorders>
            <w:vAlign w:val="center"/>
          </w:tcPr>
          <w:p w14:paraId="0D03642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极少发生</w:t>
            </w:r>
          </w:p>
        </w:tc>
      </w:tr>
      <w:tr w14:paraId="515BA70F">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393" w:type="pct"/>
            <w:tcBorders>
              <w:tl2br w:val="nil"/>
              <w:tr2bl w:val="nil"/>
            </w:tcBorders>
            <w:vAlign w:val="center"/>
          </w:tcPr>
          <w:p w14:paraId="17F2FFF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发生重大火灾、爆炸事故</w:t>
            </w:r>
          </w:p>
        </w:tc>
        <w:tc>
          <w:tcPr>
            <w:tcW w:w="1080" w:type="pct"/>
            <w:tcBorders>
              <w:tl2br w:val="nil"/>
              <w:tr2bl w:val="nil"/>
            </w:tcBorders>
            <w:vAlign w:val="center"/>
          </w:tcPr>
          <w:p w14:paraId="6051F3B4">
            <w:pPr>
              <w:pStyle w:val="52"/>
              <w:spacing w:before="0" w:after="0" w:line="240" w:lineRule="auto"/>
              <w:ind w:left="0" w:firstLine="0"/>
              <w:rPr>
                <w:rFonts w:hint="default" w:ascii="Times New Roman" w:hAnsi="Times New Roman" w:eastAsia="Times New Roman" w:cs="Times New Roman"/>
                <w:color w:val="000000" w:themeColor="text1"/>
                <w:sz w:val="11"/>
                <w:szCs w:val="18"/>
                <w14:textFill>
                  <w14:solidFill>
                    <w14:schemeClr w14:val="tx1"/>
                  </w14:solidFill>
                </w14:textFill>
              </w:rPr>
            </w:pPr>
            <w:r>
              <w:rPr>
                <w:rFonts w:hint="default" w:ascii="Times New Roman" w:hAnsi="Times New Roman" w:eastAsia="Times New Roman" w:cs="Times New Roman"/>
                <w:color w:val="000000" w:themeColor="text1"/>
                <w:sz w:val="21"/>
                <w:szCs w:val="18"/>
                <w14:textFill>
                  <w14:solidFill>
                    <w14:schemeClr w14:val="tx1"/>
                  </w14:solidFill>
                </w14:textFill>
              </w:rPr>
              <w:t>10</w:t>
            </w:r>
            <w:r>
              <w:rPr>
                <w:rFonts w:hint="default" w:ascii="Times New Roman" w:hAnsi="Times New Roman" w:eastAsia="Times New Roman" w:cs="Times New Roman"/>
                <w:color w:val="000000" w:themeColor="text1"/>
                <w:position w:val="7"/>
                <w:sz w:val="11"/>
                <w:szCs w:val="18"/>
                <w14:textFill>
                  <w14:solidFill>
                    <w14:schemeClr w14:val="tx1"/>
                  </w14:solidFill>
                </w14:textFill>
              </w:rPr>
              <w:t xml:space="preserve">-4 </w:t>
            </w:r>
            <w:r>
              <w:rPr>
                <w:rFonts w:hint="default" w:ascii="Times New Roman" w:hAnsi="Times New Roman" w:cs="Times New Roman"/>
                <w:color w:val="000000" w:themeColor="text1"/>
                <w:sz w:val="21"/>
                <w:szCs w:val="18"/>
                <w14:textFill>
                  <w14:solidFill>
                    <w14:schemeClr w14:val="tx1"/>
                  </w14:solidFill>
                </w14:textFill>
              </w:rPr>
              <w:t>～</w:t>
            </w:r>
            <w:r>
              <w:rPr>
                <w:rFonts w:hint="default" w:ascii="Times New Roman" w:hAnsi="Times New Roman" w:eastAsia="Times New Roman" w:cs="Times New Roman"/>
                <w:color w:val="000000" w:themeColor="text1"/>
                <w:sz w:val="21"/>
                <w:szCs w:val="18"/>
                <w14:textFill>
                  <w14:solidFill>
                    <w14:schemeClr w14:val="tx1"/>
                  </w14:solidFill>
                </w14:textFill>
              </w:rPr>
              <w:t>10</w:t>
            </w:r>
            <w:r>
              <w:rPr>
                <w:rFonts w:hint="default" w:ascii="Times New Roman" w:hAnsi="Times New Roman" w:eastAsia="Times New Roman" w:cs="Times New Roman"/>
                <w:color w:val="000000" w:themeColor="text1"/>
                <w:position w:val="7"/>
                <w:sz w:val="11"/>
                <w:szCs w:val="18"/>
                <w14:textFill>
                  <w14:solidFill>
                    <w14:schemeClr w14:val="tx1"/>
                  </w14:solidFill>
                </w14:textFill>
              </w:rPr>
              <w:t>-5</w:t>
            </w:r>
          </w:p>
        </w:tc>
        <w:tc>
          <w:tcPr>
            <w:tcW w:w="1526" w:type="pct"/>
            <w:tcBorders>
              <w:tl2br w:val="nil"/>
              <w:tr2bl w:val="nil"/>
            </w:tcBorders>
            <w:vAlign w:val="center"/>
          </w:tcPr>
          <w:p w14:paraId="42FF25D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极少发生</w:t>
            </w:r>
          </w:p>
        </w:tc>
      </w:tr>
      <w:tr w14:paraId="5FCF141F">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393" w:type="pct"/>
            <w:tcBorders>
              <w:tl2br w:val="nil"/>
              <w:tr2bl w:val="nil"/>
            </w:tcBorders>
            <w:vAlign w:val="center"/>
          </w:tcPr>
          <w:p w14:paraId="4424D14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重大自然灾害引起事故</w:t>
            </w:r>
          </w:p>
        </w:tc>
        <w:tc>
          <w:tcPr>
            <w:tcW w:w="1080" w:type="pct"/>
            <w:tcBorders>
              <w:tl2br w:val="nil"/>
              <w:tr2bl w:val="nil"/>
            </w:tcBorders>
            <w:vAlign w:val="center"/>
          </w:tcPr>
          <w:p w14:paraId="537C662E">
            <w:pPr>
              <w:pStyle w:val="52"/>
              <w:spacing w:before="0" w:after="0" w:line="240" w:lineRule="auto"/>
              <w:ind w:left="0" w:firstLine="0"/>
              <w:rPr>
                <w:rFonts w:hint="default" w:ascii="Times New Roman" w:hAnsi="Times New Roman" w:eastAsia="Times New Roman" w:cs="Times New Roman"/>
                <w:color w:val="000000" w:themeColor="text1"/>
                <w:sz w:val="11"/>
                <w:szCs w:val="18"/>
                <w14:textFill>
                  <w14:solidFill>
                    <w14:schemeClr w14:val="tx1"/>
                  </w14:solidFill>
                </w14:textFill>
              </w:rPr>
            </w:pPr>
            <w:r>
              <w:rPr>
                <w:rFonts w:hint="default" w:ascii="Times New Roman" w:hAnsi="Times New Roman" w:eastAsia="Times New Roman" w:cs="Times New Roman"/>
                <w:color w:val="000000" w:themeColor="text1"/>
                <w:sz w:val="21"/>
                <w:szCs w:val="18"/>
                <w14:textFill>
                  <w14:solidFill>
                    <w14:schemeClr w14:val="tx1"/>
                  </w14:solidFill>
                </w14:textFill>
              </w:rPr>
              <w:t>10</w:t>
            </w:r>
            <w:r>
              <w:rPr>
                <w:rFonts w:hint="default" w:ascii="Times New Roman" w:hAnsi="Times New Roman" w:eastAsia="Times New Roman" w:cs="Times New Roman"/>
                <w:color w:val="000000" w:themeColor="text1"/>
                <w:position w:val="7"/>
                <w:sz w:val="11"/>
                <w:szCs w:val="18"/>
                <w14:textFill>
                  <w14:solidFill>
                    <w14:schemeClr w14:val="tx1"/>
                  </w14:solidFill>
                </w14:textFill>
              </w:rPr>
              <w:t>-5</w:t>
            </w:r>
            <w:r>
              <w:rPr>
                <w:rFonts w:hint="default" w:ascii="Times New Roman" w:hAnsi="Times New Roman" w:cs="Times New Roman"/>
                <w:color w:val="000000" w:themeColor="text1"/>
                <w:sz w:val="21"/>
                <w:szCs w:val="18"/>
                <w14:textFill>
                  <w14:solidFill>
                    <w14:schemeClr w14:val="tx1"/>
                  </w14:solidFill>
                </w14:textFill>
              </w:rPr>
              <w:t>～</w:t>
            </w:r>
            <w:r>
              <w:rPr>
                <w:rFonts w:hint="default" w:ascii="Times New Roman" w:hAnsi="Times New Roman" w:eastAsia="Times New Roman" w:cs="Times New Roman"/>
                <w:color w:val="000000" w:themeColor="text1"/>
                <w:sz w:val="21"/>
                <w:szCs w:val="18"/>
                <w14:textFill>
                  <w14:solidFill>
                    <w14:schemeClr w14:val="tx1"/>
                  </w14:solidFill>
                </w14:textFill>
              </w:rPr>
              <w:t>10</w:t>
            </w:r>
            <w:r>
              <w:rPr>
                <w:rFonts w:hint="default" w:ascii="Times New Roman" w:hAnsi="Times New Roman" w:eastAsia="Times New Roman" w:cs="Times New Roman"/>
                <w:color w:val="000000" w:themeColor="text1"/>
                <w:position w:val="7"/>
                <w:sz w:val="11"/>
                <w:szCs w:val="18"/>
                <w14:textFill>
                  <w14:solidFill>
                    <w14:schemeClr w14:val="tx1"/>
                  </w14:solidFill>
                </w14:textFill>
              </w:rPr>
              <w:t>-6</w:t>
            </w:r>
          </w:p>
        </w:tc>
        <w:tc>
          <w:tcPr>
            <w:tcW w:w="1526" w:type="pct"/>
            <w:tcBorders>
              <w:tl2br w:val="nil"/>
              <w:tr2bl w:val="nil"/>
            </w:tcBorders>
            <w:vAlign w:val="center"/>
          </w:tcPr>
          <w:p w14:paraId="6668DC0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很难发生</w:t>
            </w:r>
          </w:p>
        </w:tc>
      </w:tr>
    </w:tbl>
    <w:p w14:paraId="2F2AF266">
      <w:pPr>
        <w:pStyle w:val="6"/>
        <w:spacing w:before="120" w:beforeLines="50"/>
        <w:rPr>
          <w:rFonts w:hint="default" w:ascii="Times New Roman" w:hAnsi="Times New Roman" w:cs="Times New Roman"/>
        </w:rPr>
      </w:pPr>
      <w:r>
        <w:rPr>
          <w:rFonts w:hint="default" w:ascii="Times New Roman" w:hAnsi="Times New Roman" w:cs="Times New Roman"/>
        </w:rPr>
        <w:t>由上表可见，输送管、输送泵、阀门等损坏泄漏事故的概率相对较大，发生概率为10</w:t>
      </w:r>
      <w:r>
        <w:rPr>
          <w:rFonts w:hint="default" w:ascii="Times New Roman" w:hAnsi="Times New Roman" w:cs="Times New Roman"/>
          <w:vertAlign w:val="superscript"/>
        </w:rPr>
        <w:t>-1</w:t>
      </w:r>
      <w:r>
        <w:rPr>
          <w:rFonts w:hint="default" w:ascii="Times New Roman" w:hAnsi="Times New Roman" w:cs="Times New Roman"/>
        </w:rPr>
        <w:t>次/年，即每10年大约发生一次，而发生重大火灾爆炸事故概率为10</w:t>
      </w:r>
      <w:r>
        <w:rPr>
          <w:rFonts w:hint="default" w:ascii="Times New Roman" w:hAnsi="Times New Roman" w:cs="Times New Roman"/>
          <w:vertAlign w:val="superscript"/>
        </w:rPr>
        <w:t>-4</w:t>
      </w:r>
      <w:r>
        <w:rPr>
          <w:rFonts w:hint="default" w:ascii="Times New Roman" w:hAnsi="Times New Roman" w:cs="Times New Roman"/>
        </w:rPr>
        <w:t>~10</w:t>
      </w:r>
      <w:r>
        <w:rPr>
          <w:rFonts w:hint="default" w:ascii="Times New Roman" w:hAnsi="Times New Roman" w:cs="Times New Roman"/>
          <w:vertAlign w:val="superscript"/>
        </w:rPr>
        <w:t>-5</w:t>
      </w:r>
      <w:r>
        <w:rPr>
          <w:rFonts w:hint="default" w:ascii="Times New Roman" w:hAnsi="Times New Roman" w:cs="Times New Roman"/>
        </w:rPr>
        <w:t>次/年，属于极少发生的事故。因此建设单位应对该类事故引起重视，除对管道、阀门做防渗防腐处理外，还应对管道走向进行合理设置，并定期检修，制定有针对性的应急措施，尽量减小事故发生的可能性和降低事故影响程度。</w:t>
      </w:r>
    </w:p>
    <w:p w14:paraId="4178CA75">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lang w:val="en-US" w:eastAsia="zh-CN"/>
        </w:rPr>
      </w:pPr>
      <w:r>
        <w:rPr>
          <w:rFonts w:hint="eastAsia" w:ascii="Times New Roman" w:hAnsi="Times New Roman" w:cs="Times New Roman"/>
          <w:lang w:eastAsia="zh-CN"/>
        </w:rPr>
        <w:t>（</w:t>
      </w:r>
      <w:r>
        <w:rPr>
          <w:rFonts w:hint="eastAsia" w:ascii="Times New Roman" w:hAnsi="Times New Roman" w:cs="Times New Roman"/>
          <w:lang w:val="en-US" w:eastAsia="zh-CN"/>
        </w:rPr>
        <w:t>3</w:t>
      </w:r>
      <w:r>
        <w:rPr>
          <w:rFonts w:hint="eastAsia" w:ascii="Times New Roman" w:hAnsi="Times New Roman" w:cs="Times New Roman"/>
          <w:lang w:eastAsia="zh-CN"/>
        </w:rPr>
        <w:t>）火灾爆炸事故</w:t>
      </w:r>
      <w:r>
        <w:rPr>
          <w:rFonts w:hint="eastAsia" w:ascii="Times New Roman" w:hAnsi="Times New Roman" w:cs="Times New Roman"/>
          <w:lang w:val="en-US" w:eastAsia="zh-CN"/>
        </w:rPr>
        <w:t>环境风险分析</w:t>
      </w:r>
    </w:p>
    <w:p w14:paraId="02A83CB5">
      <w:pPr>
        <w:pStyle w:val="6"/>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lang w:eastAsia="zh-CN"/>
        </w:rPr>
      </w:pPr>
      <w:r>
        <w:rPr>
          <w:rFonts w:hint="eastAsia" w:ascii="Times New Roman" w:hAnsi="Times New Roman" w:cs="Times New Roman"/>
          <w:lang w:eastAsia="zh-CN"/>
        </w:rPr>
        <w:t>可燃或易燃泄漏物若遇明火将会引发火灾，发生火灾、爆炸事故在高温下会迅速挥发释放至大气的未完全燃烧危险物质，因此此时的直接危险是在火灾、爆炸情况下有毒物质未燃烧直接扩散至周围环境。可燃或易燃泄漏物若遇明火将会引发火灾，发生次生灾害，火灾燃烧时产生的烟气为伴生污染物，含硝物质燃烧在放出大量辐射热的同时，还散发出大量的浓烟、CO、NO</w:t>
      </w:r>
      <w:r>
        <w:rPr>
          <w:rFonts w:hint="eastAsia" w:ascii="Times New Roman" w:hAnsi="Times New Roman" w:cs="Times New Roman"/>
          <w:vertAlign w:val="subscript"/>
          <w:lang w:eastAsia="zh-CN"/>
        </w:rPr>
        <w:t>2</w:t>
      </w:r>
      <w:r>
        <w:rPr>
          <w:rFonts w:hint="eastAsia" w:ascii="Times New Roman" w:hAnsi="Times New Roman" w:cs="Times New Roman"/>
          <w:lang w:eastAsia="zh-CN"/>
        </w:rPr>
        <w:t>等有毒有害气体，对火场周围人员的生命安全和周围的大气环境质量造成污染和破坏。火灾事故严重而措施不当时，可能引起爆炸等连锁效应。此时，应对相关装置紧急停车，尽可能倒空上、下游物料。在积极救火的同时，对周围装置及设施进行降温保护。这一过程中将有燃烧烟气的伴生污染和消防污水的次生污染发生。</w:t>
      </w:r>
    </w:p>
    <w:p w14:paraId="5E5C66E1">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5.3.</w:t>
      </w:r>
      <w:r>
        <w:rPr>
          <w:rFonts w:hint="default" w:ascii="Times New Roman" w:hAnsi="Times New Roman" w:cs="Times New Roman"/>
          <w:b/>
          <w:bCs w:val="0"/>
          <w:kern w:val="2"/>
          <w:sz w:val="24"/>
          <w:szCs w:val="24"/>
          <w:highlight w:val="none"/>
          <w:lang w:val="en-US" w:eastAsia="zh-CN"/>
        </w:rPr>
        <w:t>8</w:t>
      </w:r>
      <w:r>
        <w:rPr>
          <w:rFonts w:hint="default" w:ascii="Times New Roman" w:hAnsi="Times New Roman" w:eastAsia="宋体" w:cs="Times New Roman"/>
          <w:b/>
          <w:bCs w:val="0"/>
          <w:kern w:val="2"/>
          <w:sz w:val="24"/>
          <w:szCs w:val="24"/>
          <w:highlight w:val="none"/>
          <w:lang w:val="en-US" w:eastAsia="zh-CN"/>
        </w:rPr>
        <w:t>环境风险防范措施</w:t>
      </w:r>
    </w:p>
    <w:p w14:paraId="06792F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（1）大气环境风险防范措施</w:t>
      </w:r>
    </w:p>
    <w:p w14:paraId="6FCE14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①入窑废物种类控制</w:t>
      </w:r>
    </w:p>
    <w:p w14:paraId="136EC9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与专业危险废物焚烧炉相比较而言，水泥窑的工艺特点决定了它没有完整的烟气处理系统，且需要顾及到产品的质量和环境保护安全。因此，并非所有种类的废物都能入窑处置。控制水泥窑协同处置的废物种类和入窑废物的特性是十分必要的。</w:t>
      </w:r>
    </w:p>
    <w:p w14:paraId="0374511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仅处置新疆兴发化工有限公司产生的HW11精（蒸）馏残渣（900-013-11）。禁止入窑废物包括：危险废物中放射性废物；爆炸物及反应性废物；未经拆解的废电池、废家用电器和电子产品；含汞的温度计、血压计、荧光灯管和开关；未知特性和未经鉴定的废物。除此之外，其他废物在进入水泥窑进行协同处置之前应进行适当的预处理，防止对窑况和水泥产品质量的不良影响。</w:t>
      </w:r>
    </w:p>
    <w:p w14:paraId="4D13A0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②入窑元素控制</w:t>
      </w:r>
    </w:p>
    <w:p w14:paraId="2B8AD6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控制入窑废物中的有害元素（重金属、氯、氟、硫等）的投加速率是水泥窑协同处置废物污染控制的重要手段。通过适当的预处理方法，将危险废物中的有害元素的投加速率控制在合理的范围之内，以免发生烟气排放超标，结皮阻塞的不良现象。</w:t>
      </w:r>
    </w:p>
    <w:p w14:paraId="4CA8FF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③合理确定投料点</w:t>
      </w:r>
    </w:p>
    <w:p w14:paraId="039E42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应根据危险废物特性和水泥窑中各投加位置的温度和停留时间等参数合理选择投料点。例如含高氯、高毒、难降解有机物质的危险废物适宜从窑头的主燃烧器进行处置。</w:t>
      </w:r>
    </w:p>
    <w:p w14:paraId="3FB98D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（2）事故废水环境风险防范措施</w:t>
      </w:r>
    </w:p>
    <w:p w14:paraId="75EE3F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①化验废水设废液收集缸，掺入危险废物，送入水泥窑焚烧。</w:t>
      </w:r>
    </w:p>
    <w:p w14:paraId="1C0424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w:t>
      </w:r>
      <w:r>
        <w:rPr>
          <w:rFonts w:hint="eastAsia" w:ascii="Times New Roman" w:hAnsi="Times New Roman" w:cs="Times New Roman"/>
          <w:sz w:val="24"/>
          <w:szCs w:val="24"/>
          <w:highlight w:val="none"/>
          <w:lang w:val="en-US" w:eastAsia="zh-CN"/>
        </w:rPr>
        <w:t>项目设置生产废水收集池，各类生产废水集中收集在废水池内，混入危险废物后入窑处置，废水收集池需进行防渗施工，防止废水对区域土壤及地下水造成污染。</w:t>
      </w:r>
    </w:p>
    <w:p w14:paraId="0CADAE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③本项目设置事故池，用于收集消防废水或泄漏的液体，避免消防废水或泄漏液体对水环境产生影响。本项目室外消防栓用水量</w:t>
      </w:r>
      <w:r>
        <w:rPr>
          <w:rFonts w:hint="eastAsia" w:cs="Times New Roman"/>
          <w:sz w:val="24"/>
          <w:szCs w:val="24"/>
          <w:highlight w:val="none"/>
          <w:lang w:val="en-US" w:eastAsia="zh-CN"/>
        </w:rPr>
        <w:t>15</w:t>
      </w:r>
      <w:r>
        <w:rPr>
          <w:rFonts w:hint="default" w:ascii="Times New Roman" w:hAnsi="Times New Roman" w:cs="Times New Roman"/>
          <w:sz w:val="24"/>
          <w:szCs w:val="24"/>
          <w:highlight w:val="none"/>
          <w:lang w:val="en-US" w:eastAsia="zh-CN"/>
        </w:rPr>
        <w:t>L/s，消防时间定为3h，消防废水产生量为</w:t>
      </w:r>
      <w:r>
        <w:rPr>
          <w:rFonts w:hint="eastAsia" w:cs="Times New Roman"/>
          <w:sz w:val="24"/>
          <w:szCs w:val="24"/>
          <w:highlight w:val="none"/>
          <w:lang w:val="en-US" w:eastAsia="zh-CN"/>
        </w:rPr>
        <w:t>162</w:t>
      </w:r>
      <w:r>
        <w:rPr>
          <w:rFonts w:hint="default" w:ascii="Times New Roman" w:hAnsi="Times New Roman" w:cs="Times New Roman"/>
          <w:sz w:val="24"/>
          <w:szCs w:val="24"/>
          <w:highlight w:val="none"/>
          <w:lang w:val="en-US" w:eastAsia="zh-CN"/>
        </w:rPr>
        <w:t>m</w:t>
      </w:r>
      <w:r>
        <w:rPr>
          <w:rFonts w:hint="default" w:ascii="Times New Roman" w:hAnsi="Times New Roman" w:cs="Times New Roman"/>
          <w:sz w:val="24"/>
          <w:szCs w:val="24"/>
          <w:highlight w:val="none"/>
          <w:vertAlign w:val="superscript"/>
          <w:lang w:val="en-US" w:eastAsia="zh-CN"/>
        </w:rPr>
        <w:t>3</w:t>
      </w:r>
      <w:r>
        <w:rPr>
          <w:rFonts w:hint="default" w:ascii="Times New Roman" w:hAnsi="Times New Roman" w:cs="Times New Roman"/>
          <w:sz w:val="24"/>
          <w:szCs w:val="24"/>
          <w:highlight w:val="none"/>
          <w:lang w:val="en-US" w:eastAsia="zh-CN"/>
        </w:rPr>
        <w:t>。故建议事故池容积</w:t>
      </w:r>
      <w:r>
        <w:rPr>
          <w:rFonts w:hint="eastAsia" w:cs="Times New Roman"/>
          <w:sz w:val="24"/>
          <w:szCs w:val="24"/>
          <w:highlight w:val="none"/>
          <w:lang w:val="en-US" w:eastAsia="zh-CN"/>
        </w:rPr>
        <w:t>2</w:t>
      </w:r>
      <w:r>
        <w:rPr>
          <w:rFonts w:hint="default" w:ascii="Times New Roman" w:hAnsi="Times New Roman" w:cs="Times New Roman"/>
          <w:sz w:val="24"/>
          <w:szCs w:val="24"/>
          <w:highlight w:val="none"/>
          <w:lang w:val="en-US" w:eastAsia="zh-CN"/>
        </w:rPr>
        <w:t>00m</w:t>
      </w:r>
      <w:r>
        <w:rPr>
          <w:rFonts w:hint="default" w:ascii="Times New Roman" w:hAnsi="Times New Roman" w:cs="Times New Roman"/>
          <w:sz w:val="24"/>
          <w:szCs w:val="24"/>
          <w:highlight w:val="none"/>
          <w:vertAlign w:val="superscript"/>
          <w:lang w:val="en-US" w:eastAsia="zh-CN"/>
        </w:rPr>
        <w:t>3</w:t>
      </w:r>
      <w:r>
        <w:rPr>
          <w:rFonts w:hint="default" w:ascii="Times New Roman" w:hAnsi="Times New Roman" w:cs="Times New Roman"/>
          <w:sz w:val="24"/>
          <w:szCs w:val="24"/>
          <w:highlight w:val="none"/>
          <w:lang w:val="en-US" w:eastAsia="zh-CN"/>
        </w:rPr>
        <w:t>，可以满足事故状态下废水暂存需要。</w:t>
      </w:r>
    </w:p>
    <w:p w14:paraId="759AF4E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（3）地下水环境风险防范措施</w:t>
      </w:r>
    </w:p>
    <w:p w14:paraId="3BDDA3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本项目拟采取源头控制、分区防渗、地下水水质跟踪监测、应急预案等地下水污染防治措施。</w:t>
      </w:r>
    </w:p>
    <w:p w14:paraId="4DE500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①厂区按照《环境影响评价技术导则 地下水环境》（HJ610-2016）要求做好防渗措施，防止危险废液、废水渗漏。</w:t>
      </w:r>
    </w:p>
    <w:p w14:paraId="7F98FA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②厂区周边根据地下水径流方向，设置地下水水质监测点，并制定合理的监测计划和应急预案。</w:t>
      </w:r>
    </w:p>
    <w:p w14:paraId="74EE7E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（4）危险废物收集、贮存、运输过程防范措施</w:t>
      </w:r>
    </w:p>
    <w:p w14:paraId="7D6573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危险废物的收集、贮存、运输应严格遵守《危险废物收集、贮存、运输技术规范》（HJ2025-2012）中相关要求。</w:t>
      </w:r>
    </w:p>
    <w:p w14:paraId="79507F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①一般要求</w:t>
      </w:r>
    </w:p>
    <w:p w14:paraId="08280D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从事危险废物收集、贮存、运输经营活动的单位应具有危险废物经营许可证。在收集、贮存、运输危险废物时，应根据危险废物收集、贮存、处置经营许可证核发的有关规定建立相应的规章制度和污染防治措施，包括危险废物分析管理制度、安全管理制度、污染防治措施等；危险废物产生单位内部自行从事的危险废物收集、贮存、运输活动应遵照国家相关管理规定，建立健全规章制度及操作流程，确保该过程的安全、可靠。</w:t>
      </w:r>
    </w:p>
    <w:p w14:paraId="73396E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2）危险废物转移过程应按《危险废物转移管理办法》执行。</w:t>
      </w:r>
    </w:p>
    <w:p w14:paraId="1AAB75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3）危险废物收集、贮存、运输单位应建立规范的管理和技术人员培训制度，定期对管理和技术人员进行培训。培训内容至少应包括危险废物鉴别要求、危险废物经营许可证管理、危险废物转移联单管理、危险废物包装和标识、危险废物运输要求、危险废物事故应急方法等。</w:t>
      </w:r>
    </w:p>
    <w:p w14:paraId="4B5E837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4）危险废物收集、贮存、运输单位应编制应急预案。应急预案编制可参照《危险废物经营单位编制应急预案指南》，涉及运输的相关内容还应符合交通行政主管部门的有关规定。针对危险废物收集、贮存、运输过程中的事故易发环节应定期组织应急演练。</w:t>
      </w:r>
    </w:p>
    <w:p w14:paraId="50AF43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5）危险废物收集、贮存、运输过程中一旦发生意外事故，收集、贮存、运输单位及相关部门应根据风险程度采取如下措施：</w:t>
      </w:r>
    </w:p>
    <w:p w14:paraId="6164D6A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a.设立事故警戒线，启动应急预案，并按《环境保护行政主管部门突发环境事件信息报告办法（试行）》（环发〔2006〕50）要求进行报告；</w:t>
      </w:r>
    </w:p>
    <w:p w14:paraId="11D176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b.若造成事故的危险废物具有剧毒性、易燃性、爆炸性或高传染性，应立即疏散人群，并请求环境保护、消防、医疗、公安等相关部门支援；</w:t>
      </w:r>
    </w:p>
    <w:p w14:paraId="78200F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c.对事故现场受到污染的土壤和水体等环境介质应进行相应的清理和修复；</w:t>
      </w:r>
    </w:p>
    <w:p w14:paraId="30C055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d.清理过程中产生的所有废物均应按危险废物进行管理和处置；</w:t>
      </w:r>
    </w:p>
    <w:p w14:paraId="0AF015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e.进入现场清理和包装危险废物的人员应受过专业培训，穿着防护服，并佩戴相应的防护用具。</w:t>
      </w:r>
    </w:p>
    <w:p w14:paraId="1C01AEC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6）危险废物收集、贮存、运输时应按腐蚀性、毒性、易燃性、反应性和感染性等危险特性对危险废物进行分类、包装并设置相应的标志及标签。危险废物特性应根据其产生源特性及GB5085.1-7、HJ/T298进行鉴别。</w:t>
      </w:r>
    </w:p>
    <w:p w14:paraId="28D0CB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②危险废物收集</w:t>
      </w:r>
    </w:p>
    <w:p w14:paraId="158411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本项目做到仅处置由</w:t>
      </w:r>
      <w:r>
        <w:rPr>
          <w:rFonts w:hint="default" w:ascii="Times New Roman" w:hAnsi="Times New Roman" w:cs="Times New Roman"/>
          <w:sz w:val="24"/>
          <w:szCs w:val="24"/>
          <w:highlight w:val="none"/>
          <w:lang w:val="en-US" w:eastAsia="zh-CN"/>
        </w:rPr>
        <w:t>新疆兴发化工有限公司生产过程产生的</w:t>
      </w:r>
      <w:r>
        <w:rPr>
          <w:rFonts w:hint="eastAsia" w:cs="Times New Roman"/>
          <w:sz w:val="24"/>
          <w:szCs w:val="24"/>
          <w:highlight w:val="none"/>
          <w:lang w:val="en-US" w:eastAsia="zh-CN"/>
        </w:rPr>
        <w:t>HW11精（蒸）馏残渣（900-013-11），危险废物的收集工作由该企业在其厂内完成，需处置时直接输送至本项目厂内进行协同处置，因此危险废物的收集工作不在本项目评价范围内。</w:t>
      </w:r>
    </w:p>
    <w:p w14:paraId="37B737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③危险废物贮存</w:t>
      </w:r>
    </w:p>
    <w:p w14:paraId="448C9D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贮存过程事故风险主要是因废物泄漏而造成的火灾爆炸、毒物泄漏、毒气释放和水质污染等事故，是安全生产的重要方面。本项目</w:t>
      </w:r>
      <w:r>
        <w:rPr>
          <w:rFonts w:hint="eastAsia" w:ascii="Times New Roman" w:hAnsi="Times New Roman" w:cs="Times New Roman"/>
          <w:sz w:val="24"/>
          <w:szCs w:val="24"/>
          <w:highlight w:val="none"/>
          <w:lang w:val="en-US" w:eastAsia="zh-CN"/>
        </w:rPr>
        <w:t>需协同处置的</w:t>
      </w:r>
      <w:r>
        <w:rPr>
          <w:rFonts w:hint="default" w:ascii="Times New Roman" w:hAnsi="Times New Roman" w:cs="Times New Roman"/>
          <w:sz w:val="24"/>
          <w:szCs w:val="24"/>
          <w:highlight w:val="none"/>
          <w:lang w:val="en-US" w:eastAsia="zh-CN"/>
        </w:rPr>
        <w:t>危险废物在兴发化工厂址内</w:t>
      </w:r>
      <w:r>
        <w:rPr>
          <w:rFonts w:hint="eastAsia" w:ascii="Times New Roman" w:hAnsi="Times New Roman" w:cs="Times New Roman"/>
          <w:sz w:val="24"/>
          <w:szCs w:val="24"/>
          <w:highlight w:val="none"/>
          <w:lang w:val="en-US" w:eastAsia="zh-CN"/>
        </w:rPr>
        <w:t>现有贮存设施内</w:t>
      </w:r>
      <w:r>
        <w:rPr>
          <w:rFonts w:hint="default" w:ascii="Times New Roman" w:hAnsi="Times New Roman" w:cs="Times New Roman"/>
          <w:sz w:val="24"/>
          <w:szCs w:val="24"/>
          <w:highlight w:val="none"/>
          <w:lang w:val="en-US" w:eastAsia="zh-CN"/>
        </w:rPr>
        <w:t>贮存，需处置时由兴发化工将危险废物输送至兴悦化工水泥窑内直接处置，水泥窑停产状态下，危险废物不输送入厂，因此本项目不设置</w:t>
      </w:r>
      <w:r>
        <w:rPr>
          <w:rFonts w:hint="eastAsia" w:ascii="Times New Roman" w:hAnsi="Times New Roman" w:cs="Times New Roman"/>
          <w:sz w:val="24"/>
          <w:szCs w:val="24"/>
          <w:highlight w:val="none"/>
          <w:lang w:val="en-US" w:eastAsia="zh-CN"/>
        </w:rPr>
        <w:t>专用的</w:t>
      </w:r>
      <w:r>
        <w:rPr>
          <w:rFonts w:hint="default" w:ascii="Times New Roman" w:hAnsi="Times New Roman" w:cs="Times New Roman"/>
          <w:sz w:val="24"/>
          <w:szCs w:val="24"/>
          <w:highlight w:val="none"/>
          <w:lang w:val="en-US" w:eastAsia="zh-CN"/>
        </w:rPr>
        <w:t>危险废物贮存设施。</w:t>
      </w:r>
    </w:p>
    <w:p w14:paraId="5E2E34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④危险废物运输</w:t>
      </w:r>
    </w:p>
    <w:p w14:paraId="06EEB5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本项目处置的危险废物均为临厂新疆兴发化工有限公司生产过程产生的危险废物，运输严格按照划定路线运至指定区域</w:t>
      </w:r>
      <w:r>
        <w:rPr>
          <w:rFonts w:hint="eastAsia" w:ascii="Times New Roman" w:hAnsi="Times New Roman" w:cs="Times New Roman"/>
          <w:sz w:val="24"/>
          <w:szCs w:val="24"/>
          <w:highlight w:val="none"/>
          <w:lang w:val="en-US" w:eastAsia="zh-CN"/>
        </w:rPr>
        <w:t>内</w:t>
      </w:r>
      <w:r>
        <w:rPr>
          <w:rFonts w:hint="default" w:ascii="Times New Roman" w:hAnsi="Times New Roman" w:cs="Times New Roman"/>
          <w:sz w:val="24"/>
          <w:szCs w:val="24"/>
          <w:highlight w:val="none"/>
          <w:lang w:val="en-US" w:eastAsia="zh-CN"/>
        </w:rPr>
        <w:t>焚烧，液态废物采用管输。运输路线</w:t>
      </w:r>
      <w:r>
        <w:rPr>
          <w:rFonts w:hint="eastAsia" w:ascii="Times New Roman" w:hAnsi="Times New Roman" w:cs="Times New Roman"/>
          <w:sz w:val="24"/>
          <w:szCs w:val="24"/>
          <w:highlight w:val="none"/>
          <w:lang w:val="en-US" w:eastAsia="zh-CN"/>
        </w:rPr>
        <w:t>不涉及</w:t>
      </w:r>
      <w:r>
        <w:rPr>
          <w:rFonts w:hint="default" w:ascii="Times New Roman" w:hAnsi="Times New Roman" w:cs="Times New Roman"/>
          <w:sz w:val="24"/>
          <w:szCs w:val="24"/>
          <w:highlight w:val="none"/>
          <w:lang w:val="en-US" w:eastAsia="zh-CN"/>
        </w:rPr>
        <w:t>居民区、商业区、学校、医院、水源地保护区等环境敏感点。</w:t>
      </w:r>
    </w:p>
    <w:p w14:paraId="5AC128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1）由于兴发化工与兴悦化工两厂址相邻，项目危险废物的运输过程仅在两厂址内进行，不得擅自将危险废物运输至厂址外；</w:t>
      </w:r>
    </w:p>
    <w:p w14:paraId="7191F4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2）运输危险废物时，应在危险废物包装上按照GB18597附录A设置标志，其中医疗废物包装容器上的标志应按HJ421要求设置</w:t>
      </w:r>
      <w:r>
        <w:rPr>
          <w:rFonts w:hint="eastAsia" w:cs="Times New Roman"/>
          <w:sz w:val="24"/>
          <w:szCs w:val="24"/>
          <w:highlight w:val="none"/>
          <w:lang w:val="en-US" w:eastAsia="zh-CN"/>
        </w:rPr>
        <w:t>；</w:t>
      </w:r>
    </w:p>
    <w:p w14:paraId="385AE4D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3）危险废物运输时的装卸过程应遵守如下技术要求：卸载区的工作人员应熟悉废物的危险特性，并配备适当的个人防护装备，装卸剧毒废物应配备特殊的防护装备；卸载区应配备必要的消防设备和设施，并设置明显的指示标志；危险废物装卸区应设置隔离设施。</w:t>
      </w:r>
    </w:p>
    <w:p w14:paraId="5F7E2F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（5）工艺技术设计安全防范措施</w:t>
      </w:r>
    </w:p>
    <w:p w14:paraId="43EA15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①自动控制系统</w:t>
      </w:r>
    </w:p>
    <w:p w14:paraId="0E4035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为满足项目工艺要求，保证工艺设备可靠运行，稳定工艺参数，提高设备的运转率，项目采用技术先进、性能可靠的分布式计算机控制系统（简称DCS），对整个废物处理过程进行监视、操作和分散控制。</w:t>
      </w:r>
    </w:p>
    <w:p w14:paraId="536B3A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废物的进厂计量、通风系统等过程控制均由废物处理车间的DCS控制站独立完成，控制站拥有逻辑控制、过程控制以及检测报警等功能。当发生入窑废料不稳定检测系统报警时，企业生产安全组立即检查报警原因，若需要停止投料或变化投料量，应立即通知现有水泥厂采取措施确保水泥生产线的稳定运行。</w:t>
      </w:r>
    </w:p>
    <w:p w14:paraId="6EE3A7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2）在窑尾烟囱设置气体分析仪，对废气成份进行分析，以便窑系统的操作控制当废气成分波动较大或异常时，及时调整入窑物料控制，并通知现有水泥厂对窑尾废气污染物进行监控，避免废气污染物超标排放。</w:t>
      </w:r>
    </w:p>
    <w:p w14:paraId="759B04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②污染物事故排放风险防范措施</w:t>
      </w:r>
    </w:p>
    <w:p w14:paraId="731BA4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为保证现有水泥厂生产线的正常运行，现有水泥厂已在窑尾废气排放口设置在线监测仪；通过在线监测仪，随时掌握废气的达标排放情况。</w:t>
      </w:r>
    </w:p>
    <w:p w14:paraId="746851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一旦监控发现废气超标排放情况，应立刻通知本项目工作人员停止投料，并配合维修人员进行设备检查维修，待设备检修并稳定运行4h以后再进行投料。造成污染物事故排放的主要原因是环保设施事故，环保设施事故的防范措施如下：</w:t>
      </w:r>
    </w:p>
    <w:p w14:paraId="46A756D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1）各环保设施通过制订操作规程、维护保养规程、检修制度等，完善台帐资料，确保其完好率和处理效率。</w:t>
      </w:r>
    </w:p>
    <w:p w14:paraId="315E35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2）加强环保设施的运行管理和日常维护，做好日常的设施运行记录，采取措施，保障各项环保设施正常运行。</w:t>
      </w:r>
    </w:p>
    <w:p w14:paraId="4E285F4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3）回转窑烟气的在线监测系统已与环保系统联网，在线监测数据进行日常的统计与分析，建立运行档案，及时发现除尘器的故障，如一旦确定除尘器故障，则应立即组织停炉检修，减少事故排放对环境的影响。</w:t>
      </w:r>
    </w:p>
    <w:p w14:paraId="4622BE5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4）企业加强对废气处理系统的维护、保养、保障系统正常运行。制定废气处理系统故障应急方案，加强污染防治设施管理人员和技术人员的培训和管理。</w:t>
      </w:r>
    </w:p>
    <w:p w14:paraId="101265B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5）督促环保设备清扫、维修与生产设备检修同步进行。</w:t>
      </w:r>
    </w:p>
    <w:p w14:paraId="781DB0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6）当环保设施发生事故以及水泥窑启动、停窑时，禁止投加任何废物。</w:t>
      </w:r>
    </w:p>
    <w:p w14:paraId="10E150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（6）废液泄漏事故防范措施</w:t>
      </w:r>
    </w:p>
    <w:p w14:paraId="0DCDEE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项目危险废液装卸、输送及处置环节均采用专业人员进行，当出现废液泄漏情况时，应急程序如下：</w:t>
      </w:r>
    </w:p>
    <w:p w14:paraId="35CEC4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少量泄漏：当出现输送过程管道破裂发生少量泄漏，应立即停止废液输送，用砂土或其他惰性材料吸附泄漏废液，并及时将泄漏部分进行封堵。</w:t>
      </w:r>
    </w:p>
    <w:p w14:paraId="3C55D1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大量泄漏：当发生液体大量泄漏情况，立即疏散附近人员至安全区，关闭最近的雨水阀门，泄漏液体引流至事故池内。应急处理人员佩戴自给式呼吸器，穿化学防护服，不要直接接触泄漏物，在确保安全情况下堵漏。进入事故应急池的废液，尽快回收处理，避免在应急池中滞留过长时间引发二次事故（火灾、爆炸）。</w:t>
      </w:r>
    </w:p>
    <w:p w14:paraId="6818669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（7）火灾爆炸事故防范措施</w:t>
      </w:r>
    </w:p>
    <w:p w14:paraId="50EC4B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①</w:t>
      </w:r>
      <w:r>
        <w:rPr>
          <w:rFonts w:hint="default" w:ascii="Times New Roman" w:hAnsi="Times New Roman" w:cs="Times New Roman"/>
          <w:sz w:val="24"/>
          <w:szCs w:val="24"/>
          <w:highlight w:val="none"/>
          <w:lang w:val="en-US" w:eastAsia="zh-CN"/>
        </w:rPr>
        <w:t>定期对设备进行安全检测，检测内容、时间、人员应有记录保存。安全检测应根据安全性、危险性设定检测频次。此外，在装置区内的运营设备、电气装置都应满足防火防爆的要求。日常运营时，必须严控明火接触易燃物料。</w:t>
      </w:r>
    </w:p>
    <w:p w14:paraId="129690E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②</w:t>
      </w:r>
      <w:r>
        <w:rPr>
          <w:rFonts w:hint="default" w:ascii="Times New Roman" w:hAnsi="Times New Roman" w:cs="Times New Roman"/>
          <w:sz w:val="24"/>
          <w:szCs w:val="24"/>
          <w:highlight w:val="none"/>
          <w:lang w:val="en-US" w:eastAsia="zh-CN"/>
        </w:rPr>
        <w:t>在厂区边界预先准备适量的沙包，在厂区灭火时堵住厂界围墙有泄漏的地方，防止消防废水向场外泄漏；</w:t>
      </w:r>
    </w:p>
    <w:p w14:paraId="4EDF68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③</w:t>
      </w:r>
      <w:r>
        <w:rPr>
          <w:rFonts w:hint="default" w:ascii="Times New Roman" w:hAnsi="Times New Roman" w:cs="Times New Roman"/>
          <w:sz w:val="24"/>
          <w:szCs w:val="24"/>
          <w:highlight w:val="none"/>
          <w:lang w:val="en-US" w:eastAsia="zh-CN"/>
        </w:rPr>
        <w:t>根据《建筑设计防火规范》（GB50016-2014）等规范，合理消防应急系统，配置消防设施设备。</w:t>
      </w:r>
    </w:p>
    <w:p w14:paraId="37F15A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lang w:val="en-US" w:eastAsia="zh-CN"/>
        </w:rPr>
        <w:t>8</w:t>
      </w:r>
      <w:r>
        <w:rPr>
          <w:rFonts w:hint="default" w:ascii="Times New Roman" w:hAnsi="Times New Roman" w:cs="Times New Roman"/>
          <w:sz w:val="24"/>
          <w:szCs w:val="24"/>
          <w:highlight w:val="none"/>
          <w:lang w:val="en-US" w:eastAsia="zh-CN"/>
        </w:rPr>
        <w:t>）配套监控及消防设施</w:t>
      </w:r>
    </w:p>
    <w:p w14:paraId="10A260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①监控监测装置</w:t>
      </w:r>
    </w:p>
    <w:p w14:paraId="4D5685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建议</w:t>
      </w:r>
      <w:r>
        <w:rPr>
          <w:rFonts w:hint="default" w:ascii="Times New Roman" w:hAnsi="Times New Roman" w:cs="Times New Roman"/>
          <w:sz w:val="24"/>
          <w:szCs w:val="24"/>
          <w:highlight w:val="none"/>
          <w:lang w:val="en-US" w:eastAsia="zh-CN"/>
        </w:rPr>
        <w:t>在</w:t>
      </w:r>
      <w:r>
        <w:rPr>
          <w:rFonts w:hint="eastAsia" w:cs="Times New Roman"/>
          <w:sz w:val="24"/>
          <w:szCs w:val="24"/>
          <w:highlight w:val="none"/>
          <w:lang w:val="en-US" w:eastAsia="zh-CN"/>
        </w:rPr>
        <w:t>液态物料进料口</w:t>
      </w:r>
      <w:r>
        <w:rPr>
          <w:rFonts w:hint="default" w:ascii="Times New Roman" w:hAnsi="Times New Roman" w:cs="Times New Roman"/>
          <w:sz w:val="24"/>
          <w:szCs w:val="24"/>
          <w:highlight w:val="none"/>
          <w:lang w:val="en-US" w:eastAsia="zh-CN"/>
        </w:rPr>
        <w:t>安装监控设施及有毒有害气体监测仪，以便时刻掌握易燃易爆</w:t>
      </w:r>
      <w:r>
        <w:rPr>
          <w:rFonts w:hint="eastAsia" w:cs="Times New Roman"/>
          <w:sz w:val="24"/>
          <w:szCs w:val="24"/>
          <w:highlight w:val="none"/>
          <w:lang w:val="en-US" w:eastAsia="zh-CN"/>
        </w:rPr>
        <w:t>物质</w:t>
      </w:r>
      <w:r>
        <w:rPr>
          <w:rFonts w:hint="default" w:ascii="Times New Roman" w:hAnsi="Times New Roman" w:cs="Times New Roman"/>
          <w:sz w:val="24"/>
          <w:szCs w:val="24"/>
          <w:highlight w:val="none"/>
          <w:lang w:val="en-US" w:eastAsia="zh-CN"/>
        </w:rPr>
        <w:t>情况及有害气体的浓度。贮存易燃易爆危险废物时配置可燃气体报警、火灾报警装置和导出静电的接地装置。</w:t>
      </w:r>
    </w:p>
    <w:p w14:paraId="264235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②</w:t>
      </w:r>
      <w:r>
        <w:rPr>
          <w:rFonts w:hint="default" w:ascii="Times New Roman" w:hAnsi="Times New Roman" w:cs="Times New Roman"/>
          <w:sz w:val="24"/>
          <w:szCs w:val="24"/>
          <w:highlight w:val="none"/>
          <w:lang w:val="en-US" w:eastAsia="zh-CN"/>
        </w:rPr>
        <w:t>配备消防器材</w:t>
      </w:r>
    </w:p>
    <w:p w14:paraId="4F3B6A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在</w:t>
      </w:r>
      <w:r>
        <w:rPr>
          <w:rFonts w:hint="eastAsia" w:cs="Times New Roman"/>
          <w:sz w:val="24"/>
          <w:szCs w:val="24"/>
          <w:highlight w:val="none"/>
          <w:lang w:val="en-US" w:eastAsia="zh-CN"/>
        </w:rPr>
        <w:t>项目区</w:t>
      </w:r>
      <w:r>
        <w:rPr>
          <w:rFonts w:hint="default" w:ascii="Times New Roman" w:hAnsi="Times New Roman" w:cs="Times New Roman"/>
          <w:sz w:val="24"/>
          <w:szCs w:val="24"/>
          <w:highlight w:val="none"/>
          <w:lang w:val="en-US" w:eastAsia="zh-CN"/>
        </w:rPr>
        <w:t>周围配备消防器材，如灭火器、消防砂等，并及时更换过期器材，以保证消防器材的有效性。</w:t>
      </w:r>
    </w:p>
    <w:p w14:paraId="56ACFA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eastAsia" w:cs="Times New Roman"/>
          <w:sz w:val="24"/>
          <w:szCs w:val="24"/>
          <w:highlight w:val="none"/>
          <w:lang w:val="en-US" w:eastAsia="zh-CN"/>
        </w:rPr>
        <w:t>③</w:t>
      </w:r>
      <w:r>
        <w:rPr>
          <w:rFonts w:hint="default" w:ascii="Times New Roman" w:hAnsi="Times New Roman" w:cs="Times New Roman"/>
          <w:sz w:val="24"/>
          <w:szCs w:val="24"/>
          <w:highlight w:val="none"/>
          <w:lang w:val="en-US" w:eastAsia="zh-CN"/>
        </w:rPr>
        <w:t>人员管理及培训</w:t>
      </w:r>
    </w:p>
    <w:p w14:paraId="730454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1）熟悉有关危险废物的法律和规章制度，了解危险废物有关知识，明确危险废物安全处理和环境保护的意义，熟悉危险废物的分类和包装标识及装置动作的工艺流程。</w:t>
      </w:r>
    </w:p>
    <w:p w14:paraId="514102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2）掌握劳动安全防护设施、设备的使用和个人卫生防护措施。</w:t>
      </w:r>
    </w:p>
    <w:p w14:paraId="5AA872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3）掌握处理处置泄漏和其他事故的应急操作程序。</w:t>
      </w:r>
    </w:p>
    <w:p w14:paraId="367084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4）对于危险废处置操作人员和技术人员的培训还应包括危险废物接收、转运、贮存和上料的具体操作以及废物处理的安全操作；处置设备的正常运行、启动、关闭；控制、报警和指标系统的运行和检查，以及必要时的纠正操作；掌握最佳运行参数，保持设备良好运行条件；掌握设备运行故障的检查和排除；掌握事故或紧急情况下人工操作和事故处理；掌握设备的日常维护；做好设备运行和维护记录，以及泄漏事故和其他事故的记录及报告。</w:t>
      </w:r>
    </w:p>
    <w:p w14:paraId="4D03FA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lang w:val="en-US" w:eastAsia="zh-CN"/>
        </w:rPr>
        <w:t>9</w:t>
      </w:r>
      <w:r>
        <w:rPr>
          <w:rFonts w:hint="default" w:ascii="Times New Roman" w:hAnsi="Times New Roman" w:cs="Times New Roman"/>
          <w:sz w:val="24"/>
          <w:szCs w:val="24"/>
          <w:highlight w:val="none"/>
          <w:lang w:val="en-US" w:eastAsia="zh-CN"/>
        </w:rPr>
        <w:t>）风险管理措施</w:t>
      </w:r>
    </w:p>
    <w:p w14:paraId="701794D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①对环保装置要有专人定期巡视，一旦装置发生异常应及时停止，避免尾气未经处理排入大气。</w:t>
      </w:r>
    </w:p>
    <w:p w14:paraId="099968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②项目可能遇到的火源主要是吸烟、维修用火、电器火灾、静电火花、雷击、撞击火星等，应采取的安全管理措施包括：严禁吸烟、严禁携带火种、严禁穿带铁钉的皮鞋进入易燃易爆区域。</w:t>
      </w:r>
    </w:p>
    <w:p w14:paraId="221EC2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③维修时，应和非检修设备、管线断开火加盲板，盲板应挂牌登记，防止发生事故。</w:t>
      </w:r>
    </w:p>
    <w:p w14:paraId="6ED2A9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④安装附带报警装置，可燃性气体探测仪，以实现早发现、早处理。</w:t>
      </w:r>
    </w:p>
    <w:p w14:paraId="3AE69076">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5.3.</w:t>
      </w:r>
      <w:r>
        <w:rPr>
          <w:rFonts w:hint="default" w:ascii="Times New Roman" w:hAnsi="Times New Roman" w:cs="Times New Roman"/>
          <w:b/>
          <w:bCs w:val="0"/>
          <w:kern w:val="2"/>
          <w:sz w:val="24"/>
          <w:szCs w:val="24"/>
          <w:highlight w:val="none"/>
          <w:lang w:val="en-US" w:eastAsia="zh-CN"/>
        </w:rPr>
        <w:t>9</w:t>
      </w:r>
      <w:r>
        <w:rPr>
          <w:rFonts w:hint="default" w:ascii="Times New Roman" w:hAnsi="Times New Roman" w:eastAsia="宋体" w:cs="Times New Roman"/>
          <w:b/>
          <w:bCs w:val="0"/>
          <w:kern w:val="2"/>
          <w:sz w:val="24"/>
          <w:szCs w:val="24"/>
          <w:highlight w:val="none"/>
          <w:lang w:val="en-US" w:eastAsia="zh-CN"/>
        </w:rPr>
        <w:t>风险事故应急措施</w:t>
      </w:r>
    </w:p>
    <w:p w14:paraId="43D1CC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（1）运输过程的应急措施</w:t>
      </w:r>
    </w:p>
    <w:p w14:paraId="058E17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危险废物运输车辆在途中发生翻车、撞车导致危险废物大量外溢、散落时，运送人员应立即与本单位应急事故小组取得联系，同时运送人员应采取如下应急措施：</w:t>
      </w:r>
    </w:p>
    <w:p w14:paraId="54A37E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①在受污染地区设立隔离区，禁止其他车辆和行人穿过，避免污染物扩散和对行人造成伤害；</w:t>
      </w:r>
    </w:p>
    <w:p w14:paraId="3F4A43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②对溢出、散落的危险废物迅速进行收集、清理和消毒处理。对于残留有污泥渗沥液体采用吸附材料进行吸附处理；</w:t>
      </w:r>
    </w:p>
    <w:p w14:paraId="6B465D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③清理人员在进行清理工作时须穿戴防护服、手套、防护面罩、防护靴等防护用品，清理工作结束后，用具和防护用品均须进行消毒处理；</w:t>
      </w:r>
    </w:p>
    <w:p w14:paraId="2A6715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④如果在操作中，清理人员不慎受到伤害，应及时采取处理措施，并致医院接受救治；</w:t>
      </w:r>
    </w:p>
    <w:p w14:paraId="7C462C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⑤清洁人员还须对被污染的现场地面进行消毒和清洁处理；</w:t>
      </w:r>
    </w:p>
    <w:p w14:paraId="4383FC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⑥对发生的事故采取上述应急措施的同时，处置单位必须向当地生态环境部门报告事故发生情况。事故处理完毕后，处置单位要向上级部门写出书面报告。</w:t>
      </w:r>
    </w:p>
    <w:p w14:paraId="227870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（2）协同处置过程应急措施</w:t>
      </w:r>
    </w:p>
    <w:p w14:paraId="7FB408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协同处置过程发生事故后，负责人员应依据情况的严重程度立即采取下列步骤：立刻紧急通报，禁止所有人员靠近，向所属上级主管部门报告事故状况，通知最近的警察、消防人员（应明确事故发生类型、发生位置、危废种类及特性、危险废暂存量等相关信息），立即报告处置单位有关领导启动紧急消防及人员救助方案，同时根据事故的风险等级启动相应级别的应急预案。</w:t>
      </w:r>
    </w:p>
    <w:p w14:paraId="06AC90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（3）窑尾废气事故排放应急措施</w:t>
      </w:r>
    </w:p>
    <w:p w14:paraId="37BFE2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当发生除尘器设备或尾气管道破坏的窑尾废气事故排放时，生产部门立即关闭回转窑一次风机挡板和窑尾主排，喂煤转子秤立即停止送煤，降低窑体转动速度，防止事故影响扩大，并立即报告企业环境应急指挥部办公室。参照窑尾废气事故应急措施，当发生窑尾废气事故排放时，项目生产部门停止向窑内输送危险废物物料。查明事故原因，事故排除后，在水泥窑达到正常生产工况并稳定运行至少4小时后，方可开始投加固体废物。及时向生态环境部门报告回转窑除尘系统失效所产生的污染情况及已经采取的处置措施。</w:t>
      </w:r>
    </w:p>
    <w:p w14:paraId="4857E426">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eastAsia="宋体" w:cs="Times New Roman"/>
          <w:b/>
          <w:bCs w:val="0"/>
          <w:kern w:val="2"/>
          <w:sz w:val="24"/>
          <w:szCs w:val="24"/>
          <w:highlight w:val="none"/>
          <w:lang w:val="en-US" w:eastAsia="zh-CN"/>
        </w:rPr>
        <w:t>5.3.</w:t>
      </w:r>
      <w:r>
        <w:rPr>
          <w:rFonts w:hint="default" w:ascii="Times New Roman" w:hAnsi="Times New Roman" w:cs="Times New Roman"/>
          <w:b/>
          <w:bCs w:val="0"/>
          <w:kern w:val="2"/>
          <w:sz w:val="24"/>
          <w:szCs w:val="24"/>
          <w:highlight w:val="none"/>
          <w:lang w:val="en-US" w:eastAsia="zh-CN"/>
        </w:rPr>
        <w:t>10</w:t>
      </w:r>
      <w:r>
        <w:rPr>
          <w:rFonts w:hint="default" w:ascii="Times New Roman" w:hAnsi="Times New Roman" w:eastAsia="宋体" w:cs="Times New Roman"/>
          <w:b/>
          <w:bCs w:val="0"/>
          <w:kern w:val="2"/>
          <w:sz w:val="24"/>
          <w:szCs w:val="24"/>
          <w:highlight w:val="none"/>
          <w:lang w:val="en-US" w:eastAsia="zh-CN"/>
        </w:rPr>
        <w:t>应急预案编制要求</w:t>
      </w:r>
    </w:p>
    <w:p w14:paraId="49B0274D">
      <w:pPr>
        <w:pStyle w:val="6"/>
        <w:rPr>
          <w:rFonts w:hint="default" w:ascii="Times New Roman" w:hAnsi="Times New Roman" w:cs="Times New Roman"/>
        </w:rPr>
      </w:pPr>
      <w:r>
        <w:rPr>
          <w:rFonts w:hint="default" w:ascii="Times New Roman" w:hAnsi="Times New Roman" w:cs="Times New Roman"/>
        </w:rPr>
        <w:t>（1）应急预案编制的目的和要求</w:t>
      </w:r>
    </w:p>
    <w:p w14:paraId="05E0A3CC">
      <w:pPr>
        <w:pStyle w:val="6"/>
        <w:rPr>
          <w:rFonts w:hint="default" w:ascii="Times New Roman" w:hAnsi="Times New Roman" w:cs="Times New Roman"/>
        </w:rPr>
      </w:pPr>
      <w:r>
        <w:rPr>
          <w:rFonts w:hint="default" w:ascii="Times New Roman" w:hAnsi="Times New Roman" w:cs="Times New Roman"/>
        </w:rPr>
        <w:t>通过对事故的风险评价，生产运营企业在投产前，应制定详细的防止重大环境污染事故发生应急预案、消除事故隐患的措施及应急处理办法。根据《环境污染事故应急预案编制技术指南》和《国家突发环境事件应急预案》内容规定，企业环境风险事故应急预案主要内容见</w:t>
      </w:r>
      <w:r>
        <w:rPr>
          <w:rFonts w:hint="default" w:ascii="Times New Roman" w:hAnsi="Times New Roman" w:cs="Times New Roman"/>
        </w:rPr>
        <w:fldChar w:fldCharType="begin"/>
      </w:r>
      <w:r>
        <w:rPr>
          <w:rFonts w:hint="default" w:ascii="Times New Roman" w:hAnsi="Times New Roman" w:cs="Times New Roman"/>
        </w:rPr>
        <w:instrText xml:space="preserve"> REF _Ref130286197 \h  \* MERGEFORMAT </w:instrText>
      </w:r>
      <w:r>
        <w:rPr>
          <w:rFonts w:hint="default" w:ascii="Times New Roman" w:hAnsi="Times New Roman" w:cs="Times New Roman"/>
        </w:rPr>
        <w:fldChar w:fldCharType="separate"/>
      </w:r>
      <w:r>
        <w:rPr>
          <w:rFonts w:hint="default" w:ascii="Times New Roman" w:hAnsi="Times New Roman" w:cs="Times New Roman"/>
        </w:rPr>
        <w:t>表5.3</w:t>
      </w:r>
      <w:r>
        <w:rPr>
          <w:rFonts w:hint="eastAsia" w:cs="Times New Roman"/>
          <w:lang w:val="en-US" w:eastAsia="zh-CN"/>
        </w:rPr>
        <w:t>-</w:t>
      </w:r>
      <w:r>
        <w:rPr>
          <w:rFonts w:hint="default" w:ascii="Times New Roman" w:hAnsi="Times New Roman" w:cs="Times New Roman"/>
        </w:rPr>
        <w:fldChar w:fldCharType="end"/>
      </w:r>
      <w:r>
        <w:rPr>
          <w:rFonts w:hint="eastAsia" w:cs="Times New Roman"/>
          <w:lang w:val="en-US" w:eastAsia="zh-CN"/>
        </w:rPr>
        <w:t>6</w:t>
      </w:r>
      <w:r>
        <w:rPr>
          <w:rFonts w:hint="default" w:ascii="Times New Roman" w:hAnsi="Times New Roman" w:cs="Times New Roman"/>
        </w:rPr>
        <w:t>。</w:t>
      </w:r>
    </w:p>
    <w:p w14:paraId="15F86F07">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977" w:name="_Ref130286197"/>
      <w:r>
        <w:rPr>
          <w:rFonts w:hint="default" w:ascii="Times New Roman" w:hAnsi="Times New Roman" w:cs="Times New Roman"/>
          <w:b/>
          <w:bCs/>
        </w:rPr>
        <w:t>表</w:t>
      </w:r>
      <w:bookmarkEnd w:id="977"/>
      <w:r>
        <w:rPr>
          <w:rFonts w:hint="eastAsia" w:ascii="Times New Roman" w:hAnsi="Times New Roman" w:cs="Times New Roman"/>
          <w:b/>
          <w:bCs/>
          <w:lang w:val="en-US" w:eastAsia="zh-CN"/>
        </w:rPr>
        <w:t>5.3-</w:t>
      </w:r>
      <w:r>
        <w:rPr>
          <w:rFonts w:hint="eastAsia" w:cs="Times New Roman"/>
          <w:b/>
          <w:bCs/>
          <w:lang w:val="en-US" w:eastAsia="zh-CN"/>
        </w:rPr>
        <w:t>6</w:t>
      </w:r>
      <w:r>
        <w:rPr>
          <w:rFonts w:hint="default" w:ascii="Times New Roman" w:hAnsi="Times New Roman" w:cs="Times New Roman"/>
          <w:b/>
          <w:bCs/>
        </w:rPr>
        <w:t xml:space="preserve"> 应急预案主要内容一览表</w:t>
      </w:r>
    </w:p>
    <w:tbl>
      <w:tblPr>
        <w:tblStyle w:val="39"/>
        <w:tblW w:w="8946" w:type="dxa"/>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8"/>
        <w:gridCol w:w="654"/>
        <w:gridCol w:w="1098"/>
        <w:gridCol w:w="6476"/>
      </w:tblGrid>
      <w:tr w14:paraId="485A197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718" w:type="dxa"/>
            <w:tcBorders>
              <w:tl2br w:val="nil"/>
              <w:tr2bl w:val="nil"/>
            </w:tcBorders>
            <w:vAlign w:val="center"/>
          </w:tcPr>
          <w:p w14:paraId="76C80F92">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序号</w:t>
            </w:r>
          </w:p>
        </w:tc>
        <w:tc>
          <w:tcPr>
            <w:tcW w:w="654" w:type="dxa"/>
            <w:tcBorders>
              <w:tl2br w:val="nil"/>
              <w:tr2bl w:val="nil"/>
            </w:tcBorders>
            <w:vAlign w:val="center"/>
          </w:tcPr>
          <w:p w14:paraId="740A3E6F">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项目</w:t>
            </w:r>
          </w:p>
        </w:tc>
        <w:tc>
          <w:tcPr>
            <w:tcW w:w="7574" w:type="dxa"/>
            <w:gridSpan w:val="2"/>
            <w:tcBorders>
              <w:tl2br w:val="nil"/>
              <w:tr2bl w:val="nil"/>
            </w:tcBorders>
            <w:vAlign w:val="center"/>
          </w:tcPr>
          <w:p w14:paraId="480A25D4">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内容及要求</w:t>
            </w:r>
          </w:p>
        </w:tc>
      </w:tr>
      <w:tr w14:paraId="115CEAC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restart"/>
            <w:tcBorders>
              <w:tl2br w:val="nil"/>
              <w:tr2bl w:val="nil"/>
            </w:tcBorders>
            <w:vAlign w:val="center"/>
          </w:tcPr>
          <w:p w14:paraId="438F05A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w:t>
            </w:r>
          </w:p>
        </w:tc>
        <w:tc>
          <w:tcPr>
            <w:tcW w:w="654" w:type="dxa"/>
            <w:vMerge w:val="restart"/>
            <w:tcBorders>
              <w:tl2br w:val="nil"/>
              <w:tr2bl w:val="nil"/>
            </w:tcBorders>
            <w:vAlign w:val="center"/>
          </w:tcPr>
          <w:p w14:paraId="60D9A0D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总则</w:t>
            </w:r>
          </w:p>
        </w:tc>
        <w:tc>
          <w:tcPr>
            <w:tcW w:w="1098" w:type="dxa"/>
            <w:tcBorders>
              <w:tl2br w:val="nil"/>
              <w:tr2bl w:val="nil"/>
            </w:tcBorders>
            <w:vAlign w:val="center"/>
          </w:tcPr>
          <w:p w14:paraId="17FBBCD6">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编制目的</w:t>
            </w:r>
          </w:p>
        </w:tc>
        <w:tc>
          <w:tcPr>
            <w:tcW w:w="6476" w:type="dxa"/>
            <w:tcBorders>
              <w:tl2br w:val="nil"/>
              <w:tr2bl w:val="nil"/>
            </w:tcBorders>
            <w:vAlign w:val="center"/>
          </w:tcPr>
          <w:p w14:paraId="2F880CB9">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明确预案编制的目的、要达到的目标和作用等。</w:t>
            </w:r>
          </w:p>
        </w:tc>
      </w:tr>
      <w:tr w14:paraId="17552D7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34A7986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1C8E858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22A56B47">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编制依据</w:t>
            </w:r>
          </w:p>
        </w:tc>
        <w:tc>
          <w:tcPr>
            <w:tcW w:w="6476" w:type="dxa"/>
            <w:tcBorders>
              <w:tl2br w:val="nil"/>
              <w:tr2bl w:val="nil"/>
            </w:tcBorders>
            <w:vAlign w:val="center"/>
          </w:tcPr>
          <w:p w14:paraId="3F115776">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明确预案编制所依据的国家法律法规、规章制度，部门文件，有关行业技术规范标准，以及企业关于应急工作的有关制度和管理办法等。</w:t>
            </w:r>
          </w:p>
        </w:tc>
      </w:tr>
      <w:tr w14:paraId="7B5AE96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39BD579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2FD6FCC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65AC107E">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适用范围</w:t>
            </w:r>
          </w:p>
        </w:tc>
        <w:tc>
          <w:tcPr>
            <w:tcW w:w="6476" w:type="dxa"/>
            <w:tcBorders>
              <w:tl2br w:val="nil"/>
              <w:tr2bl w:val="nil"/>
            </w:tcBorders>
            <w:vAlign w:val="center"/>
          </w:tcPr>
          <w:p w14:paraId="1501A67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规定应急预案适用的对象、范围，以及环境污染事件的类型、级别等。</w:t>
            </w:r>
          </w:p>
        </w:tc>
      </w:tr>
      <w:tr w14:paraId="415101D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69B9290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7F66C65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24D382D9">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事件分级</w:t>
            </w:r>
          </w:p>
        </w:tc>
        <w:tc>
          <w:tcPr>
            <w:tcW w:w="6476" w:type="dxa"/>
            <w:tcBorders>
              <w:tl2br w:val="nil"/>
              <w:tr2bl w:val="nil"/>
            </w:tcBorders>
            <w:vAlign w:val="center"/>
          </w:tcPr>
          <w:p w14:paraId="614F7BE6">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参照《国家突发环境事件应急预案》。按照环境污染事件严重性、紧急程度及危害程度，划分环境污染事件的级别。</w:t>
            </w:r>
          </w:p>
        </w:tc>
      </w:tr>
      <w:tr w14:paraId="1AE075B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5BBF91E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5F4D491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32FA196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工作原则</w:t>
            </w:r>
          </w:p>
        </w:tc>
        <w:tc>
          <w:tcPr>
            <w:tcW w:w="6476" w:type="dxa"/>
            <w:tcBorders>
              <w:tl2br w:val="nil"/>
              <w:tr2bl w:val="nil"/>
            </w:tcBorders>
            <w:vAlign w:val="center"/>
          </w:tcPr>
          <w:p w14:paraId="3FAE402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明确应急工作应遵循预防为主、减少危害，统一领导、分级负责，企业自救、属地管理，整合资源、联动处置等原则。</w:t>
            </w:r>
          </w:p>
        </w:tc>
      </w:tr>
      <w:tr w14:paraId="6203EE6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3011650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265E363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07534A1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应急预案关系说明</w:t>
            </w:r>
          </w:p>
        </w:tc>
        <w:tc>
          <w:tcPr>
            <w:tcW w:w="6476" w:type="dxa"/>
            <w:tcBorders>
              <w:tl2br w:val="nil"/>
              <w:tr2bl w:val="nil"/>
            </w:tcBorders>
            <w:vAlign w:val="center"/>
          </w:tcPr>
          <w:p w14:paraId="214EAB07">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明确应急预案与内部企业应急预案和外部其他应急预案的关系，并辅相应的关系图，表述预案之间的横向关联及上下衔接关系。</w:t>
            </w:r>
          </w:p>
        </w:tc>
      </w:tr>
      <w:tr w14:paraId="47058C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restart"/>
            <w:tcBorders>
              <w:tl2br w:val="nil"/>
              <w:tr2bl w:val="nil"/>
            </w:tcBorders>
            <w:vAlign w:val="center"/>
          </w:tcPr>
          <w:p w14:paraId="4BDCD9F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w:t>
            </w:r>
          </w:p>
        </w:tc>
        <w:tc>
          <w:tcPr>
            <w:tcW w:w="654" w:type="dxa"/>
            <w:vMerge w:val="restart"/>
            <w:tcBorders>
              <w:tl2br w:val="nil"/>
              <w:tr2bl w:val="nil"/>
            </w:tcBorders>
            <w:vAlign w:val="center"/>
          </w:tcPr>
          <w:p w14:paraId="72A3246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组织机构与职责</w:t>
            </w:r>
          </w:p>
        </w:tc>
        <w:tc>
          <w:tcPr>
            <w:tcW w:w="1098" w:type="dxa"/>
            <w:tcBorders>
              <w:tl2br w:val="nil"/>
              <w:tr2bl w:val="nil"/>
            </w:tcBorders>
            <w:vAlign w:val="center"/>
          </w:tcPr>
          <w:p w14:paraId="77B7B843">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组织机构</w:t>
            </w:r>
          </w:p>
        </w:tc>
        <w:tc>
          <w:tcPr>
            <w:tcW w:w="6476" w:type="dxa"/>
            <w:tcBorders>
              <w:tl2br w:val="nil"/>
              <w:tr2bl w:val="nil"/>
            </w:tcBorders>
            <w:vAlign w:val="center"/>
          </w:tcPr>
          <w:p w14:paraId="5E24DB7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明确应急组织机构的构成。一般由应急领导小组、应急指挥中心、办事机构和工作机构、应急工作主要部门、应急工作支持部门、信息组、专家组、现场应急指挥部等构成，并尽可能以结构图的形式表述。</w:t>
            </w:r>
          </w:p>
        </w:tc>
      </w:tr>
      <w:tr w14:paraId="62828BF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3AE8092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72B4372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06B46AB3">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职责</w:t>
            </w:r>
          </w:p>
        </w:tc>
        <w:tc>
          <w:tcPr>
            <w:tcW w:w="6476" w:type="dxa"/>
            <w:tcBorders>
              <w:tl2br w:val="nil"/>
              <w:tr2bl w:val="nil"/>
            </w:tcBorders>
            <w:vAlign w:val="center"/>
          </w:tcPr>
          <w:p w14:paraId="526E0A00">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规定应急组织体系中各部门的应急工作职责、协调管理范畴、负责解决的主要问题和具体操作步骤等。</w:t>
            </w:r>
          </w:p>
        </w:tc>
      </w:tr>
      <w:tr w14:paraId="741EAFE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restart"/>
            <w:tcBorders>
              <w:tl2br w:val="nil"/>
              <w:tr2bl w:val="nil"/>
            </w:tcBorders>
            <w:vAlign w:val="center"/>
          </w:tcPr>
          <w:p w14:paraId="453FBCF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w:t>
            </w:r>
          </w:p>
        </w:tc>
        <w:tc>
          <w:tcPr>
            <w:tcW w:w="654" w:type="dxa"/>
            <w:vMerge w:val="restart"/>
            <w:tcBorders>
              <w:tl2br w:val="nil"/>
              <w:tr2bl w:val="nil"/>
            </w:tcBorders>
            <w:vAlign w:val="center"/>
          </w:tcPr>
          <w:p w14:paraId="3941722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预防与预警</w:t>
            </w:r>
          </w:p>
        </w:tc>
        <w:tc>
          <w:tcPr>
            <w:tcW w:w="1098" w:type="dxa"/>
            <w:tcBorders>
              <w:tl2br w:val="nil"/>
              <w:tr2bl w:val="nil"/>
            </w:tcBorders>
            <w:vAlign w:val="center"/>
          </w:tcPr>
          <w:p w14:paraId="1EC5FA66">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危险源监控</w:t>
            </w:r>
          </w:p>
        </w:tc>
        <w:tc>
          <w:tcPr>
            <w:tcW w:w="6476" w:type="dxa"/>
            <w:tcBorders>
              <w:tl2br w:val="nil"/>
              <w:tr2bl w:val="nil"/>
            </w:tcBorders>
            <w:vAlign w:val="center"/>
          </w:tcPr>
          <w:p w14:paraId="2C23CA90">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对区域内容易引发重大突发环境事件的危险源、危险区域进行调查、登记、风险评估，组织进行检查、监控，并采取安全防范措施，对突发环境事件进行预防。应急指挥机构确认可能导致突发环境事件的信息后，要及时研究确定应对方案，通知有关部门、单位采取相应措施预防事件发生。</w:t>
            </w:r>
          </w:p>
        </w:tc>
      </w:tr>
      <w:tr w14:paraId="447CEB5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5850317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1785E98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075C0D2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预防与应急准备</w:t>
            </w:r>
          </w:p>
        </w:tc>
        <w:tc>
          <w:tcPr>
            <w:tcW w:w="6476" w:type="dxa"/>
            <w:tcBorders>
              <w:tl2br w:val="nil"/>
              <w:tr2bl w:val="nil"/>
            </w:tcBorders>
            <w:vAlign w:val="center"/>
          </w:tcPr>
          <w:p w14:paraId="71722EDE">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明确应急组织机构成员根据自己的职责需开展的预防和应急准备工作，如完善应急预案、应急培训、演练、相关知识培训、应急平台建设、新技术研发等。</w:t>
            </w:r>
          </w:p>
        </w:tc>
      </w:tr>
      <w:tr w14:paraId="6D53478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075D49A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20DED4A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1F9197E3">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监测与预警</w:t>
            </w:r>
          </w:p>
        </w:tc>
        <w:tc>
          <w:tcPr>
            <w:tcW w:w="6476" w:type="dxa"/>
            <w:tcBorders>
              <w:tl2br w:val="nil"/>
              <w:tr2bl w:val="nil"/>
            </w:tcBorders>
            <w:vAlign w:val="center"/>
          </w:tcPr>
          <w:p w14:paraId="2F7CAB4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1．应按照早发现、早报告、早处置的原则，对重点排污口进行例行监测。</w:t>
            </w:r>
          </w:p>
          <w:p w14:paraId="5CC42F3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2．根据企业应急能力情况及可能发生的突发环境事件级别，有针对性地开展应急监测工作。</w:t>
            </w:r>
          </w:p>
        </w:tc>
      </w:tr>
      <w:tr w14:paraId="20B819A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restart"/>
            <w:tcBorders>
              <w:tl2br w:val="nil"/>
              <w:tr2bl w:val="nil"/>
            </w:tcBorders>
            <w:vAlign w:val="center"/>
          </w:tcPr>
          <w:p w14:paraId="2EED343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w:t>
            </w:r>
          </w:p>
        </w:tc>
        <w:tc>
          <w:tcPr>
            <w:tcW w:w="654" w:type="dxa"/>
            <w:vMerge w:val="restart"/>
            <w:tcBorders>
              <w:tl2br w:val="nil"/>
              <w:tr2bl w:val="nil"/>
            </w:tcBorders>
            <w:vAlign w:val="center"/>
          </w:tcPr>
          <w:p w14:paraId="5CF8A77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w:t>
            </w:r>
          </w:p>
          <w:p w14:paraId="4A3CCA9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响应</w:t>
            </w:r>
          </w:p>
        </w:tc>
        <w:tc>
          <w:tcPr>
            <w:tcW w:w="1098" w:type="dxa"/>
            <w:tcBorders>
              <w:tl2br w:val="nil"/>
              <w:tr2bl w:val="nil"/>
            </w:tcBorders>
            <w:vAlign w:val="center"/>
          </w:tcPr>
          <w:p w14:paraId="19348DD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响应流程</w:t>
            </w:r>
          </w:p>
        </w:tc>
        <w:tc>
          <w:tcPr>
            <w:tcW w:w="6476" w:type="dxa"/>
            <w:tcBorders>
              <w:tl2br w:val="nil"/>
              <w:tr2bl w:val="nil"/>
            </w:tcBorders>
            <w:vAlign w:val="center"/>
          </w:tcPr>
          <w:p w14:paraId="1033726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 xml:space="preserve">根据所编制预案的类型和特点，明确应急响应的流程和步骤，并以流程图表示。 </w:t>
            </w:r>
          </w:p>
        </w:tc>
      </w:tr>
      <w:tr w14:paraId="21F69AE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51BD05C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5B9311D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34200C38">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分级响应</w:t>
            </w:r>
          </w:p>
        </w:tc>
        <w:tc>
          <w:tcPr>
            <w:tcW w:w="6476" w:type="dxa"/>
            <w:tcBorders>
              <w:tl2br w:val="nil"/>
              <w:tr2bl w:val="nil"/>
            </w:tcBorders>
            <w:vAlign w:val="center"/>
          </w:tcPr>
          <w:p w14:paraId="4C81932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根据事件紧急和危害程度，对应急响应进行分级。</w:t>
            </w:r>
          </w:p>
        </w:tc>
      </w:tr>
      <w:tr w14:paraId="4E8DB85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0CA16D0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27E1837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117D0363">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启动条件</w:t>
            </w:r>
          </w:p>
        </w:tc>
        <w:tc>
          <w:tcPr>
            <w:tcW w:w="6476" w:type="dxa"/>
            <w:tcBorders>
              <w:tl2br w:val="nil"/>
              <w:tr2bl w:val="nil"/>
            </w:tcBorders>
            <w:vAlign w:val="center"/>
          </w:tcPr>
          <w:p w14:paraId="03F7A55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明确不同级别预案的启动条件。</w:t>
            </w:r>
          </w:p>
        </w:tc>
      </w:tr>
      <w:tr w14:paraId="68574D5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2DE4D57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3EDF02F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0C8270F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信息报告与处置</w:t>
            </w:r>
          </w:p>
        </w:tc>
        <w:tc>
          <w:tcPr>
            <w:tcW w:w="6476" w:type="dxa"/>
            <w:tcBorders>
              <w:tl2br w:val="nil"/>
              <w:tr2bl w:val="nil"/>
            </w:tcBorders>
            <w:vAlign w:val="center"/>
          </w:tcPr>
          <w:p w14:paraId="0333768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24小时应急值守电话、内部信息报告的形式和要求，以及事件信息的通报流程；明确事件信息上报的部门、方式、内容和时限等内容；明确事件发生后向可能遭受事件影响的单位，以及向请求援助单位发出有关信息的方式、方法。</w:t>
            </w:r>
          </w:p>
        </w:tc>
      </w:tr>
      <w:tr w14:paraId="04C4EB7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783E1DA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0205735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2627272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应急准备</w:t>
            </w:r>
          </w:p>
        </w:tc>
        <w:tc>
          <w:tcPr>
            <w:tcW w:w="6476" w:type="dxa"/>
            <w:tcBorders>
              <w:tl2br w:val="nil"/>
              <w:tr2bl w:val="nil"/>
            </w:tcBorders>
            <w:vAlign w:val="center"/>
          </w:tcPr>
          <w:p w14:paraId="4714D1E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明确应急行动开展之前的准备工作，包括下达启动预案命令、召开应急会议、各应急组织成员的联系会议等。</w:t>
            </w:r>
          </w:p>
        </w:tc>
      </w:tr>
      <w:tr w14:paraId="1D3B931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1189698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5FA2363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6D068B1C">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应急监测</w:t>
            </w:r>
          </w:p>
        </w:tc>
        <w:tc>
          <w:tcPr>
            <w:tcW w:w="6476" w:type="dxa"/>
            <w:tcBorders>
              <w:tl2br w:val="nil"/>
              <w:tr2bl w:val="nil"/>
            </w:tcBorders>
            <w:vAlign w:val="center"/>
          </w:tcPr>
          <w:p w14:paraId="2F1394AE">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紧急情况下企业应按事发地人民政府环保部门要求，配合开展工作。明确应急监测方案，包括污染现场、实验室应急监测方法、仪器、药剂。突发环境事件发生时企业环境监测机构要立即开展应急监测，在政府部门到达后，则配合政府部门相关机构进行监测。</w:t>
            </w:r>
          </w:p>
        </w:tc>
      </w:tr>
      <w:tr w14:paraId="161A427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1186452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6716B4D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vMerge w:val="restart"/>
            <w:tcBorders>
              <w:tl2br w:val="nil"/>
              <w:tr2bl w:val="nil"/>
            </w:tcBorders>
            <w:vAlign w:val="center"/>
          </w:tcPr>
          <w:p w14:paraId="6D2387B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现场处置</w:t>
            </w:r>
          </w:p>
        </w:tc>
        <w:tc>
          <w:tcPr>
            <w:tcW w:w="6476" w:type="dxa"/>
            <w:tcBorders>
              <w:tl2br w:val="nil"/>
              <w:tr2bl w:val="nil"/>
            </w:tcBorders>
            <w:vAlign w:val="center"/>
          </w:tcPr>
          <w:p w14:paraId="071B91B7">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1．水环境污染事件现场处置</w:t>
            </w:r>
          </w:p>
          <w:p w14:paraId="47B1DF8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根据污染物的性质及事件类型、可控性、严重程度、影响范围及水环境状况等，需确定以下内容：</w:t>
            </w:r>
          </w:p>
          <w:p w14:paraId="0DD9849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（1）可能受影响水体情况说明，包括水体规模、水文情况、水体功能、水质现状等；</w:t>
            </w:r>
          </w:p>
          <w:p w14:paraId="6CC0EF1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（2）制定监测方案，开展应急监测；</w:t>
            </w:r>
          </w:p>
          <w:p w14:paraId="40A256AC">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（3）事件发生后，切断污染源的有效方法及泄漏至外环境的污染物控制、消减技术方法说明；</w:t>
            </w:r>
          </w:p>
          <w:p w14:paraId="2EE3D93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（4）制定水中毒事件预防措施，中毒人员救治措施；</w:t>
            </w:r>
          </w:p>
          <w:p w14:paraId="7611709E">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（5）需要其他措施的说明（如其他企业污染物限排、停排，调水，污染水体疏导，自来水厂的应急措施等）；</w:t>
            </w:r>
          </w:p>
        </w:tc>
      </w:tr>
      <w:tr w14:paraId="1E85F56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08751D8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0FF9E03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vMerge w:val="continue"/>
            <w:tcBorders>
              <w:tl2br w:val="nil"/>
              <w:tr2bl w:val="nil"/>
            </w:tcBorders>
            <w:vAlign w:val="center"/>
          </w:tcPr>
          <w:p w14:paraId="001C601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p>
        </w:tc>
        <w:tc>
          <w:tcPr>
            <w:tcW w:w="6476" w:type="dxa"/>
            <w:tcBorders>
              <w:tl2br w:val="nil"/>
              <w:tr2bl w:val="nil"/>
            </w:tcBorders>
            <w:vAlign w:val="center"/>
          </w:tcPr>
          <w:p w14:paraId="5B9F740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（6）跨界污染事件应急处置措施说明；</w:t>
            </w:r>
          </w:p>
          <w:p w14:paraId="0F33EFD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（7）其他说明。</w:t>
            </w:r>
          </w:p>
          <w:p w14:paraId="5683E5A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2．有毒气体扩散事件现场处置</w:t>
            </w:r>
          </w:p>
          <w:p w14:paraId="1D0E823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根据污染物的性质及事件类型，事件可控性、严重程度和影响范围以及风向、风速和地形条件等，需确定以下内容：</w:t>
            </w:r>
          </w:p>
          <w:p w14:paraId="50A5B76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（1）切断污染源的有效措施；</w:t>
            </w:r>
          </w:p>
          <w:p w14:paraId="0079618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（2）制定气体泄漏事件所采取的现场洗消措施或其他处置措施；</w:t>
            </w:r>
          </w:p>
          <w:p w14:paraId="4B9E5419">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（3）明确可能受影响区域及区域环境状况；</w:t>
            </w:r>
          </w:p>
          <w:p w14:paraId="140D32CE">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（4）制定监测方案，开展应急监测；</w:t>
            </w:r>
          </w:p>
          <w:p w14:paraId="5962C11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（5）可能受影响区域企业、单位、社区人员疏散的方式和路线、基本保护措施和个人防护方法；</w:t>
            </w:r>
          </w:p>
          <w:p w14:paraId="3C971275">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（6）临时安置场所；</w:t>
            </w:r>
          </w:p>
          <w:p w14:paraId="0AABF0B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（7）周边道路隔离或交通疏导方案；</w:t>
            </w:r>
          </w:p>
          <w:p w14:paraId="013D7625">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（8）其他说明。</w:t>
            </w:r>
          </w:p>
          <w:p w14:paraId="2DEA13A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 危险化学品及危险废物污染事件现场处置</w:t>
            </w:r>
          </w:p>
          <w:p w14:paraId="07FFC516">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根据危险化学品和危险废物的性质、污染严重程度和影响范围，需确定以下内容：</w:t>
            </w:r>
          </w:p>
          <w:p w14:paraId="7A38817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（1）切断污染源的有效措施；</w:t>
            </w:r>
          </w:p>
          <w:p w14:paraId="64CAC732">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（2）制定防止发生次生环境污染事件的处置措施；</w:t>
            </w:r>
          </w:p>
          <w:p w14:paraId="5248A40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（3）明确可能受影响区域及区域环境状况；</w:t>
            </w:r>
          </w:p>
          <w:p w14:paraId="47CA6D39">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（4）制定监测方案，开展应急监测；</w:t>
            </w:r>
          </w:p>
          <w:p w14:paraId="3BCD102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（5）可能受影响区域人员疏散的方式和路线、基本保护措施和个人防护方法；</w:t>
            </w:r>
          </w:p>
          <w:p w14:paraId="44F09575">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（6）临时安置场所；</w:t>
            </w:r>
          </w:p>
          <w:p w14:paraId="5CA290AE">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（7）周边道路隔离或交通疏导方案；</w:t>
            </w:r>
          </w:p>
          <w:p w14:paraId="6395419E">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（8）其他说明。</w:t>
            </w:r>
          </w:p>
          <w:p w14:paraId="7003458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4．受伤人员现场救护、救治与医院救治</w:t>
            </w:r>
          </w:p>
          <w:p w14:paraId="488E5069">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受伤人员现场救护、救治与医院救治依据事件分类、分级，附近疾病控制与医疗救治机构的设置和处理能力，制订具有可操作性的处置方案，应包括以下内容：</w:t>
            </w:r>
          </w:p>
          <w:p w14:paraId="16AFB160">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（1）可用的急救资源列表，如急救中心、医院、疾控中心、救护车和急救人员；</w:t>
            </w:r>
          </w:p>
          <w:p w14:paraId="6D34728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（2）应急抢救中心、毒物控制中心的列表；</w:t>
            </w:r>
          </w:p>
          <w:p w14:paraId="101BCB1E">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（3）国家中毒急救网络；</w:t>
            </w:r>
          </w:p>
          <w:p w14:paraId="154BF86C">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（4）伤员的现场急救常识</w:t>
            </w:r>
          </w:p>
        </w:tc>
      </w:tr>
      <w:tr w14:paraId="2869190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restart"/>
            <w:tcBorders>
              <w:tl2br w:val="nil"/>
              <w:tr2bl w:val="nil"/>
            </w:tcBorders>
            <w:vAlign w:val="center"/>
          </w:tcPr>
          <w:p w14:paraId="1423D2F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w:t>
            </w:r>
          </w:p>
        </w:tc>
        <w:tc>
          <w:tcPr>
            <w:tcW w:w="654" w:type="dxa"/>
            <w:vMerge w:val="restart"/>
            <w:tcBorders>
              <w:tl2br w:val="nil"/>
              <w:tr2bl w:val="nil"/>
            </w:tcBorders>
            <w:vAlign w:val="center"/>
          </w:tcPr>
          <w:p w14:paraId="3D61658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安全</w:t>
            </w:r>
          </w:p>
          <w:p w14:paraId="5C8112C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防护</w:t>
            </w:r>
          </w:p>
        </w:tc>
        <w:tc>
          <w:tcPr>
            <w:tcW w:w="1098" w:type="dxa"/>
            <w:tcBorders>
              <w:tl2br w:val="nil"/>
              <w:tr2bl w:val="nil"/>
            </w:tcBorders>
            <w:vAlign w:val="center"/>
          </w:tcPr>
          <w:p w14:paraId="5EB97C15">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应急人员的安全防护</w:t>
            </w:r>
          </w:p>
        </w:tc>
        <w:tc>
          <w:tcPr>
            <w:tcW w:w="6476" w:type="dxa"/>
            <w:tcBorders>
              <w:tl2br w:val="nil"/>
              <w:tr2bl w:val="nil"/>
            </w:tcBorders>
            <w:vAlign w:val="center"/>
          </w:tcPr>
          <w:p w14:paraId="0CDA2925">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明确事件现场的保护措施；</w:t>
            </w:r>
          </w:p>
        </w:tc>
      </w:tr>
      <w:tr w14:paraId="419CA3C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62F2F2C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1D59453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04C219C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受灾群众的安全防护</w:t>
            </w:r>
          </w:p>
        </w:tc>
        <w:tc>
          <w:tcPr>
            <w:tcW w:w="6476" w:type="dxa"/>
            <w:tcBorders>
              <w:tl2br w:val="nil"/>
              <w:tr2bl w:val="nil"/>
            </w:tcBorders>
            <w:vAlign w:val="center"/>
          </w:tcPr>
          <w:p w14:paraId="2564320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制定群众安全防护措施、疏散措施及患者医疗救护方案等。</w:t>
            </w:r>
          </w:p>
          <w:p w14:paraId="0FE0E422">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防止人员中毒或引发次生环境事件。</w:t>
            </w:r>
          </w:p>
        </w:tc>
      </w:tr>
      <w:tr w14:paraId="594DAD5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tcBorders>
              <w:tl2br w:val="nil"/>
              <w:tr2bl w:val="nil"/>
            </w:tcBorders>
            <w:vAlign w:val="center"/>
          </w:tcPr>
          <w:p w14:paraId="3144B2D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w:t>
            </w:r>
          </w:p>
        </w:tc>
        <w:tc>
          <w:tcPr>
            <w:tcW w:w="1752" w:type="dxa"/>
            <w:gridSpan w:val="2"/>
            <w:tcBorders>
              <w:tl2br w:val="nil"/>
              <w:tr2bl w:val="nil"/>
            </w:tcBorders>
            <w:vAlign w:val="center"/>
          </w:tcPr>
          <w:p w14:paraId="338D7A88">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次生灾害防护</w:t>
            </w:r>
          </w:p>
        </w:tc>
        <w:tc>
          <w:tcPr>
            <w:tcW w:w="6476" w:type="dxa"/>
            <w:tcBorders>
              <w:tl2br w:val="nil"/>
              <w:tr2bl w:val="nil"/>
            </w:tcBorders>
            <w:vAlign w:val="center"/>
          </w:tcPr>
          <w:p w14:paraId="55A2957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制定次生灾害防范措施，现场监测方案，现场人员撤离方案，</w:t>
            </w:r>
          </w:p>
        </w:tc>
      </w:tr>
      <w:tr w14:paraId="0118821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tcBorders>
              <w:tl2br w:val="nil"/>
              <w:tr2bl w:val="nil"/>
            </w:tcBorders>
            <w:vAlign w:val="center"/>
          </w:tcPr>
          <w:p w14:paraId="13FF765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7</w:t>
            </w:r>
          </w:p>
        </w:tc>
        <w:tc>
          <w:tcPr>
            <w:tcW w:w="1752" w:type="dxa"/>
            <w:gridSpan w:val="2"/>
            <w:tcBorders>
              <w:tl2br w:val="nil"/>
              <w:tr2bl w:val="nil"/>
            </w:tcBorders>
            <w:vAlign w:val="center"/>
          </w:tcPr>
          <w:p w14:paraId="4A6AAC22">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应急状态解除</w:t>
            </w:r>
          </w:p>
        </w:tc>
        <w:tc>
          <w:tcPr>
            <w:tcW w:w="6476" w:type="dxa"/>
            <w:tcBorders>
              <w:tl2br w:val="nil"/>
              <w:tr2bl w:val="nil"/>
            </w:tcBorders>
            <w:vAlign w:val="center"/>
          </w:tcPr>
          <w:p w14:paraId="795A82B8">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1．明确应急终止的条件；</w:t>
            </w:r>
          </w:p>
          <w:p w14:paraId="2055BC0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2．明确应急终止的程序；</w:t>
            </w:r>
          </w:p>
          <w:p w14:paraId="141B946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3．明确应急状态终止后，继续进行跟踪环境监测和评估的方案。</w:t>
            </w:r>
          </w:p>
        </w:tc>
      </w:tr>
      <w:tr w14:paraId="2B7ACAD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tcBorders>
              <w:tl2br w:val="nil"/>
              <w:tr2bl w:val="nil"/>
            </w:tcBorders>
            <w:vAlign w:val="center"/>
          </w:tcPr>
          <w:p w14:paraId="24447EC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8</w:t>
            </w:r>
          </w:p>
        </w:tc>
        <w:tc>
          <w:tcPr>
            <w:tcW w:w="1752" w:type="dxa"/>
            <w:gridSpan w:val="2"/>
            <w:tcBorders>
              <w:tl2br w:val="nil"/>
              <w:tr2bl w:val="nil"/>
            </w:tcBorders>
            <w:vAlign w:val="center"/>
          </w:tcPr>
          <w:p w14:paraId="72C190B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善后处置</w:t>
            </w:r>
          </w:p>
        </w:tc>
        <w:tc>
          <w:tcPr>
            <w:tcW w:w="6476" w:type="dxa"/>
            <w:tcBorders>
              <w:tl2br w:val="nil"/>
              <w:tr2bl w:val="nil"/>
            </w:tcBorders>
            <w:vAlign w:val="center"/>
          </w:tcPr>
          <w:p w14:paraId="06DA50D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明确受灾人员的安置及损失赔偿方案；</w:t>
            </w:r>
          </w:p>
          <w:p w14:paraId="005CA79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配合有关部门对环境污染事件中的长期环境影响进行评估；</w:t>
            </w:r>
          </w:p>
          <w:p w14:paraId="7D972BD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明确开展环境恢复与重建工作的内容和程序。</w:t>
            </w:r>
          </w:p>
        </w:tc>
      </w:tr>
      <w:tr w14:paraId="5C3C25E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restart"/>
            <w:tcBorders>
              <w:tl2br w:val="nil"/>
              <w:tr2bl w:val="nil"/>
            </w:tcBorders>
            <w:vAlign w:val="center"/>
          </w:tcPr>
          <w:p w14:paraId="20C3ED8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9</w:t>
            </w:r>
          </w:p>
        </w:tc>
        <w:tc>
          <w:tcPr>
            <w:tcW w:w="654" w:type="dxa"/>
            <w:vMerge w:val="restart"/>
            <w:tcBorders>
              <w:tl2br w:val="nil"/>
              <w:tr2bl w:val="nil"/>
            </w:tcBorders>
            <w:vAlign w:val="center"/>
          </w:tcPr>
          <w:p w14:paraId="177C049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w:t>
            </w:r>
          </w:p>
          <w:p w14:paraId="0BC9300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保障</w:t>
            </w:r>
          </w:p>
        </w:tc>
        <w:tc>
          <w:tcPr>
            <w:tcW w:w="1098" w:type="dxa"/>
            <w:tcBorders>
              <w:tl2br w:val="nil"/>
              <w:tr2bl w:val="nil"/>
            </w:tcBorders>
            <w:vAlign w:val="center"/>
          </w:tcPr>
          <w:p w14:paraId="40448390">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应急保障计划</w:t>
            </w:r>
          </w:p>
        </w:tc>
        <w:tc>
          <w:tcPr>
            <w:tcW w:w="6476" w:type="dxa"/>
            <w:tcBorders>
              <w:tl2br w:val="nil"/>
              <w:tr2bl w:val="nil"/>
            </w:tcBorders>
            <w:vAlign w:val="center"/>
          </w:tcPr>
          <w:p w14:paraId="1F78114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制定应急资源建设及储备目标，落实责任主体，明确应急专项经费来源，确定外部依托机构，针对应急能力评估中发现的不足制定措施。</w:t>
            </w:r>
          </w:p>
        </w:tc>
      </w:tr>
      <w:tr w14:paraId="671FD21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0A8665C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60FB8E3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2D8B7E5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应急资源</w:t>
            </w:r>
          </w:p>
        </w:tc>
        <w:tc>
          <w:tcPr>
            <w:tcW w:w="6476" w:type="dxa"/>
            <w:tcBorders>
              <w:tl2br w:val="nil"/>
              <w:tr2bl w:val="nil"/>
            </w:tcBorders>
            <w:vAlign w:val="center"/>
          </w:tcPr>
          <w:p w14:paraId="5B79B4F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应急保障责任主体依据既有应急保障计划，落实应急专家、应急队伍、应急资金、应急物资配备、调用标准及措施。</w:t>
            </w:r>
          </w:p>
        </w:tc>
      </w:tr>
      <w:tr w14:paraId="5736FC6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4ACB102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6B37553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44CC65BC">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应急物资和装备保障</w:t>
            </w:r>
          </w:p>
        </w:tc>
        <w:tc>
          <w:tcPr>
            <w:tcW w:w="6476" w:type="dxa"/>
            <w:tcBorders>
              <w:tl2br w:val="nil"/>
              <w:tr2bl w:val="nil"/>
            </w:tcBorders>
            <w:vAlign w:val="center"/>
          </w:tcPr>
          <w:p w14:paraId="7067BFD3">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企业依据重特大事件应急处置的需求，建立健全以应急物资储备为主，社会救援物资为辅的物资保障体系，建立应急物资动态管理制度。</w:t>
            </w:r>
          </w:p>
        </w:tc>
      </w:tr>
      <w:tr w14:paraId="2324EF1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737D29D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23BA3E8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3AFE5202">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应急通讯</w:t>
            </w:r>
          </w:p>
        </w:tc>
        <w:tc>
          <w:tcPr>
            <w:tcW w:w="6476" w:type="dxa"/>
            <w:tcBorders>
              <w:tl2br w:val="nil"/>
              <w:tr2bl w:val="nil"/>
            </w:tcBorders>
            <w:vAlign w:val="center"/>
          </w:tcPr>
          <w:p w14:paraId="499CE5B3">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明确与应急工作相关的单位和人员联系方式及方法，并提供备用方案。建立健全应急通讯系统与配套设施，确保应急状态下信息通畅。</w:t>
            </w:r>
          </w:p>
        </w:tc>
      </w:tr>
      <w:tr w14:paraId="3030800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5AF5819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1778C90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0FC50F93">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应急技术</w:t>
            </w:r>
          </w:p>
        </w:tc>
        <w:tc>
          <w:tcPr>
            <w:tcW w:w="6476" w:type="dxa"/>
            <w:tcBorders>
              <w:tl2br w:val="nil"/>
              <w:tr2bl w:val="nil"/>
            </w:tcBorders>
            <w:vAlign w:val="center"/>
          </w:tcPr>
          <w:p w14:paraId="15F341D0">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阐述应急处置技术手段、技术机构等内容。</w:t>
            </w:r>
          </w:p>
        </w:tc>
      </w:tr>
      <w:tr w14:paraId="6B4DFC4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4FABB67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09833EE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0B12128C">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其他保障</w:t>
            </w:r>
          </w:p>
        </w:tc>
        <w:tc>
          <w:tcPr>
            <w:tcW w:w="6476" w:type="dxa"/>
            <w:tcBorders>
              <w:tl2br w:val="nil"/>
              <w:tr2bl w:val="nil"/>
            </w:tcBorders>
            <w:vAlign w:val="center"/>
          </w:tcPr>
          <w:p w14:paraId="4F5E2F6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根据应急工作需求，确定其他相关保障措施（交通运输、治安、医疗、后勤、体制机制、对外信息发布保障等）。</w:t>
            </w:r>
          </w:p>
        </w:tc>
      </w:tr>
      <w:tr w14:paraId="6692772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restart"/>
            <w:tcBorders>
              <w:tl2br w:val="nil"/>
              <w:tr2bl w:val="nil"/>
            </w:tcBorders>
            <w:vAlign w:val="center"/>
          </w:tcPr>
          <w:p w14:paraId="29D50D6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10</w:t>
            </w:r>
          </w:p>
        </w:tc>
        <w:tc>
          <w:tcPr>
            <w:tcW w:w="654" w:type="dxa"/>
            <w:vMerge w:val="restart"/>
            <w:tcBorders>
              <w:tl2br w:val="nil"/>
              <w:tr2bl w:val="nil"/>
            </w:tcBorders>
            <w:vAlign w:val="center"/>
          </w:tcPr>
          <w:p w14:paraId="6D703D4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预案</w:t>
            </w:r>
          </w:p>
          <w:p w14:paraId="05EC89B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管理</w:t>
            </w:r>
          </w:p>
        </w:tc>
        <w:tc>
          <w:tcPr>
            <w:tcW w:w="1098" w:type="dxa"/>
            <w:tcBorders>
              <w:tl2br w:val="nil"/>
              <w:tr2bl w:val="nil"/>
            </w:tcBorders>
            <w:vAlign w:val="center"/>
          </w:tcPr>
          <w:p w14:paraId="5E6CFEA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预案培训</w:t>
            </w:r>
          </w:p>
        </w:tc>
        <w:tc>
          <w:tcPr>
            <w:tcW w:w="6476" w:type="dxa"/>
            <w:tcBorders>
              <w:tl2br w:val="nil"/>
              <w:tr2bl w:val="nil"/>
            </w:tcBorders>
            <w:vAlign w:val="center"/>
          </w:tcPr>
          <w:p w14:paraId="1673766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说明对本企业开展的应急培训计划、方式和要求。如果预案涉及相关方，应明确宣传、告知等工作。</w:t>
            </w:r>
          </w:p>
        </w:tc>
      </w:tr>
      <w:tr w14:paraId="122D5F6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1BF116C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0B04092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34DF880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预案演练</w:t>
            </w:r>
          </w:p>
        </w:tc>
        <w:tc>
          <w:tcPr>
            <w:tcW w:w="6476" w:type="dxa"/>
            <w:tcBorders>
              <w:tl2br w:val="nil"/>
              <w:tr2bl w:val="nil"/>
            </w:tcBorders>
            <w:vAlign w:val="center"/>
          </w:tcPr>
          <w:p w14:paraId="7E72B8E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说明应急演练的方式、频次等内容，制定企业预案演练的具体计划，并组织策划和实施，演练结束后做好总结，适时组织有关企业和专家对部分应急演练进行观摩和交流。</w:t>
            </w:r>
          </w:p>
        </w:tc>
      </w:tr>
      <w:tr w14:paraId="3F667F3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71B0A25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2050D3D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57DC099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预案修订</w:t>
            </w:r>
          </w:p>
        </w:tc>
        <w:tc>
          <w:tcPr>
            <w:tcW w:w="6476" w:type="dxa"/>
            <w:tcBorders>
              <w:tl2br w:val="nil"/>
              <w:tr2bl w:val="nil"/>
            </w:tcBorders>
            <w:vAlign w:val="center"/>
          </w:tcPr>
          <w:p w14:paraId="2F67E26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说明应急预案修订、变更、改进的基本要求及时限，以及采取的方式等，以实现可持续改进。</w:t>
            </w:r>
          </w:p>
        </w:tc>
      </w:tr>
      <w:tr w14:paraId="15EBD88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5A2C028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6568E34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03E51C6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预案备案</w:t>
            </w:r>
          </w:p>
        </w:tc>
        <w:tc>
          <w:tcPr>
            <w:tcW w:w="6476" w:type="dxa"/>
            <w:tcBorders>
              <w:tl2br w:val="nil"/>
              <w:tr2bl w:val="nil"/>
            </w:tcBorders>
            <w:vAlign w:val="center"/>
          </w:tcPr>
          <w:p w14:paraId="077E5E1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说明预案备案的方式、审核要求、报备部门等内容。</w:t>
            </w:r>
          </w:p>
        </w:tc>
      </w:tr>
      <w:tr w14:paraId="11D05C3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restart"/>
            <w:tcBorders>
              <w:tl2br w:val="nil"/>
              <w:tr2bl w:val="nil"/>
            </w:tcBorders>
            <w:vAlign w:val="center"/>
          </w:tcPr>
          <w:p w14:paraId="13DE231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11</w:t>
            </w:r>
          </w:p>
        </w:tc>
        <w:tc>
          <w:tcPr>
            <w:tcW w:w="654" w:type="dxa"/>
            <w:vMerge w:val="restart"/>
            <w:tcBorders>
              <w:tl2br w:val="nil"/>
              <w:tr2bl w:val="nil"/>
            </w:tcBorders>
            <w:vAlign w:val="center"/>
          </w:tcPr>
          <w:p w14:paraId="4BF4C26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附则</w:t>
            </w:r>
          </w:p>
        </w:tc>
        <w:tc>
          <w:tcPr>
            <w:tcW w:w="1098" w:type="dxa"/>
            <w:tcBorders>
              <w:tl2br w:val="nil"/>
              <w:tr2bl w:val="nil"/>
            </w:tcBorders>
            <w:vAlign w:val="center"/>
          </w:tcPr>
          <w:p w14:paraId="07D1F6B5">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预案的签署和解释</w:t>
            </w:r>
          </w:p>
        </w:tc>
        <w:tc>
          <w:tcPr>
            <w:tcW w:w="6476" w:type="dxa"/>
            <w:tcBorders>
              <w:tl2br w:val="nil"/>
              <w:tr2bl w:val="nil"/>
            </w:tcBorders>
            <w:vAlign w:val="center"/>
          </w:tcPr>
          <w:p w14:paraId="1CF22DB6">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明确预案签署人，预案解释部门。</w:t>
            </w:r>
          </w:p>
        </w:tc>
      </w:tr>
      <w:tr w14:paraId="48094BF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vMerge w:val="continue"/>
            <w:tcBorders>
              <w:tl2br w:val="nil"/>
              <w:tr2bl w:val="nil"/>
            </w:tcBorders>
            <w:vAlign w:val="center"/>
          </w:tcPr>
          <w:p w14:paraId="016D525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654" w:type="dxa"/>
            <w:vMerge w:val="continue"/>
            <w:tcBorders>
              <w:tl2br w:val="nil"/>
              <w:tr2bl w:val="nil"/>
            </w:tcBorders>
            <w:vAlign w:val="center"/>
          </w:tcPr>
          <w:p w14:paraId="59FC903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098" w:type="dxa"/>
            <w:tcBorders>
              <w:tl2br w:val="nil"/>
              <w:tr2bl w:val="nil"/>
            </w:tcBorders>
            <w:vAlign w:val="center"/>
          </w:tcPr>
          <w:p w14:paraId="4935B286">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预案的实施</w:t>
            </w:r>
          </w:p>
        </w:tc>
        <w:tc>
          <w:tcPr>
            <w:tcW w:w="6476" w:type="dxa"/>
            <w:tcBorders>
              <w:tl2br w:val="nil"/>
              <w:tr2bl w:val="nil"/>
            </w:tcBorders>
            <w:vAlign w:val="center"/>
          </w:tcPr>
          <w:p w14:paraId="2C0E9F7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明确预案实施时间。</w:t>
            </w:r>
          </w:p>
        </w:tc>
      </w:tr>
      <w:tr w14:paraId="707BEAF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8" w:type="dxa"/>
            <w:tcBorders>
              <w:tl2br w:val="nil"/>
              <w:tr2bl w:val="nil"/>
            </w:tcBorders>
            <w:vAlign w:val="center"/>
          </w:tcPr>
          <w:p w14:paraId="27B3F62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12</w:t>
            </w:r>
          </w:p>
        </w:tc>
        <w:tc>
          <w:tcPr>
            <w:tcW w:w="654" w:type="dxa"/>
            <w:tcBorders>
              <w:tl2br w:val="nil"/>
              <w:tr2bl w:val="nil"/>
            </w:tcBorders>
            <w:vAlign w:val="center"/>
          </w:tcPr>
          <w:p w14:paraId="3DF6410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附件</w:t>
            </w:r>
          </w:p>
        </w:tc>
        <w:tc>
          <w:tcPr>
            <w:tcW w:w="7574" w:type="dxa"/>
            <w:gridSpan w:val="2"/>
            <w:tcBorders>
              <w:tl2br w:val="nil"/>
              <w:tr2bl w:val="nil"/>
            </w:tcBorders>
            <w:vAlign w:val="center"/>
          </w:tcPr>
          <w:p w14:paraId="2B2A9399">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（1）环境风险评价文件；</w:t>
            </w:r>
          </w:p>
          <w:p w14:paraId="1B6D226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（2）危险废物登记文件或企业危险废物名录；</w:t>
            </w:r>
          </w:p>
          <w:p w14:paraId="44CECB99">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（3）企业应急通讯录；</w:t>
            </w:r>
          </w:p>
          <w:p w14:paraId="4C658D2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（4）应急专家通讯录；</w:t>
            </w:r>
          </w:p>
          <w:p w14:paraId="6EE5634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（5）企业环境监测应急网络分布；</w:t>
            </w:r>
          </w:p>
          <w:p w14:paraId="711E0DD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（6）企业环境监测机构联系人通讯录；</w:t>
            </w:r>
          </w:p>
          <w:p w14:paraId="29056E09">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（7）外部（政府有关部门、救援单位、专家、环境保护目标等）联系单位通讯录；</w:t>
            </w:r>
          </w:p>
          <w:p w14:paraId="505B1806">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（8）单位所处位置图、区域位置及周围环境保护目标分布、位置关系图、本单位及周边区域人员撤离路线；</w:t>
            </w:r>
          </w:p>
          <w:p w14:paraId="51B5865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（9）单位重大危险源（生产及储存装置等）分布位置图；</w:t>
            </w:r>
          </w:p>
          <w:p w14:paraId="3BEF30C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（10）应急设施（备）布置图；</w:t>
            </w:r>
          </w:p>
          <w:p w14:paraId="622F7AE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（11）危险物质运输（输送）路线及环境保护目标位置图；</w:t>
            </w:r>
          </w:p>
          <w:p w14:paraId="528B526D">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（12）企业雨水、清净下水和污水收集、排放管网图；</w:t>
            </w:r>
          </w:p>
          <w:p w14:paraId="45E5FD42">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（13）企业所在区域地下水流向图、饮用水水源保护区规划图；</w:t>
            </w:r>
          </w:p>
          <w:p w14:paraId="2331A8C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（14）各种制度、程序等，如突发环境事件信息报告（格式）表、应急预案启动（终止）令（格式）、应急预案变更记录表等；</w:t>
            </w:r>
          </w:p>
          <w:p w14:paraId="43242E3C">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（15）国家和地方相关环境标准目录；</w:t>
            </w:r>
          </w:p>
          <w:p w14:paraId="5E0E952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（16）其他。</w:t>
            </w:r>
          </w:p>
        </w:tc>
      </w:tr>
    </w:tbl>
    <w:p w14:paraId="5CF175EB">
      <w:pPr>
        <w:pStyle w:val="6"/>
        <w:spacing w:before="120" w:beforeLines="50"/>
        <w:rPr>
          <w:rFonts w:hint="default" w:ascii="Times New Roman" w:hAnsi="Times New Roman" w:cs="Times New Roman"/>
        </w:rPr>
      </w:pPr>
      <w:r>
        <w:rPr>
          <w:rFonts w:hint="default" w:ascii="Times New Roman" w:hAnsi="Times New Roman" w:cs="Times New Roman"/>
        </w:rPr>
        <w:t>制定风险事故应急预案的目的是为了在发生风险事故时，能以最快的速度发挥最大的效能，有序的实施救援，尽快控制事故的发展，降低事故造成的危害，减少事故造成的损失。</w:t>
      </w:r>
    </w:p>
    <w:p w14:paraId="3645AC23">
      <w:pPr>
        <w:pStyle w:val="6"/>
        <w:rPr>
          <w:rFonts w:hint="default" w:ascii="Times New Roman" w:hAnsi="Times New Roman" w:cs="Times New Roman"/>
        </w:rPr>
      </w:pPr>
      <w:r>
        <w:rPr>
          <w:rFonts w:hint="default" w:ascii="Times New Roman" w:hAnsi="Times New Roman" w:cs="Times New Roman"/>
        </w:rPr>
        <w:t>制定突发环境事件应急预案的原则要求：</w:t>
      </w:r>
    </w:p>
    <w:p w14:paraId="29E9868B">
      <w:pPr>
        <w:pStyle w:val="6"/>
        <w:rPr>
          <w:rFonts w:hint="default" w:ascii="Times New Roman" w:hAnsi="Times New Roman" w:cs="Times New Roman"/>
        </w:rPr>
      </w:pPr>
      <w:r>
        <w:rPr>
          <w:rFonts w:hint="default" w:ascii="Times New Roman" w:hAnsi="Times New Roman" w:cs="Times New Roman"/>
          <w:lang w:val="en-US" w:eastAsia="zh-CN"/>
        </w:rPr>
        <w:t>①</w:t>
      </w:r>
      <w:r>
        <w:rPr>
          <w:rFonts w:hint="default" w:ascii="Times New Roman" w:hAnsi="Times New Roman" w:cs="Times New Roman"/>
        </w:rPr>
        <w:t xml:space="preserve">符合法律法规以及有关标准规范的要求。 </w:t>
      </w:r>
    </w:p>
    <w:p w14:paraId="7EDB5570">
      <w:pPr>
        <w:pStyle w:val="6"/>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 xml:space="preserve">体现应急工作统一领导、分级管理，条块结合、以块为主、责任到人的原则。 </w:t>
      </w:r>
    </w:p>
    <w:p w14:paraId="3F69ACD0">
      <w:pPr>
        <w:pStyle w:val="6"/>
        <w:rPr>
          <w:rFonts w:hint="default" w:ascii="Times New Roman" w:hAnsi="Times New Roman" w:cs="Times New Roman"/>
        </w:rPr>
      </w:pPr>
      <w:r>
        <w:rPr>
          <w:rFonts w:hint="default" w:ascii="Times New Roman" w:hAnsi="Times New Roman" w:cs="Times New Roman"/>
          <w:lang w:val="en-US" w:eastAsia="zh-CN"/>
        </w:rPr>
        <w:t>③</w:t>
      </w:r>
      <w:r>
        <w:rPr>
          <w:rFonts w:hint="default" w:ascii="Times New Roman" w:hAnsi="Times New Roman" w:cs="Times New Roman"/>
        </w:rPr>
        <w:t>注意与上级主管部门、政府相关部门或其他外部单位的应急预案相衔接，相兼容。</w:t>
      </w:r>
    </w:p>
    <w:p w14:paraId="54177C9B">
      <w:pPr>
        <w:pStyle w:val="6"/>
        <w:rPr>
          <w:rFonts w:hint="default" w:ascii="Times New Roman" w:hAnsi="Times New Roman" w:cs="Times New Roman"/>
        </w:rPr>
      </w:pPr>
      <w:r>
        <w:rPr>
          <w:rFonts w:hint="default" w:ascii="Times New Roman" w:hAnsi="Times New Roman" w:cs="Times New Roman"/>
          <w:lang w:val="en-US" w:eastAsia="zh-CN"/>
        </w:rPr>
        <w:t>④</w:t>
      </w:r>
      <w:r>
        <w:rPr>
          <w:rFonts w:hint="default" w:ascii="Times New Roman" w:hAnsi="Times New Roman" w:cs="Times New Roman"/>
        </w:rPr>
        <w:t>因地制宜，切合实际。以《危险废物经营单位编制应急预案指南》为基础，可适当增减相关内容。充分考虑内部及外界（如自然灾害或临近单位的危险源）的事故诱因；正常工作时段及节假日和夜间等时段发生事故的可能性；事故或紧急状态对单位内外人员和环境的威胁以及单位自救和社会救援等。</w:t>
      </w:r>
    </w:p>
    <w:p w14:paraId="2414265E">
      <w:pPr>
        <w:pStyle w:val="6"/>
        <w:rPr>
          <w:rFonts w:hint="default" w:ascii="Times New Roman" w:hAnsi="Times New Roman" w:cs="Times New Roman"/>
        </w:rPr>
      </w:pPr>
      <w:r>
        <w:rPr>
          <w:rFonts w:hint="default" w:ascii="Times New Roman" w:hAnsi="Times New Roman" w:cs="Times New Roman"/>
        </w:rPr>
        <w:t>按照《水泥窑协同处置危险废物经营许可证审查指南（试行）》中有关要求，应急预案的编制、管理以及相关措施需满足以下要求：</w:t>
      </w:r>
    </w:p>
    <w:p w14:paraId="3410B8BE">
      <w:pPr>
        <w:pStyle w:val="6"/>
        <w:rPr>
          <w:rFonts w:hint="default" w:ascii="Times New Roman" w:hAnsi="Times New Roman" w:cs="Times New Roman"/>
        </w:rPr>
      </w:pPr>
      <w:r>
        <w:rPr>
          <w:rFonts w:hint="default" w:ascii="Times New Roman" w:hAnsi="Times New Roman" w:cs="Times New Roman"/>
          <w:lang w:val="en-US" w:eastAsia="zh-CN"/>
        </w:rPr>
        <w:t>①</w:t>
      </w:r>
      <w:r>
        <w:rPr>
          <w:rFonts w:hint="default" w:ascii="Times New Roman" w:hAnsi="Times New Roman" w:cs="Times New Roman"/>
        </w:rPr>
        <w:t>遵守《关于加强环境应急管理工作的意见》和《突发环境事件应急预案管理办法》等相关要求，建立包括安全生产事故和突发环境事件在内的全面应急管理制度。</w:t>
      </w:r>
    </w:p>
    <w:p w14:paraId="008C2DA4">
      <w:pPr>
        <w:pStyle w:val="6"/>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应急管理制度主要内容包括：应急管理组织体系，生产安全事故应急救援预案管理突发环境事件应急预案管理、应急管理培训、应急演练、应急物资保障等。</w:t>
      </w:r>
    </w:p>
    <w:p w14:paraId="1CBF8D2D">
      <w:pPr>
        <w:pStyle w:val="6"/>
        <w:rPr>
          <w:rFonts w:hint="default" w:ascii="Times New Roman" w:hAnsi="Times New Roman" w:cs="Times New Roman"/>
        </w:rPr>
      </w:pPr>
      <w:r>
        <w:rPr>
          <w:rFonts w:hint="default" w:ascii="Times New Roman" w:hAnsi="Times New Roman" w:cs="Times New Roman"/>
          <w:lang w:val="en-US" w:eastAsia="zh-CN"/>
        </w:rPr>
        <w:t>③</w:t>
      </w:r>
      <w:r>
        <w:rPr>
          <w:rFonts w:hint="default" w:ascii="Times New Roman" w:hAnsi="Times New Roman" w:cs="Times New Roman"/>
        </w:rPr>
        <w:t>应急管理组织体系包括应急管理领导小组和事故应急管理办公室，以企业主要负责人为组长。</w:t>
      </w:r>
    </w:p>
    <w:p w14:paraId="7B97AB59">
      <w:pPr>
        <w:pStyle w:val="6"/>
        <w:rPr>
          <w:rFonts w:hint="default" w:ascii="Times New Roman" w:hAnsi="Times New Roman" w:cs="Times New Roman"/>
        </w:rPr>
      </w:pPr>
      <w:r>
        <w:rPr>
          <w:rFonts w:hint="default" w:ascii="Times New Roman" w:hAnsi="Times New Roman" w:cs="Times New Roman"/>
          <w:lang w:val="en-US" w:eastAsia="zh-CN"/>
        </w:rPr>
        <w:t>④</w:t>
      </w:r>
      <w:r>
        <w:rPr>
          <w:rFonts w:hint="default" w:ascii="Times New Roman" w:hAnsi="Times New Roman" w:cs="Times New Roman"/>
        </w:rPr>
        <w:t>应急管理领导小组负责《安全生产事故应急救援预案》的编制；预案要符合《生产经营单位安全生产事故应急预案编制导则》《危险废物经营单位编制应急预案指南》，并保持与上级部门预案的衔接，预案内容中应突出与园区应急联动机制的响应措施；根据国家法律法规及实际演练情况，适时修订应急预案，做到科学、易操作。</w:t>
      </w:r>
    </w:p>
    <w:p w14:paraId="04955CED">
      <w:pPr>
        <w:pStyle w:val="6"/>
        <w:rPr>
          <w:rFonts w:hint="default" w:ascii="Times New Roman" w:hAnsi="Times New Roman" w:cs="Times New Roman"/>
        </w:rPr>
      </w:pPr>
      <w:r>
        <w:rPr>
          <w:rFonts w:hint="default" w:ascii="Times New Roman" w:hAnsi="Times New Roman" w:cs="Times New Roman"/>
          <w:lang w:val="en-US" w:eastAsia="zh-CN"/>
        </w:rPr>
        <w:t>⑤</w:t>
      </w:r>
      <w:r>
        <w:rPr>
          <w:rFonts w:hint="default" w:ascii="Times New Roman" w:hAnsi="Times New Roman" w:cs="Times New Roman"/>
        </w:rPr>
        <w:t>应急管理领导小组按照《突发环境事件应急预案管理办法》和相关预案编制指南的要求编制《企业突发环境事件应急预案》，并向生态环境主管部门报备；同时按照《突发环境事件应急预案管理办法》要求，做好预案演练、培训、修订等工作。</w:t>
      </w:r>
    </w:p>
    <w:p w14:paraId="711A9509">
      <w:pPr>
        <w:pStyle w:val="6"/>
        <w:rPr>
          <w:rFonts w:hint="default" w:ascii="Times New Roman" w:hAnsi="Times New Roman" w:cs="Times New Roman"/>
        </w:rPr>
      </w:pPr>
      <w:r>
        <w:rPr>
          <w:rFonts w:hint="default" w:ascii="Times New Roman" w:hAnsi="Times New Roman" w:cs="Times New Roman"/>
          <w:lang w:val="en-US" w:eastAsia="zh-CN"/>
        </w:rPr>
        <w:t>⑥</w:t>
      </w:r>
      <w:r>
        <w:rPr>
          <w:rFonts w:hint="default" w:ascii="Times New Roman" w:hAnsi="Times New Roman" w:cs="Times New Roman"/>
        </w:rPr>
        <w:t>企业每年至少进行一次全员应急管理培训，培训内容包括：事故预防、危险辩识、事故报告、应急响应、各类事故处置方案、基本救护常识、避灾避险、逃生自救等。</w:t>
      </w:r>
    </w:p>
    <w:p w14:paraId="23D4692A">
      <w:pPr>
        <w:pStyle w:val="6"/>
        <w:rPr>
          <w:rFonts w:hint="default" w:ascii="Times New Roman" w:hAnsi="Times New Roman" w:cs="Times New Roman"/>
        </w:rPr>
      </w:pPr>
      <w:r>
        <w:rPr>
          <w:rFonts w:hint="default" w:ascii="Times New Roman" w:hAnsi="Times New Roman" w:cs="Times New Roman"/>
          <w:lang w:val="en-US" w:eastAsia="zh-CN"/>
        </w:rPr>
        <w:t>⑦</w:t>
      </w:r>
      <w:r>
        <w:rPr>
          <w:rFonts w:hint="default" w:ascii="Times New Roman" w:hAnsi="Times New Roman" w:cs="Times New Roman"/>
        </w:rPr>
        <w:t>企业根据年度应急演练计划，每年至少分别安排一次桌面演练和综合演练，强化职工应急意识，提高应急队伍的反应速度和实战能力。</w:t>
      </w:r>
    </w:p>
    <w:p w14:paraId="26D34381">
      <w:pPr>
        <w:pStyle w:val="6"/>
        <w:rPr>
          <w:rFonts w:hint="default" w:ascii="Times New Roman" w:hAnsi="Times New Roman" w:cs="Times New Roman"/>
        </w:rPr>
      </w:pPr>
      <w:r>
        <w:rPr>
          <w:rFonts w:hint="default" w:ascii="Times New Roman" w:hAnsi="Times New Roman" w:cs="Times New Roman"/>
          <w:lang w:val="en-US" w:eastAsia="zh-CN"/>
        </w:rPr>
        <w:t>⑧</w:t>
      </w:r>
      <w:r>
        <w:rPr>
          <w:rFonts w:hint="default" w:ascii="Times New Roman" w:hAnsi="Times New Roman" w:cs="Times New Roman"/>
        </w:rPr>
        <w:t>企业根据预案做好应急救援设备、器材、防护用品、工具、材料、药品等保障工作；确保经费、物资供应，切实加强应急保障能力，并对应急救援设备、设施定期进行检测、维护、更新，确保性能完好；电话、对讲机、手机等通讯器材进行经常性维护或更新，确保通讯畅通。</w:t>
      </w:r>
    </w:p>
    <w:p w14:paraId="11D17E23">
      <w:pPr>
        <w:pStyle w:val="6"/>
        <w:rPr>
          <w:rFonts w:hint="default" w:ascii="Times New Roman" w:hAnsi="Times New Roman" w:cs="Times New Roman"/>
        </w:rPr>
      </w:pPr>
      <w:r>
        <w:rPr>
          <w:rFonts w:hint="default" w:ascii="Times New Roman" w:hAnsi="Times New Roman" w:cs="Times New Roman"/>
          <w:lang w:val="en-US" w:eastAsia="zh-CN"/>
        </w:rPr>
        <w:t>⑨</w:t>
      </w:r>
      <w:r>
        <w:rPr>
          <w:rFonts w:hint="default" w:ascii="Times New Roman" w:hAnsi="Times New Roman" w:cs="Times New Roman"/>
        </w:rPr>
        <w:t>发生事故时，企业立即启动应急预案，以营救遇险人员为重点，开展应急救援工作；要及时组织受威胁群众疏散、转移，做好安置工作。</w:t>
      </w:r>
    </w:p>
    <w:p w14:paraId="2CE0C920">
      <w:pPr>
        <w:pStyle w:val="6"/>
        <w:rPr>
          <w:rFonts w:hint="default" w:ascii="Times New Roman" w:hAnsi="Times New Roman" w:cs="Times New Roman"/>
        </w:rPr>
      </w:pPr>
      <w:r>
        <w:rPr>
          <w:rFonts w:hint="default" w:ascii="Times New Roman" w:hAnsi="Times New Roman" w:cs="Times New Roman"/>
          <w:lang w:val="en-US" w:eastAsia="zh-CN"/>
        </w:rPr>
        <w:t>⑩</w:t>
      </w:r>
      <w:r>
        <w:rPr>
          <w:rFonts w:hint="default" w:ascii="Times New Roman" w:hAnsi="Times New Roman" w:cs="Times New Roman"/>
        </w:rPr>
        <w:t>企业在应对安全生产事故过程中，采取必要措施，防止次生突发环境事件。</w:t>
      </w:r>
    </w:p>
    <w:p w14:paraId="4690A43F">
      <w:pPr>
        <w:pStyle w:val="6"/>
        <w:rPr>
          <w:rFonts w:hint="default" w:ascii="Times New Roman" w:hAnsi="Times New Roman" w:cs="Times New Roman"/>
        </w:rPr>
      </w:pPr>
      <w:r>
        <w:rPr>
          <w:rFonts w:hint="default" w:ascii="Times New Roman" w:hAnsi="Times New Roman" w:eastAsia="微软雅黑" w:cs="Times New Roman"/>
        </w:rPr>
        <w:t>⑪</w:t>
      </w:r>
      <w:r>
        <w:rPr>
          <w:rFonts w:hint="default" w:ascii="Times New Roman" w:hAnsi="Times New Roman" w:cs="Times New Roman"/>
        </w:rPr>
        <w:t>企业按规定及时向相关主管部门报告生产安全事故和突发环境事件信息。</w:t>
      </w:r>
    </w:p>
    <w:p w14:paraId="35F9D3A3">
      <w:pPr>
        <w:pStyle w:val="6"/>
        <w:rPr>
          <w:rFonts w:hint="default" w:ascii="Times New Roman" w:hAnsi="Times New Roman" w:cs="Times New Roman"/>
        </w:rPr>
      </w:pPr>
      <w:r>
        <w:rPr>
          <w:rFonts w:hint="default" w:ascii="Times New Roman" w:hAnsi="Times New Roman" w:eastAsia="微软雅黑" w:cs="Times New Roman"/>
        </w:rPr>
        <w:t>⑫</w:t>
      </w:r>
      <w:r>
        <w:rPr>
          <w:rFonts w:hint="default" w:ascii="Times New Roman" w:hAnsi="Times New Roman" w:cs="Times New Roman"/>
        </w:rPr>
        <w:t>企业配合生态环境主管部门对突发环境事件的调查处理和环境污染损害评估，及时落实整改措施。</w:t>
      </w:r>
    </w:p>
    <w:p w14:paraId="4C38EA62">
      <w:pPr>
        <w:pStyle w:val="6"/>
        <w:rPr>
          <w:rFonts w:hint="default" w:ascii="Times New Roman" w:hAnsi="Times New Roman" w:cs="Times New Roman"/>
        </w:rPr>
      </w:pPr>
      <w:r>
        <w:rPr>
          <w:rFonts w:hint="default" w:ascii="Times New Roman" w:hAnsi="Times New Roman" w:eastAsia="微软雅黑" w:cs="Times New Roman"/>
        </w:rPr>
        <w:t>⑬</w:t>
      </w:r>
      <w:r>
        <w:rPr>
          <w:rFonts w:hint="default" w:ascii="Times New Roman" w:hAnsi="Times New Roman" w:cs="Times New Roman"/>
        </w:rPr>
        <w:t>企业充分利用社会应急资源，与地方政府预案、上级主管单位及相关部门的预案和应急组织相衔接；同各级救援中心签订救护协议，一且发生企业不能自救的事故，请求救援中心支援。</w:t>
      </w:r>
    </w:p>
    <w:p w14:paraId="3E848718">
      <w:pPr>
        <w:pStyle w:val="6"/>
        <w:rPr>
          <w:rFonts w:hint="default" w:ascii="Times New Roman" w:hAnsi="Times New Roman" w:cs="Times New Roman"/>
        </w:rPr>
      </w:pPr>
      <w:r>
        <w:rPr>
          <w:rFonts w:hint="default" w:ascii="Times New Roman" w:hAnsi="Times New Roman" w:cs="Times New Roman"/>
        </w:rPr>
        <w:t>按照《关于进一步加强环境影响评价管理防范环境风险的通知》（环发〔2012〕77号），企业突发环境事件应急预案应与当地政府、所在园区、相关部门以及周边企业的应急预案相衔接，加强区域应急物资调配管理，构建区域环境风险联控机制。</w:t>
      </w:r>
    </w:p>
    <w:p w14:paraId="7D3F8738">
      <w:pPr>
        <w:pStyle w:val="6"/>
        <w:rPr>
          <w:rFonts w:hint="default" w:ascii="Times New Roman" w:hAnsi="Times New Roman" w:cs="Times New Roman"/>
        </w:rPr>
      </w:pPr>
      <w:r>
        <w:rPr>
          <w:rFonts w:hint="default" w:ascii="Times New Roman" w:hAnsi="Times New Roman" w:cs="Times New Roman"/>
        </w:rPr>
        <w:t>（2）应急救援预案其他要求与建议</w:t>
      </w:r>
    </w:p>
    <w:p w14:paraId="093377F1">
      <w:pPr>
        <w:pStyle w:val="6"/>
        <w:rPr>
          <w:rFonts w:hint="default" w:ascii="Times New Roman" w:hAnsi="Times New Roman" w:cs="Times New Roman"/>
        </w:rPr>
      </w:pPr>
      <w:r>
        <w:rPr>
          <w:rFonts w:hint="default" w:ascii="Times New Roman" w:hAnsi="Times New Roman" w:cs="Times New Roman"/>
        </w:rPr>
        <w:t>为了减少事故损失，切实做好应急求援的准备工作，其具体规定和要求如下：</w:t>
      </w:r>
    </w:p>
    <w:p w14:paraId="168D1120">
      <w:pPr>
        <w:pStyle w:val="6"/>
        <w:rPr>
          <w:rFonts w:hint="default" w:ascii="Times New Roman" w:hAnsi="Times New Roman" w:cs="Times New Roman"/>
        </w:rPr>
      </w:pPr>
      <w:r>
        <w:rPr>
          <w:rFonts w:hint="default" w:ascii="Times New Roman" w:hAnsi="Times New Roman" w:cs="Times New Roman"/>
          <w:lang w:val="en-US" w:eastAsia="zh-CN"/>
        </w:rPr>
        <w:t>①</w:t>
      </w:r>
      <w:r>
        <w:rPr>
          <w:rFonts w:hint="default" w:ascii="Times New Roman" w:hAnsi="Times New Roman" w:cs="Times New Roman"/>
        </w:rPr>
        <w:t>落实应急救援组织，救援指挥部成员和救援人员应按照专业对口，便于领导、便于集结的原则，建立组织，落实人员，每年初要根据人员变化进行组织调整，确保救援组织的落实。</w:t>
      </w:r>
    </w:p>
    <w:p w14:paraId="3CD6B16C">
      <w:pPr>
        <w:pStyle w:val="6"/>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做好该应急救援预案中实施应急救援工作所必需的救援物资和防护用品的配置、补充、报废、维护、更新工作，保证应急物资处于良好状态。</w:t>
      </w:r>
    </w:p>
    <w:p w14:paraId="136149F0">
      <w:pPr>
        <w:pStyle w:val="6"/>
        <w:rPr>
          <w:rFonts w:hint="default" w:ascii="Times New Roman" w:hAnsi="Times New Roman" w:cs="Times New Roman"/>
        </w:rPr>
      </w:pPr>
      <w:r>
        <w:rPr>
          <w:rFonts w:hint="default" w:ascii="Times New Roman" w:hAnsi="Times New Roman" w:cs="Times New Roman"/>
          <w:lang w:val="en-US" w:eastAsia="zh-CN"/>
        </w:rPr>
        <w:t>③</w:t>
      </w:r>
      <w:r>
        <w:rPr>
          <w:rFonts w:hint="default" w:ascii="Times New Roman" w:hAnsi="Times New Roman" w:cs="Times New Roman"/>
        </w:rPr>
        <w:t>该应急预案应该每年进行一次演练，演练可以采取桌面演练、专项演练、专业演练、局部演练等多种形式，应急演练由生产部组织，演练后应立即召开演练总结会，对应急预案的可执行性、应急资源的配置和管理、各应急队伍素质等环节进行评审，并形成书面材料报安全环保部，以便对应急预案进行修改和补充，并监督检查各专业救援小组对演练所暴露出问题的整改完善情况。</w:t>
      </w:r>
    </w:p>
    <w:p w14:paraId="165E3D87">
      <w:pPr>
        <w:pStyle w:val="6"/>
        <w:rPr>
          <w:rFonts w:hint="default" w:ascii="Times New Roman" w:hAnsi="Times New Roman" w:cs="Times New Roman"/>
        </w:rPr>
      </w:pPr>
      <w:r>
        <w:rPr>
          <w:rFonts w:hint="default" w:ascii="Times New Roman" w:hAnsi="Times New Roman" w:cs="Times New Roman"/>
          <w:lang w:val="en-US" w:eastAsia="zh-CN"/>
        </w:rPr>
        <w:t>④</w:t>
      </w:r>
      <w:r>
        <w:rPr>
          <w:rFonts w:hint="default" w:ascii="Times New Roman" w:hAnsi="Times New Roman" w:cs="Times New Roman"/>
        </w:rPr>
        <w:t>公司安全环保部门应将演练情况，特别是通过演练暴露出的问题向公司主管领导汇报，并落实公司领导的指示和要求，同时对领导指示如实记录以便对照执行。</w:t>
      </w:r>
    </w:p>
    <w:p w14:paraId="386B2681">
      <w:pPr>
        <w:pStyle w:val="6"/>
        <w:rPr>
          <w:rFonts w:hint="default" w:ascii="Times New Roman" w:hAnsi="Times New Roman" w:cs="Times New Roman"/>
        </w:rPr>
      </w:pPr>
      <w:r>
        <w:rPr>
          <w:rFonts w:hint="default" w:ascii="Times New Roman" w:hAnsi="Times New Roman" w:cs="Times New Roman"/>
          <w:lang w:val="en-US" w:eastAsia="zh-CN"/>
        </w:rPr>
        <w:t>⑤</w:t>
      </w:r>
      <w:r>
        <w:rPr>
          <w:rFonts w:hint="default" w:ascii="Times New Roman" w:hAnsi="Times New Roman" w:cs="Times New Roman"/>
        </w:rPr>
        <w:t>进一步完善事故救援预案，并经过专家评审，报生态环境主管部门备案。</w:t>
      </w:r>
    </w:p>
    <w:p w14:paraId="4E695C9C">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eastAsia="宋体"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5.3.11环境</w:t>
      </w:r>
      <w:r>
        <w:rPr>
          <w:rFonts w:hint="default" w:ascii="Times New Roman" w:hAnsi="Times New Roman" w:eastAsia="宋体" w:cs="Times New Roman"/>
          <w:b/>
          <w:bCs w:val="0"/>
          <w:kern w:val="2"/>
          <w:sz w:val="24"/>
          <w:szCs w:val="24"/>
          <w:highlight w:val="none"/>
          <w:lang w:val="en-US" w:eastAsia="zh-CN"/>
        </w:rPr>
        <w:t>风险评价结论</w:t>
      </w:r>
    </w:p>
    <w:p w14:paraId="124440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所在位置不属于环境敏感区。项目主要风险物质为处置的危险废物中的HW11精（蒸）馏残渣。项目主要事故类型为危险废物转运过程的泄漏事故，只要企业在完善物料运输过程环境风险管理，加强安全检查，加强职工安全教育和培训之后，在做好各项风险防范措施、应急预案和应急处置措施的情况下，项目环境风险事故对周围环境的影响较小。项目环境风险属可接受水平。</w:t>
      </w:r>
    </w:p>
    <w:p w14:paraId="5A9A22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项目简单分析内容表如下：</w:t>
      </w:r>
    </w:p>
    <w:p w14:paraId="7FFE0730">
      <w:pPr>
        <w:adjustRightInd w:val="0"/>
        <w:jc w:val="center"/>
        <w:textAlignment w:val="baseline"/>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表</w:t>
      </w:r>
      <w:r>
        <w:rPr>
          <w:rFonts w:hint="default" w:ascii="Times New Roman" w:hAnsi="Times New Roman" w:cs="Times New Roman"/>
          <w:b/>
          <w:sz w:val="24"/>
          <w:szCs w:val="24"/>
          <w:highlight w:val="none"/>
          <w:lang w:val="en-US" w:eastAsia="zh-CN"/>
        </w:rPr>
        <w:t>5.</w:t>
      </w:r>
      <w:r>
        <w:rPr>
          <w:rFonts w:hint="eastAsia" w:ascii="Times New Roman" w:hAnsi="Times New Roman" w:cs="Times New Roman"/>
          <w:b/>
          <w:sz w:val="24"/>
          <w:szCs w:val="24"/>
          <w:highlight w:val="none"/>
          <w:lang w:val="en-US" w:eastAsia="zh-CN"/>
        </w:rPr>
        <w:t>3-</w:t>
      </w:r>
      <w:r>
        <w:rPr>
          <w:rFonts w:hint="eastAsia" w:cs="Times New Roman"/>
          <w:b/>
          <w:sz w:val="24"/>
          <w:szCs w:val="24"/>
          <w:highlight w:val="none"/>
          <w:lang w:val="en-US" w:eastAsia="zh-CN"/>
        </w:rPr>
        <w:t>7</w:t>
      </w:r>
      <w:r>
        <w:rPr>
          <w:rFonts w:hint="default" w:ascii="Times New Roman" w:hAnsi="Times New Roman" w:eastAsia="宋体" w:cs="Times New Roman"/>
          <w:b/>
          <w:sz w:val="24"/>
          <w:szCs w:val="24"/>
          <w:highlight w:val="none"/>
        </w:rPr>
        <w:t xml:space="preserve"> 建设项目环境风险简单分析内容表</w:t>
      </w:r>
    </w:p>
    <w:tbl>
      <w:tblPr>
        <w:tblStyle w:val="39"/>
        <w:tblW w:w="4998"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20"/>
        <w:gridCol w:w="943"/>
        <w:gridCol w:w="2268"/>
        <w:gridCol w:w="1348"/>
        <w:gridCol w:w="2434"/>
      </w:tblGrid>
      <w:tr w14:paraId="78E4F90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93" w:type="pct"/>
            <w:tcBorders>
              <w:tl2br w:val="nil"/>
              <w:tr2bl w:val="nil"/>
            </w:tcBorders>
            <w:noWrap w:val="0"/>
            <w:vAlign w:val="center"/>
          </w:tcPr>
          <w:p w14:paraId="7551EB3D">
            <w:pPr>
              <w:autoSpaceDE/>
              <w:autoSpaceDN/>
              <w:spacing w:before="0" w:after="0" w:line="240" w:lineRule="auto"/>
              <w:ind w:left="0" w:leftChars="0" w:right="0" w:rightChars="0" w:firstLine="0" w:firstLineChars="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bidi="ar"/>
              </w:rPr>
              <w:t>建设项目名称</w:t>
            </w:r>
          </w:p>
        </w:tc>
        <w:tc>
          <w:tcPr>
            <w:tcW w:w="4106" w:type="pct"/>
            <w:gridSpan w:val="4"/>
            <w:tcBorders>
              <w:tl2br w:val="nil"/>
              <w:tr2bl w:val="nil"/>
            </w:tcBorders>
            <w:noWrap w:val="0"/>
            <w:vAlign w:val="center"/>
          </w:tcPr>
          <w:p w14:paraId="2D81348D">
            <w:pPr>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新疆兴悦化工有限公司水泥窑协同处置250t/a精蒸馏残渣技改项目</w:t>
            </w:r>
          </w:p>
        </w:tc>
      </w:tr>
      <w:tr w14:paraId="5AD4D91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93" w:type="pct"/>
            <w:tcBorders>
              <w:tl2br w:val="nil"/>
              <w:tr2bl w:val="nil"/>
            </w:tcBorders>
            <w:noWrap w:val="0"/>
            <w:vAlign w:val="center"/>
          </w:tcPr>
          <w:p w14:paraId="02AC6E10">
            <w:pPr>
              <w:autoSpaceDE/>
              <w:autoSpaceDN/>
              <w:spacing w:before="0" w:after="0" w:line="240" w:lineRule="auto"/>
              <w:ind w:left="0" w:leftChars="0" w:right="0" w:rightChars="0" w:firstLine="0" w:firstLineChars="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bidi="ar"/>
              </w:rPr>
              <w:t>建设地点</w:t>
            </w:r>
          </w:p>
        </w:tc>
        <w:tc>
          <w:tcPr>
            <w:tcW w:w="4106" w:type="pct"/>
            <w:gridSpan w:val="4"/>
            <w:tcBorders>
              <w:tl2br w:val="nil"/>
              <w:tr2bl w:val="nil"/>
            </w:tcBorders>
            <w:noWrap w:val="0"/>
            <w:vAlign w:val="center"/>
          </w:tcPr>
          <w:p w14:paraId="79F3A392">
            <w:pPr>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新疆维吾尔自治区阿克苏地区</w:t>
            </w:r>
            <w:r>
              <w:rPr>
                <w:rFonts w:hint="default" w:ascii="Times New Roman" w:hAnsi="Times New Roman" w:eastAsia="宋体" w:cs="Times New Roman"/>
                <w:sz w:val="21"/>
                <w:szCs w:val="21"/>
                <w:highlight w:val="none"/>
                <w:lang w:val="en-US" w:eastAsia="zh-CN"/>
              </w:rPr>
              <w:t>阿克苏经济技术开发区，新疆兴悦化工有限公司现有厂区内</w:t>
            </w:r>
          </w:p>
        </w:tc>
      </w:tr>
      <w:tr w14:paraId="0075DDA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93" w:type="pct"/>
            <w:tcBorders>
              <w:tl2br w:val="nil"/>
              <w:tr2bl w:val="nil"/>
            </w:tcBorders>
            <w:noWrap w:val="0"/>
            <w:vAlign w:val="center"/>
          </w:tcPr>
          <w:p w14:paraId="2E0413E3">
            <w:pPr>
              <w:autoSpaceDE/>
              <w:autoSpaceDN/>
              <w:spacing w:before="0" w:after="0" w:line="240" w:lineRule="auto"/>
              <w:ind w:left="0" w:leftChars="0" w:right="0" w:rightChars="0" w:firstLine="0" w:firstLineChars="0"/>
              <w:jc w:val="center"/>
              <w:rPr>
                <w:rFonts w:hint="default" w:ascii="Times New Roman" w:hAnsi="Times New Roman" w:eastAsia="宋体" w:cs="Times New Roman"/>
                <w:b/>
                <w:bCs/>
                <w:sz w:val="21"/>
                <w:szCs w:val="21"/>
                <w:highlight w:val="none"/>
                <w:lang w:bidi="ar"/>
              </w:rPr>
            </w:pPr>
            <w:r>
              <w:rPr>
                <w:rFonts w:hint="default" w:ascii="Times New Roman" w:hAnsi="Times New Roman" w:eastAsia="宋体" w:cs="Times New Roman"/>
                <w:b/>
                <w:bCs/>
                <w:sz w:val="21"/>
                <w:szCs w:val="21"/>
                <w:highlight w:val="none"/>
                <w:lang w:bidi="ar"/>
              </w:rPr>
              <w:t>地理坐标</w:t>
            </w:r>
          </w:p>
        </w:tc>
        <w:tc>
          <w:tcPr>
            <w:tcW w:w="554" w:type="pct"/>
            <w:tcBorders>
              <w:tl2br w:val="nil"/>
              <w:tr2bl w:val="nil"/>
            </w:tcBorders>
            <w:noWrap w:val="0"/>
            <w:vAlign w:val="center"/>
          </w:tcPr>
          <w:p w14:paraId="59F4A953">
            <w:pPr>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经度</w:t>
            </w:r>
          </w:p>
        </w:tc>
        <w:tc>
          <w:tcPr>
            <w:tcW w:w="1332" w:type="pct"/>
            <w:tcBorders>
              <w:tl2br w:val="nil"/>
              <w:tr2bl w:val="nil"/>
            </w:tcBorders>
            <w:noWrap w:val="0"/>
            <w:vAlign w:val="center"/>
          </w:tcPr>
          <w:p w14:paraId="208E5723">
            <w:pPr>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80°06'57.377"</w:t>
            </w:r>
          </w:p>
        </w:tc>
        <w:tc>
          <w:tcPr>
            <w:tcW w:w="792" w:type="pct"/>
            <w:tcBorders>
              <w:tl2br w:val="nil"/>
              <w:tr2bl w:val="nil"/>
            </w:tcBorders>
            <w:noWrap w:val="0"/>
            <w:vAlign w:val="center"/>
          </w:tcPr>
          <w:p w14:paraId="63C17C11">
            <w:pPr>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纬度</w:t>
            </w:r>
          </w:p>
        </w:tc>
        <w:tc>
          <w:tcPr>
            <w:tcW w:w="1427" w:type="pct"/>
            <w:tcBorders>
              <w:tl2br w:val="nil"/>
              <w:tr2bl w:val="nil"/>
            </w:tcBorders>
            <w:noWrap w:val="0"/>
            <w:vAlign w:val="center"/>
          </w:tcPr>
          <w:p w14:paraId="2096821E">
            <w:pPr>
              <w:autoSpaceDE/>
              <w:autoSpaceDN/>
              <w:spacing w:before="0" w:after="0" w:line="240" w:lineRule="auto"/>
              <w:ind w:left="0" w:leftChars="0" w:right="0" w:rightChars="0" w:firstLine="0" w:firstLineChars="0"/>
              <w:jc w:val="center"/>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41°04'07.817"</w:t>
            </w:r>
          </w:p>
        </w:tc>
      </w:tr>
      <w:tr w14:paraId="7B2962F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3" w:type="pct"/>
            <w:tcBorders>
              <w:tl2br w:val="nil"/>
              <w:tr2bl w:val="nil"/>
            </w:tcBorders>
            <w:noWrap w:val="0"/>
            <w:vAlign w:val="center"/>
          </w:tcPr>
          <w:p w14:paraId="13CECE23">
            <w:pPr>
              <w:autoSpaceDE/>
              <w:autoSpaceDN/>
              <w:spacing w:before="0" w:after="0" w:line="240" w:lineRule="auto"/>
              <w:ind w:lef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bidi="ar"/>
              </w:rPr>
              <w:t>主要危险物质及分布</w:t>
            </w:r>
          </w:p>
        </w:tc>
        <w:tc>
          <w:tcPr>
            <w:tcW w:w="4106" w:type="pct"/>
            <w:gridSpan w:val="4"/>
            <w:tcBorders>
              <w:tl2br w:val="nil"/>
              <w:tr2bl w:val="nil"/>
            </w:tcBorders>
            <w:noWrap w:val="0"/>
            <w:vAlign w:val="center"/>
          </w:tcPr>
          <w:p w14:paraId="5D7B4456">
            <w:pPr>
              <w:autoSpaceDE/>
              <w:autoSpaceDN/>
              <w:spacing w:before="0" w:after="0" w:line="240" w:lineRule="exact"/>
              <w:ind w:left="0" w:firstLine="0"/>
              <w:jc w:val="both"/>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主要危险物质为</w:t>
            </w:r>
            <w:r>
              <w:rPr>
                <w:rFonts w:hint="default" w:ascii="Times New Roman" w:hAnsi="Times New Roman" w:eastAsia="宋体" w:cs="Times New Roman"/>
                <w:sz w:val="21"/>
                <w:szCs w:val="21"/>
                <w:highlight w:val="none"/>
              </w:rPr>
              <w:t>HW11精（蒸）馏残渣</w:t>
            </w:r>
            <w:r>
              <w:rPr>
                <w:rFonts w:hint="default" w:ascii="Times New Roman" w:hAnsi="Times New Roman" w:cs="Times New Roman"/>
                <w:sz w:val="21"/>
                <w:szCs w:val="21"/>
                <w:highlight w:val="none"/>
                <w:lang w:eastAsia="zh-CN"/>
              </w:rPr>
              <w:t>，</w:t>
            </w:r>
            <w:r>
              <w:rPr>
                <w:rFonts w:hint="default" w:ascii="Times New Roman" w:hAnsi="Times New Roman" w:cs="Times New Roman"/>
                <w:sz w:val="21"/>
                <w:szCs w:val="21"/>
                <w:highlight w:val="none"/>
                <w:lang w:val="en-US" w:eastAsia="zh-CN"/>
              </w:rPr>
              <w:t>主要分布在输送管道及水泥窑内</w:t>
            </w:r>
          </w:p>
        </w:tc>
      </w:tr>
      <w:tr w14:paraId="6728F95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893" w:type="pct"/>
            <w:tcBorders>
              <w:tl2br w:val="nil"/>
              <w:tr2bl w:val="nil"/>
            </w:tcBorders>
            <w:noWrap w:val="0"/>
            <w:vAlign w:val="center"/>
          </w:tcPr>
          <w:p w14:paraId="2B4C0531">
            <w:pPr>
              <w:autoSpaceDE/>
              <w:autoSpaceDN/>
              <w:spacing w:before="0" w:after="0" w:line="240" w:lineRule="auto"/>
              <w:ind w:lef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bidi="ar"/>
              </w:rPr>
              <w:t>环境影响途径及危害后果（大气、地表水、地下水等）</w:t>
            </w:r>
          </w:p>
        </w:tc>
        <w:tc>
          <w:tcPr>
            <w:tcW w:w="4106" w:type="pct"/>
            <w:gridSpan w:val="4"/>
            <w:tcBorders>
              <w:tl2br w:val="nil"/>
              <w:tr2bl w:val="nil"/>
            </w:tcBorders>
            <w:noWrap w:val="0"/>
            <w:vAlign w:val="top"/>
          </w:tcPr>
          <w:p w14:paraId="01207FD9">
            <w:pPr>
              <w:pStyle w:val="51"/>
              <w:spacing w:before="0" w:after="0" w:line="240" w:lineRule="exact"/>
              <w:ind w:left="0" w:firstLine="0"/>
              <w:jc w:val="both"/>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大气环境：项目依托现有水泥窑协同处置危险废物，如在生产过程中，生产设备、环保设施发生故障导致废气污染物扩散，可能会对现场操作人员造成伤害并使得厂址周围局部地区大气环境质量出现短时严重恶化；可燃或易燃泄漏物若遇明火将会引发火灾，发生次生灾害，火灾燃烧时产生的烟气为伴生污染物，含硝物质燃烧在放出大量辐射热的同时，还散发出大量的浓烟、CO、NO</w:t>
            </w:r>
            <w:r>
              <w:rPr>
                <w:rFonts w:hint="default" w:ascii="Times New Roman" w:hAnsi="Times New Roman" w:eastAsia="宋体" w:cs="Times New Roman"/>
                <w:color w:val="000000"/>
                <w:sz w:val="21"/>
                <w:szCs w:val="21"/>
                <w:highlight w:val="none"/>
                <w:vertAlign w:val="subscript"/>
                <w:lang w:val="en-US" w:eastAsia="zh-CN"/>
              </w:rPr>
              <w:t>2</w:t>
            </w:r>
            <w:r>
              <w:rPr>
                <w:rFonts w:hint="default" w:ascii="Times New Roman" w:hAnsi="Times New Roman" w:eastAsia="宋体" w:cs="Times New Roman"/>
                <w:color w:val="000000"/>
                <w:sz w:val="21"/>
                <w:szCs w:val="21"/>
                <w:highlight w:val="none"/>
                <w:lang w:val="en-US" w:eastAsia="zh-CN"/>
              </w:rPr>
              <w:t>等有毒有害气体，对火场周围人员的生命安全和周围的大气环境质量造成污染和破坏；</w:t>
            </w:r>
          </w:p>
          <w:p w14:paraId="6CA6D479">
            <w:pPr>
              <w:pStyle w:val="51"/>
              <w:spacing w:before="0" w:after="0" w:line="240" w:lineRule="exact"/>
              <w:ind w:left="0" w:firstLine="0"/>
              <w:jc w:val="both"/>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eastAsia="宋体" w:cs="Times New Roman"/>
                <w:color w:val="000000"/>
                <w:sz w:val="21"/>
                <w:szCs w:val="21"/>
                <w:highlight w:val="none"/>
                <w:lang w:val="en-US" w:eastAsia="zh-CN"/>
              </w:rPr>
              <w:t>水环境：一旦发生火灾爆炸事故，必须启动消防救援系统。根据火灾性质的不同将使用不同的消防系统，包括泡沫消防和消防水。这样对消防水和消防泡沫的及时处理就成为整个应急系统的重要组成部分，尤其对消防水处理不当就会形成新的水环境风险。项目设置了事故池，用于收集消防废水和泄漏的液体，避免消防废水对水环境产生影响。防渗层破裂，渗滤液泄漏引起污染地下水</w:t>
            </w:r>
            <w:r>
              <w:rPr>
                <w:rFonts w:hint="eastAsia" w:ascii="Times New Roman" w:hAnsi="Times New Roman" w:cs="Times New Roman"/>
                <w:color w:val="000000"/>
                <w:sz w:val="21"/>
                <w:szCs w:val="21"/>
                <w:highlight w:val="none"/>
                <w:lang w:val="en-US" w:eastAsia="zh-CN"/>
              </w:rPr>
              <w:t>；</w:t>
            </w:r>
          </w:p>
          <w:p w14:paraId="766C1F8E">
            <w:pPr>
              <w:pStyle w:val="51"/>
              <w:spacing w:before="0" w:after="0" w:line="240" w:lineRule="exact"/>
              <w:ind w:left="0" w:firstLine="0"/>
              <w:jc w:val="both"/>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color w:val="000000"/>
                <w:sz w:val="21"/>
                <w:szCs w:val="21"/>
                <w:highlight w:val="none"/>
                <w:lang w:val="en-US" w:eastAsia="zh-CN"/>
              </w:rPr>
              <w:t>土壤环境：在</w:t>
            </w:r>
            <w:r>
              <w:rPr>
                <w:rFonts w:hint="default" w:ascii="Times New Roman" w:hAnsi="Times New Roman" w:cs="Times New Roman"/>
                <w:color w:val="000000"/>
                <w:sz w:val="21"/>
                <w:szCs w:val="21"/>
                <w:highlight w:val="none"/>
                <w:lang w:val="en-US" w:eastAsia="zh-CN"/>
              </w:rPr>
              <w:t>危险废物</w:t>
            </w:r>
            <w:r>
              <w:rPr>
                <w:rFonts w:hint="default" w:ascii="Times New Roman" w:hAnsi="Times New Roman" w:eastAsia="宋体" w:cs="Times New Roman"/>
                <w:color w:val="000000"/>
                <w:sz w:val="21"/>
                <w:szCs w:val="21"/>
                <w:highlight w:val="none"/>
                <w:lang w:val="en-US" w:eastAsia="zh-CN"/>
              </w:rPr>
              <w:t>转运过程中发生泄漏或地下防渗损坏，存在危险物质污染土壤的风险。</w:t>
            </w:r>
          </w:p>
        </w:tc>
      </w:tr>
      <w:tr w14:paraId="725D5E8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893" w:type="pct"/>
            <w:tcBorders>
              <w:tl2br w:val="nil"/>
              <w:tr2bl w:val="nil"/>
            </w:tcBorders>
            <w:noWrap w:val="0"/>
            <w:vAlign w:val="center"/>
          </w:tcPr>
          <w:p w14:paraId="0CD9BDF8">
            <w:pPr>
              <w:autoSpaceDE/>
              <w:autoSpaceDN/>
              <w:spacing w:before="0" w:after="0" w:line="240" w:lineRule="auto"/>
              <w:ind w:left="0" w:firstLine="0"/>
              <w:jc w:val="center"/>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lang w:bidi="ar"/>
              </w:rPr>
              <w:t>风险防范措施要求</w:t>
            </w:r>
          </w:p>
        </w:tc>
        <w:tc>
          <w:tcPr>
            <w:tcW w:w="4106" w:type="pct"/>
            <w:gridSpan w:val="4"/>
            <w:tcBorders>
              <w:tl2br w:val="nil"/>
              <w:tr2bl w:val="nil"/>
            </w:tcBorders>
            <w:noWrap w:val="0"/>
            <w:vAlign w:val="top"/>
          </w:tcPr>
          <w:p w14:paraId="6F9FE374">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lang w:eastAsia="zh-CN"/>
              </w:rPr>
            </w:pPr>
            <w:r>
              <w:rPr>
                <w:rFonts w:hint="default" w:ascii="Times New Roman" w:hAnsi="Times New Roman" w:eastAsia="宋体" w:cs="Times New Roman"/>
                <w:b w:val="0"/>
                <w:bCs/>
                <w:kern w:val="2"/>
                <w:sz w:val="21"/>
                <w:szCs w:val="21"/>
                <w:highlight w:val="none"/>
              </w:rPr>
              <w:t>回转窑处置风险防范措施</w:t>
            </w:r>
            <w:r>
              <w:rPr>
                <w:rFonts w:hint="default" w:ascii="Times New Roman" w:hAnsi="Times New Roman" w:cs="Times New Roman"/>
                <w:b w:val="0"/>
                <w:bCs/>
                <w:kern w:val="2"/>
                <w:sz w:val="21"/>
                <w:szCs w:val="21"/>
                <w:highlight w:val="none"/>
                <w:lang w:eastAsia="zh-CN"/>
              </w:rPr>
              <w:t>：</w:t>
            </w:r>
          </w:p>
          <w:p w14:paraId="2F05954B">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cs="Times New Roman"/>
                <w:b w:val="0"/>
                <w:bCs/>
                <w:kern w:val="2"/>
                <w:sz w:val="21"/>
                <w:szCs w:val="21"/>
                <w:highlight w:val="none"/>
                <w:lang w:val="en-US" w:eastAsia="zh-CN"/>
              </w:rPr>
              <w:t>①</w:t>
            </w:r>
            <w:r>
              <w:rPr>
                <w:rFonts w:hint="default" w:ascii="Times New Roman" w:hAnsi="Times New Roman" w:eastAsia="宋体" w:cs="Times New Roman"/>
                <w:b w:val="0"/>
                <w:bCs/>
                <w:kern w:val="2"/>
                <w:sz w:val="21"/>
                <w:szCs w:val="21"/>
                <w:highlight w:val="none"/>
              </w:rPr>
              <w:t>入窑废物种类控制</w:t>
            </w:r>
          </w:p>
          <w:p w14:paraId="5ED4BC81">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eastAsia="宋体" w:cs="Times New Roman"/>
                <w:b w:val="0"/>
                <w:bCs/>
                <w:kern w:val="2"/>
                <w:sz w:val="21"/>
                <w:szCs w:val="21"/>
                <w:highlight w:val="none"/>
              </w:rPr>
              <w:t>控制水泥窑协同处置的废物种类和入窑废物的特性。</w:t>
            </w:r>
          </w:p>
          <w:p w14:paraId="0901CB33">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cs="Times New Roman"/>
                <w:b w:val="0"/>
                <w:bCs/>
                <w:kern w:val="2"/>
                <w:sz w:val="21"/>
                <w:szCs w:val="21"/>
                <w:highlight w:val="none"/>
                <w:lang w:val="en-US" w:eastAsia="zh-CN"/>
              </w:rPr>
              <w:t>②</w:t>
            </w:r>
            <w:r>
              <w:rPr>
                <w:rFonts w:hint="default" w:ascii="Times New Roman" w:hAnsi="Times New Roman" w:eastAsia="宋体" w:cs="Times New Roman"/>
                <w:b w:val="0"/>
                <w:bCs/>
                <w:kern w:val="2"/>
                <w:sz w:val="21"/>
                <w:szCs w:val="21"/>
                <w:highlight w:val="none"/>
              </w:rPr>
              <w:t>入窑元素控制</w:t>
            </w:r>
          </w:p>
          <w:p w14:paraId="6972E891">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eastAsia="宋体" w:cs="Times New Roman"/>
                <w:b w:val="0"/>
                <w:bCs/>
                <w:kern w:val="2"/>
                <w:sz w:val="21"/>
                <w:szCs w:val="21"/>
                <w:highlight w:val="none"/>
              </w:rPr>
              <w:t>控制入窑废物中的有害元素（重金属、氯、氟、硫等）的投加速率是水泥窑协同处置废物污染控制的重要手段。通过适当的预处理方法，将危险废物中的有害元素的投加速率控制在合理的范围之内，以免发生烟气排放超标，结皮阻塞的不良现象。</w:t>
            </w:r>
          </w:p>
          <w:p w14:paraId="6202DC85">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cs="Times New Roman"/>
                <w:b w:val="0"/>
                <w:bCs/>
                <w:kern w:val="2"/>
                <w:sz w:val="21"/>
                <w:szCs w:val="21"/>
                <w:highlight w:val="none"/>
                <w:lang w:val="en-US" w:eastAsia="zh-CN"/>
              </w:rPr>
              <w:t>③</w:t>
            </w:r>
            <w:r>
              <w:rPr>
                <w:rFonts w:hint="default" w:ascii="Times New Roman" w:hAnsi="Times New Roman" w:eastAsia="宋体" w:cs="Times New Roman"/>
                <w:b w:val="0"/>
                <w:bCs/>
                <w:kern w:val="2"/>
                <w:sz w:val="21"/>
                <w:szCs w:val="21"/>
                <w:highlight w:val="none"/>
              </w:rPr>
              <w:t>合理确定投料点</w:t>
            </w:r>
          </w:p>
          <w:p w14:paraId="334D4C2D">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eastAsia="宋体" w:cs="Times New Roman"/>
                <w:b w:val="0"/>
                <w:bCs/>
                <w:kern w:val="2"/>
                <w:sz w:val="21"/>
                <w:szCs w:val="21"/>
                <w:highlight w:val="none"/>
              </w:rPr>
              <w:t>应根据危险废物特性和水泥窑中各投加位置的温度和停留时间等参数合理选择投料点。例如含高氯、高毒、难降解有机物质的危险废物适宜从窑头的主燃烧器进行处置。</w:t>
            </w:r>
          </w:p>
          <w:p w14:paraId="2C3597B8">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eastAsia="宋体" w:cs="Times New Roman"/>
                <w:b w:val="0"/>
                <w:bCs/>
                <w:kern w:val="2"/>
                <w:sz w:val="21"/>
                <w:szCs w:val="21"/>
                <w:highlight w:val="none"/>
              </w:rPr>
              <w:t>危险废物收集、贮存、运输过程防范措施</w:t>
            </w:r>
            <w:r>
              <w:rPr>
                <w:rFonts w:hint="default" w:ascii="Times New Roman" w:hAnsi="Times New Roman" w:cs="Times New Roman"/>
                <w:b w:val="0"/>
                <w:bCs/>
                <w:kern w:val="2"/>
                <w:sz w:val="21"/>
                <w:szCs w:val="21"/>
                <w:highlight w:val="none"/>
                <w:lang w:eastAsia="zh-CN"/>
              </w:rPr>
              <w:t>：</w:t>
            </w:r>
            <w:r>
              <w:rPr>
                <w:rFonts w:hint="default" w:ascii="Times New Roman" w:hAnsi="Times New Roman" w:eastAsia="宋体" w:cs="Times New Roman"/>
                <w:b w:val="0"/>
                <w:bCs/>
                <w:kern w:val="2"/>
                <w:sz w:val="21"/>
                <w:szCs w:val="21"/>
                <w:highlight w:val="none"/>
              </w:rPr>
              <w:t>危险废物的收集、贮存、运输应严格遵守《危险废物收集、贮存、运输技术规范》（HJ2025）中相关要求。</w:t>
            </w:r>
          </w:p>
          <w:p w14:paraId="4837DF22">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lang w:eastAsia="zh-CN"/>
              </w:rPr>
            </w:pPr>
            <w:r>
              <w:rPr>
                <w:rFonts w:hint="default" w:ascii="Times New Roman" w:hAnsi="Times New Roman" w:eastAsia="宋体" w:cs="Times New Roman"/>
                <w:b w:val="0"/>
                <w:bCs/>
                <w:kern w:val="2"/>
                <w:sz w:val="21"/>
                <w:szCs w:val="21"/>
                <w:highlight w:val="none"/>
              </w:rPr>
              <w:t>配套监控及消防设施</w:t>
            </w:r>
            <w:r>
              <w:rPr>
                <w:rFonts w:hint="default" w:ascii="Times New Roman" w:hAnsi="Times New Roman" w:cs="Times New Roman"/>
                <w:b w:val="0"/>
                <w:bCs/>
                <w:kern w:val="2"/>
                <w:sz w:val="21"/>
                <w:szCs w:val="21"/>
                <w:highlight w:val="none"/>
                <w:lang w:eastAsia="zh-CN"/>
              </w:rPr>
              <w:t>；</w:t>
            </w:r>
          </w:p>
          <w:p w14:paraId="0EDE6FBD">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lang w:eastAsia="zh-CN"/>
              </w:rPr>
            </w:pPr>
            <w:r>
              <w:rPr>
                <w:rFonts w:hint="default" w:ascii="Times New Roman" w:hAnsi="Times New Roman" w:eastAsia="宋体" w:cs="Times New Roman"/>
                <w:b w:val="0"/>
                <w:bCs/>
                <w:kern w:val="2"/>
                <w:sz w:val="21"/>
                <w:szCs w:val="21"/>
                <w:highlight w:val="none"/>
              </w:rPr>
              <w:t>风险管理措施</w:t>
            </w:r>
            <w:r>
              <w:rPr>
                <w:rFonts w:hint="default" w:ascii="Times New Roman" w:hAnsi="Times New Roman" w:cs="Times New Roman"/>
                <w:b w:val="0"/>
                <w:bCs/>
                <w:kern w:val="2"/>
                <w:sz w:val="21"/>
                <w:szCs w:val="21"/>
                <w:highlight w:val="none"/>
                <w:lang w:eastAsia="zh-CN"/>
              </w:rPr>
              <w:t>：</w:t>
            </w:r>
          </w:p>
          <w:p w14:paraId="7E292148">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eastAsia="宋体" w:cs="Times New Roman"/>
                <w:b w:val="0"/>
                <w:bCs/>
                <w:kern w:val="2"/>
                <w:sz w:val="21"/>
                <w:szCs w:val="21"/>
                <w:highlight w:val="none"/>
              </w:rPr>
              <w:t>①对环保装置要有专人定期巡视，一旦装置发生异常应及时停止，避免尾气未经处理排入大气。</w:t>
            </w:r>
          </w:p>
          <w:p w14:paraId="487963B1">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eastAsia="宋体" w:cs="Times New Roman"/>
                <w:b w:val="0"/>
                <w:bCs/>
                <w:kern w:val="2"/>
                <w:sz w:val="21"/>
                <w:szCs w:val="21"/>
                <w:highlight w:val="none"/>
              </w:rPr>
              <w:t>②工程可能遇到的火源主要是吸烟、维修用火、电器火灾、静电火花、雷击、撞击火星等，应采取的安全管理措施包括：严禁吸烟、严禁携带火种、严禁穿带铁钉的皮鞋进入易燃易爆区域。</w:t>
            </w:r>
          </w:p>
          <w:p w14:paraId="0C8542CD">
            <w:pPr>
              <w:pStyle w:val="51"/>
              <w:spacing w:before="0" w:after="0" w:line="240" w:lineRule="exact"/>
              <w:ind w:left="0" w:firstLine="0"/>
              <w:jc w:val="both"/>
              <w:rPr>
                <w:rFonts w:hint="default" w:ascii="Times New Roman" w:hAnsi="Times New Roman" w:eastAsia="宋体" w:cs="Times New Roman"/>
                <w:b w:val="0"/>
                <w:bCs/>
                <w:kern w:val="2"/>
                <w:sz w:val="21"/>
                <w:szCs w:val="21"/>
                <w:highlight w:val="none"/>
              </w:rPr>
            </w:pPr>
            <w:r>
              <w:rPr>
                <w:rFonts w:hint="default" w:ascii="Times New Roman" w:hAnsi="Times New Roman" w:eastAsia="宋体" w:cs="Times New Roman"/>
                <w:b w:val="0"/>
                <w:bCs/>
                <w:kern w:val="2"/>
                <w:sz w:val="21"/>
                <w:szCs w:val="21"/>
                <w:highlight w:val="none"/>
              </w:rPr>
              <w:t>③维修时，应和非检修设备、管线断开火加盲板，盲板应挂牌登记，防止发生事故。</w:t>
            </w:r>
          </w:p>
          <w:p w14:paraId="288D0A25">
            <w:pPr>
              <w:pStyle w:val="51"/>
              <w:spacing w:before="0" w:after="0" w:line="240" w:lineRule="exact"/>
              <w:ind w:left="0" w:firstLine="0"/>
              <w:jc w:val="both"/>
              <w:rPr>
                <w:rFonts w:hint="default" w:ascii="Times New Roman" w:hAnsi="Times New Roman" w:eastAsia="宋体" w:cs="Times New Roman"/>
                <w:color w:val="000000"/>
                <w:sz w:val="21"/>
                <w:szCs w:val="21"/>
                <w:highlight w:val="none"/>
              </w:rPr>
            </w:pPr>
            <w:r>
              <w:rPr>
                <w:rFonts w:hint="default" w:ascii="Times New Roman" w:hAnsi="Times New Roman" w:eastAsia="宋体" w:cs="Times New Roman"/>
                <w:b w:val="0"/>
                <w:bCs/>
                <w:kern w:val="2"/>
                <w:sz w:val="21"/>
                <w:szCs w:val="21"/>
                <w:highlight w:val="none"/>
              </w:rPr>
              <w:t>④安装附带报警装置，可燃性气体探测仪，以实现早发现、早处理。</w:t>
            </w:r>
          </w:p>
        </w:tc>
      </w:tr>
      <w:tr w14:paraId="4894614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gridSpan w:val="5"/>
            <w:tcBorders>
              <w:tl2br w:val="nil"/>
              <w:tr2bl w:val="nil"/>
            </w:tcBorders>
            <w:noWrap w:val="0"/>
            <w:vAlign w:val="top"/>
          </w:tcPr>
          <w:p w14:paraId="3AED21C7">
            <w:pPr>
              <w:autoSpaceDE/>
              <w:autoSpaceDN/>
              <w:spacing w:before="0" w:after="0" w:line="240" w:lineRule="auto"/>
              <w:ind w:left="0" w:firstLine="0"/>
              <w:rPr>
                <w:rFonts w:hint="default" w:ascii="Times New Roman" w:hAnsi="Times New Roman" w:eastAsia="宋体" w:cs="Times New Roman"/>
                <w:sz w:val="18"/>
                <w:szCs w:val="18"/>
                <w:highlight w:val="none"/>
                <w:lang w:bidi="ar"/>
              </w:rPr>
            </w:pPr>
            <w:r>
              <w:rPr>
                <w:rFonts w:hint="default" w:ascii="Times New Roman" w:hAnsi="Times New Roman" w:eastAsia="宋体" w:cs="Times New Roman"/>
                <w:sz w:val="18"/>
                <w:szCs w:val="18"/>
                <w:highlight w:val="none"/>
                <w:lang w:bidi="ar"/>
              </w:rPr>
              <w:t>填表说明（列出相关信息及评价说明）：</w:t>
            </w:r>
          </w:p>
          <w:p w14:paraId="57294B30">
            <w:pPr>
              <w:autoSpaceDE/>
              <w:autoSpaceDN/>
              <w:spacing w:before="0" w:after="0" w:line="240" w:lineRule="auto"/>
              <w:ind w:left="0" w:firstLine="0"/>
              <w:rPr>
                <w:rFonts w:hint="default" w:ascii="Times New Roman" w:hAnsi="Times New Roman" w:eastAsia="宋体" w:cs="Times New Roman"/>
                <w:sz w:val="18"/>
                <w:szCs w:val="18"/>
                <w:highlight w:val="none"/>
              </w:rPr>
            </w:pPr>
            <w:r>
              <w:rPr>
                <w:rFonts w:hint="default" w:ascii="Times New Roman" w:hAnsi="Times New Roman" w:eastAsia="宋体" w:cs="Times New Roman"/>
                <w:sz w:val="18"/>
                <w:szCs w:val="18"/>
                <w:highlight w:val="none"/>
                <w:lang w:bidi="ar"/>
              </w:rPr>
              <w:t>项目为利用水泥窑协同处置危险废物项目，项目拟处置的危废</w:t>
            </w:r>
            <w:r>
              <w:rPr>
                <w:rFonts w:hint="default" w:ascii="Times New Roman" w:hAnsi="Times New Roman" w:cs="Times New Roman"/>
                <w:sz w:val="18"/>
                <w:szCs w:val="18"/>
                <w:highlight w:val="none"/>
                <w:lang w:val="en-US" w:eastAsia="zh-CN" w:bidi="ar"/>
              </w:rPr>
              <w:t>仅为</w:t>
            </w:r>
            <w:r>
              <w:rPr>
                <w:rFonts w:hint="default" w:ascii="Times New Roman" w:hAnsi="Times New Roman" w:eastAsia="宋体" w:cs="Times New Roman"/>
                <w:sz w:val="18"/>
                <w:szCs w:val="18"/>
                <w:highlight w:val="none"/>
                <w:lang w:bidi="ar"/>
              </w:rPr>
              <w:t>HW11精（蒸）馏残渣。项目大气环境风险潜势、地下水环境风险潜势均为Ⅰ，按照导则要求对项目环境风险进行简单分析。</w:t>
            </w:r>
          </w:p>
        </w:tc>
      </w:tr>
    </w:tbl>
    <w:p w14:paraId="1B2FB8A6">
      <w:pPr>
        <w:keepNext/>
        <w:keepLines/>
        <w:pageBreakBefore w:val="0"/>
        <w:widowControl/>
        <w:kinsoku/>
        <w:wordWrap/>
        <w:overflowPunct/>
        <w:topLinePunct w:val="0"/>
        <w:autoSpaceDE/>
        <w:autoSpaceDN/>
        <w:bidi w:val="0"/>
        <w:adjustRightInd/>
        <w:snapToGrid w:val="0"/>
        <w:spacing w:line="360" w:lineRule="auto"/>
        <w:jc w:val="left"/>
        <w:textAlignment w:val="auto"/>
        <w:outlineLvl w:val="1"/>
        <w:rPr>
          <w:rFonts w:hint="default" w:ascii="Times New Roman" w:hAnsi="Times New Roman" w:eastAsia="宋体" w:cs="Times New Roman"/>
          <w:b/>
          <w:bCs/>
          <w:sz w:val="24"/>
          <w:szCs w:val="16"/>
          <w:highlight w:val="none"/>
          <w:lang w:val="en-US" w:eastAsia="zh-CN"/>
        </w:rPr>
      </w:pPr>
      <w:bookmarkStart w:id="978" w:name="_Toc10807"/>
      <w:bookmarkStart w:id="979" w:name="_Toc11499"/>
      <w:bookmarkStart w:id="980" w:name="_Toc4253"/>
      <w:bookmarkStart w:id="981" w:name="_Toc1025"/>
      <w:bookmarkStart w:id="982" w:name="_Toc13999"/>
      <w:bookmarkStart w:id="983" w:name="_Toc26273"/>
      <w:r>
        <w:rPr>
          <w:rFonts w:hint="default" w:ascii="Times New Roman" w:hAnsi="Times New Roman" w:eastAsia="宋体" w:cs="Times New Roman"/>
          <w:b/>
          <w:bCs/>
          <w:sz w:val="24"/>
          <w:szCs w:val="16"/>
          <w:highlight w:val="none"/>
          <w:lang w:val="en-US" w:eastAsia="zh-CN"/>
        </w:rPr>
        <w:t>5.</w:t>
      </w:r>
      <w:r>
        <w:rPr>
          <w:rFonts w:hint="default" w:ascii="Times New Roman" w:hAnsi="Times New Roman" w:cs="Times New Roman"/>
          <w:b/>
          <w:bCs/>
          <w:sz w:val="24"/>
          <w:szCs w:val="16"/>
          <w:highlight w:val="none"/>
          <w:lang w:val="en-US" w:eastAsia="zh-CN"/>
        </w:rPr>
        <w:t>4</w:t>
      </w:r>
      <w:r>
        <w:rPr>
          <w:rFonts w:hint="default" w:ascii="Times New Roman" w:hAnsi="Times New Roman" w:eastAsia="宋体" w:cs="Times New Roman"/>
          <w:b/>
          <w:bCs/>
          <w:sz w:val="24"/>
          <w:szCs w:val="16"/>
          <w:highlight w:val="none"/>
          <w:lang w:val="en-US" w:eastAsia="zh-CN"/>
        </w:rPr>
        <w:t>碳排放评价</w:t>
      </w:r>
      <w:bookmarkEnd w:id="978"/>
      <w:bookmarkEnd w:id="979"/>
      <w:bookmarkEnd w:id="980"/>
      <w:bookmarkEnd w:id="981"/>
      <w:bookmarkEnd w:id="982"/>
      <w:bookmarkEnd w:id="983"/>
    </w:p>
    <w:p w14:paraId="15403647">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（1）碳排放量核算</w:t>
      </w:r>
    </w:p>
    <w:p w14:paraId="47F17CB5">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建设项目碳排放评价参照《温室气体排放核算与报告要求第8部分：水泥生产企业》（GB/T32151.8-2023）附录E替代燃料和协同处置废弃物燃烧产生的碳排放核算方法</w:t>
      </w:r>
      <w:r>
        <w:rPr>
          <w:rFonts w:hint="default" w:ascii="Times New Roman" w:hAnsi="Times New Roman" w:cs="Times New Roman"/>
          <w:kern w:val="0"/>
          <w:sz w:val="24"/>
          <w:szCs w:val="24"/>
          <w:highlight w:val="none"/>
          <w:lang w:val="en-US" w:eastAsia="zh-CN" w:bidi="ar"/>
        </w:rPr>
        <w:t>，本项目危险废物协同处置碳排放量按下列公式计算</w:t>
      </w:r>
      <w:r>
        <w:rPr>
          <w:rFonts w:hint="default" w:ascii="Times New Roman" w:hAnsi="Times New Roman" w:eastAsia="宋体" w:cs="Times New Roman"/>
          <w:kern w:val="0"/>
          <w:sz w:val="24"/>
          <w:szCs w:val="24"/>
          <w:highlight w:val="none"/>
          <w:lang w:val="en-US" w:eastAsia="zh-CN" w:bidi="ar"/>
        </w:rPr>
        <w:t>：</w:t>
      </w:r>
    </w:p>
    <w:p w14:paraId="5A6AA3A6">
      <w:pPr>
        <w:pStyle w:val="11"/>
        <w:spacing w:after="0" w:line="360" w:lineRule="auto"/>
        <w:ind w:left="0" w:leftChars="0" w:right="0" w:rightChars="0" w:firstLine="0" w:firstLineChars="0"/>
        <w:jc w:val="center"/>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position w:val="-28"/>
          <w:sz w:val="24"/>
          <w:szCs w:val="24"/>
          <w:highlight w:val="none"/>
          <w:lang w:val="en-US" w:eastAsia="zh-CN" w:bidi="ar"/>
        </w:rPr>
        <w:object>
          <v:shape id="_x0000_i1042" o:spt="75" type="#_x0000_t75" style="height:34pt;width:112pt;" o:ole="t" filled="f" o:preferrelative="t" stroked="f" coordsize="21600,21600">
            <v:path/>
            <v:fill on="f" focussize="0,0"/>
            <v:stroke on="f"/>
            <v:imagedata r:id="rId76" o:title=""/>
            <o:lock v:ext="edit" aspectratio="t"/>
            <w10:wrap type="none"/>
            <w10:anchorlock/>
          </v:shape>
          <o:OLEObject Type="Embed" ProgID="Equation.KSEE3" ShapeID="_x0000_i1042" DrawAspect="Content" ObjectID="_1468075744" r:id="rId75">
            <o:LockedField>false</o:LockedField>
          </o:OLEObject>
        </w:object>
      </w:r>
    </w:p>
    <w:p w14:paraId="1541FC7B">
      <w:pPr>
        <w:pStyle w:val="11"/>
        <w:spacing w:after="0" w:line="360" w:lineRule="auto"/>
        <w:ind w:firstLine="480" w:firstLineChars="200"/>
        <w:rPr>
          <w:rFonts w:hint="default" w:ascii="Times New Roman" w:hAnsi="Times New Roman"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式中，i—替代燃料或废弃物类型代号；</w:t>
      </w:r>
    </w:p>
    <w:p w14:paraId="0431B2C1">
      <w:pPr>
        <w:pStyle w:val="11"/>
        <w:spacing w:after="0" w:line="360" w:lineRule="auto"/>
        <w:ind w:firstLine="1200" w:firstLineChars="5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E</w:t>
      </w:r>
      <w:r>
        <w:rPr>
          <w:rFonts w:hint="default" w:ascii="Times New Roman" w:hAnsi="Times New Roman" w:cs="Times New Roman"/>
          <w:kern w:val="0"/>
          <w:sz w:val="24"/>
          <w:szCs w:val="24"/>
          <w:highlight w:val="none"/>
          <w:vertAlign w:val="subscript"/>
          <w:lang w:val="en-US" w:eastAsia="zh-CN" w:bidi="ar"/>
        </w:rPr>
        <w:t>替燃</w:t>
      </w:r>
      <w:r>
        <w:rPr>
          <w:rFonts w:hint="default" w:ascii="Times New Roman" w:hAnsi="Times New Roman" w:cs="Times New Roman"/>
          <w:kern w:val="0"/>
          <w:sz w:val="24"/>
          <w:szCs w:val="24"/>
          <w:highlight w:val="none"/>
          <w:lang w:val="en-US" w:eastAsia="zh-CN" w:bidi="ar"/>
        </w:rPr>
        <w:t>—核算和报告期内替代燃料和协同处置废弃物中非生物质碳燃烧产生的碳排放量，以吨二氧化碳(tCO</w:t>
      </w:r>
      <w:r>
        <w:rPr>
          <w:rFonts w:hint="default" w:ascii="Times New Roman" w:hAnsi="Times New Roman" w:cs="Times New Roman"/>
          <w:kern w:val="0"/>
          <w:sz w:val="24"/>
          <w:szCs w:val="24"/>
          <w:highlight w:val="none"/>
          <w:vertAlign w:val="subscript"/>
          <w:lang w:val="en-US" w:eastAsia="zh-CN" w:bidi="ar"/>
        </w:rPr>
        <w:t>2</w:t>
      </w:r>
      <w:r>
        <w:rPr>
          <w:rFonts w:hint="default" w:ascii="Times New Roman" w:hAnsi="Times New Roman" w:cs="Times New Roman"/>
          <w:kern w:val="0"/>
          <w:sz w:val="24"/>
          <w:szCs w:val="24"/>
          <w:highlight w:val="none"/>
          <w:lang w:val="en-US" w:eastAsia="zh-CN" w:bidi="ar"/>
        </w:rPr>
        <w:t>)计；</w:t>
      </w:r>
    </w:p>
    <w:p w14:paraId="798389D6">
      <w:pPr>
        <w:pStyle w:val="11"/>
        <w:spacing w:after="0" w:line="360" w:lineRule="auto"/>
        <w:ind w:firstLine="1200" w:firstLineChars="5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Q</w:t>
      </w:r>
      <w:r>
        <w:rPr>
          <w:rFonts w:hint="default" w:ascii="Times New Roman" w:hAnsi="Times New Roman" w:eastAsia="宋体" w:cs="Times New Roman"/>
          <w:kern w:val="0"/>
          <w:sz w:val="24"/>
          <w:szCs w:val="24"/>
          <w:highlight w:val="none"/>
          <w:vertAlign w:val="subscript"/>
          <w:lang w:val="en-US" w:eastAsia="zh-CN" w:bidi="ar"/>
        </w:rPr>
        <w:t>i</w:t>
      </w:r>
      <w:r>
        <w:rPr>
          <w:rFonts w:hint="default" w:ascii="Times New Roman" w:hAnsi="Times New Roman" w:eastAsia="宋体" w:cs="Times New Roman"/>
          <w:kern w:val="0"/>
          <w:sz w:val="24"/>
          <w:szCs w:val="24"/>
          <w:highlight w:val="none"/>
          <w:lang w:val="en-US" w:eastAsia="zh-CN" w:bidi="ar"/>
        </w:rPr>
        <w:t>—第i种替代燃料或协同处置废弃物的用量</w:t>
      </w:r>
      <w:r>
        <w:rPr>
          <w:rFonts w:hint="default" w:ascii="Times New Roman" w:hAnsi="Times New Roman" w:cs="Times New Roman"/>
          <w:kern w:val="0"/>
          <w:sz w:val="24"/>
          <w:szCs w:val="24"/>
          <w:highlight w:val="none"/>
          <w:lang w:val="en-US" w:eastAsia="zh-CN" w:bidi="ar"/>
        </w:rPr>
        <w:t>，</w:t>
      </w:r>
      <w:r>
        <w:rPr>
          <w:rFonts w:hint="default" w:ascii="Times New Roman" w:hAnsi="Times New Roman" w:eastAsia="宋体" w:cs="Times New Roman"/>
          <w:kern w:val="0"/>
          <w:sz w:val="24"/>
          <w:szCs w:val="24"/>
          <w:highlight w:val="none"/>
          <w:lang w:val="en-US" w:eastAsia="zh-CN" w:bidi="ar"/>
        </w:rPr>
        <w:t>单位为吨(t)</w:t>
      </w:r>
      <w:r>
        <w:rPr>
          <w:rFonts w:hint="default" w:ascii="Times New Roman" w:hAnsi="Times New Roman" w:cs="Times New Roman"/>
          <w:kern w:val="0"/>
          <w:sz w:val="24"/>
          <w:szCs w:val="24"/>
          <w:highlight w:val="none"/>
          <w:lang w:val="en-US" w:eastAsia="zh-CN" w:bidi="ar"/>
        </w:rPr>
        <w:t>，本项目取值</w:t>
      </w:r>
      <w:r>
        <w:rPr>
          <w:rFonts w:hint="eastAsia" w:ascii="Times New Roman" w:hAnsi="Times New Roman" w:cs="Times New Roman"/>
          <w:kern w:val="0"/>
          <w:sz w:val="24"/>
          <w:szCs w:val="24"/>
          <w:highlight w:val="none"/>
          <w:lang w:val="en-US" w:eastAsia="zh-CN" w:bidi="ar"/>
        </w:rPr>
        <w:t>250</w:t>
      </w:r>
      <w:r>
        <w:rPr>
          <w:rFonts w:hint="default" w:ascii="Times New Roman" w:hAnsi="Times New Roman" w:cs="Times New Roman"/>
          <w:kern w:val="0"/>
          <w:sz w:val="24"/>
          <w:szCs w:val="24"/>
          <w:highlight w:val="none"/>
          <w:lang w:val="en-US" w:eastAsia="zh-CN" w:bidi="ar"/>
        </w:rPr>
        <w:t>t；</w:t>
      </w:r>
    </w:p>
    <w:p w14:paraId="08C20C7C">
      <w:pPr>
        <w:pStyle w:val="11"/>
        <w:spacing w:after="0" w:line="360" w:lineRule="auto"/>
        <w:ind w:firstLine="1200" w:firstLineChars="500"/>
        <w:rPr>
          <w:rFonts w:hint="default" w:ascii="Times New Roman" w:hAnsi="Times New Roman"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EF</w:t>
      </w:r>
      <w:r>
        <w:rPr>
          <w:rFonts w:hint="default" w:ascii="Times New Roman" w:hAnsi="Times New Roman" w:eastAsia="宋体" w:cs="Times New Roman"/>
          <w:kern w:val="0"/>
          <w:sz w:val="24"/>
          <w:szCs w:val="24"/>
          <w:highlight w:val="none"/>
          <w:vertAlign w:val="subscript"/>
          <w:lang w:val="en-US" w:eastAsia="zh-CN" w:bidi="ar"/>
        </w:rPr>
        <w:t>2i</w:t>
      </w:r>
      <w:r>
        <w:rPr>
          <w:rFonts w:hint="default" w:ascii="Times New Roman" w:hAnsi="Times New Roman" w:eastAsia="宋体" w:cs="Times New Roman"/>
          <w:kern w:val="0"/>
          <w:sz w:val="24"/>
          <w:szCs w:val="24"/>
          <w:highlight w:val="none"/>
          <w:lang w:val="en-US" w:eastAsia="zh-CN" w:bidi="ar"/>
        </w:rPr>
        <w:t>—第i种替代燃料或协同处置废弃物燃烧的碳排放因子</w:t>
      </w:r>
      <w:r>
        <w:rPr>
          <w:rFonts w:hint="default" w:ascii="Times New Roman" w:hAnsi="Times New Roman" w:cs="Times New Roman"/>
          <w:kern w:val="0"/>
          <w:sz w:val="24"/>
          <w:szCs w:val="24"/>
          <w:highlight w:val="none"/>
          <w:lang w:val="en-US" w:eastAsia="zh-CN" w:bidi="ar"/>
        </w:rPr>
        <w:t>，</w:t>
      </w:r>
      <w:r>
        <w:rPr>
          <w:rFonts w:hint="default" w:ascii="Times New Roman" w:hAnsi="Times New Roman" w:eastAsia="宋体" w:cs="Times New Roman"/>
          <w:kern w:val="0"/>
          <w:sz w:val="24"/>
          <w:szCs w:val="24"/>
          <w:highlight w:val="none"/>
          <w:lang w:val="en-US" w:eastAsia="zh-CN" w:bidi="ar"/>
        </w:rPr>
        <w:t>以吨二氧化碳每吨(tCO</w:t>
      </w:r>
      <w:r>
        <w:rPr>
          <w:rFonts w:hint="default" w:ascii="Times New Roman" w:hAnsi="Times New Roman" w:eastAsia="宋体" w:cs="Times New Roman"/>
          <w:kern w:val="0"/>
          <w:sz w:val="24"/>
          <w:szCs w:val="24"/>
          <w:highlight w:val="none"/>
          <w:vertAlign w:val="subscript"/>
          <w:lang w:val="en-US" w:eastAsia="zh-CN" w:bidi="ar"/>
        </w:rPr>
        <w:t>2</w:t>
      </w:r>
      <w:r>
        <w:rPr>
          <w:rFonts w:hint="default" w:ascii="Times New Roman" w:hAnsi="Times New Roman" w:eastAsia="宋体" w:cs="Times New Roman"/>
          <w:kern w:val="0"/>
          <w:sz w:val="24"/>
          <w:szCs w:val="24"/>
          <w:highlight w:val="none"/>
          <w:lang w:val="en-US" w:eastAsia="zh-CN" w:bidi="ar"/>
        </w:rPr>
        <w:t>/t)计</w:t>
      </w:r>
      <w:r>
        <w:rPr>
          <w:rFonts w:hint="default" w:ascii="Times New Roman" w:hAnsi="Times New Roman" w:cs="Times New Roman"/>
          <w:kern w:val="0"/>
          <w:sz w:val="24"/>
          <w:szCs w:val="24"/>
          <w:highlight w:val="none"/>
          <w:lang w:val="en-US" w:eastAsia="zh-CN" w:bidi="ar"/>
        </w:rPr>
        <w:t>，本项目取值0.036；</w:t>
      </w:r>
    </w:p>
    <w:p w14:paraId="566B8505">
      <w:pPr>
        <w:pStyle w:val="11"/>
        <w:spacing w:after="0" w:line="360" w:lineRule="auto"/>
        <w:ind w:firstLine="1200" w:firstLineChars="5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α</w:t>
      </w:r>
      <w:r>
        <w:rPr>
          <w:rFonts w:hint="default" w:ascii="Times New Roman" w:hAnsi="Times New Roman" w:eastAsia="宋体" w:cs="Times New Roman"/>
          <w:kern w:val="0"/>
          <w:sz w:val="24"/>
          <w:szCs w:val="24"/>
          <w:highlight w:val="none"/>
          <w:vertAlign w:val="subscript"/>
          <w:lang w:val="en-US" w:eastAsia="zh-CN" w:bidi="ar"/>
        </w:rPr>
        <w:t>i</w:t>
      </w:r>
      <w:r>
        <w:rPr>
          <w:rFonts w:hint="default" w:ascii="Times New Roman" w:hAnsi="Times New Roman" w:eastAsia="宋体" w:cs="Times New Roman"/>
          <w:kern w:val="0"/>
          <w:sz w:val="24"/>
          <w:szCs w:val="24"/>
          <w:highlight w:val="none"/>
          <w:lang w:val="en-US" w:eastAsia="zh-CN" w:bidi="ar"/>
        </w:rPr>
        <w:t>—第i种替代燃料或废弃物中非生物质碳的含量</w:t>
      </w:r>
      <w:r>
        <w:rPr>
          <w:rFonts w:hint="default" w:ascii="Times New Roman" w:hAnsi="Times New Roman" w:cs="Times New Roman"/>
          <w:kern w:val="0"/>
          <w:sz w:val="24"/>
          <w:szCs w:val="24"/>
          <w:highlight w:val="none"/>
          <w:lang w:val="en-US" w:eastAsia="zh-CN" w:bidi="ar"/>
        </w:rPr>
        <w:t>，</w:t>
      </w:r>
      <w:r>
        <w:rPr>
          <w:rFonts w:hint="default" w:ascii="Times New Roman" w:hAnsi="Times New Roman" w:eastAsia="宋体" w:cs="Times New Roman"/>
          <w:kern w:val="0"/>
          <w:sz w:val="24"/>
          <w:szCs w:val="24"/>
          <w:highlight w:val="none"/>
          <w:lang w:val="en-US" w:eastAsia="zh-CN" w:bidi="ar"/>
        </w:rPr>
        <w:t>%</w:t>
      </w:r>
      <w:r>
        <w:rPr>
          <w:rFonts w:hint="default" w:ascii="Times New Roman" w:hAnsi="Times New Roman" w:cs="Times New Roman"/>
          <w:kern w:val="0"/>
          <w:sz w:val="24"/>
          <w:szCs w:val="24"/>
          <w:highlight w:val="none"/>
          <w:lang w:val="en-US" w:eastAsia="zh-CN" w:bidi="ar"/>
        </w:rPr>
        <w:t>，本项目取值38.7%</w:t>
      </w:r>
      <w:r>
        <w:rPr>
          <w:rFonts w:hint="default" w:ascii="Times New Roman" w:hAnsi="Times New Roman" w:eastAsia="宋体" w:cs="Times New Roman"/>
          <w:kern w:val="0"/>
          <w:sz w:val="24"/>
          <w:szCs w:val="24"/>
          <w:highlight w:val="none"/>
          <w:lang w:val="en-US" w:eastAsia="zh-CN" w:bidi="ar"/>
        </w:rPr>
        <w:t>。</w:t>
      </w:r>
    </w:p>
    <w:p w14:paraId="0BC25168">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根据核算，本项目协同处置危险废物产生的碳排放量为</w:t>
      </w:r>
      <w:r>
        <w:rPr>
          <w:rFonts w:hint="eastAsia" w:ascii="Times New Roman" w:hAnsi="Times New Roman" w:cs="Times New Roman"/>
          <w:kern w:val="0"/>
          <w:sz w:val="24"/>
          <w:szCs w:val="24"/>
          <w:highlight w:val="none"/>
          <w:lang w:val="en-US" w:eastAsia="zh-CN" w:bidi="ar"/>
        </w:rPr>
        <w:t>3.483</w:t>
      </w:r>
      <w:r>
        <w:rPr>
          <w:rFonts w:hint="default" w:ascii="Times New Roman" w:hAnsi="Times New Roman" w:cs="Times New Roman"/>
          <w:kern w:val="0"/>
          <w:sz w:val="24"/>
          <w:szCs w:val="24"/>
          <w:highlight w:val="none"/>
          <w:lang w:val="en-US" w:eastAsia="zh-CN" w:bidi="ar"/>
        </w:rPr>
        <w:t>tCO</w:t>
      </w:r>
      <w:r>
        <w:rPr>
          <w:rFonts w:hint="default" w:ascii="Times New Roman" w:hAnsi="Times New Roman" w:cs="Times New Roman"/>
          <w:kern w:val="0"/>
          <w:sz w:val="24"/>
          <w:szCs w:val="24"/>
          <w:highlight w:val="none"/>
          <w:vertAlign w:val="subscript"/>
          <w:lang w:val="en-US" w:eastAsia="zh-CN" w:bidi="ar"/>
        </w:rPr>
        <w:t>2</w:t>
      </w:r>
      <w:r>
        <w:rPr>
          <w:rFonts w:hint="default" w:ascii="Times New Roman" w:hAnsi="Times New Roman" w:eastAsia="宋体" w:cs="Times New Roman"/>
          <w:kern w:val="0"/>
          <w:sz w:val="24"/>
          <w:szCs w:val="24"/>
          <w:highlight w:val="none"/>
          <w:lang w:val="en-US" w:eastAsia="zh-CN" w:bidi="ar"/>
        </w:rPr>
        <w:t>/a。</w:t>
      </w:r>
    </w:p>
    <w:p w14:paraId="21AAC7D5">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综上，本项目二氧化碳排放总量</w:t>
      </w:r>
      <w:r>
        <w:rPr>
          <w:rFonts w:hint="default" w:ascii="Times New Roman" w:hAnsi="Times New Roman" w:cs="Times New Roman"/>
          <w:kern w:val="0"/>
          <w:sz w:val="24"/>
          <w:szCs w:val="24"/>
          <w:highlight w:val="none"/>
          <w:lang w:val="en-US" w:eastAsia="zh-CN" w:bidi="ar"/>
        </w:rPr>
        <w:t>为</w:t>
      </w:r>
      <w:r>
        <w:rPr>
          <w:rFonts w:hint="eastAsia" w:ascii="Times New Roman" w:hAnsi="Times New Roman" w:cs="Times New Roman"/>
          <w:kern w:val="0"/>
          <w:sz w:val="24"/>
          <w:szCs w:val="24"/>
          <w:highlight w:val="none"/>
          <w:lang w:val="en-US" w:eastAsia="zh-CN" w:bidi="ar"/>
        </w:rPr>
        <w:t>3.483</w:t>
      </w:r>
      <w:r>
        <w:rPr>
          <w:rFonts w:hint="default" w:ascii="Times New Roman" w:hAnsi="Times New Roman" w:cs="Times New Roman"/>
          <w:kern w:val="0"/>
          <w:sz w:val="24"/>
          <w:szCs w:val="24"/>
          <w:highlight w:val="none"/>
          <w:lang w:val="en-US" w:eastAsia="zh-CN" w:bidi="ar"/>
        </w:rPr>
        <w:t>tCO</w:t>
      </w:r>
      <w:r>
        <w:rPr>
          <w:rFonts w:hint="default" w:ascii="Times New Roman" w:hAnsi="Times New Roman" w:cs="Times New Roman"/>
          <w:kern w:val="0"/>
          <w:sz w:val="24"/>
          <w:szCs w:val="24"/>
          <w:highlight w:val="none"/>
          <w:vertAlign w:val="subscript"/>
          <w:lang w:val="en-US" w:eastAsia="zh-CN" w:bidi="ar"/>
        </w:rPr>
        <w:t>2</w:t>
      </w:r>
      <w:r>
        <w:rPr>
          <w:rFonts w:hint="default" w:ascii="Times New Roman" w:hAnsi="Times New Roman" w:eastAsia="宋体" w:cs="Times New Roman"/>
          <w:kern w:val="0"/>
          <w:sz w:val="24"/>
          <w:szCs w:val="24"/>
          <w:highlight w:val="none"/>
          <w:lang w:val="en-US" w:eastAsia="zh-CN" w:bidi="ar"/>
        </w:rPr>
        <w:t>/a。</w:t>
      </w:r>
    </w:p>
    <w:p w14:paraId="0B427317">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w:t>
      </w:r>
      <w:r>
        <w:rPr>
          <w:rFonts w:hint="default" w:ascii="Times New Roman" w:hAnsi="Times New Roman" w:cs="Times New Roman"/>
          <w:kern w:val="0"/>
          <w:sz w:val="24"/>
          <w:szCs w:val="24"/>
          <w:highlight w:val="none"/>
          <w:lang w:val="en-US" w:eastAsia="zh-CN" w:bidi="ar"/>
        </w:rPr>
        <w:t>2</w:t>
      </w:r>
      <w:r>
        <w:rPr>
          <w:rFonts w:hint="default" w:ascii="Times New Roman" w:hAnsi="Times New Roman" w:eastAsia="宋体" w:cs="Times New Roman"/>
          <w:kern w:val="0"/>
          <w:sz w:val="24"/>
          <w:szCs w:val="24"/>
          <w:highlight w:val="none"/>
          <w:lang w:val="en-US" w:eastAsia="zh-CN" w:bidi="ar"/>
        </w:rPr>
        <w:t>）协同降碳措施</w:t>
      </w:r>
    </w:p>
    <w:p w14:paraId="5318A387">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项目从厂内外运输、工艺技术、节能设备和能源及碳排放管理等方面均采取了一系列减污降碳措施，具体如下：</w:t>
      </w:r>
    </w:p>
    <w:p w14:paraId="4FDBB674">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①</w:t>
      </w:r>
      <w:r>
        <w:rPr>
          <w:rFonts w:hint="default" w:ascii="Times New Roman" w:hAnsi="Times New Roman" w:eastAsia="宋体" w:cs="Times New Roman"/>
          <w:kern w:val="0"/>
          <w:sz w:val="24"/>
          <w:szCs w:val="24"/>
          <w:highlight w:val="none"/>
          <w:lang w:val="en-US" w:eastAsia="zh-CN" w:bidi="ar"/>
        </w:rPr>
        <w:t>厂内运输减污降碳措施分析</w:t>
      </w:r>
    </w:p>
    <w:p w14:paraId="3A6A0E40">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1）项目在总图布置时，根据工艺生产的需要，按照工艺流向布置，物料顺行，合理分配运输量，减少物流，减少折返、迂回以及货物的重复装卸和搬运，减少厂内运输货物周转量，缩短运输距离，从而减少厂区内运输车辆、非道路移动机械等移动设备燃烧产生的CO</w:t>
      </w:r>
      <w:r>
        <w:rPr>
          <w:rFonts w:hint="default" w:ascii="Times New Roman" w:hAnsi="Times New Roman" w:eastAsia="宋体" w:cs="Times New Roman"/>
          <w:kern w:val="0"/>
          <w:sz w:val="24"/>
          <w:szCs w:val="24"/>
          <w:highlight w:val="none"/>
          <w:vertAlign w:val="subscript"/>
          <w:lang w:val="en-US" w:eastAsia="zh-CN" w:bidi="ar"/>
        </w:rPr>
        <w:t>2</w:t>
      </w:r>
      <w:r>
        <w:rPr>
          <w:rFonts w:hint="default" w:ascii="Times New Roman" w:hAnsi="Times New Roman" w:eastAsia="宋体" w:cs="Times New Roman"/>
          <w:kern w:val="0"/>
          <w:sz w:val="24"/>
          <w:szCs w:val="24"/>
          <w:highlight w:val="none"/>
          <w:lang w:val="en-US" w:eastAsia="zh-CN" w:bidi="ar"/>
        </w:rPr>
        <w:t>排放量。</w:t>
      </w:r>
    </w:p>
    <w:p w14:paraId="1E401827">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2）工艺设备和建构筑物合理布局，变配电设施设置在负荷中心，减少电力等能源输送损耗，减少电力隐含的CO</w:t>
      </w:r>
      <w:r>
        <w:rPr>
          <w:rFonts w:hint="default" w:ascii="Times New Roman" w:hAnsi="Times New Roman" w:eastAsia="宋体" w:cs="Times New Roman"/>
          <w:kern w:val="0"/>
          <w:sz w:val="24"/>
          <w:szCs w:val="24"/>
          <w:highlight w:val="none"/>
          <w:vertAlign w:val="subscript"/>
          <w:lang w:val="en-US" w:eastAsia="zh-CN" w:bidi="ar"/>
        </w:rPr>
        <w:t>2</w:t>
      </w:r>
      <w:r>
        <w:rPr>
          <w:rFonts w:hint="default" w:ascii="Times New Roman" w:hAnsi="Times New Roman" w:eastAsia="宋体" w:cs="Times New Roman"/>
          <w:kern w:val="0"/>
          <w:sz w:val="24"/>
          <w:szCs w:val="24"/>
          <w:highlight w:val="none"/>
          <w:lang w:val="en-US" w:eastAsia="zh-CN" w:bidi="ar"/>
        </w:rPr>
        <w:t>排放量。</w:t>
      </w:r>
    </w:p>
    <w:p w14:paraId="29D6F5F9">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②</w:t>
      </w:r>
      <w:r>
        <w:rPr>
          <w:rFonts w:hint="default" w:ascii="Times New Roman" w:hAnsi="Times New Roman" w:eastAsia="宋体" w:cs="Times New Roman"/>
          <w:kern w:val="0"/>
          <w:sz w:val="24"/>
          <w:szCs w:val="24"/>
          <w:highlight w:val="none"/>
          <w:lang w:val="en-US" w:eastAsia="zh-CN" w:bidi="ar"/>
        </w:rPr>
        <w:t>总图布置降碳措施分析</w:t>
      </w:r>
    </w:p>
    <w:p w14:paraId="117991AB">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总图布置充分考虑各工序间的有机衔接。通过优化前后工序之间的物料衔接，降低后续工序能耗；优化公辅系统与各工艺之间的布局，根据生产、加工储备、输送分配、使用等各环节的特点，量大优先，竖向布局，统筹兼顾，以减少过程损耗。达到工艺布局合理、物流顺畅、能耗最低的效果。</w:t>
      </w:r>
    </w:p>
    <w:p w14:paraId="7CBC4C01">
      <w:pPr>
        <w:pStyle w:val="11"/>
        <w:spacing w:after="0" w:line="360" w:lineRule="auto"/>
        <w:ind w:firstLine="480" w:firstLineChars="200"/>
        <w:rPr>
          <w:rFonts w:hint="default" w:ascii="Times New Roman" w:hAnsi="Times New Roman"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③工艺技术减污降碳措施分析</w:t>
      </w:r>
    </w:p>
    <w:p w14:paraId="06461BFD">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采用先进的工艺使工艺总用能最佳化，包括采用节能型流程、优化过程参数（如转化率、回流比、循环比等），提高装置操作弹性，改进反应操作条件，降低能量消耗。合理地实行装置间的联合，在较大范围内进行冷、热物流的优化匹配，实现能量利用的最优化。</w:t>
      </w:r>
    </w:p>
    <w:p w14:paraId="2C5E5606">
      <w:pPr>
        <w:pStyle w:val="11"/>
        <w:spacing w:after="0" w:line="360" w:lineRule="auto"/>
        <w:ind w:firstLine="480" w:firstLineChars="200"/>
        <w:rPr>
          <w:rFonts w:hint="default" w:ascii="Times New Roman" w:hAnsi="Times New Roman"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④其他降碳措施</w:t>
      </w:r>
    </w:p>
    <w:p w14:paraId="40170E3F">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优化电网结构。采用滤波治理和无功补偿（集中、就地补偿相结合），对电网进行无功，改善电能质量，提高功率因数。变频节能措施。根据智能制造要求，结合实施变频节能经验，扩大变频技术的应用范围，实现智慧控制，增产、优产、节电的效果。绿色照明节能措施。对全厂进行绿色照明设计，根据不同场合照明要求，设置合理照度，选择合适、高效的照明设备，采用不同的照明控制方案，减少浪费，实现照明节能。加强宣传教育。提高企业员工的减排低碳意识，处处从节能降耗做起。</w:t>
      </w:r>
    </w:p>
    <w:p w14:paraId="502E863E">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（3）</w:t>
      </w:r>
      <w:r>
        <w:rPr>
          <w:rFonts w:hint="default" w:ascii="Times New Roman" w:hAnsi="Times New Roman" w:eastAsia="宋体" w:cs="Times New Roman"/>
          <w:kern w:val="0"/>
          <w:sz w:val="24"/>
          <w:szCs w:val="24"/>
          <w:highlight w:val="none"/>
          <w:lang w:val="en-US" w:eastAsia="zh-CN" w:bidi="ar"/>
        </w:rPr>
        <w:t>碳排放评价结论</w:t>
      </w:r>
    </w:p>
    <w:p w14:paraId="219684F2">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本项目的建设符合国家碳排放政策；碳排放不会对区域碳达峰、碳中和造成明显影响，同时落实本项目提出的减污降碳措施后，碳排放强度会相应降低。碳排放控制措施与管理内容合理，监测计划能满足碳排放要求，因此，从碳排放角度分析，项目的建设具备环境可行性。</w:t>
      </w:r>
    </w:p>
    <w:p w14:paraId="24D6661F">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（4）</w:t>
      </w:r>
      <w:r>
        <w:rPr>
          <w:rFonts w:hint="default" w:ascii="Times New Roman" w:hAnsi="Times New Roman" w:eastAsia="宋体" w:cs="Times New Roman"/>
          <w:kern w:val="0"/>
          <w:sz w:val="24"/>
          <w:szCs w:val="24"/>
          <w:highlight w:val="none"/>
          <w:lang w:val="en-US" w:eastAsia="zh-CN" w:bidi="ar"/>
        </w:rPr>
        <w:t>碳排放评价建议</w:t>
      </w:r>
    </w:p>
    <w:p w14:paraId="1CA530FB">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eastAsia="宋体" w:cs="Times New Roman"/>
          <w:kern w:val="0"/>
          <w:sz w:val="24"/>
          <w:szCs w:val="24"/>
          <w:highlight w:val="none"/>
          <w:lang w:val="en-US" w:eastAsia="zh-CN" w:bidi="ar"/>
        </w:rPr>
        <w:t>本项目结合区域碳达峰行动方案、地区碳排放强度下降目标以及同行业、同类型企业碳排放强度对比情况等，明确提出建设项目进一步减污降碳的意见和建议。</w:t>
      </w:r>
    </w:p>
    <w:p w14:paraId="02ED7180">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①</w:t>
      </w:r>
      <w:r>
        <w:rPr>
          <w:rFonts w:hint="default" w:ascii="Times New Roman" w:hAnsi="Times New Roman" w:eastAsia="宋体" w:cs="Times New Roman"/>
          <w:kern w:val="0"/>
          <w:sz w:val="24"/>
          <w:szCs w:val="24"/>
          <w:highlight w:val="none"/>
          <w:lang w:val="en-US" w:eastAsia="zh-CN" w:bidi="ar"/>
        </w:rPr>
        <w:t>项目生产节能降耗技术主要从总图布局、工艺路线和主要用能工序工艺的选择、技术装备、公辅配置等，优先考虑节能。总图在用地红线内布局，通过优化生产工艺布置，公辅系统与各工艺之间的布局，根据生产、储备、输送分配、使用等各环节的特点，统筹兼顾，以减少过程损耗，达到工艺布局合理、物流顺畅、能耗最低的效果。</w:t>
      </w:r>
    </w:p>
    <w:p w14:paraId="426FFF3D">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②</w:t>
      </w:r>
      <w:r>
        <w:rPr>
          <w:rFonts w:hint="default" w:ascii="Times New Roman" w:hAnsi="Times New Roman" w:eastAsia="宋体" w:cs="Times New Roman"/>
          <w:kern w:val="0"/>
          <w:sz w:val="24"/>
          <w:szCs w:val="24"/>
          <w:highlight w:val="none"/>
          <w:lang w:val="en-US" w:eastAsia="zh-CN" w:bidi="ar"/>
        </w:rPr>
        <w:t>选用节能型变压器，以降低变压器损耗，按《用能单位能源计量器具配备和管理通则》（GB17167-2006）的要求，实行各生产线、工段耗能专人管理，建立合理奖罚制度，并严格执行，确保节能降耗工作落到实处。</w:t>
      </w:r>
    </w:p>
    <w:p w14:paraId="1829D830">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③</w:t>
      </w:r>
      <w:r>
        <w:rPr>
          <w:rFonts w:hint="default" w:ascii="Times New Roman" w:hAnsi="Times New Roman" w:eastAsia="宋体" w:cs="Times New Roman"/>
          <w:kern w:val="0"/>
          <w:sz w:val="24"/>
          <w:szCs w:val="24"/>
          <w:highlight w:val="none"/>
          <w:lang w:val="en-US" w:eastAsia="zh-CN" w:bidi="ar"/>
        </w:rPr>
        <w:t>建议企业尽可能安排集中连续生产，应杜绝大功率设备频繁启动，必要时安装软启动装置，减少设备启停对电网的影响。</w:t>
      </w:r>
    </w:p>
    <w:p w14:paraId="15EBEAC4">
      <w:pPr>
        <w:pStyle w:val="11"/>
        <w:spacing w:after="0" w:line="360" w:lineRule="auto"/>
        <w:ind w:firstLine="480" w:firstLineChars="200"/>
        <w:rPr>
          <w:rFonts w:hint="default" w:ascii="Times New Roman" w:hAnsi="Times New Roman" w:eastAsia="宋体" w:cs="Times New Roman"/>
          <w:kern w:val="0"/>
          <w:sz w:val="24"/>
          <w:szCs w:val="24"/>
          <w:highlight w:val="none"/>
          <w:lang w:val="en-US" w:eastAsia="zh-CN" w:bidi="ar"/>
        </w:rPr>
      </w:pPr>
      <w:r>
        <w:rPr>
          <w:rFonts w:hint="default" w:ascii="Times New Roman" w:hAnsi="Times New Roman" w:cs="Times New Roman"/>
          <w:kern w:val="0"/>
          <w:sz w:val="24"/>
          <w:szCs w:val="24"/>
          <w:highlight w:val="none"/>
          <w:lang w:val="en-US" w:eastAsia="zh-CN" w:bidi="ar"/>
        </w:rPr>
        <w:t>④</w:t>
      </w:r>
      <w:r>
        <w:rPr>
          <w:rFonts w:hint="default" w:ascii="Times New Roman" w:hAnsi="Times New Roman" w:eastAsia="宋体" w:cs="Times New Roman"/>
          <w:kern w:val="0"/>
          <w:sz w:val="24"/>
          <w:szCs w:val="24"/>
          <w:highlight w:val="none"/>
          <w:lang w:val="en-US" w:eastAsia="zh-CN" w:bidi="ar"/>
        </w:rPr>
        <w:t>建议企业根据能源法和统计法，建立健全能源利用和消费统计制度和管理制度。</w:t>
      </w:r>
    </w:p>
    <w:p w14:paraId="015B91E1">
      <w:pPr>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br w:type="page"/>
      </w:r>
    </w:p>
    <w:p w14:paraId="2A3D76EA">
      <w:pPr>
        <w:keepNext/>
        <w:keepLines/>
        <w:pageBreakBefore w:val="0"/>
        <w:widowControl/>
        <w:kinsoku/>
        <w:wordWrap/>
        <w:overflowPunct/>
        <w:topLinePunct w:val="0"/>
        <w:autoSpaceDE/>
        <w:autoSpaceDN/>
        <w:bidi w:val="0"/>
        <w:adjustRightInd/>
        <w:snapToGrid w:val="0"/>
        <w:spacing w:line="360" w:lineRule="auto"/>
        <w:jc w:val="left"/>
        <w:textAlignment w:val="auto"/>
        <w:outlineLvl w:val="0"/>
        <w:rPr>
          <w:rFonts w:hint="default" w:ascii="Times New Roman" w:hAnsi="Times New Roman" w:eastAsia="宋体" w:cs="Times New Roman"/>
          <w:sz w:val="24"/>
          <w:szCs w:val="16"/>
          <w:highlight w:val="none"/>
        </w:rPr>
      </w:pPr>
      <w:bookmarkStart w:id="984" w:name="_Toc9868262"/>
      <w:bookmarkStart w:id="985" w:name="_Toc31654"/>
      <w:bookmarkStart w:id="986" w:name="_Toc11287"/>
      <w:bookmarkStart w:id="987" w:name="_Toc11246"/>
      <w:r>
        <w:rPr>
          <w:rFonts w:hint="default" w:ascii="Times New Roman" w:hAnsi="Times New Roman" w:eastAsia="宋体" w:cs="Times New Roman"/>
          <w:b/>
          <w:bCs/>
          <w:sz w:val="24"/>
          <w:szCs w:val="16"/>
          <w:highlight w:val="none"/>
        </w:rPr>
        <w:t>6环境保护措施及其可行性论证</w:t>
      </w:r>
      <w:bookmarkEnd w:id="984"/>
      <w:bookmarkEnd w:id="985"/>
      <w:bookmarkEnd w:id="986"/>
      <w:bookmarkEnd w:id="987"/>
    </w:p>
    <w:p w14:paraId="5E107453">
      <w:pPr>
        <w:pStyle w:val="3"/>
        <w:pageBreakBefore w:val="0"/>
        <w:widowControl/>
        <w:kinsoku/>
        <w:wordWrap/>
        <w:overflowPunct/>
        <w:topLinePunct w:val="0"/>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988" w:name="_Toc14639"/>
      <w:bookmarkStart w:id="989" w:name="_Toc21773"/>
      <w:bookmarkStart w:id="990" w:name="_Toc9868263"/>
      <w:bookmarkStart w:id="991" w:name="_Toc13160"/>
      <w:r>
        <w:rPr>
          <w:rFonts w:hint="default" w:ascii="Times New Roman" w:hAnsi="Times New Roman" w:eastAsia="宋体" w:cs="Times New Roman"/>
          <w:sz w:val="24"/>
          <w:szCs w:val="18"/>
          <w:highlight w:val="none"/>
        </w:rPr>
        <w:t>6.1施工期环境保护措施</w:t>
      </w:r>
      <w:bookmarkEnd w:id="988"/>
      <w:bookmarkEnd w:id="989"/>
      <w:bookmarkEnd w:id="990"/>
      <w:bookmarkEnd w:id="991"/>
    </w:p>
    <w:p w14:paraId="7796CF65">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bookmarkStart w:id="992" w:name="_Toc9868264"/>
      <w:r>
        <w:rPr>
          <w:rFonts w:hint="default" w:ascii="Times New Roman" w:hAnsi="Times New Roman" w:cs="Times New Roman"/>
          <w:b/>
          <w:bCs w:val="0"/>
          <w:kern w:val="2"/>
          <w:sz w:val="24"/>
          <w:szCs w:val="24"/>
          <w:highlight w:val="none"/>
          <w:lang w:val="en-US" w:eastAsia="zh-CN"/>
        </w:rPr>
        <w:t>6.1.1施工期废气污染防治措施</w:t>
      </w:r>
    </w:p>
    <w:p w14:paraId="52EEE013">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在整个施工过程期间，施工产生的扬尘主要集中在土建施工阶段。扬尘的大小与施工现场条件、管理水平、施工季节及天气等诸多因素有关。施工期扬尘来源主要有以下几方面：</w:t>
      </w:r>
    </w:p>
    <w:p w14:paraId="0397DF1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土方挖掘、低洼处回填土时产生的扬尘；土方及建筑材料堆放过程产生的扬尘；施工垃圾的清理及堆放过程产生的扬尘；土方运输、建筑材料的运输途中产生的扬尘。施工扬尘的大小随施工季节、气象条件、工程内容和施工管理不同差别较大，影响范围可达100m～300m。因此，在建设期应对运输的道路及时清扫和浇水，并加强施工管理，控制施工期间的粉尘，避免对周围环境产生较大的影响。施工单位应加强管理，按进度、有计划地进行文明施工，并进一步采取以下措施：</w:t>
      </w:r>
    </w:p>
    <w:p w14:paraId="2C62533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（1）施工区域四周建设可重复利用的高围挡，减少扬尘对周边环境的影响。</w:t>
      </w:r>
    </w:p>
    <w:p w14:paraId="1E0AAAA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（2）严格控制车辆超载，尽量避免沙土洒漏，减少二次扬尘产生的来源。</w:t>
      </w:r>
    </w:p>
    <w:p w14:paraId="40EEBCC1">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（3）施工过程的渣土、垃圾、土堆必须有防尘措施并及时清运；建筑材料应存放在临时仓库内，或加盖苫布，防止风蚀扬尘。</w:t>
      </w:r>
    </w:p>
    <w:p w14:paraId="4E6B8C7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（4）基建完成应及时清理和平整场地，并立即着手项目绿化工作，绿化应与主体工程同步设计、建设和验收。</w:t>
      </w:r>
    </w:p>
    <w:p w14:paraId="7C26C001">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（5）施工现场严禁焚烧各类废弃物。</w:t>
      </w:r>
    </w:p>
    <w:p w14:paraId="48049415">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6）建筑施工现场在进行土方开挖、回填、转运作业前，应对可能造成的扬尘污染程度进行判定，在正常施工情况下不能有效控制扬尘的，应当对拟作业的土方采取增加土方湿度等处理措施，以有效减少扬尘污染。施工过程中应当采取有效降尘防尘措施，多余土方应及时清运出场。现场堆置需要回填使用的土方应进行表面固化和覆盖。</w:t>
      </w:r>
    </w:p>
    <w:p w14:paraId="7B753C42">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（7）干旱天气、重污染天气以及需要重点防控时段要增加洒水频次；出现五级及以上大风天气，必须采取防扬尘应急措施，且不得进行土方开挖、回填、转运作业及工程拆除等作业。</w:t>
      </w:r>
    </w:p>
    <w:p w14:paraId="70E7DC0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（8）另外，施工单位应按照《新疆维吾尔自治区大气污染防治条例》强化工地扬尘污染防治：</w:t>
      </w:r>
    </w:p>
    <w:p w14:paraId="0BAF8F36">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①建设工程开工前，按照标准在施工现场周边设置围挡，并对围挡进行维护；</w:t>
      </w:r>
    </w:p>
    <w:p w14:paraId="2FB9DB52">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②在施工现场出入口公示施工现场负责人、环保监督员、扬尘污染主要控制措施、举报电话等信息；</w:t>
      </w:r>
    </w:p>
    <w:p w14:paraId="620F6673">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③对施工现场内主要道路和物料堆放场地进行硬化，对其他裸露场地进行覆盖或者临时绿化，对土方进行集中堆放，并采取覆盖或者密闭等措施；</w:t>
      </w:r>
    </w:p>
    <w:p w14:paraId="7EFB4048">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④施工现场出口处应当设置车辆冲洗设施，施工车辆冲洗干净后方可上路行驶；</w:t>
      </w:r>
    </w:p>
    <w:p w14:paraId="46AFDF9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⑤及时对施工现场进行清理和平整，不得从高处向下倾倒或者抛洒各类物料和建筑垃圾。</w:t>
      </w:r>
    </w:p>
    <w:p w14:paraId="0A45E29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⑥运输、处置建筑垃圾，应当经工程所在地的县（市、区）人民政府确定的监督管理部门同意，按照规定的运输时间、路线和要求清运到指定的场所处理；在场地内堆存的，应当有效覆盖。</w:t>
      </w:r>
    </w:p>
    <w:p w14:paraId="513B3507">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⑦水泥、石灰、石膏、砂土等易产生扬尘的物料应当密闭存放，不能密闭的应当在其周围设置不低于堆放物高度的严密围挡，采取有效覆盖措施防止扬尘。</w:t>
      </w:r>
    </w:p>
    <w:p w14:paraId="41CCDEE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露天装卸物料应当采取密闭或者喷淋等抑尘措施；输送的物料应当在装料、卸料处配备吸尘、喷淋等防尘设施。</w:t>
      </w:r>
    </w:p>
    <w:p w14:paraId="3F25938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通过加强管理，采取评价建议措施，切实落实好防尘、降尘措施，施工扬尘不会对周围环境产生较大影响，同时其对环境的影响也将随着施工的结束而消失。</w:t>
      </w:r>
    </w:p>
    <w:p w14:paraId="1F16635A">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6.1.2施工期废水污染物防治措施</w:t>
      </w:r>
    </w:p>
    <w:p w14:paraId="74061CC5">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施工期间，生产废水和生活污水若不进行妥善处理，将会对外环境造成一定污染，因此对施工期废水要求做好以下防治措施：</w:t>
      </w:r>
    </w:p>
    <w:p w14:paraId="12A079C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（1）施工单位应对地面水的排放应进行有组织设计，严禁乱排、乱流污染环境。</w:t>
      </w:r>
    </w:p>
    <w:p w14:paraId="50C80387">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（2）严禁将施工废水直接排放。对施工产生的泥浆水及洗车平台废水应设置临时沉砂池，含泥沙雨水、泥浆水经沉砂池沉淀后全部回用。</w:t>
      </w:r>
    </w:p>
    <w:p w14:paraId="4E8B9BE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（3）施工期生活设施依托水泥厂现有生活设施。</w:t>
      </w:r>
    </w:p>
    <w:p w14:paraId="28D17B02">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6.1.3施工期噪声防治措施</w:t>
      </w:r>
    </w:p>
    <w:p w14:paraId="1ED991E4">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为减小施工噪声对周围环境的影响，评价建议应采取适当的措施来减轻其噪声的影响。主要包括：</w:t>
      </w:r>
    </w:p>
    <w:p w14:paraId="24809A7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（1）尽量采用低噪声机械，施工过程中还应经常对设备进行维修保养，避免由于设备性能差而使噪声增强现象的发生。</w:t>
      </w:r>
    </w:p>
    <w:p w14:paraId="103E29C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（2）做好施工期的噪声监理工作。应注意合理安排施工物料的运输，在途经村镇、学校时，应减速慢行、禁止鸣笛。</w:t>
      </w:r>
    </w:p>
    <w:p w14:paraId="2B056EB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（3）需要进行夜间连续施工时，应向等地生态环境部门备案。</w:t>
      </w:r>
    </w:p>
    <w:p w14:paraId="4AA0003D">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通过加强管理，切实落实好各项噪声防治措施，施工噪声不会对周围环境产生较大影响，同时其对环境的影响也将随着施工的结束而消失。</w:t>
      </w:r>
    </w:p>
    <w:p w14:paraId="14CF2FA0">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6.1.4施工期固体废物防治措施</w:t>
      </w:r>
    </w:p>
    <w:p w14:paraId="668EEA27">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施工期产生的固体废物主要为生活垃圾和建筑垃圾。</w:t>
      </w:r>
    </w:p>
    <w:p w14:paraId="2432D3B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（1）生活垃圾：生活垃圾应集中收集于封闭垃圾箱内，定期</w:t>
      </w:r>
      <w:r>
        <w:rPr>
          <w:rFonts w:hint="default" w:ascii="Times New Roman" w:hAnsi="Times New Roman" w:cs="Times New Roman"/>
          <w:sz w:val="24"/>
          <w:szCs w:val="24"/>
          <w:highlight w:val="none"/>
          <w:lang w:val="en-US" w:eastAsia="zh-CN"/>
        </w:rPr>
        <w:t>交环卫部门统一清运</w:t>
      </w:r>
      <w:r>
        <w:rPr>
          <w:rFonts w:hint="default" w:ascii="Times New Roman" w:hAnsi="Times New Roman" w:cs="Times New Roman"/>
          <w:sz w:val="24"/>
          <w:szCs w:val="24"/>
          <w:highlight w:val="none"/>
          <w:lang w:eastAsia="zh-CN"/>
        </w:rPr>
        <w:t>处理。</w:t>
      </w:r>
    </w:p>
    <w:p w14:paraId="3812753A">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2）建筑垃圾：施工期建筑垃圾主要包括渣土、残砖断瓦、废瓷片、废玻璃、废钢筋头、废金属碎片、废包装袋等。建筑垃圾若长期堆存，会产生扬尘，影响周围环境，应由施工方清运至管理部门指定的建筑垃圾堆放场。</w:t>
      </w:r>
    </w:p>
    <w:p w14:paraId="23670BC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施工过程中，固体废物经过以上措施处理后，不会对环境质量造成影响。</w:t>
      </w:r>
    </w:p>
    <w:p w14:paraId="456EDAFF">
      <w:pPr>
        <w:pStyle w:val="3"/>
        <w:pageBreakBefore w:val="0"/>
        <w:widowControl/>
        <w:kinsoku/>
        <w:wordWrap/>
        <w:overflowPunct/>
        <w:topLinePunct w:val="0"/>
        <w:bidi w:val="0"/>
        <w:adjustRightInd/>
        <w:spacing w:beforeLines="0" w:afterLines="0" w:line="360" w:lineRule="auto"/>
        <w:textAlignment w:val="auto"/>
        <w:rPr>
          <w:rFonts w:hint="default" w:ascii="Times New Roman" w:hAnsi="Times New Roman" w:eastAsia="宋体" w:cs="Times New Roman"/>
          <w:sz w:val="24"/>
          <w:szCs w:val="18"/>
          <w:highlight w:val="none"/>
        </w:rPr>
      </w:pPr>
      <w:bookmarkStart w:id="993" w:name="_Toc23216"/>
      <w:bookmarkStart w:id="994" w:name="_Toc21687"/>
      <w:bookmarkStart w:id="995" w:name="_Toc24043"/>
      <w:r>
        <w:rPr>
          <w:rFonts w:hint="default" w:ascii="Times New Roman" w:hAnsi="Times New Roman" w:eastAsia="宋体" w:cs="Times New Roman"/>
          <w:sz w:val="24"/>
          <w:szCs w:val="18"/>
          <w:highlight w:val="none"/>
        </w:rPr>
        <w:t>6.2营运期环境保护措施</w:t>
      </w:r>
      <w:bookmarkEnd w:id="992"/>
      <w:bookmarkEnd w:id="993"/>
      <w:bookmarkEnd w:id="994"/>
      <w:bookmarkEnd w:id="995"/>
    </w:p>
    <w:p w14:paraId="381394AC">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6.2.1废气污染防治措施</w:t>
      </w:r>
    </w:p>
    <w:p w14:paraId="256C6489">
      <w:pPr>
        <w:pStyle w:val="6"/>
        <w:rPr>
          <w:rFonts w:hint="default" w:ascii="Times New Roman" w:hAnsi="Times New Roman" w:cs="Times New Roman"/>
        </w:rPr>
      </w:pPr>
      <w:r>
        <w:rPr>
          <w:rFonts w:hint="default" w:ascii="Times New Roman" w:hAnsi="Times New Roman" w:cs="Times New Roman"/>
        </w:rPr>
        <w:t>水泥企业环境保护主要有两条途径，一条是实施清洁生产，即从生产工艺源头上消除污染，并对生产副产品加以充分利用，减少污染物产生量；另一条是实施环境治理措施，即对生产过程中产生的污染物在末端加以处理，减少污染物排放量，改善周围环境质量。本项目所产生的大气污染物是粉尘</w:t>
      </w:r>
      <w:r>
        <w:rPr>
          <w:rFonts w:hint="eastAsia" w:cs="Times New Roman"/>
          <w:lang w:eastAsia="zh-CN"/>
        </w:rPr>
        <w:t>，</w:t>
      </w:r>
      <w:r>
        <w:rPr>
          <w:rFonts w:hint="eastAsia" w:cs="Times New Roman"/>
          <w:lang w:val="en-US" w:eastAsia="zh-CN"/>
        </w:rPr>
        <w:t>根据危险废物的理化性质（甲磺酸钠无味，二甲基硫醚有不愉快气味）及运输途径（固态废物为吨袋，液态废物为管输），其过程不会产生恶臭气体</w:t>
      </w:r>
      <w:r>
        <w:rPr>
          <w:rFonts w:hint="default" w:ascii="Times New Roman" w:hAnsi="Times New Roman" w:cs="Times New Roman"/>
        </w:rPr>
        <w:t>。为了有效地减少污染物排放量，改善周围环境质量，项目污染物必须做到达标排放。</w:t>
      </w:r>
    </w:p>
    <w:p w14:paraId="1A9926E1">
      <w:pPr>
        <w:pStyle w:val="6"/>
        <w:rPr>
          <w:rFonts w:hint="default" w:ascii="Times New Roman" w:hAnsi="Times New Roman" w:eastAsia="宋体" w:cs="Times New Roman"/>
          <w:highlight w:val="none"/>
          <w:lang w:eastAsia="zh-CN"/>
        </w:rPr>
      </w:pP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1</w:t>
      </w:r>
      <w:r>
        <w:rPr>
          <w:rFonts w:hint="default" w:ascii="Times New Roman" w:hAnsi="Times New Roman" w:cs="Times New Roman"/>
          <w:highlight w:val="none"/>
          <w:lang w:eastAsia="zh-CN"/>
        </w:rPr>
        <w:t>）</w:t>
      </w:r>
      <w:r>
        <w:rPr>
          <w:rFonts w:hint="eastAsia" w:cs="Times New Roman"/>
          <w:highlight w:val="none"/>
          <w:lang w:val="en-US" w:eastAsia="zh-CN"/>
        </w:rPr>
        <w:t>投料车间</w:t>
      </w:r>
      <w:r>
        <w:rPr>
          <w:rFonts w:hint="default" w:ascii="Times New Roman" w:hAnsi="Times New Roman" w:cs="Times New Roman"/>
          <w:highlight w:val="none"/>
          <w:lang w:eastAsia="zh-CN"/>
        </w:rPr>
        <w:t>废气治理措施</w:t>
      </w:r>
    </w:p>
    <w:p w14:paraId="17EC4AB7">
      <w:pPr>
        <w:pStyle w:val="6"/>
        <w:rPr>
          <w:rFonts w:hint="default" w:ascii="Times New Roman" w:hAnsi="Times New Roman" w:cs="Times New Roman"/>
          <w:highlight w:val="none"/>
        </w:rPr>
      </w:pPr>
      <w:r>
        <w:rPr>
          <w:rFonts w:hint="eastAsia" w:ascii="Times New Roman" w:hAnsi="Times New Roman" w:cs="Times New Roman"/>
          <w:highlight w:val="none"/>
          <w:lang w:val="en-US" w:eastAsia="zh-CN"/>
        </w:rPr>
        <w:t>①</w:t>
      </w:r>
      <w:r>
        <w:rPr>
          <w:rFonts w:hint="default" w:ascii="Times New Roman" w:hAnsi="Times New Roman" w:cs="Times New Roman"/>
          <w:highlight w:val="none"/>
        </w:rPr>
        <w:t>治理措施要求</w:t>
      </w:r>
    </w:p>
    <w:p w14:paraId="07E21B55">
      <w:pPr>
        <w:pStyle w:val="6"/>
        <w:rPr>
          <w:rFonts w:hint="eastAsia" w:cs="Times New Roman"/>
          <w:highlight w:val="none"/>
          <w:lang w:val="en-US" w:eastAsia="zh-CN"/>
        </w:rPr>
      </w:pPr>
      <w:r>
        <w:rPr>
          <w:rFonts w:hint="eastAsia" w:cs="Times New Roman"/>
          <w:highlight w:val="none"/>
          <w:lang w:val="en-US" w:eastAsia="zh-CN"/>
        </w:rPr>
        <w:t>本项目危险废物不在厂区贮存，因此不会产生贮存废气，投料车间预处理系统和输送系统均为全密闭，破碎、打散及输送过程产生的颗粒物经布袋除尘器处理后由15m排气筒排放。</w:t>
      </w:r>
    </w:p>
    <w:p w14:paraId="0CAFAD28">
      <w:pPr>
        <w:pStyle w:val="6"/>
        <w:rPr>
          <w:rFonts w:hint="default" w:ascii="Times New Roman" w:hAnsi="Times New Roman" w:cs="Times New Roman"/>
          <w:highlight w:val="yellow"/>
        </w:rPr>
      </w:pPr>
      <w:r>
        <w:rPr>
          <w:rFonts w:hint="eastAsia" w:cs="Times New Roman"/>
          <w:highlight w:val="none"/>
          <w:lang w:val="en-US" w:eastAsia="zh-CN"/>
        </w:rPr>
        <w:t>根据项目固态危险废物年处理量200t/a，运输车辆载重为3t/车，因此项目运输车辆运输频次为1次/日，车辆或者危险废物运输车进入时由专人开启，这样可将大部分废气关闭在车间内，以避免其外逸。建设单位须对密封设施进行定期检查，及时更换破损的密封件，以防止废气外逸。</w:t>
      </w:r>
    </w:p>
    <w:p w14:paraId="305C123F">
      <w:pPr>
        <w:pStyle w:val="6"/>
        <w:rPr>
          <w:rFonts w:hint="default" w:ascii="Times New Roman" w:hAnsi="Times New Roman" w:cs="Times New Roman"/>
          <w:highlight w:val="none"/>
        </w:rPr>
      </w:pPr>
      <w:r>
        <w:rPr>
          <w:rFonts w:hint="eastAsia" w:ascii="Times New Roman" w:hAnsi="Times New Roman" w:cs="Times New Roman"/>
          <w:highlight w:val="none"/>
          <w:lang w:val="en-US" w:eastAsia="zh-CN"/>
        </w:rPr>
        <w:t>②</w:t>
      </w:r>
      <w:r>
        <w:rPr>
          <w:rFonts w:hint="default" w:ascii="Times New Roman" w:hAnsi="Times New Roman" w:cs="Times New Roman"/>
          <w:highlight w:val="none"/>
        </w:rPr>
        <w:t>废气治理工艺及设施</w:t>
      </w:r>
    </w:p>
    <w:p w14:paraId="513639CF">
      <w:pPr>
        <w:pStyle w:val="6"/>
        <w:rPr>
          <w:rFonts w:hint="default" w:ascii="Times New Roman" w:hAnsi="Times New Roman" w:cs="Times New Roman"/>
          <w:highlight w:val="none"/>
        </w:rPr>
      </w:pPr>
      <w:r>
        <w:rPr>
          <w:rFonts w:hint="default" w:ascii="Times New Roman" w:hAnsi="Times New Roman" w:cs="Times New Roman"/>
          <w:highlight w:val="none"/>
        </w:rPr>
        <w:t>1）正常工况废气治理措施</w:t>
      </w:r>
    </w:p>
    <w:p w14:paraId="187AA9A0">
      <w:pPr>
        <w:pStyle w:val="6"/>
        <w:rPr>
          <w:rFonts w:hint="default" w:ascii="Times New Roman" w:hAnsi="Times New Roman" w:cs="Times New Roman"/>
          <w:highlight w:val="none"/>
        </w:rPr>
      </w:pPr>
      <w:r>
        <w:rPr>
          <w:rFonts w:hint="default" w:ascii="Times New Roman" w:hAnsi="Times New Roman" w:cs="Times New Roman"/>
          <w:highlight w:val="none"/>
        </w:rPr>
        <w:t>布袋除尘器的工作机理是含尘烟气通过过滤材料，尘粒被过滤下来，过滤材料捕集粗粒粉尘主要靠惯性碰撞作用，捕集细粒粉尘主要靠扩散和筛分作用。滤料的粉尘层也有一定的过滤作用。布袋除尘具备的优势：</w:t>
      </w:r>
    </w:p>
    <w:p w14:paraId="128C0BC6">
      <w:pPr>
        <w:pStyle w:val="6"/>
        <w:rPr>
          <w:rFonts w:hint="default" w:ascii="Times New Roman" w:hAnsi="Times New Roman" w:cs="Times New Roman"/>
          <w:highlight w:val="none"/>
        </w:rPr>
      </w:pPr>
      <w:r>
        <w:rPr>
          <w:rFonts w:hint="default" w:ascii="Times New Roman" w:hAnsi="Times New Roman" w:cs="Times New Roman"/>
          <w:highlight w:val="none"/>
        </w:rPr>
        <w:t>a.重力沉降作用</w:t>
      </w:r>
    </w:p>
    <w:p w14:paraId="5A026BB9">
      <w:pPr>
        <w:pStyle w:val="6"/>
        <w:rPr>
          <w:rFonts w:hint="default" w:ascii="Times New Roman" w:hAnsi="Times New Roman" w:cs="Times New Roman"/>
          <w:highlight w:val="none"/>
        </w:rPr>
      </w:pPr>
      <w:r>
        <w:rPr>
          <w:rFonts w:hint="default" w:ascii="Times New Roman" w:hAnsi="Times New Roman" w:cs="Times New Roman"/>
          <w:highlight w:val="none"/>
        </w:rPr>
        <w:t>含尘气体进入布袋除尘器时，颗粒大、比重大的粉尘，在重力作用下沉降下来，这和布袋除尘器的作用完全相同。</w:t>
      </w:r>
    </w:p>
    <w:p w14:paraId="7166B6A6">
      <w:pPr>
        <w:pStyle w:val="6"/>
        <w:rPr>
          <w:rFonts w:hint="default" w:ascii="Times New Roman" w:hAnsi="Times New Roman" w:cs="Times New Roman"/>
          <w:highlight w:val="none"/>
        </w:rPr>
      </w:pPr>
      <w:r>
        <w:rPr>
          <w:rFonts w:hint="default" w:ascii="Times New Roman" w:hAnsi="Times New Roman" w:cs="Times New Roman"/>
          <w:highlight w:val="none"/>
        </w:rPr>
        <w:t>b.筛滤作用</w:t>
      </w:r>
    </w:p>
    <w:p w14:paraId="389CB234">
      <w:pPr>
        <w:pStyle w:val="6"/>
        <w:rPr>
          <w:rFonts w:hint="default" w:ascii="Times New Roman" w:hAnsi="Times New Roman" w:cs="Times New Roman"/>
          <w:highlight w:val="none"/>
        </w:rPr>
      </w:pPr>
      <w:r>
        <w:rPr>
          <w:rFonts w:hint="default" w:ascii="Times New Roman" w:hAnsi="Times New Roman" w:cs="Times New Roman"/>
          <w:highlight w:val="none"/>
        </w:rPr>
        <w:t>当粉尘的颗粒直径较滤料的纤维间的空隙或滤料上粉尘间的间隙大时，粉尘在气流通过时即被阻留下来，此即称为筛滤作用。当滤料上积存粉尘增多时,这种作用就比较显著起来</w:t>
      </w:r>
    </w:p>
    <w:p w14:paraId="199D575D">
      <w:pPr>
        <w:pStyle w:val="6"/>
        <w:rPr>
          <w:rFonts w:hint="default" w:ascii="Times New Roman" w:hAnsi="Times New Roman" w:cs="Times New Roman"/>
          <w:highlight w:val="none"/>
        </w:rPr>
      </w:pPr>
      <w:r>
        <w:rPr>
          <w:rFonts w:hint="default" w:ascii="Times New Roman" w:hAnsi="Times New Roman" w:cs="Times New Roman"/>
          <w:highlight w:val="none"/>
        </w:rPr>
        <w:t>c.惯性力作用</w:t>
      </w:r>
    </w:p>
    <w:p w14:paraId="36EEAEDD">
      <w:pPr>
        <w:pStyle w:val="6"/>
        <w:rPr>
          <w:rFonts w:hint="default" w:ascii="Times New Roman" w:hAnsi="Times New Roman" w:cs="Times New Roman"/>
          <w:highlight w:val="none"/>
        </w:rPr>
      </w:pPr>
      <w:r>
        <w:rPr>
          <w:rFonts w:hint="default" w:ascii="Times New Roman" w:hAnsi="Times New Roman" w:cs="Times New Roman"/>
          <w:highlight w:val="none"/>
        </w:rPr>
        <w:t>气流通过滤料时，可绕纤维而过，而较大的粉尘颗粒在惯性力的作用下，仍按原方向运动，遂与滤料相撞而被捕获。</w:t>
      </w:r>
    </w:p>
    <w:p w14:paraId="1DE55025">
      <w:pPr>
        <w:pStyle w:val="6"/>
        <w:rPr>
          <w:rFonts w:hint="default" w:ascii="Times New Roman" w:hAnsi="Times New Roman" w:cs="Times New Roman"/>
          <w:highlight w:val="none"/>
        </w:rPr>
      </w:pPr>
      <w:r>
        <w:rPr>
          <w:rFonts w:hint="default" w:ascii="Times New Roman" w:hAnsi="Times New Roman" w:cs="Times New Roman"/>
          <w:highlight w:val="none"/>
        </w:rPr>
        <w:t>d.热运动作用</w:t>
      </w:r>
    </w:p>
    <w:p w14:paraId="3AEA9CDE">
      <w:pPr>
        <w:pStyle w:val="6"/>
        <w:rPr>
          <w:rFonts w:hint="default" w:ascii="Times New Roman" w:hAnsi="Times New Roman" w:cs="Times New Roman"/>
          <w:highlight w:val="none"/>
        </w:rPr>
      </w:pPr>
      <w:r>
        <w:rPr>
          <w:rFonts w:hint="default" w:ascii="Times New Roman" w:hAnsi="Times New Roman" w:cs="Times New Roman"/>
          <w:highlight w:val="none"/>
        </w:rPr>
        <w:t>质轻体小的粉尘(1微米以下)，随气流运动，非常接近于气流流线，能绕纤维。但它们在受到作布朗运动的气体分子的碰撞之后，便改变原来的运动方向，这就增加了粉尘与纤维的接触机会，使粉尘能够被捕获。当滤料纤维直径越细，空隙率越小、其捕获率就越高，所以越有利于除尘。袋式除尘器已广泛应用于各个工业部门中，用以捕集非粘结非纤维性的工业粉尘和挥发物，捕获粉尘微粒可达0.1微米。袋式除尘器具有很高的净化效率。</w:t>
      </w:r>
    </w:p>
    <w:p w14:paraId="75C1BBA1">
      <w:pPr>
        <w:pStyle w:val="6"/>
        <w:rPr>
          <w:rFonts w:hint="default" w:ascii="Times New Roman" w:hAnsi="Times New Roman" w:cs="Times New Roman"/>
          <w:highlight w:val="none"/>
        </w:rPr>
      </w:pPr>
      <w:r>
        <w:rPr>
          <w:rFonts w:hint="default" w:ascii="Times New Roman" w:hAnsi="Times New Roman" w:cs="Times New Roman"/>
          <w:highlight w:val="none"/>
        </w:rPr>
        <w:t>2）非正常工况废气治理措施</w:t>
      </w:r>
    </w:p>
    <w:p w14:paraId="215DB8E3">
      <w:pPr>
        <w:pStyle w:val="6"/>
      </w:pPr>
      <w:r>
        <w:t>根据</w:t>
      </w:r>
      <w:r>
        <w:rPr>
          <w:rFonts w:hint="eastAsia"/>
        </w:rPr>
        <w:t>《水泥工业大气污染物排放标准》（GB4915-2013）（含2025年修改单）</w:t>
      </w:r>
      <w:r>
        <w:t>：“4.3.2净化处理装置应与其对应的生产工艺设备同步运转。应保证在生产工艺设备运行波动情况下净化处理装置仍能正常运转，实现达标排放。因净化处理装置故障造成非正常排放，应停止运转对应的生产工艺设备，待检修完毕后共同投入使用。”</w:t>
      </w:r>
    </w:p>
    <w:p w14:paraId="18BE7B4C">
      <w:pPr>
        <w:pStyle w:val="6"/>
      </w:pPr>
      <w:r>
        <w:t>根据《水泥窑协同处置固体废物污染控制标准》（GB30485-2013）：“6.3在水泥窑达到正常生产工况并稳定运行至少4小时后，方可开始投加固体废物；因水泥窑维修、事故检修等原因停窑前至少4小时内禁止投加固体废物。6.4当水泥窑出现故障或事故造成运行工况不正常，如窑内温度明显下降、烟气中污染物浓度明显升高等情况时，必须立即停止投加固体废物，待查明原因并恢复正常运行后方可恢复投加。”</w:t>
      </w:r>
    </w:p>
    <w:p w14:paraId="51A696FA">
      <w:pPr>
        <w:pStyle w:val="6"/>
        <w:rPr>
          <w:rFonts w:hint="default" w:ascii="Times New Roman" w:hAnsi="Times New Roman" w:cs="Times New Roman"/>
          <w:highlight w:val="none"/>
        </w:rPr>
      </w:pPr>
      <w:r>
        <w:rPr>
          <w:rFonts w:hint="default" w:ascii="Times New Roman" w:hAnsi="Times New Roman" w:cs="Times New Roman"/>
          <w:highlight w:val="none"/>
          <w:lang w:val="en-US" w:eastAsia="zh-CN"/>
        </w:rPr>
        <w:t>故本项目</w:t>
      </w:r>
      <w:r>
        <w:rPr>
          <w:rFonts w:hint="default" w:ascii="Times New Roman" w:hAnsi="Times New Roman" w:cs="Times New Roman"/>
          <w:highlight w:val="none"/>
        </w:rPr>
        <w:t>回转窑检修停车等非正常工况时，检修停车</w:t>
      </w:r>
      <w:r>
        <w:rPr>
          <w:rFonts w:hint="default" w:ascii="Times New Roman" w:hAnsi="Times New Roman" w:cs="Times New Roman"/>
          <w:highlight w:val="none"/>
          <w:lang w:val="en-US" w:eastAsia="zh-CN"/>
        </w:rPr>
        <w:t>前4小时停止投加危险废物，此时不再从新疆兴发化工有限公司拉运危险废物至项目区，因此停窑期间无废气污染物排放</w:t>
      </w:r>
      <w:r>
        <w:rPr>
          <w:rFonts w:hint="eastAsia" w:cs="Times New Roman"/>
          <w:highlight w:val="none"/>
          <w:lang w:val="en-US" w:eastAsia="zh-CN"/>
        </w:rPr>
        <w:t>。</w:t>
      </w:r>
    </w:p>
    <w:p w14:paraId="549E746F">
      <w:pPr>
        <w:pStyle w:val="6"/>
        <w:rPr>
          <w:rFonts w:hint="default" w:ascii="Times New Roman" w:hAnsi="Times New Roman" w:eastAsia="宋体" w:cs="Times New Roman"/>
          <w:lang w:eastAsia="zh-CN"/>
        </w:rPr>
      </w:pPr>
      <w:r>
        <w:rPr>
          <w:rFonts w:hint="eastAsia" w:ascii="Times New Roman" w:hAnsi="Times New Roman" w:cs="Times New Roman"/>
          <w:lang w:val="en-US" w:eastAsia="zh-CN"/>
        </w:rPr>
        <w:t>（2）</w:t>
      </w:r>
      <w:r>
        <w:rPr>
          <w:rFonts w:hint="default" w:ascii="Times New Roman" w:hAnsi="Times New Roman" w:cs="Times New Roman"/>
          <w:lang w:eastAsia="zh-CN"/>
        </w:rPr>
        <w:t>水泥窑烧成系统废气治理措施</w:t>
      </w:r>
    </w:p>
    <w:p w14:paraId="53CA7DC5">
      <w:pPr>
        <w:pStyle w:val="6"/>
        <w:rPr>
          <w:rFonts w:hint="default" w:ascii="Times New Roman" w:hAnsi="Times New Roman" w:cs="Times New Roman"/>
        </w:rPr>
      </w:pPr>
      <w:r>
        <w:rPr>
          <w:rFonts w:hint="default" w:ascii="Times New Roman" w:hAnsi="Times New Roman" w:cs="Times New Roman"/>
        </w:rPr>
        <w:t>根据《水泥窑协同处置固体废物污染物控制标准编制说明》，水泥窑协同处置危险废物时，水泥生产过程中的水泥煅烧系统仍是最重要的大气污染物排放源，其中烟尘、SO</w:t>
      </w:r>
      <w:r>
        <w:rPr>
          <w:rFonts w:hint="default" w:ascii="Times New Roman" w:hAnsi="Times New Roman" w:cs="Times New Roman"/>
          <w:vertAlign w:val="subscript"/>
        </w:rPr>
        <w:t>2</w:t>
      </w:r>
      <w:r>
        <w:rPr>
          <w:rFonts w:hint="default" w:ascii="Times New Roman" w:hAnsi="Times New Roman" w:cs="Times New Roman"/>
        </w:rPr>
        <w:t>、NO</w:t>
      </w:r>
      <w:r>
        <w:rPr>
          <w:rFonts w:hint="default" w:ascii="Times New Roman" w:hAnsi="Times New Roman" w:cs="Times New Roman"/>
          <w:vertAlign w:val="subscript"/>
        </w:rPr>
        <w:t>x</w:t>
      </w:r>
      <w:r>
        <w:rPr>
          <w:rFonts w:hint="default" w:ascii="Times New Roman" w:hAnsi="Times New Roman" w:cs="Times New Roman"/>
        </w:rPr>
        <w:t>、NH</w:t>
      </w:r>
      <w:r>
        <w:rPr>
          <w:rFonts w:hint="default" w:ascii="Times New Roman" w:hAnsi="Times New Roman" w:cs="Times New Roman"/>
          <w:vertAlign w:val="subscript"/>
        </w:rPr>
        <w:t>3</w:t>
      </w:r>
      <w:r>
        <w:rPr>
          <w:rFonts w:hint="default" w:ascii="Times New Roman" w:hAnsi="Times New Roman" w:cs="Times New Roman"/>
        </w:rPr>
        <w:t>排放量与水泥窑的废物协同处置过程无关。本项目利用现有水泥窑处置危险废物，</w:t>
      </w:r>
      <w:r>
        <w:rPr>
          <w:rFonts w:hint="eastAsia"/>
          <w:lang w:val="en-US" w:eastAsia="zh-CN"/>
        </w:rPr>
        <w:t>处置的危险废物</w:t>
      </w:r>
      <w:r>
        <w:rPr>
          <w:rFonts w:hint="eastAsia"/>
          <w:color w:val="auto"/>
          <w:lang w:val="en-US" w:eastAsia="zh-CN"/>
        </w:rPr>
        <w:t>甲磺酸钠及二甲基硫醚中不含有重金属、氟及氯，热</w:t>
      </w:r>
      <w:r>
        <w:rPr>
          <w:rFonts w:hint="eastAsia"/>
          <w:lang w:val="en-US" w:eastAsia="zh-CN"/>
        </w:rPr>
        <w:t>分解后产生的污染物主要为</w:t>
      </w:r>
      <w:r>
        <w:t>SO</w:t>
      </w:r>
      <w:r>
        <w:rPr>
          <w:vertAlign w:val="subscript"/>
        </w:rPr>
        <w:t>2</w:t>
      </w:r>
      <w:r>
        <w:t>、NO</w:t>
      </w:r>
      <w:r>
        <w:rPr>
          <w:vertAlign w:val="subscript"/>
        </w:rPr>
        <w:t>x</w:t>
      </w:r>
      <w:r>
        <w:rPr>
          <w:rFonts w:hint="eastAsia"/>
          <w:lang w:eastAsia="zh-CN"/>
        </w:rPr>
        <w:t>、</w:t>
      </w:r>
      <w:r>
        <w:rPr>
          <w:rFonts w:hint="eastAsia"/>
          <w:lang w:val="en-US" w:eastAsia="zh-CN"/>
        </w:rPr>
        <w:t>水蒸气等，</w:t>
      </w:r>
      <w:r>
        <w:t>项目实施后，现有工程窑尾烟囱中颗粒物、SO</w:t>
      </w:r>
      <w:r>
        <w:rPr>
          <w:vertAlign w:val="subscript"/>
        </w:rPr>
        <w:t>2</w:t>
      </w:r>
      <w:r>
        <w:t>、NO</w:t>
      </w:r>
      <w:r>
        <w:rPr>
          <w:rFonts w:hint="eastAsia"/>
          <w:vertAlign w:val="subscript"/>
          <w:lang w:val="en-US" w:eastAsia="zh-CN"/>
        </w:rPr>
        <w:t>x</w:t>
      </w:r>
      <w:r>
        <w:t>、NH</w:t>
      </w:r>
      <w:r>
        <w:rPr>
          <w:vertAlign w:val="subscript"/>
        </w:rPr>
        <w:t>3</w:t>
      </w:r>
      <w:r>
        <w:t>等四项污染物排放量（包括排放方式、排放强度）不发生变化</w:t>
      </w:r>
      <w:r>
        <w:rPr>
          <w:rFonts w:hint="default" w:ascii="Times New Roman" w:hAnsi="Times New Roman" w:cs="Times New Roman"/>
        </w:rPr>
        <w:t>。</w:t>
      </w:r>
    </w:p>
    <w:p w14:paraId="229D058F">
      <w:pPr>
        <w:pStyle w:val="6"/>
        <w:rPr>
          <w:rFonts w:hint="default" w:ascii="Times New Roman" w:hAnsi="Times New Roman" w:cs="Times New Roman"/>
        </w:rPr>
      </w:pPr>
      <w:r>
        <w:rPr>
          <w:rFonts w:hint="default" w:ascii="Times New Roman" w:hAnsi="Times New Roman" w:cs="Times New Roman"/>
        </w:rPr>
        <w:t>根据《水泥窑协同处置固体废物环境保护技术规范》（HJ662-2013）规定用于协同处置固体废物的水泥窑及窑尾余热利用系统采用高效布袋除尘器作为烟气除尘设施，保证排放烟气中颗粒物浓度满足《水泥窑协同处置固体废物污染物控制标准》（GB30485-2013）要求，</w:t>
      </w:r>
      <w:r>
        <w:rPr>
          <w:rFonts w:hint="eastAsia" w:ascii="Times New Roman" w:hAnsi="Times New Roman" w:cs="Times New Roman"/>
          <w:lang w:val="en-US" w:eastAsia="zh-CN"/>
        </w:rPr>
        <w:t>企业</w:t>
      </w:r>
      <w:r>
        <w:rPr>
          <w:rFonts w:hint="default" w:ascii="Times New Roman" w:hAnsi="Times New Roman" w:cs="Times New Roman"/>
        </w:rPr>
        <w:t>水泥窑烧成系统采用</w:t>
      </w:r>
      <w:r>
        <w:rPr>
          <w:rFonts w:hint="eastAsia" w:ascii="Times New Roman" w:hAnsi="Times New Roman" w:cs="Times New Roman"/>
          <w:lang w:val="en-US" w:eastAsia="zh-CN"/>
        </w:rPr>
        <w:t>低氮燃烧+</w:t>
      </w:r>
      <w:r>
        <w:rPr>
          <w:rFonts w:hint="default" w:ascii="Times New Roman" w:hAnsi="Times New Roman" w:cs="Times New Roman"/>
        </w:rPr>
        <w:t>SNCR+</w:t>
      </w:r>
      <w:r>
        <w:rPr>
          <w:rFonts w:hint="default" w:ascii="Times New Roman" w:hAnsi="Times New Roman" w:cs="Times New Roman"/>
          <w:highlight w:val="none"/>
        </w:rPr>
        <w:t>增湿塔（急冷）</w:t>
      </w:r>
      <w:r>
        <w:rPr>
          <w:rFonts w:hint="default" w:ascii="Times New Roman" w:hAnsi="Times New Roman" w:cs="Times New Roman"/>
        </w:rPr>
        <w:t>+电除尘+布袋除尘，符合技术规范。烧成系统烟气治理措施工艺流程示意见</w:t>
      </w:r>
      <w:r>
        <w:rPr>
          <w:rFonts w:hint="default" w:ascii="Times New Roman" w:hAnsi="Times New Roman" w:cs="Times New Roman"/>
        </w:rPr>
        <w:fldChar w:fldCharType="begin"/>
      </w:r>
      <w:r>
        <w:rPr>
          <w:rFonts w:hint="default" w:ascii="Times New Roman" w:hAnsi="Times New Roman" w:cs="Times New Roman"/>
        </w:rPr>
        <w:instrText xml:space="preserve"> REF _Ref130291723 \h  \* MERGEFORMAT </w:instrText>
      </w:r>
      <w:r>
        <w:rPr>
          <w:rFonts w:hint="default" w:ascii="Times New Roman" w:hAnsi="Times New Roman" w:cs="Times New Roman"/>
        </w:rPr>
        <w:fldChar w:fldCharType="separate"/>
      </w:r>
      <w:r>
        <w:rPr>
          <w:rFonts w:hint="default" w:ascii="Times New Roman" w:hAnsi="Times New Roman" w:cs="Times New Roman"/>
        </w:rPr>
        <w:t>图6.2</w:t>
      </w:r>
      <w:r>
        <w:rPr>
          <w:rFonts w:hint="default" w:ascii="Times New Roman" w:hAnsi="Times New Roman" w:cs="Times New Roman"/>
        </w:rPr>
        <w:noBreakHyphen/>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w:t>
      </w:r>
    </w:p>
    <w:p w14:paraId="542A8C11">
      <w:pPr>
        <w:pStyle w:val="205"/>
        <w:rPr>
          <w:rFonts w:hint="default" w:ascii="Times New Roman" w:hAnsi="Times New Roman" w:cs="Times New Roman"/>
        </w:rPr>
      </w:pPr>
      <w:r>
        <w:rPr>
          <w:rFonts w:hint="default" w:ascii="Times New Roman" w:hAnsi="Times New Roman" w:cs="Times New Roman"/>
        </w:rPr>
        <w:object>
          <v:shape id="_x0000_i1043" o:spt="75" type="#_x0000_t75" style="height:85.05pt;width:333.9pt;" o:ole="t" filled="f" o:preferrelative="t" stroked="f" coordsize="21600,21600">
            <v:path/>
            <v:fill on="f" focussize="0,0"/>
            <v:stroke on="f"/>
            <v:imagedata r:id="rId78" o:title=""/>
            <o:lock v:ext="edit" aspectratio="t"/>
            <w10:wrap type="none"/>
            <w10:anchorlock/>
          </v:shape>
          <o:OLEObject Type="Embed" ProgID="Visio.Drawing.11" ShapeID="_x0000_i1043" DrawAspect="Content" ObjectID="_1468075745" r:id="rId77">
            <o:LockedField>false</o:LockedField>
          </o:OLEObject>
        </w:object>
      </w:r>
    </w:p>
    <w:p w14:paraId="55E269EC">
      <w:pPr>
        <w:pStyle w:val="52"/>
        <w:jc w:val="left"/>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注：急冷工艺依托现有水泥熟料生产线增湿塔。</w:t>
      </w:r>
    </w:p>
    <w:p w14:paraId="6E2741A5">
      <w:pPr>
        <w:pStyle w:val="205"/>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textAlignment w:val="auto"/>
        <w:rPr>
          <w:rFonts w:hint="default" w:ascii="Times New Roman" w:hAnsi="Times New Roman" w:eastAsia="宋体" w:cs="Times New Roman"/>
          <w:b/>
          <w:bCs/>
          <w:highlight w:val="none"/>
        </w:rPr>
      </w:pPr>
      <w:bookmarkStart w:id="996" w:name="_Ref130291723"/>
      <w:r>
        <w:rPr>
          <w:rFonts w:hint="default" w:ascii="Times New Roman" w:hAnsi="Times New Roman" w:eastAsia="宋体" w:cs="Times New Roman"/>
          <w:b/>
          <w:bCs/>
          <w:highlight w:val="none"/>
        </w:rPr>
        <w:t>图</w:t>
      </w:r>
      <w:r>
        <w:rPr>
          <w:rFonts w:hint="eastAsia" w:ascii="Times New Roman" w:hAnsi="Times New Roman" w:eastAsia="宋体" w:cs="Times New Roman"/>
          <w:b/>
          <w:bCs/>
          <w:highlight w:val="none"/>
          <w:lang w:val="en-US" w:eastAsia="zh-CN"/>
        </w:rPr>
        <w:t>6.2-</w:t>
      </w:r>
      <w:r>
        <w:rPr>
          <w:rFonts w:hint="default" w:ascii="Times New Roman" w:hAnsi="Times New Roman" w:eastAsia="宋体" w:cs="Times New Roman"/>
          <w:b/>
          <w:bCs/>
          <w:highlight w:val="none"/>
        </w:rPr>
        <w:fldChar w:fldCharType="begin"/>
      </w:r>
      <w:r>
        <w:rPr>
          <w:rFonts w:hint="default" w:ascii="Times New Roman" w:hAnsi="Times New Roman" w:eastAsia="宋体" w:cs="Times New Roman"/>
          <w:b/>
          <w:bCs/>
          <w:highlight w:val="none"/>
        </w:rPr>
        <w:instrText xml:space="preserve"> SEQ 图 \* ARABIC \s 2 </w:instrText>
      </w:r>
      <w:r>
        <w:rPr>
          <w:rFonts w:hint="default" w:ascii="Times New Roman" w:hAnsi="Times New Roman" w:eastAsia="宋体" w:cs="Times New Roman"/>
          <w:b/>
          <w:bCs/>
          <w:highlight w:val="none"/>
        </w:rPr>
        <w:fldChar w:fldCharType="separate"/>
      </w:r>
      <w:r>
        <w:rPr>
          <w:rFonts w:hint="default" w:ascii="Times New Roman" w:hAnsi="Times New Roman" w:eastAsia="宋体" w:cs="Times New Roman"/>
          <w:b/>
          <w:bCs/>
          <w:highlight w:val="none"/>
        </w:rPr>
        <w:t>1</w:t>
      </w:r>
      <w:r>
        <w:rPr>
          <w:rFonts w:hint="default" w:ascii="Times New Roman" w:hAnsi="Times New Roman" w:eastAsia="宋体" w:cs="Times New Roman"/>
          <w:b/>
          <w:bCs/>
          <w:highlight w:val="none"/>
        </w:rPr>
        <w:fldChar w:fldCharType="end"/>
      </w:r>
      <w:bookmarkEnd w:id="996"/>
      <w:r>
        <w:rPr>
          <w:rFonts w:hint="default" w:ascii="Times New Roman" w:hAnsi="Times New Roman" w:eastAsia="宋体" w:cs="Times New Roman"/>
          <w:b/>
          <w:bCs/>
          <w:highlight w:val="none"/>
        </w:rPr>
        <w:t xml:space="preserve"> </w:t>
      </w:r>
      <w:r>
        <w:rPr>
          <w:rFonts w:hint="default" w:ascii="Times New Roman" w:hAnsi="Times New Roman" w:eastAsia="宋体" w:cs="Times New Roman"/>
          <w:b/>
          <w:bCs/>
          <w:highlight w:val="none"/>
          <w:lang w:val="en-US" w:eastAsia="zh-CN"/>
        </w:rPr>
        <w:t>水泥窑烧成系统现有</w:t>
      </w:r>
      <w:r>
        <w:rPr>
          <w:rFonts w:hint="default" w:ascii="Times New Roman" w:hAnsi="Times New Roman" w:eastAsia="宋体" w:cs="Times New Roman"/>
          <w:b/>
          <w:bCs/>
          <w:highlight w:val="none"/>
        </w:rPr>
        <w:t>废气处理工艺流程图</w:t>
      </w:r>
    </w:p>
    <w:p w14:paraId="03F3F176">
      <w:pPr>
        <w:pStyle w:val="6"/>
        <w:rPr>
          <w:rFonts w:hint="default" w:ascii="Times New Roman" w:hAnsi="Times New Roman" w:cs="Times New Roman"/>
        </w:rPr>
      </w:pPr>
      <w:r>
        <w:rPr>
          <w:rFonts w:hint="default" w:ascii="Times New Roman" w:hAnsi="Times New Roman" w:cs="Times New Roman"/>
        </w:rPr>
        <w:t>本项目充分利用水泥窑的热稳定性以及碱性环境，产生的SO</w:t>
      </w:r>
      <w:r>
        <w:rPr>
          <w:rFonts w:hint="default" w:ascii="Times New Roman" w:hAnsi="Times New Roman" w:cs="Times New Roman"/>
          <w:vertAlign w:val="subscript"/>
        </w:rPr>
        <w:t>2</w:t>
      </w:r>
      <w:r>
        <w:rPr>
          <w:rFonts w:hint="default" w:ascii="Times New Roman" w:hAnsi="Times New Roman" w:cs="Times New Roman"/>
        </w:rPr>
        <w:t>等酸性气体被大量吸收，从而大大降低焚烧尾气中酸性气体浓度。同时利用已建的SNCR脱硝系统，减少了NO</w:t>
      </w:r>
      <w:r>
        <w:rPr>
          <w:rFonts w:hint="default" w:ascii="Times New Roman" w:hAnsi="Times New Roman" w:cs="Times New Roman"/>
          <w:vertAlign w:val="subscript"/>
        </w:rPr>
        <w:t>x</w:t>
      </w:r>
      <w:r>
        <w:rPr>
          <w:rFonts w:hint="default" w:ascii="Times New Roman" w:hAnsi="Times New Roman" w:cs="Times New Roman"/>
        </w:rPr>
        <w:t>排放。</w:t>
      </w:r>
    </w:p>
    <w:p w14:paraId="2B8442AB">
      <w:pPr>
        <w:pStyle w:val="6"/>
        <w:rPr>
          <w:rFonts w:hint="default" w:ascii="Times New Roman" w:hAnsi="Times New Roman" w:cs="Times New Roman"/>
        </w:rPr>
      </w:pPr>
      <w:r>
        <w:rPr>
          <w:rFonts w:hint="default" w:ascii="Times New Roman" w:hAnsi="Times New Roman" w:cs="Times New Roman"/>
        </w:rPr>
        <w:t>根据《水泥窑协同处置固体废物污染控制标准编制说明》，窑尾烟气中颗粒物、SO</w:t>
      </w:r>
      <w:r>
        <w:rPr>
          <w:rFonts w:hint="default" w:ascii="Times New Roman" w:hAnsi="Times New Roman" w:cs="Times New Roman"/>
          <w:vertAlign w:val="subscript"/>
        </w:rPr>
        <w:t>2</w:t>
      </w:r>
      <w:r>
        <w:rPr>
          <w:rFonts w:hint="default" w:ascii="Times New Roman" w:hAnsi="Times New Roman" w:cs="Times New Roman"/>
        </w:rPr>
        <w:t>和NO</w:t>
      </w:r>
      <w:r>
        <w:rPr>
          <w:rFonts w:hint="default" w:ascii="Times New Roman" w:hAnsi="Times New Roman" w:cs="Times New Roman"/>
          <w:vertAlign w:val="subscript"/>
        </w:rPr>
        <w:t>x</w:t>
      </w:r>
      <w:r>
        <w:rPr>
          <w:rFonts w:hint="default" w:ascii="Times New Roman" w:hAnsi="Times New Roman" w:cs="Times New Roman"/>
        </w:rPr>
        <w:t>的排放浓度基本与水泥窑的废物协同处置过程无关。本项目实施后，窑尾颗粒物、SO</w:t>
      </w:r>
      <w:r>
        <w:rPr>
          <w:rFonts w:hint="default" w:ascii="Times New Roman" w:hAnsi="Times New Roman" w:cs="Times New Roman"/>
          <w:vertAlign w:val="subscript"/>
        </w:rPr>
        <w:t>2</w:t>
      </w:r>
      <w:r>
        <w:rPr>
          <w:rFonts w:hint="default" w:ascii="Times New Roman" w:hAnsi="Times New Roman" w:cs="Times New Roman"/>
        </w:rPr>
        <w:t>和NO</w:t>
      </w:r>
      <w:r>
        <w:rPr>
          <w:rFonts w:hint="default" w:ascii="Times New Roman" w:hAnsi="Times New Roman" w:cs="Times New Roman"/>
          <w:vertAlign w:val="subscript"/>
        </w:rPr>
        <w:t>x</w:t>
      </w:r>
      <w:r>
        <w:rPr>
          <w:rFonts w:hint="default" w:ascii="Times New Roman" w:hAnsi="Times New Roman" w:cs="Times New Roman"/>
        </w:rPr>
        <w:t>排放量基本不变。</w:t>
      </w:r>
    </w:p>
    <w:p w14:paraId="1EBE78C5">
      <w:pPr>
        <w:pStyle w:val="6"/>
        <w:rPr>
          <w:rFonts w:hint="default" w:ascii="Times New Roman" w:hAnsi="Times New Roman" w:cs="Times New Roman"/>
        </w:rPr>
      </w:pPr>
      <w:r>
        <w:rPr>
          <w:rFonts w:hint="default" w:ascii="Times New Roman" w:hAnsi="Times New Roman" w:cs="Times New Roman"/>
        </w:rPr>
        <w:t>水泥厂现窑尾烟气采用电除尘+布袋除尘器组合工艺，除尘效率大于99.9%，根据在线监测数据可知，颗粒物排放满足《水泥工业大气污染物排放标准》（GB4915-2013）（含2025年修改单）表</w:t>
      </w:r>
      <w:r>
        <w:rPr>
          <w:rFonts w:hint="eastAsia" w:cs="Times New Roman"/>
          <w:lang w:val="en-US" w:eastAsia="zh-CN"/>
        </w:rPr>
        <w:t>1</w:t>
      </w:r>
      <w:r>
        <w:rPr>
          <w:rFonts w:hint="default" w:ascii="Times New Roman" w:hAnsi="Times New Roman" w:cs="Times New Roman"/>
        </w:rPr>
        <w:t>排放标准要求（颗粒物≤</w:t>
      </w:r>
      <w:r>
        <w:rPr>
          <w:rFonts w:hint="eastAsia" w:cs="Times New Roman"/>
          <w:lang w:val="en-US" w:eastAsia="zh-CN"/>
        </w:rPr>
        <w:t>3</w:t>
      </w:r>
      <w:r>
        <w:rPr>
          <w:rFonts w:hint="default" w:ascii="Times New Roman" w:hAnsi="Times New Roman" w:cs="Times New Roman"/>
        </w:rPr>
        <w:t>0mg/m</w:t>
      </w:r>
      <w:r>
        <w:rPr>
          <w:rFonts w:hint="default" w:ascii="Times New Roman" w:hAnsi="Times New Roman" w:cs="Times New Roman"/>
          <w:vertAlign w:val="superscript"/>
        </w:rPr>
        <w:t>3</w:t>
      </w:r>
      <w:r>
        <w:rPr>
          <w:rFonts w:hint="default" w:ascii="Times New Roman" w:hAnsi="Times New Roman" w:cs="Times New Roman"/>
        </w:rPr>
        <w:t>）。</w:t>
      </w:r>
    </w:p>
    <w:p w14:paraId="66D677E0">
      <w:pPr>
        <w:pStyle w:val="6"/>
        <w:rPr>
          <w:rFonts w:hint="default" w:ascii="Times New Roman" w:hAnsi="Times New Roman" w:cs="Times New Roman"/>
        </w:rPr>
      </w:pPr>
      <w:r>
        <w:rPr>
          <w:rFonts w:hint="default" w:ascii="Times New Roman" w:hAnsi="Times New Roman" w:cs="Times New Roman"/>
        </w:rPr>
        <w:t>现有新型干法水泥回转窑烟气中SO</w:t>
      </w:r>
      <w:r>
        <w:rPr>
          <w:rFonts w:hint="default" w:ascii="Times New Roman" w:hAnsi="Times New Roman" w:cs="Times New Roman"/>
          <w:vertAlign w:val="subscript"/>
        </w:rPr>
        <w:t>2</w:t>
      </w:r>
      <w:r>
        <w:rPr>
          <w:rFonts w:hint="default" w:ascii="Times New Roman" w:hAnsi="Times New Roman" w:cs="Times New Roman"/>
        </w:rPr>
        <w:t>的治理主要是在工艺生产中实现的，NO</w:t>
      </w:r>
      <w:r>
        <w:rPr>
          <w:rFonts w:hint="default" w:ascii="Times New Roman" w:hAnsi="Times New Roman" w:cs="Times New Roman"/>
          <w:vertAlign w:val="subscript"/>
        </w:rPr>
        <w:t>x</w:t>
      </w:r>
      <w:r>
        <w:rPr>
          <w:rFonts w:hint="default" w:ascii="Times New Roman" w:hAnsi="Times New Roman" w:cs="Times New Roman"/>
        </w:rPr>
        <w:t>治理主要采用SNCR脱硝。</w:t>
      </w:r>
    </w:p>
    <w:p w14:paraId="7147397B">
      <w:pPr>
        <w:pStyle w:val="6"/>
        <w:rPr>
          <w:rFonts w:hint="default" w:ascii="Times New Roman" w:hAnsi="Times New Roman" w:cs="Times New Roman"/>
        </w:rPr>
      </w:pPr>
      <w:r>
        <w:rPr>
          <w:rFonts w:hint="default" w:ascii="Times New Roman" w:hAnsi="Times New Roman" w:cs="Times New Roman"/>
        </w:rPr>
        <w:t>烧成窑尾排放的SO</w:t>
      </w:r>
      <w:r>
        <w:rPr>
          <w:rFonts w:hint="default" w:ascii="Times New Roman" w:hAnsi="Times New Roman" w:cs="Times New Roman"/>
          <w:vertAlign w:val="subscript"/>
        </w:rPr>
        <w:t>2</w:t>
      </w:r>
      <w:r>
        <w:rPr>
          <w:rFonts w:hint="default" w:ascii="Times New Roman" w:hAnsi="Times New Roman" w:cs="Times New Roman"/>
        </w:rPr>
        <w:t>是由于煤粉在窑内燃烧及煅烧熟料时生料带入的硫产生的。不过，由于水泥烧成过程中窑内存在大量的氧化钙和碱性氧化物，大部分产生的SO</w:t>
      </w:r>
      <w:r>
        <w:rPr>
          <w:rFonts w:hint="default" w:ascii="Times New Roman" w:hAnsi="Times New Roman" w:cs="Times New Roman"/>
          <w:vertAlign w:val="subscript"/>
        </w:rPr>
        <w:t>2</w:t>
      </w:r>
      <w:r>
        <w:rPr>
          <w:rFonts w:hint="default" w:ascii="Times New Roman" w:hAnsi="Times New Roman" w:cs="Times New Roman"/>
        </w:rPr>
        <w:t>将被吸收形成硫酸钙以及亚硫酸钙等中间物质，窑外分解窑由于物料与气体接触充分，则吸硫率约95%-100%，该股废气又经增湿塔装置后可去除50%以上，SO</w:t>
      </w:r>
      <w:r>
        <w:rPr>
          <w:rFonts w:hint="default" w:ascii="Times New Roman" w:hAnsi="Times New Roman" w:cs="Times New Roman"/>
          <w:vertAlign w:val="subscript"/>
        </w:rPr>
        <w:t>2</w:t>
      </w:r>
      <w:r>
        <w:rPr>
          <w:rFonts w:hint="default" w:ascii="Times New Roman" w:hAnsi="Times New Roman" w:cs="Times New Roman"/>
        </w:rPr>
        <w:t>的实际排放量甚微。根据窑尾在线监测数据，SO</w:t>
      </w:r>
      <w:r>
        <w:rPr>
          <w:rFonts w:hint="default" w:ascii="Times New Roman" w:hAnsi="Times New Roman" w:cs="Times New Roman"/>
          <w:vertAlign w:val="subscript"/>
        </w:rPr>
        <w:t>2</w:t>
      </w:r>
      <w:r>
        <w:rPr>
          <w:rFonts w:hint="default" w:ascii="Times New Roman" w:hAnsi="Times New Roman" w:cs="Times New Roman"/>
        </w:rPr>
        <w:t>排放浓度平均值不超过10mg/Nm</w:t>
      </w:r>
      <w:r>
        <w:rPr>
          <w:rFonts w:hint="default" w:ascii="Times New Roman" w:hAnsi="Times New Roman" w:cs="Times New Roman"/>
          <w:vertAlign w:val="superscript"/>
        </w:rPr>
        <w:t>3</w:t>
      </w:r>
      <w:r>
        <w:rPr>
          <w:rFonts w:hint="default" w:ascii="Times New Roman" w:hAnsi="Times New Roman" w:cs="Times New Roman"/>
        </w:rPr>
        <w:t>，协同处置固体废物后水泥产量并未增加，SO</w:t>
      </w:r>
      <w:r>
        <w:rPr>
          <w:rFonts w:hint="default" w:ascii="Times New Roman" w:hAnsi="Times New Roman" w:cs="Times New Roman"/>
          <w:vertAlign w:val="subscript"/>
        </w:rPr>
        <w:t>2</w:t>
      </w:r>
      <w:r>
        <w:rPr>
          <w:rFonts w:hint="default" w:ascii="Times New Roman" w:hAnsi="Times New Roman" w:cs="Times New Roman"/>
        </w:rPr>
        <w:t>排放可以满足《水泥工业大气污染物排放标准》（GB4915-2013）（含2025年修改单）表</w:t>
      </w:r>
      <w:r>
        <w:rPr>
          <w:rFonts w:hint="eastAsia" w:cs="Times New Roman"/>
          <w:lang w:val="en-US" w:eastAsia="zh-CN"/>
        </w:rPr>
        <w:t>1</w:t>
      </w:r>
      <w:r>
        <w:rPr>
          <w:rFonts w:hint="default" w:ascii="Times New Roman" w:hAnsi="Times New Roman" w:cs="Times New Roman"/>
        </w:rPr>
        <w:t>排放标准要求（SO</w:t>
      </w:r>
      <w:r>
        <w:rPr>
          <w:rFonts w:hint="default" w:ascii="Times New Roman" w:hAnsi="Times New Roman" w:cs="Times New Roman"/>
          <w:vertAlign w:val="subscript"/>
        </w:rPr>
        <w:t>2</w:t>
      </w:r>
      <w:r>
        <w:rPr>
          <w:rFonts w:hint="default" w:ascii="Times New Roman" w:hAnsi="Times New Roman" w:cs="Times New Roman"/>
        </w:rPr>
        <w:t>≤</w:t>
      </w:r>
      <w:r>
        <w:rPr>
          <w:rFonts w:hint="eastAsia" w:cs="Times New Roman"/>
          <w:lang w:val="en-US" w:eastAsia="zh-CN"/>
        </w:rPr>
        <w:t>2</w:t>
      </w:r>
      <w:r>
        <w:rPr>
          <w:rFonts w:hint="default" w:ascii="Times New Roman" w:hAnsi="Times New Roman" w:cs="Times New Roman"/>
        </w:rPr>
        <w:t>00mg/Nm</w:t>
      </w:r>
      <w:r>
        <w:rPr>
          <w:rFonts w:hint="default" w:ascii="Times New Roman" w:hAnsi="Times New Roman" w:cs="Times New Roman"/>
          <w:vertAlign w:val="superscript"/>
        </w:rPr>
        <w:t>3</w:t>
      </w:r>
      <w:r>
        <w:rPr>
          <w:rFonts w:hint="default" w:ascii="Times New Roman" w:hAnsi="Times New Roman" w:cs="Times New Roman"/>
        </w:rPr>
        <w:t>）要求。</w:t>
      </w:r>
    </w:p>
    <w:p w14:paraId="3A46DC6F">
      <w:pPr>
        <w:pStyle w:val="6"/>
        <w:rPr>
          <w:rFonts w:hint="default" w:ascii="Times New Roman" w:hAnsi="Times New Roman" w:cs="Times New Roman"/>
        </w:rPr>
      </w:pPr>
      <w:r>
        <w:rPr>
          <w:rFonts w:hint="default" w:ascii="Times New Roman" w:hAnsi="Times New Roman" w:cs="Times New Roman"/>
        </w:rPr>
        <w:t>NO</w:t>
      </w:r>
      <w:r>
        <w:rPr>
          <w:rFonts w:hint="default" w:ascii="Times New Roman" w:hAnsi="Times New Roman" w:cs="Times New Roman"/>
          <w:vertAlign w:val="subscript"/>
        </w:rPr>
        <w:t>x</w:t>
      </w:r>
      <w:r>
        <w:rPr>
          <w:rFonts w:hint="default" w:ascii="Times New Roman" w:hAnsi="Times New Roman" w:cs="Times New Roman"/>
        </w:rPr>
        <w:t>在窑尾废气中含量的多少与窑内温度、通风量关系密切，窑内温度高、通风量大、反应时间长，生成量就多。依托工程采用的是窑外预分解工艺，有50%-60%的煤放在温度较低的分解炉内燃烧，所以该窑型NO</w:t>
      </w:r>
      <w:r>
        <w:rPr>
          <w:rFonts w:hint="default" w:ascii="Times New Roman" w:hAnsi="Times New Roman" w:cs="Times New Roman"/>
          <w:vertAlign w:val="subscript"/>
        </w:rPr>
        <w:t>x</w:t>
      </w:r>
      <w:r>
        <w:rPr>
          <w:rFonts w:hint="default" w:ascii="Times New Roman" w:hAnsi="Times New Roman" w:cs="Times New Roman"/>
        </w:rPr>
        <w:t>生成量较小，国际先进水平可达300ppm，通常可控制在300ppm-800ppm之间。现有水泥窑生产线窑尾脱硝采用SNCR脱销技术。水泥窑SNCR脱硝技术是目前能够适应我国水泥炉窑工况、能满足新的排放标准和国内市场需求的一种烟气脱硝工艺，我国SNCR脱硝技术及其标准化、产业化取得了重大进展，提高了脱硝设施工程建设质量和运行管理水平，其烟气处理量高达600000Nm</w:t>
      </w:r>
      <w:r>
        <w:rPr>
          <w:rFonts w:hint="default" w:ascii="Times New Roman" w:hAnsi="Times New Roman" w:cs="Times New Roman"/>
          <w:vertAlign w:val="superscript"/>
        </w:rPr>
        <w:t>3</w:t>
      </w:r>
      <w:r>
        <w:rPr>
          <w:rFonts w:hint="default" w:ascii="Times New Roman" w:hAnsi="Times New Roman" w:cs="Times New Roman"/>
        </w:rPr>
        <w:t>/h，实现SNCR烟气脱硝系统的完全自动化。该技术的脱硝效率一般大于65%，可达70%以上。该技术效率高、耗能低、投资低和占地面积小；适用于国内水泥窑炉烟气脱硝。</w:t>
      </w:r>
    </w:p>
    <w:p w14:paraId="361B170C">
      <w:pPr>
        <w:pStyle w:val="6"/>
        <w:rPr>
          <w:rFonts w:hint="default" w:ascii="Times New Roman" w:hAnsi="Times New Roman" w:cs="Times New Roman"/>
        </w:rPr>
      </w:pPr>
      <w:r>
        <w:rPr>
          <w:rFonts w:hint="default" w:ascii="Times New Roman" w:hAnsi="Times New Roman" w:cs="Times New Roman"/>
        </w:rPr>
        <w:t>据现水泥窑在线监测数据，NO</w:t>
      </w:r>
      <w:r>
        <w:rPr>
          <w:rFonts w:hint="default" w:ascii="Times New Roman" w:hAnsi="Times New Roman" w:cs="Times New Roman"/>
          <w:vertAlign w:val="subscript"/>
        </w:rPr>
        <w:t>X</w:t>
      </w:r>
      <w:r>
        <w:rPr>
          <w:rFonts w:hint="default" w:ascii="Times New Roman" w:hAnsi="Times New Roman" w:cs="Times New Roman"/>
        </w:rPr>
        <w:t>平均排放浓度浓度小于300mg/m</w:t>
      </w:r>
      <w:r>
        <w:rPr>
          <w:rFonts w:hint="default" w:ascii="Times New Roman" w:hAnsi="Times New Roman" w:cs="Times New Roman"/>
          <w:vertAlign w:val="superscript"/>
        </w:rPr>
        <w:t>3</w:t>
      </w:r>
      <w:r>
        <w:rPr>
          <w:rFonts w:hint="default" w:ascii="Times New Roman" w:hAnsi="Times New Roman" w:cs="Times New Roman"/>
        </w:rPr>
        <w:t>，满足《水泥工业大气污染物排放标准》（GB4915-2013）（含2025年修改单）表</w:t>
      </w:r>
      <w:r>
        <w:rPr>
          <w:rFonts w:hint="eastAsia" w:cs="Times New Roman"/>
          <w:lang w:val="en-US" w:eastAsia="zh-CN"/>
        </w:rPr>
        <w:t>1</w:t>
      </w:r>
      <w:r>
        <w:rPr>
          <w:rFonts w:hint="default" w:ascii="Times New Roman" w:hAnsi="Times New Roman" w:cs="Times New Roman"/>
        </w:rPr>
        <w:t>排放标准要求（NO</w:t>
      </w:r>
      <w:r>
        <w:rPr>
          <w:rFonts w:hint="default" w:ascii="Times New Roman" w:hAnsi="Times New Roman" w:cs="Times New Roman"/>
          <w:vertAlign w:val="subscript"/>
        </w:rPr>
        <w:t>X</w:t>
      </w:r>
      <w:r>
        <w:rPr>
          <w:rFonts w:hint="default" w:ascii="Times New Roman" w:hAnsi="Times New Roman" w:cs="Times New Roman"/>
        </w:rPr>
        <w:t>≤</w:t>
      </w:r>
      <w:r>
        <w:rPr>
          <w:rFonts w:hint="eastAsia" w:cs="Times New Roman"/>
          <w:lang w:val="en-US" w:eastAsia="zh-CN"/>
        </w:rPr>
        <w:t>40</w:t>
      </w:r>
      <w:r>
        <w:rPr>
          <w:rFonts w:hint="default" w:ascii="Times New Roman" w:hAnsi="Times New Roman" w:cs="Times New Roman"/>
        </w:rPr>
        <w:t>0mg/m</w:t>
      </w:r>
      <w:r>
        <w:rPr>
          <w:rFonts w:hint="default" w:ascii="Times New Roman" w:hAnsi="Times New Roman" w:cs="Times New Roman"/>
          <w:vertAlign w:val="superscript"/>
        </w:rPr>
        <w:t>3</w:t>
      </w:r>
      <w:r>
        <w:rPr>
          <w:rFonts w:hint="default" w:ascii="Times New Roman" w:hAnsi="Times New Roman" w:cs="Times New Roman"/>
        </w:rPr>
        <w:t>）要求。</w:t>
      </w:r>
    </w:p>
    <w:p w14:paraId="21E92C6D">
      <w:pPr>
        <w:pStyle w:val="6"/>
        <w:rPr>
          <w:rFonts w:hint="default" w:ascii="Times New Roman" w:hAnsi="Times New Roman" w:cs="Times New Roman"/>
        </w:rPr>
      </w:pPr>
      <w:r>
        <w:rPr>
          <w:rFonts w:hint="default" w:ascii="Times New Roman" w:hAnsi="Times New Roman" w:cs="Times New Roman"/>
        </w:rPr>
        <w:t>根据《水泥窑协同处置固体废物污染物控制标准编制说明》，原料带入的易挥发性硫化物是造成SO</w:t>
      </w:r>
      <w:r>
        <w:rPr>
          <w:rFonts w:hint="default" w:ascii="Times New Roman" w:hAnsi="Times New Roman" w:cs="Times New Roman"/>
          <w:vertAlign w:val="subscript"/>
        </w:rPr>
        <w:t>2</w:t>
      </w:r>
      <w:r>
        <w:rPr>
          <w:rFonts w:hint="default" w:ascii="Times New Roman" w:hAnsi="Times New Roman" w:cs="Times New Roman"/>
        </w:rPr>
        <w:t>排放的主要根源，而从高温区投入水泥窑的废物中的S元素与烟气中SO</w:t>
      </w:r>
      <w:r>
        <w:rPr>
          <w:rFonts w:hint="default" w:ascii="Times New Roman" w:hAnsi="Times New Roman" w:cs="Times New Roman"/>
          <w:vertAlign w:val="subscript"/>
        </w:rPr>
        <w:t>2</w:t>
      </w:r>
      <w:r>
        <w:rPr>
          <w:rFonts w:hint="default" w:ascii="Times New Roman" w:hAnsi="Times New Roman" w:cs="Times New Roman"/>
        </w:rPr>
        <w:t>的排放无直接关系。从NO</w:t>
      </w:r>
      <w:r>
        <w:rPr>
          <w:rFonts w:hint="default" w:ascii="Times New Roman" w:hAnsi="Times New Roman" w:cs="Times New Roman"/>
          <w:vertAlign w:val="subscript"/>
        </w:rPr>
        <w:t>x</w:t>
      </w:r>
      <w:r>
        <w:rPr>
          <w:rFonts w:hint="default" w:ascii="Times New Roman" w:hAnsi="Times New Roman" w:cs="Times New Roman"/>
        </w:rPr>
        <w:t>的产生来源分析来看，NO</w:t>
      </w:r>
      <w:r>
        <w:rPr>
          <w:rFonts w:hint="default" w:ascii="Times New Roman" w:hAnsi="Times New Roman" w:cs="Times New Roman"/>
          <w:vertAlign w:val="subscript"/>
        </w:rPr>
        <w:t>x</w:t>
      </w:r>
      <w:r>
        <w:rPr>
          <w:rFonts w:hint="default" w:ascii="Times New Roman" w:hAnsi="Times New Roman" w:cs="Times New Roman"/>
        </w:rPr>
        <w:t>的排放基本不受到焚烧危险废物的影响。根据同类污染源的监测数据，协同处置固体废物后窑尾烟气中SO</w:t>
      </w:r>
      <w:r>
        <w:rPr>
          <w:rFonts w:hint="default" w:ascii="Times New Roman" w:hAnsi="Times New Roman" w:cs="Times New Roman"/>
          <w:vertAlign w:val="subscript"/>
        </w:rPr>
        <w:t>2</w:t>
      </w:r>
      <w:r>
        <w:rPr>
          <w:rFonts w:hint="default" w:ascii="Times New Roman" w:hAnsi="Times New Roman" w:cs="Times New Roman"/>
        </w:rPr>
        <w:t>和NO</w:t>
      </w:r>
      <w:r>
        <w:rPr>
          <w:rFonts w:hint="default" w:ascii="Times New Roman" w:hAnsi="Times New Roman" w:cs="Times New Roman"/>
          <w:vertAlign w:val="subscript"/>
        </w:rPr>
        <w:t>x</w:t>
      </w:r>
      <w:r>
        <w:rPr>
          <w:rFonts w:hint="default" w:ascii="Times New Roman" w:hAnsi="Times New Roman" w:cs="Times New Roman"/>
        </w:rPr>
        <w:t>均可达标排放。</w:t>
      </w:r>
    </w:p>
    <w:p w14:paraId="2B0E71AE">
      <w:pPr>
        <w:pStyle w:val="6"/>
        <w:rPr>
          <w:rFonts w:hint="default" w:ascii="Times New Roman" w:hAnsi="Times New Roman" w:cs="Times New Roman"/>
        </w:rPr>
      </w:pPr>
      <w:r>
        <w:rPr>
          <w:rFonts w:hint="default" w:ascii="Times New Roman" w:hAnsi="Times New Roman" w:cs="Times New Roman"/>
        </w:rPr>
        <w:t>综上所述，协同处置固体废物后，现水泥窑颗粒物、SO</w:t>
      </w:r>
      <w:r>
        <w:rPr>
          <w:rFonts w:hint="default" w:ascii="Times New Roman" w:hAnsi="Times New Roman" w:cs="Times New Roman"/>
          <w:vertAlign w:val="subscript"/>
        </w:rPr>
        <w:t>2</w:t>
      </w:r>
      <w:r>
        <w:rPr>
          <w:rFonts w:hint="default" w:ascii="Times New Roman" w:hAnsi="Times New Roman" w:cs="Times New Roman"/>
        </w:rPr>
        <w:t>和NO</w:t>
      </w:r>
      <w:r>
        <w:rPr>
          <w:rFonts w:hint="eastAsia" w:ascii="Times New Roman" w:hAnsi="Times New Roman" w:cs="Times New Roman"/>
          <w:vertAlign w:val="subscript"/>
          <w:lang w:val="en-US" w:eastAsia="zh-CN"/>
        </w:rPr>
        <w:t>x</w:t>
      </w:r>
      <w:r>
        <w:rPr>
          <w:rFonts w:hint="default" w:ascii="Times New Roman" w:hAnsi="Times New Roman" w:cs="Times New Roman"/>
        </w:rPr>
        <w:t>排放量基本不变，均可达标排放。</w:t>
      </w:r>
    </w:p>
    <w:p w14:paraId="4BC569AD">
      <w:pPr>
        <w:pStyle w:val="6"/>
        <w:rPr>
          <w:rFonts w:hint="default" w:ascii="Times New Roman" w:hAnsi="Times New Roman" w:eastAsia="宋体" w:cs="Times New Roman"/>
          <w:lang w:eastAsia="zh-CN"/>
        </w:rPr>
      </w:pPr>
      <w:r>
        <w:rPr>
          <w:rFonts w:hint="eastAsia" w:ascii="Times New Roman" w:hAnsi="Times New Roman" w:cs="Times New Roman"/>
          <w:lang w:eastAsia="zh-CN"/>
        </w:rPr>
        <w:t>（</w:t>
      </w:r>
      <w:r>
        <w:rPr>
          <w:rFonts w:hint="eastAsia" w:ascii="Times New Roman" w:hAnsi="Times New Roman" w:cs="Times New Roman"/>
          <w:lang w:val="en-US" w:eastAsia="zh-CN"/>
        </w:rPr>
        <w:t>3</w:t>
      </w:r>
      <w:r>
        <w:rPr>
          <w:rFonts w:hint="eastAsia" w:ascii="Times New Roman" w:hAnsi="Times New Roman" w:cs="Times New Roman"/>
          <w:lang w:eastAsia="zh-CN"/>
        </w:rPr>
        <w:t>）</w:t>
      </w:r>
      <w:r>
        <w:rPr>
          <w:rFonts w:hint="default" w:ascii="Times New Roman" w:hAnsi="Times New Roman" w:cs="Times New Roman"/>
          <w:lang w:eastAsia="zh-CN"/>
        </w:rPr>
        <w:t>无组织废气控制措施</w:t>
      </w:r>
    </w:p>
    <w:p w14:paraId="0C1AA03B">
      <w:pPr>
        <w:pStyle w:val="6"/>
        <w:rPr>
          <w:rFonts w:hint="default" w:ascii="Times New Roman" w:hAnsi="Times New Roman" w:cs="Times New Roman"/>
          <w:highlight w:val="none"/>
        </w:rPr>
      </w:pPr>
      <w:r>
        <w:rPr>
          <w:rFonts w:hint="default" w:ascii="Times New Roman" w:hAnsi="Times New Roman" w:cs="Times New Roman"/>
        </w:rPr>
        <w:t>回转窑检修停车等非正常工况时，检修停车前4小时停止投加危险废物，此时不再从新疆兴发化工有限公司拉运危险废物至项目区，项目区内不进行危险废物贮存，停止投加时不在对危险废物进行预处理，因此停窑期间无废气污染物排放。</w:t>
      </w:r>
    </w:p>
    <w:p w14:paraId="13C39CB0">
      <w:pPr>
        <w:pStyle w:val="6"/>
        <w:rPr>
          <w:rFonts w:hint="default" w:ascii="Times New Roman" w:hAnsi="Times New Roman" w:cs="Times New Roman"/>
        </w:rPr>
      </w:pPr>
      <w:r>
        <w:rPr>
          <w:rFonts w:hint="default" w:ascii="Times New Roman" w:hAnsi="Times New Roman" w:cs="Times New Roman"/>
        </w:rPr>
        <w:t>液态危废无组织排放治理措施：</w:t>
      </w:r>
    </w:p>
    <w:p w14:paraId="571C06AE">
      <w:pPr>
        <w:pStyle w:val="6"/>
        <w:rPr>
          <w:rFonts w:hint="default" w:ascii="Times New Roman" w:hAnsi="Times New Roman" w:cs="Times New Roman"/>
        </w:rPr>
      </w:pPr>
      <w:r>
        <w:rPr>
          <w:rFonts w:hint="eastAsia" w:ascii="Times New Roman" w:hAnsi="Times New Roman" w:cs="Times New Roman"/>
          <w:lang w:val="en-US" w:eastAsia="zh-CN"/>
        </w:rPr>
        <w:t>①</w:t>
      </w:r>
      <w:r>
        <w:rPr>
          <w:rFonts w:hint="default" w:ascii="Times New Roman" w:hAnsi="Times New Roman" w:cs="Times New Roman"/>
        </w:rPr>
        <w:t>为减少废液在</w:t>
      </w:r>
      <w:r>
        <w:rPr>
          <w:rFonts w:hint="eastAsia" w:cs="Times New Roman"/>
          <w:lang w:val="en-US" w:eastAsia="zh-CN"/>
        </w:rPr>
        <w:t>管道中</w:t>
      </w:r>
      <w:r>
        <w:rPr>
          <w:rFonts w:hint="default" w:ascii="Times New Roman" w:hAnsi="Times New Roman" w:cs="Times New Roman"/>
        </w:rPr>
        <w:t>储存过程中的呼吸损失</w:t>
      </w:r>
      <w:r>
        <w:rPr>
          <w:rFonts w:hint="eastAsia" w:cs="Times New Roman"/>
          <w:lang w:eastAsia="zh-CN"/>
        </w:rPr>
        <w:t>，</w:t>
      </w:r>
      <w:r>
        <w:rPr>
          <w:rFonts w:hint="default" w:ascii="Times New Roman" w:hAnsi="Times New Roman" w:cs="Times New Roman"/>
        </w:rPr>
        <w:t>运输过程中采用密闭管道和封闭接口，降低无组织挥发量；</w:t>
      </w:r>
    </w:p>
    <w:p w14:paraId="0D271CA2">
      <w:pPr>
        <w:pStyle w:val="6"/>
        <w:rPr>
          <w:rFonts w:hint="default" w:ascii="Times New Roman" w:hAnsi="Times New Roman" w:cs="Times New Roman"/>
        </w:rPr>
      </w:pPr>
      <w:r>
        <w:rPr>
          <w:rFonts w:hint="eastAsia" w:ascii="Times New Roman" w:hAnsi="Times New Roman" w:cs="Times New Roman"/>
          <w:lang w:val="en-US" w:eastAsia="zh-CN"/>
        </w:rPr>
        <w:t>②</w:t>
      </w:r>
      <w:r>
        <w:rPr>
          <w:rFonts w:hint="default" w:ascii="Times New Roman" w:hAnsi="Times New Roman" w:cs="Times New Roman"/>
        </w:rPr>
        <w:t>强化物料调度手段，尽可能</w:t>
      </w:r>
      <w:r>
        <w:rPr>
          <w:rFonts w:hint="eastAsia" w:cs="Times New Roman"/>
          <w:lang w:val="en-US" w:eastAsia="zh-CN"/>
        </w:rPr>
        <w:t>降低</w:t>
      </w:r>
      <w:r>
        <w:rPr>
          <w:rFonts w:hint="default" w:ascii="Times New Roman" w:hAnsi="Times New Roman" w:cs="Times New Roman"/>
        </w:rPr>
        <w:t>废液的挥发损耗；</w:t>
      </w:r>
    </w:p>
    <w:p w14:paraId="01AB2553">
      <w:pPr>
        <w:pStyle w:val="6"/>
        <w:rPr>
          <w:rFonts w:hint="default" w:ascii="Times New Roman" w:hAnsi="Times New Roman" w:cs="Times New Roman"/>
        </w:rPr>
      </w:pPr>
      <w:r>
        <w:rPr>
          <w:rFonts w:hint="eastAsia" w:ascii="Times New Roman" w:hAnsi="Times New Roman" w:cs="Times New Roman"/>
          <w:lang w:val="en-US" w:eastAsia="zh-CN"/>
        </w:rPr>
        <w:t>③</w:t>
      </w:r>
      <w:r>
        <w:rPr>
          <w:rFonts w:hint="default" w:ascii="Times New Roman" w:hAnsi="Times New Roman" w:cs="Times New Roman"/>
        </w:rPr>
        <w:t>加强附属设备的维修保证严密性，强化日常操作管理。对阻火器、机械呼吸阀瓣等设备，每年彻底检查4次，使气密性符合要求。</w:t>
      </w:r>
    </w:p>
    <w:p w14:paraId="271D0421">
      <w:pPr>
        <w:pStyle w:val="6"/>
        <w:rPr>
          <w:rFonts w:hint="default" w:ascii="Times New Roman" w:hAnsi="Times New Roman" w:cs="Times New Roman"/>
        </w:rPr>
      </w:pPr>
      <w:r>
        <w:rPr>
          <w:rFonts w:hint="eastAsia" w:ascii="Times New Roman" w:hAnsi="Times New Roman" w:cs="Times New Roman"/>
          <w:lang w:val="en-US" w:eastAsia="zh-CN"/>
        </w:rPr>
        <w:t>④</w:t>
      </w:r>
      <w:r>
        <w:rPr>
          <w:rFonts w:hint="default" w:ascii="Times New Roman" w:hAnsi="Times New Roman" w:cs="Times New Roman"/>
        </w:rPr>
        <w:t>其它措施：优化暂存周期，在车间外侧种植绿化隔离带，采用乔灌木树种相结合，形成高矮错落的绿化带，起到卫生隔离的作用，可以有效降低</w:t>
      </w:r>
      <w:r>
        <w:rPr>
          <w:rFonts w:hint="eastAsia" w:cs="Times New Roman"/>
          <w:lang w:val="en-US" w:eastAsia="zh-CN"/>
        </w:rPr>
        <w:t>废气</w:t>
      </w:r>
      <w:r>
        <w:rPr>
          <w:rFonts w:hint="default" w:ascii="Times New Roman" w:hAnsi="Times New Roman" w:cs="Times New Roman"/>
        </w:rPr>
        <w:t>对周围环境的影响。</w:t>
      </w:r>
    </w:p>
    <w:p w14:paraId="6E58DB74">
      <w:pPr>
        <w:pStyle w:val="6"/>
        <w:rPr>
          <w:rFonts w:hint="default" w:ascii="Times New Roman" w:hAnsi="Times New Roman" w:cs="Times New Roman"/>
        </w:rPr>
      </w:pPr>
      <w:r>
        <w:rPr>
          <w:rFonts w:hint="default" w:ascii="Times New Roman" w:hAnsi="Times New Roman" w:cs="Times New Roman"/>
        </w:rPr>
        <w:t>综上，本项目无组织废气控制措施符合《排污许可证申请与核发技术规范 水泥工业（HJ847-2017）》的中表4水泥工业排污单位无组织排放控制要求。</w:t>
      </w:r>
    </w:p>
    <w:p w14:paraId="598F193A">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6.2.2废水污染防治措施</w:t>
      </w:r>
    </w:p>
    <w:p w14:paraId="21F7A174">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（1）废水</w:t>
      </w:r>
      <w:r>
        <w:rPr>
          <w:rFonts w:hint="default" w:ascii="Times New Roman" w:hAnsi="Times New Roman" w:eastAsia="宋体" w:cs="Times New Roman"/>
          <w:sz w:val="24"/>
          <w:szCs w:val="24"/>
          <w:highlight w:val="none"/>
          <w:lang w:val="en-US" w:eastAsia="zh-CN"/>
        </w:rPr>
        <w:t>治理措施</w:t>
      </w:r>
    </w:p>
    <w:p w14:paraId="44A6E996">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本项目生产过程不新增生产用水，故无生产废水排放，项目依托现水泥厂生活设施，运营期不新增劳动定员，无新增生活废水，因此本项目无废水排放。</w:t>
      </w:r>
    </w:p>
    <w:p w14:paraId="2ABADE1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w:t>
      </w:r>
      <w:r>
        <w:rPr>
          <w:rFonts w:hint="eastAsia" w:cs="Times New Roman"/>
          <w:sz w:val="24"/>
          <w:szCs w:val="24"/>
          <w:highlight w:val="none"/>
          <w:lang w:val="en-US" w:eastAsia="zh-CN"/>
        </w:rPr>
        <w:t>2</w:t>
      </w:r>
      <w:r>
        <w:rPr>
          <w:rFonts w:hint="default" w:ascii="Times New Roman" w:hAnsi="Times New Roman" w:cs="Times New Roman"/>
          <w:sz w:val="24"/>
          <w:szCs w:val="24"/>
          <w:highlight w:val="none"/>
          <w:lang w:val="en-US" w:eastAsia="zh-CN"/>
        </w:rPr>
        <w:t>）</w:t>
      </w:r>
      <w:r>
        <w:rPr>
          <w:rFonts w:hint="default" w:ascii="Times New Roman" w:hAnsi="Times New Roman" w:eastAsia="宋体" w:cs="Times New Roman"/>
          <w:sz w:val="24"/>
          <w:szCs w:val="24"/>
          <w:highlight w:val="none"/>
          <w:lang w:val="en-US" w:eastAsia="zh-CN"/>
        </w:rPr>
        <w:t>地下水污染防治措施</w:t>
      </w:r>
    </w:p>
    <w:p w14:paraId="08BD92EF">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本项目对地下水的保护主要是防止有害污染物渗入地下水。影响地下水渗入的因素主要分为人为因素和环境因素两大类（人为因素：设计、施工、维护管理、管龄；环境因素：地质、地形、降雨、城市化程度）等。</w:t>
      </w:r>
    </w:p>
    <w:p w14:paraId="3207343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①</w:t>
      </w:r>
      <w:r>
        <w:rPr>
          <w:rFonts w:hint="default" w:ascii="Times New Roman" w:hAnsi="Times New Roman" w:eastAsia="宋体" w:cs="Times New Roman"/>
          <w:sz w:val="24"/>
          <w:szCs w:val="24"/>
          <w:highlight w:val="none"/>
          <w:lang w:val="en-US" w:eastAsia="zh-CN"/>
        </w:rPr>
        <w:t>防渗原则</w:t>
      </w:r>
    </w:p>
    <w:p w14:paraId="53B96985">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依据《环境影响评价技术导则 地下水环境》（HJ610-2016）的规定，地下水污染防治措施按照“源头控制、分区防控、污染监控、应急响应”相结合的原则，从污染物的产生、入渗、扩散、应急响应全阶段进行控制。</w:t>
      </w:r>
    </w:p>
    <w:p w14:paraId="02B36F86">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1）源头控制措施</w:t>
      </w:r>
    </w:p>
    <w:p w14:paraId="7A878493">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主要包括在工艺、管道、设备、污水储存及处理构筑物采取相应措施，防止和降低污染物跑、冒、滴、漏，将污染物泄漏的环境风险事故降到最低程度；管线敷设尽量采用“可视化”原则，即管道尽可能地上或架空敷设，做到污染物“早发现、早处理”，减少由于埋地管道泄漏而造成的地下水污染。</w:t>
      </w:r>
    </w:p>
    <w:p w14:paraId="06711497">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2）分区防控措施</w:t>
      </w:r>
    </w:p>
    <w:p w14:paraId="71ADB7F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主要包括厂内污染区地面的防渗措施和泄漏、渗漏污染物收集措施，即在污染区地面进行防渗处理，防止洒落地面的污染物渗入地下，并把滞留在地面的污染物收集起来，</w:t>
      </w:r>
      <w:r>
        <w:rPr>
          <w:rFonts w:hint="eastAsia" w:ascii="Times New Roman" w:hAnsi="Times New Roman" w:eastAsia="宋体" w:cs="Times New Roman"/>
          <w:sz w:val="24"/>
          <w:szCs w:val="24"/>
          <w:highlight w:val="none"/>
          <w:lang w:val="en-US" w:eastAsia="zh-CN"/>
        </w:rPr>
        <w:t>按危险废物进行管理</w:t>
      </w:r>
      <w:r>
        <w:rPr>
          <w:rFonts w:hint="default" w:ascii="Times New Roman" w:hAnsi="Times New Roman" w:eastAsia="宋体" w:cs="Times New Roman"/>
          <w:sz w:val="24"/>
          <w:szCs w:val="24"/>
          <w:highlight w:val="none"/>
          <w:lang w:val="en-US" w:eastAsia="zh-CN"/>
        </w:rPr>
        <w:t>；末端控制采取分区防渗，重点污染防治区、一般污染防治区和简单污染防治区防渗措施有区别的防渗原则。</w:t>
      </w:r>
    </w:p>
    <w:p w14:paraId="411577F3">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3）污染监控体系</w:t>
      </w:r>
    </w:p>
    <w:p w14:paraId="356714B2">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实施覆盖生产区的地下水污染监控系统，包括建立完善的监测制度、配备检测仪器和设备、科学、合理设置地下水污染监控井，及时发现污染、及时控制。</w:t>
      </w:r>
    </w:p>
    <w:p w14:paraId="53EC869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4）应急响应措施</w:t>
      </w:r>
    </w:p>
    <w:p w14:paraId="061F42C7">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包括一旦发现地下水污染事故，立即启动应急预案、采取应急措施控制地下水污染，并使污染得到治理。</w:t>
      </w:r>
    </w:p>
    <w:p w14:paraId="15F8734F">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5）坚持“可视化”原则，输送含有污染物的管道尽可能地上敷设，减少由于埋地管道泄漏而造成的地下水污染。</w:t>
      </w:r>
    </w:p>
    <w:p w14:paraId="2D3F8FA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②</w:t>
      </w:r>
      <w:r>
        <w:rPr>
          <w:rFonts w:hint="default" w:ascii="Times New Roman" w:hAnsi="Times New Roman" w:eastAsia="宋体" w:cs="Times New Roman"/>
          <w:sz w:val="24"/>
          <w:szCs w:val="24"/>
          <w:highlight w:val="none"/>
          <w:lang w:val="en-US" w:eastAsia="zh-CN"/>
        </w:rPr>
        <w:t>分区防渗</w:t>
      </w:r>
    </w:p>
    <w:p w14:paraId="35FF9C6A">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根据《环境影响评价技术导则 地下水环境》（HJ610-2016）中不同分区防渗要求进行防渗。一般情况下，应以水平防渗为主，防控措施应满足以下要求：</w:t>
      </w:r>
    </w:p>
    <w:p w14:paraId="266F5904">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1）已颁布污染控制国家标准或防渗技术规范的行业，水平防渗技术要求按照相应标准或规范执行，如GB16889、GB18597、GB18598、GB18599、GBT50934等。</w:t>
      </w:r>
    </w:p>
    <w:p w14:paraId="46599B7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2）未颁布相关标准的行业，根据建设项目场地天然包气带防污性能、污染控制难易程度和污染物特性，参照表6.2</w:t>
      </w:r>
      <w:r>
        <w:rPr>
          <w:rFonts w:hint="eastAsia" w:ascii="Times New Roman" w:hAnsi="Times New Roman" w:eastAsia="宋体" w:cs="Times New Roman"/>
          <w:sz w:val="24"/>
          <w:szCs w:val="24"/>
          <w:highlight w:val="none"/>
          <w:lang w:val="en-US" w:eastAsia="zh-CN"/>
        </w:rPr>
        <w:t>-3</w:t>
      </w:r>
      <w:r>
        <w:rPr>
          <w:rFonts w:hint="default" w:ascii="Times New Roman" w:hAnsi="Times New Roman" w:eastAsia="宋体" w:cs="Times New Roman"/>
          <w:sz w:val="24"/>
          <w:szCs w:val="24"/>
          <w:highlight w:val="none"/>
          <w:lang w:val="en-US" w:eastAsia="zh-CN"/>
        </w:rPr>
        <w:t>提出防渗技术要求。其中污染控制难易程度分级和天然包气带防污性能分级分别参照表6.2</w:t>
      </w:r>
      <w:r>
        <w:rPr>
          <w:rFonts w:hint="eastAsia"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lang w:val="en-US" w:eastAsia="zh-CN"/>
        </w:rPr>
        <w:t>和表6.2</w:t>
      </w:r>
      <w:r>
        <w:rPr>
          <w:rFonts w:hint="eastAsia" w:ascii="Times New Roman" w:hAnsi="Times New Roman" w:eastAsia="宋体" w:cs="Times New Roman"/>
          <w:sz w:val="24"/>
          <w:szCs w:val="24"/>
          <w:highlight w:val="none"/>
          <w:lang w:val="en-US" w:eastAsia="zh-CN"/>
        </w:rPr>
        <w:t>-2</w:t>
      </w:r>
      <w:r>
        <w:rPr>
          <w:rFonts w:hint="default" w:ascii="Times New Roman" w:hAnsi="Times New Roman" w:eastAsia="宋体" w:cs="Times New Roman"/>
          <w:sz w:val="24"/>
          <w:szCs w:val="24"/>
          <w:highlight w:val="none"/>
          <w:lang w:val="en-US" w:eastAsia="zh-CN"/>
        </w:rPr>
        <w:t>进行相关等级的确定。</w:t>
      </w:r>
    </w:p>
    <w:p w14:paraId="7ED6BA43">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997" w:name="_Ref131757527"/>
      <w:r>
        <w:rPr>
          <w:rFonts w:hint="default" w:ascii="Times New Roman" w:hAnsi="Times New Roman" w:cs="Times New Roman"/>
          <w:b/>
          <w:bCs/>
        </w:rPr>
        <w:t>表</w:t>
      </w:r>
      <w:bookmarkEnd w:id="997"/>
      <w:r>
        <w:rPr>
          <w:rFonts w:hint="eastAsia" w:ascii="Times New Roman" w:hAnsi="Times New Roman" w:cs="Times New Roman"/>
          <w:b/>
          <w:bCs/>
          <w:lang w:val="en-US" w:eastAsia="zh-CN"/>
        </w:rPr>
        <w:t>6.2-1</w:t>
      </w:r>
      <w:r>
        <w:rPr>
          <w:rFonts w:hint="default" w:ascii="Times New Roman" w:hAnsi="Times New Roman" w:cs="Times New Roman"/>
          <w:b/>
          <w:bCs/>
        </w:rPr>
        <w:t xml:space="preserve"> 污染控制难易程度分级参照表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62"/>
        <w:gridCol w:w="6254"/>
      </w:tblGrid>
      <w:tr w14:paraId="32B0211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1328" w:type="pct"/>
            <w:tcBorders>
              <w:tl2br w:val="nil"/>
              <w:tr2bl w:val="nil"/>
            </w:tcBorders>
            <w:vAlign w:val="center"/>
          </w:tcPr>
          <w:p w14:paraId="38587E6F">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污染控制难易程度</w:t>
            </w:r>
          </w:p>
        </w:tc>
        <w:tc>
          <w:tcPr>
            <w:tcW w:w="3672" w:type="pct"/>
            <w:tcBorders>
              <w:tl2br w:val="nil"/>
              <w:tr2bl w:val="nil"/>
            </w:tcBorders>
            <w:vAlign w:val="center"/>
          </w:tcPr>
          <w:p w14:paraId="6FCA798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主要特征</w:t>
            </w:r>
          </w:p>
        </w:tc>
      </w:tr>
      <w:tr w14:paraId="7D65F0C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328" w:type="pct"/>
            <w:tcBorders>
              <w:tl2br w:val="nil"/>
              <w:tr2bl w:val="nil"/>
            </w:tcBorders>
            <w:vAlign w:val="center"/>
          </w:tcPr>
          <w:p w14:paraId="5FDBCB9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难</w:t>
            </w:r>
          </w:p>
        </w:tc>
        <w:tc>
          <w:tcPr>
            <w:tcW w:w="3672" w:type="pct"/>
            <w:tcBorders>
              <w:tl2br w:val="nil"/>
              <w:tr2bl w:val="nil"/>
            </w:tcBorders>
            <w:vAlign w:val="center"/>
          </w:tcPr>
          <w:p w14:paraId="56E495D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对地下水环境有污染的物料或污染物泄漏后，不能及时发现和处理</w:t>
            </w:r>
          </w:p>
        </w:tc>
      </w:tr>
      <w:tr w14:paraId="4B4A2A9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2" w:hRule="atLeast"/>
        </w:trPr>
        <w:tc>
          <w:tcPr>
            <w:tcW w:w="1328" w:type="pct"/>
            <w:tcBorders>
              <w:tl2br w:val="nil"/>
              <w:tr2bl w:val="nil"/>
            </w:tcBorders>
            <w:vAlign w:val="center"/>
          </w:tcPr>
          <w:p w14:paraId="4BA5594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易</w:t>
            </w:r>
          </w:p>
        </w:tc>
        <w:tc>
          <w:tcPr>
            <w:tcW w:w="3672" w:type="pct"/>
            <w:tcBorders>
              <w:tl2br w:val="nil"/>
              <w:tr2bl w:val="nil"/>
            </w:tcBorders>
            <w:vAlign w:val="center"/>
          </w:tcPr>
          <w:p w14:paraId="3185870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对地下水环境有污染的物料或污染物泄漏后，可及时发现和处理</w:t>
            </w:r>
          </w:p>
        </w:tc>
      </w:tr>
    </w:tbl>
    <w:p w14:paraId="26120FE4">
      <w:pPr>
        <w:pStyle w:val="203"/>
        <w:rPr>
          <w:rFonts w:hint="default" w:ascii="Times New Roman" w:hAnsi="Times New Roman" w:cs="Times New Roman"/>
          <w:b/>
          <w:bCs/>
        </w:rPr>
      </w:pPr>
      <w:bookmarkStart w:id="998" w:name="_Ref131757532"/>
      <w:r>
        <w:rPr>
          <w:rFonts w:hint="default" w:ascii="Times New Roman" w:hAnsi="Times New Roman" w:cs="Times New Roman"/>
          <w:b/>
          <w:bCs/>
        </w:rPr>
        <w:t>表</w:t>
      </w:r>
      <w:bookmarkEnd w:id="998"/>
      <w:r>
        <w:rPr>
          <w:rFonts w:hint="eastAsia" w:ascii="Times New Roman" w:hAnsi="Times New Roman" w:cs="Times New Roman"/>
          <w:b/>
          <w:bCs/>
          <w:lang w:val="en-US" w:eastAsia="zh-CN"/>
        </w:rPr>
        <w:t>6.2-2</w:t>
      </w:r>
      <w:r>
        <w:rPr>
          <w:rFonts w:hint="default" w:ascii="Times New Roman" w:hAnsi="Times New Roman" w:cs="Times New Roman"/>
          <w:b/>
          <w:bCs/>
        </w:rPr>
        <w:t xml:space="preserve"> 天然包气带防污性能分级参照表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7738"/>
      </w:tblGrid>
      <w:tr w14:paraId="4506599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57" w:type="pct"/>
            <w:tcBorders>
              <w:tl2br w:val="nil"/>
              <w:tr2bl w:val="nil"/>
            </w:tcBorders>
            <w:vAlign w:val="center"/>
          </w:tcPr>
          <w:p w14:paraId="66FAE6AB">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分级</w:t>
            </w:r>
          </w:p>
        </w:tc>
        <w:tc>
          <w:tcPr>
            <w:tcW w:w="4543" w:type="pct"/>
            <w:tcBorders>
              <w:tl2br w:val="nil"/>
              <w:tr2bl w:val="nil"/>
            </w:tcBorders>
            <w:vAlign w:val="center"/>
          </w:tcPr>
          <w:p w14:paraId="022A47BE">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包气带岩土的渗透性能</w:t>
            </w:r>
          </w:p>
        </w:tc>
      </w:tr>
      <w:tr w14:paraId="7219F73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457" w:type="pct"/>
            <w:tcBorders>
              <w:tl2br w:val="nil"/>
              <w:tr2bl w:val="nil"/>
            </w:tcBorders>
            <w:vAlign w:val="center"/>
          </w:tcPr>
          <w:p w14:paraId="4AAFACC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强</w:t>
            </w:r>
          </w:p>
        </w:tc>
        <w:tc>
          <w:tcPr>
            <w:tcW w:w="4543" w:type="pct"/>
            <w:tcBorders>
              <w:tl2br w:val="nil"/>
              <w:tr2bl w:val="nil"/>
            </w:tcBorders>
            <w:vAlign w:val="center"/>
          </w:tcPr>
          <w:p w14:paraId="7F21976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岩（土）层单层厚度Mb≥1.0m，渗透系数K≤1×10</w:t>
            </w:r>
            <w:r>
              <w:rPr>
                <w:rFonts w:hint="default" w:ascii="Times New Roman" w:hAnsi="Times New Roman" w:cs="Times New Roman"/>
                <w:color w:val="000000" w:themeColor="text1"/>
                <w:sz w:val="21"/>
                <w:szCs w:val="18"/>
                <w:vertAlign w:val="superscript"/>
                <w14:textFill>
                  <w14:solidFill>
                    <w14:schemeClr w14:val="tx1"/>
                  </w14:solidFill>
                </w14:textFill>
              </w:rPr>
              <w:t>-6</w:t>
            </w:r>
            <w:r>
              <w:rPr>
                <w:rFonts w:hint="default" w:ascii="Times New Roman" w:hAnsi="Times New Roman" w:cs="Times New Roman"/>
                <w:color w:val="000000" w:themeColor="text1"/>
                <w:sz w:val="21"/>
                <w:szCs w:val="18"/>
                <w14:textFill>
                  <w14:solidFill>
                    <w14:schemeClr w14:val="tx1"/>
                  </w14:solidFill>
                </w14:textFill>
              </w:rPr>
              <w:t>cm/s，且分布连续、稳定。</w:t>
            </w:r>
          </w:p>
        </w:tc>
      </w:tr>
      <w:tr w14:paraId="77F2D6D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7" w:type="pct"/>
            <w:tcBorders>
              <w:tl2br w:val="nil"/>
              <w:tr2bl w:val="nil"/>
            </w:tcBorders>
            <w:vAlign w:val="center"/>
          </w:tcPr>
          <w:p w14:paraId="1FADD00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中</w:t>
            </w:r>
          </w:p>
        </w:tc>
        <w:tc>
          <w:tcPr>
            <w:tcW w:w="4543" w:type="pct"/>
            <w:tcBorders>
              <w:tl2br w:val="nil"/>
              <w:tr2bl w:val="nil"/>
            </w:tcBorders>
            <w:vAlign w:val="center"/>
          </w:tcPr>
          <w:p w14:paraId="747132A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岩（土）层单层厚度0.5m≤Mb&lt;1.0m，渗透系数K≤1×10</w:t>
            </w:r>
            <w:r>
              <w:rPr>
                <w:rFonts w:hint="default" w:ascii="Times New Roman" w:hAnsi="Times New Roman" w:cs="Times New Roman"/>
                <w:color w:val="000000" w:themeColor="text1"/>
                <w:sz w:val="21"/>
                <w:szCs w:val="18"/>
                <w:vertAlign w:val="superscript"/>
                <w14:textFill>
                  <w14:solidFill>
                    <w14:schemeClr w14:val="tx1"/>
                  </w14:solidFill>
                </w14:textFill>
              </w:rPr>
              <w:t>-6</w:t>
            </w:r>
            <w:r>
              <w:rPr>
                <w:rFonts w:hint="default" w:ascii="Times New Roman" w:hAnsi="Times New Roman" w:cs="Times New Roman"/>
                <w:color w:val="000000" w:themeColor="text1"/>
                <w:sz w:val="21"/>
                <w:szCs w:val="18"/>
                <w14:textFill>
                  <w14:solidFill>
                    <w14:schemeClr w14:val="tx1"/>
                  </w14:solidFill>
                </w14:textFill>
              </w:rPr>
              <w:t>cm/s，且分布连续、稳定。岩（土）层单层厚度Mb≥1.0m，渗透系数1×10</w:t>
            </w:r>
            <w:r>
              <w:rPr>
                <w:rFonts w:hint="default" w:ascii="Times New Roman" w:hAnsi="Times New Roman" w:cs="Times New Roman"/>
                <w:color w:val="000000" w:themeColor="text1"/>
                <w:sz w:val="21"/>
                <w:szCs w:val="18"/>
                <w:vertAlign w:val="superscript"/>
                <w14:textFill>
                  <w14:solidFill>
                    <w14:schemeClr w14:val="tx1"/>
                  </w14:solidFill>
                </w14:textFill>
              </w:rPr>
              <w:t>-6</w:t>
            </w:r>
            <w:r>
              <w:rPr>
                <w:rFonts w:hint="default" w:ascii="Times New Roman" w:hAnsi="Times New Roman" w:cs="Times New Roman"/>
                <w:color w:val="000000" w:themeColor="text1"/>
                <w:sz w:val="21"/>
                <w:szCs w:val="18"/>
                <w14:textFill>
                  <w14:solidFill>
                    <w14:schemeClr w14:val="tx1"/>
                  </w14:solidFill>
                </w14:textFill>
              </w:rPr>
              <w:t>cm/s&lt;K≤1×10</w:t>
            </w:r>
            <w:r>
              <w:rPr>
                <w:rFonts w:hint="default" w:ascii="Times New Roman" w:hAnsi="Times New Roman" w:cs="Times New Roman"/>
                <w:color w:val="000000" w:themeColor="text1"/>
                <w:sz w:val="21"/>
                <w:szCs w:val="18"/>
                <w:vertAlign w:val="superscript"/>
                <w14:textFill>
                  <w14:solidFill>
                    <w14:schemeClr w14:val="tx1"/>
                  </w14:solidFill>
                </w14:textFill>
              </w:rPr>
              <w:t>-4</w:t>
            </w:r>
            <w:r>
              <w:rPr>
                <w:rFonts w:hint="default" w:ascii="Times New Roman" w:hAnsi="Times New Roman" w:cs="Times New Roman"/>
                <w:color w:val="000000" w:themeColor="text1"/>
                <w:sz w:val="21"/>
                <w:szCs w:val="18"/>
                <w14:textFill>
                  <w14:solidFill>
                    <w14:schemeClr w14:val="tx1"/>
                  </w14:solidFill>
                </w14:textFill>
              </w:rPr>
              <w:t>cm/s，且分布连续、稳定。</w:t>
            </w:r>
          </w:p>
        </w:tc>
      </w:tr>
      <w:tr w14:paraId="41D9BE1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457" w:type="pct"/>
            <w:tcBorders>
              <w:tl2br w:val="nil"/>
              <w:tr2bl w:val="nil"/>
            </w:tcBorders>
            <w:vAlign w:val="center"/>
          </w:tcPr>
          <w:p w14:paraId="36605A2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弱</w:t>
            </w:r>
          </w:p>
        </w:tc>
        <w:tc>
          <w:tcPr>
            <w:tcW w:w="4543" w:type="pct"/>
            <w:tcBorders>
              <w:tl2br w:val="nil"/>
              <w:tr2bl w:val="nil"/>
            </w:tcBorders>
            <w:vAlign w:val="center"/>
          </w:tcPr>
          <w:p w14:paraId="6CF0ED1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岩（土）层不满足上述“强”和“中”条件</w:t>
            </w:r>
          </w:p>
        </w:tc>
      </w:tr>
    </w:tbl>
    <w:p w14:paraId="733E2021">
      <w:pPr>
        <w:pStyle w:val="203"/>
        <w:rPr>
          <w:rFonts w:hint="default" w:ascii="Times New Roman" w:hAnsi="Times New Roman" w:cs="Times New Roman"/>
          <w:b/>
          <w:bCs/>
        </w:rPr>
      </w:pPr>
      <w:bookmarkStart w:id="999" w:name="_Ref131757517"/>
      <w:r>
        <w:rPr>
          <w:rFonts w:hint="default" w:ascii="Times New Roman" w:hAnsi="Times New Roman" w:cs="Times New Roman"/>
          <w:b/>
          <w:bCs/>
        </w:rPr>
        <w:t>表</w:t>
      </w:r>
      <w:bookmarkEnd w:id="999"/>
      <w:r>
        <w:rPr>
          <w:rFonts w:hint="eastAsia" w:ascii="Times New Roman" w:hAnsi="Times New Roman" w:cs="Times New Roman"/>
          <w:b/>
          <w:bCs/>
          <w:lang w:val="en-US" w:eastAsia="zh-CN"/>
        </w:rPr>
        <w:t>6.2-3</w:t>
      </w:r>
      <w:r>
        <w:rPr>
          <w:rFonts w:hint="default" w:ascii="Times New Roman" w:hAnsi="Times New Roman" w:cs="Times New Roman"/>
          <w:b/>
          <w:bCs/>
        </w:rPr>
        <w:t xml:space="preserve"> 地下水污染防渗分区参照表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15"/>
        <w:gridCol w:w="1480"/>
        <w:gridCol w:w="1347"/>
        <w:gridCol w:w="1751"/>
        <w:gridCol w:w="2623"/>
      </w:tblGrid>
      <w:tr w14:paraId="4219C91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772" w:type="pct"/>
            <w:tcBorders>
              <w:tl2br w:val="nil"/>
              <w:tr2bl w:val="nil"/>
            </w:tcBorders>
            <w:vAlign w:val="center"/>
          </w:tcPr>
          <w:p w14:paraId="5F301465">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防渗分区</w:t>
            </w:r>
          </w:p>
        </w:tc>
        <w:tc>
          <w:tcPr>
            <w:tcW w:w="869" w:type="pct"/>
            <w:tcBorders>
              <w:tl2br w:val="nil"/>
              <w:tr2bl w:val="nil"/>
            </w:tcBorders>
            <w:vAlign w:val="center"/>
          </w:tcPr>
          <w:p w14:paraId="213C4ADD">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天然包气带防污性能</w:t>
            </w:r>
          </w:p>
        </w:tc>
        <w:tc>
          <w:tcPr>
            <w:tcW w:w="791" w:type="pct"/>
            <w:tcBorders>
              <w:tl2br w:val="nil"/>
              <w:tr2bl w:val="nil"/>
            </w:tcBorders>
            <w:vAlign w:val="center"/>
          </w:tcPr>
          <w:p w14:paraId="316291D1">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污染控制难易程度</w:t>
            </w:r>
          </w:p>
        </w:tc>
        <w:tc>
          <w:tcPr>
            <w:tcW w:w="1028" w:type="pct"/>
            <w:tcBorders>
              <w:tl2br w:val="nil"/>
              <w:tr2bl w:val="nil"/>
            </w:tcBorders>
            <w:vAlign w:val="center"/>
          </w:tcPr>
          <w:p w14:paraId="45D03046">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污染物类型</w:t>
            </w:r>
          </w:p>
        </w:tc>
        <w:tc>
          <w:tcPr>
            <w:tcW w:w="1540" w:type="pct"/>
            <w:tcBorders>
              <w:tl2br w:val="nil"/>
              <w:tr2bl w:val="nil"/>
            </w:tcBorders>
            <w:vAlign w:val="center"/>
          </w:tcPr>
          <w:p w14:paraId="319A9B4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防渗技术要求</w:t>
            </w:r>
          </w:p>
        </w:tc>
      </w:tr>
      <w:tr w14:paraId="376A9F3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72" w:type="pct"/>
            <w:vMerge w:val="restart"/>
            <w:tcBorders>
              <w:tl2br w:val="nil"/>
              <w:tr2bl w:val="nil"/>
            </w:tcBorders>
            <w:vAlign w:val="center"/>
          </w:tcPr>
          <w:p w14:paraId="5FE6C7B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重点防渗区</w:t>
            </w:r>
          </w:p>
        </w:tc>
        <w:tc>
          <w:tcPr>
            <w:tcW w:w="869" w:type="pct"/>
            <w:tcBorders>
              <w:tl2br w:val="nil"/>
              <w:tr2bl w:val="nil"/>
            </w:tcBorders>
            <w:vAlign w:val="center"/>
          </w:tcPr>
          <w:p w14:paraId="73B335C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弱</w:t>
            </w:r>
          </w:p>
        </w:tc>
        <w:tc>
          <w:tcPr>
            <w:tcW w:w="791" w:type="pct"/>
            <w:tcBorders>
              <w:tl2br w:val="nil"/>
              <w:tr2bl w:val="nil"/>
            </w:tcBorders>
            <w:vAlign w:val="center"/>
          </w:tcPr>
          <w:p w14:paraId="212DBE6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难</w:t>
            </w:r>
          </w:p>
        </w:tc>
        <w:tc>
          <w:tcPr>
            <w:tcW w:w="1028" w:type="pct"/>
            <w:vMerge w:val="restart"/>
            <w:tcBorders>
              <w:tl2br w:val="nil"/>
              <w:tr2bl w:val="nil"/>
            </w:tcBorders>
            <w:vAlign w:val="center"/>
          </w:tcPr>
          <w:p w14:paraId="69BA260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重金属、持久性有机物污染物</w:t>
            </w:r>
          </w:p>
        </w:tc>
        <w:tc>
          <w:tcPr>
            <w:tcW w:w="1540" w:type="pct"/>
            <w:vMerge w:val="restart"/>
            <w:tcBorders>
              <w:tl2br w:val="nil"/>
              <w:tr2bl w:val="nil"/>
            </w:tcBorders>
            <w:vAlign w:val="center"/>
          </w:tcPr>
          <w:p w14:paraId="7C216CE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等效黏土防渗层Mb≥6.0m，K≤1×10</w:t>
            </w:r>
            <w:r>
              <w:rPr>
                <w:rFonts w:hint="default" w:ascii="Times New Roman" w:hAnsi="Times New Roman" w:cs="Times New Roman"/>
                <w:color w:val="000000" w:themeColor="text1"/>
                <w:sz w:val="21"/>
                <w:szCs w:val="18"/>
                <w:vertAlign w:val="superscript"/>
                <w14:textFill>
                  <w14:solidFill>
                    <w14:schemeClr w14:val="tx1"/>
                  </w14:solidFill>
                </w14:textFill>
              </w:rPr>
              <w:t>-7</w:t>
            </w:r>
            <w:r>
              <w:rPr>
                <w:rFonts w:hint="default" w:ascii="Times New Roman" w:hAnsi="Times New Roman" w:cs="Times New Roman"/>
                <w:color w:val="000000" w:themeColor="text1"/>
                <w:sz w:val="21"/>
                <w:szCs w:val="18"/>
                <w14:textFill>
                  <w14:solidFill>
                    <w14:schemeClr w14:val="tx1"/>
                  </w14:solidFill>
                </w14:textFill>
              </w:rPr>
              <w:t>cm/s；或参照GB18598执行</w:t>
            </w:r>
          </w:p>
        </w:tc>
      </w:tr>
      <w:tr w14:paraId="382326E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772" w:type="pct"/>
            <w:vMerge w:val="continue"/>
            <w:tcBorders>
              <w:tl2br w:val="nil"/>
              <w:tr2bl w:val="nil"/>
            </w:tcBorders>
            <w:vAlign w:val="center"/>
          </w:tcPr>
          <w:p w14:paraId="212A61B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869" w:type="pct"/>
            <w:tcBorders>
              <w:tl2br w:val="nil"/>
              <w:tr2bl w:val="nil"/>
            </w:tcBorders>
            <w:vAlign w:val="center"/>
          </w:tcPr>
          <w:p w14:paraId="0B8CBCA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中-强</w:t>
            </w:r>
          </w:p>
        </w:tc>
        <w:tc>
          <w:tcPr>
            <w:tcW w:w="791" w:type="pct"/>
            <w:tcBorders>
              <w:tl2br w:val="nil"/>
              <w:tr2bl w:val="nil"/>
            </w:tcBorders>
            <w:vAlign w:val="center"/>
          </w:tcPr>
          <w:p w14:paraId="6734346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难</w:t>
            </w:r>
          </w:p>
        </w:tc>
        <w:tc>
          <w:tcPr>
            <w:tcW w:w="1028" w:type="pct"/>
            <w:vMerge w:val="continue"/>
            <w:tcBorders>
              <w:tl2br w:val="nil"/>
              <w:tr2bl w:val="nil"/>
            </w:tcBorders>
            <w:vAlign w:val="center"/>
          </w:tcPr>
          <w:p w14:paraId="30B95A2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540" w:type="pct"/>
            <w:vMerge w:val="continue"/>
            <w:tcBorders>
              <w:tl2br w:val="nil"/>
              <w:tr2bl w:val="nil"/>
            </w:tcBorders>
            <w:vAlign w:val="center"/>
          </w:tcPr>
          <w:p w14:paraId="7EE9E3D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359972E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72" w:type="pct"/>
            <w:vMerge w:val="continue"/>
            <w:tcBorders>
              <w:tl2br w:val="nil"/>
              <w:tr2bl w:val="nil"/>
            </w:tcBorders>
            <w:vAlign w:val="center"/>
          </w:tcPr>
          <w:p w14:paraId="3B079BA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869" w:type="pct"/>
            <w:tcBorders>
              <w:tl2br w:val="nil"/>
              <w:tr2bl w:val="nil"/>
            </w:tcBorders>
            <w:vAlign w:val="center"/>
          </w:tcPr>
          <w:p w14:paraId="06691CE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弱</w:t>
            </w:r>
          </w:p>
        </w:tc>
        <w:tc>
          <w:tcPr>
            <w:tcW w:w="791" w:type="pct"/>
            <w:tcBorders>
              <w:tl2br w:val="nil"/>
              <w:tr2bl w:val="nil"/>
            </w:tcBorders>
            <w:vAlign w:val="center"/>
          </w:tcPr>
          <w:p w14:paraId="7ACB83C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易</w:t>
            </w:r>
          </w:p>
        </w:tc>
        <w:tc>
          <w:tcPr>
            <w:tcW w:w="1028" w:type="pct"/>
            <w:vMerge w:val="continue"/>
            <w:tcBorders>
              <w:tl2br w:val="nil"/>
              <w:tr2bl w:val="nil"/>
            </w:tcBorders>
            <w:vAlign w:val="center"/>
          </w:tcPr>
          <w:p w14:paraId="2ABBD16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540" w:type="pct"/>
            <w:vMerge w:val="continue"/>
            <w:tcBorders>
              <w:tl2br w:val="nil"/>
              <w:tr2bl w:val="nil"/>
            </w:tcBorders>
            <w:vAlign w:val="center"/>
          </w:tcPr>
          <w:p w14:paraId="79AE4F9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0993C81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72" w:type="pct"/>
            <w:vMerge w:val="restart"/>
            <w:tcBorders>
              <w:tl2br w:val="nil"/>
              <w:tr2bl w:val="nil"/>
            </w:tcBorders>
            <w:vAlign w:val="center"/>
          </w:tcPr>
          <w:p w14:paraId="12A7BD4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一般防渗区</w:t>
            </w:r>
          </w:p>
        </w:tc>
        <w:tc>
          <w:tcPr>
            <w:tcW w:w="869" w:type="pct"/>
            <w:tcBorders>
              <w:tl2br w:val="nil"/>
              <w:tr2bl w:val="nil"/>
            </w:tcBorders>
            <w:vAlign w:val="center"/>
          </w:tcPr>
          <w:p w14:paraId="09FB9F7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弱</w:t>
            </w:r>
          </w:p>
        </w:tc>
        <w:tc>
          <w:tcPr>
            <w:tcW w:w="791" w:type="pct"/>
            <w:tcBorders>
              <w:tl2br w:val="nil"/>
              <w:tr2bl w:val="nil"/>
            </w:tcBorders>
            <w:vAlign w:val="center"/>
          </w:tcPr>
          <w:p w14:paraId="5FDA0C5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易-难</w:t>
            </w:r>
          </w:p>
        </w:tc>
        <w:tc>
          <w:tcPr>
            <w:tcW w:w="1028" w:type="pct"/>
            <w:vMerge w:val="restart"/>
            <w:tcBorders>
              <w:tl2br w:val="nil"/>
              <w:tr2bl w:val="nil"/>
            </w:tcBorders>
            <w:vAlign w:val="center"/>
          </w:tcPr>
          <w:p w14:paraId="04E45E1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其他类型</w:t>
            </w:r>
          </w:p>
        </w:tc>
        <w:tc>
          <w:tcPr>
            <w:tcW w:w="1540" w:type="pct"/>
            <w:vMerge w:val="restart"/>
            <w:tcBorders>
              <w:tl2br w:val="nil"/>
              <w:tr2bl w:val="nil"/>
            </w:tcBorders>
            <w:vAlign w:val="center"/>
          </w:tcPr>
          <w:p w14:paraId="26F43B6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等效黏土防渗层Mb≥1.5m，K≤1×10</w:t>
            </w:r>
            <w:r>
              <w:rPr>
                <w:rFonts w:hint="default" w:ascii="Times New Roman" w:hAnsi="Times New Roman" w:cs="Times New Roman"/>
                <w:color w:val="000000" w:themeColor="text1"/>
                <w:sz w:val="21"/>
                <w:szCs w:val="18"/>
                <w:vertAlign w:val="superscript"/>
                <w14:textFill>
                  <w14:solidFill>
                    <w14:schemeClr w14:val="tx1"/>
                  </w14:solidFill>
                </w14:textFill>
              </w:rPr>
              <w:t>-7</w:t>
            </w:r>
            <w:r>
              <w:rPr>
                <w:rFonts w:hint="default" w:ascii="Times New Roman" w:hAnsi="Times New Roman" w:cs="Times New Roman"/>
                <w:color w:val="000000" w:themeColor="text1"/>
                <w:sz w:val="21"/>
                <w:szCs w:val="18"/>
                <w14:textFill>
                  <w14:solidFill>
                    <w14:schemeClr w14:val="tx1"/>
                  </w14:solidFill>
                </w14:textFill>
              </w:rPr>
              <w:t>cm/s；或参照GB16889执行</w:t>
            </w:r>
          </w:p>
        </w:tc>
      </w:tr>
      <w:tr w14:paraId="3F0ECB2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72" w:type="pct"/>
            <w:vMerge w:val="continue"/>
            <w:tcBorders>
              <w:tl2br w:val="nil"/>
              <w:tr2bl w:val="nil"/>
            </w:tcBorders>
            <w:vAlign w:val="center"/>
          </w:tcPr>
          <w:p w14:paraId="7CBF240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869" w:type="pct"/>
            <w:tcBorders>
              <w:tl2br w:val="nil"/>
              <w:tr2bl w:val="nil"/>
            </w:tcBorders>
            <w:vAlign w:val="center"/>
          </w:tcPr>
          <w:p w14:paraId="37FE4BB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中-强</w:t>
            </w:r>
          </w:p>
        </w:tc>
        <w:tc>
          <w:tcPr>
            <w:tcW w:w="791" w:type="pct"/>
            <w:tcBorders>
              <w:tl2br w:val="nil"/>
              <w:tr2bl w:val="nil"/>
            </w:tcBorders>
            <w:vAlign w:val="center"/>
          </w:tcPr>
          <w:p w14:paraId="31018A5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难</w:t>
            </w:r>
          </w:p>
        </w:tc>
        <w:tc>
          <w:tcPr>
            <w:tcW w:w="1028" w:type="pct"/>
            <w:vMerge w:val="continue"/>
            <w:tcBorders>
              <w:tl2br w:val="nil"/>
              <w:tr2bl w:val="nil"/>
            </w:tcBorders>
            <w:vAlign w:val="center"/>
          </w:tcPr>
          <w:p w14:paraId="6B6B380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540" w:type="pct"/>
            <w:vMerge w:val="continue"/>
            <w:tcBorders>
              <w:tl2br w:val="nil"/>
              <w:tr2bl w:val="nil"/>
            </w:tcBorders>
            <w:vAlign w:val="center"/>
          </w:tcPr>
          <w:p w14:paraId="3BE9D27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4469E99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72" w:type="pct"/>
            <w:vMerge w:val="continue"/>
            <w:tcBorders>
              <w:tl2br w:val="nil"/>
              <w:tr2bl w:val="nil"/>
            </w:tcBorders>
            <w:vAlign w:val="center"/>
          </w:tcPr>
          <w:p w14:paraId="4B01EAD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869" w:type="pct"/>
            <w:tcBorders>
              <w:tl2br w:val="nil"/>
              <w:tr2bl w:val="nil"/>
            </w:tcBorders>
            <w:vAlign w:val="center"/>
          </w:tcPr>
          <w:p w14:paraId="4179505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中</w:t>
            </w:r>
          </w:p>
        </w:tc>
        <w:tc>
          <w:tcPr>
            <w:tcW w:w="791" w:type="pct"/>
            <w:tcBorders>
              <w:tl2br w:val="nil"/>
              <w:tr2bl w:val="nil"/>
            </w:tcBorders>
            <w:vAlign w:val="center"/>
          </w:tcPr>
          <w:p w14:paraId="2A7D090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易</w:t>
            </w:r>
          </w:p>
        </w:tc>
        <w:tc>
          <w:tcPr>
            <w:tcW w:w="1028" w:type="pct"/>
            <w:vMerge w:val="restart"/>
            <w:tcBorders>
              <w:tl2br w:val="nil"/>
              <w:tr2bl w:val="nil"/>
            </w:tcBorders>
            <w:vAlign w:val="center"/>
          </w:tcPr>
          <w:p w14:paraId="2197382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重金属、持久性有机物污染物</w:t>
            </w:r>
          </w:p>
        </w:tc>
        <w:tc>
          <w:tcPr>
            <w:tcW w:w="1540" w:type="pct"/>
            <w:vMerge w:val="continue"/>
            <w:tcBorders>
              <w:tl2br w:val="nil"/>
              <w:tr2bl w:val="nil"/>
            </w:tcBorders>
            <w:vAlign w:val="center"/>
          </w:tcPr>
          <w:p w14:paraId="152D21C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59B980A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772" w:type="pct"/>
            <w:vMerge w:val="continue"/>
            <w:tcBorders>
              <w:tl2br w:val="nil"/>
              <w:tr2bl w:val="nil"/>
            </w:tcBorders>
            <w:vAlign w:val="center"/>
          </w:tcPr>
          <w:p w14:paraId="7560356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869" w:type="pct"/>
            <w:tcBorders>
              <w:tl2br w:val="nil"/>
              <w:tr2bl w:val="nil"/>
            </w:tcBorders>
            <w:vAlign w:val="center"/>
          </w:tcPr>
          <w:p w14:paraId="7B56D3E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强</w:t>
            </w:r>
          </w:p>
        </w:tc>
        <w:tc>
          <w:tcPr>
            <w:tcW w:w="791" w:type="pct"/>
            <w:tcBorders>
              <w:tl2br w:val="nil"/>
              <w:tr2bl w:val="nil"/>
            </w:tcBorders>
            <w:vAlign w:val="center"/>
          </w:tcPr>
          <w:p w14:paraId="29D3A67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易</w:t>
            </w:r>
          </w:p>
        </w:tc>
        <w:tc>
          <w:tcPr>
            <w:tcW w:w="1028" w:type="pct"/>
            <w:vMerge w:val="continue"/>
            <w:tcBorders>
              <w:tl2br w:val="nil"/>
              <w:tr2bl w:val="nil"/>
            </w:tcBorders>
            <w:vAlign w:val="center"/>
          </w:tcPr>
          <w:p w14:paraId="6B8C8D0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1540" w:type="pct"/>
            <w:vMerge w:val="continue"/>
            <w:tcBorders>
              <w:tl2br w:val="nil"/>
              <w:tr2bl w:val="nil"/>
            </w:tcBorders>
            <w:vAlign w:val="center"/>
          </w:tcPr>
          <w:p w14:paraId="364F95A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689C2B5C">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772" w:type="pct"/>
            <w:tcBorders>
              <w:tl2br w:val="nil"/>
              <w:tr2bl w:val="nil"/>
            </w:tcBorders>
            <w:vAlign w:val="center"/>
          </w:tcPr>
          <w:p w14:paraId="12860716">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简单防渗区</w:t>
            </w:r>
          </w:p>
        </w:tc>
        <w:tc>
          <w:tcPr>
            <w:tcW w:w="869" w:type="pct"/>
            <w:tcBorders>
              <w:tl2br w:val="nil"/>
              <w:tr2bl w:val="nil"/>
            </w:tcBorders>
            <w:vAlign w:val="center"/>
          </w:tcPr>
          <w:p w14:paraId="72F3775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中-强</w:t>
            </w:r>
          </w:p>
        </w:tc>
        <w:tc>
          <w:tcPr>
            <w:tcW w:w="791" w:type="pct"/>
            <w:tcBorders>
              <w:tl2br w:val="nil"/>
              <w:tr2bl w:val="nil"/>
            </w:tcBorders>
            <w:vAlign w:val="center"/>
          </w:tcPr>
          <w:p w14:paraId="1652748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易</w:t>
            </w:r>
          </w:p>
        </w:tc>
        <w:tc>
          <w:tcPr>
            <w:tcW w:w="1028" w:type="pct"/>
            <w:tcBorders>
              <w:tl2br w:val="nil"/>
              <w:tr2bl w:val="nil"/>
            </w:tcBorders>
            <w:vAlign w:val="center"/>
          </w:tcPr>
          <w:p w14:paraId="57E4619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其他类型</w:t>
            </w:r>
          </w:p>
        </w:tc>
        <w:tc>
          <w:tcPr>
            <w:tcW w:w="1540" w:type="pct"/>
            <w:tcBorders>
              <w:tl2br w:val="nil"/>
              <w:tr2bl w:val="nil"/>
            </w:tcBorders>
            <w:vAlign w:val="center"/>
          </w:tcPr>
          <w:p w14:paraId="6E33746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一般地面硬化</w:t>
            </w:r>
          </w:p>
        </w:tc>
      </w:tr>
    </w:tbl>
    <w:p w14:paraId="29A0F9A8">
      <w:pPr>
        <w:pStyle w:val="6"/>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rPr>
      </w:pPr>
      <w:r>
        <w:rPr>
          <w:rFonts w:hint="default" w:ascii="Times New Roman" w:hAnsi="Times New Roman" w:cs="Times New Roman"/>
        </w:rPr>
        <w:t>根据导则要求，按照本项目工艺、物料或者污染物泄漏的途径和生产功能单元所处位置，将厂区划分为重点防渗区、一般防渗区和简单防渗区。本项目污染防治分区见</w:t>
      </w:r>
      <w:r>
        <w:rPr>
          <w:rFonts w:hint="default" w:ascii="Times New Roman" w:hAnsi="Times New Roman" w:cs="Times New Roman"/>
        </w:rPr>
        <w:fldChar w:fldCharType="begin"/>
      </w:r>
      <w:r>
        <w:rPr>
          <w:rFonts w:hint="default" w:ascii="Times New Roman" w:hAnsi="Times New Roman" w:cs="Times New Roman"/>
        </w:rPr>
        <w:instrText xml:space="preserve"> REF _Ref131756098 \h  \* MERGEFORMAT </w:instrText>
      </w:r>
      <w:r>
        <w:rPr>
          <w:rFonts w:hint="default" w:ascii="Times New Roman" w:hAnsi="Times New Roman" w:cs="Times New Roman"/>
        </w:rPr>
        <w:fldChar w:fldCharType="separate"/>
      </w:r>
      <w:r>
        <w:rPr>
          <w:rFonts w:hint="default" w:ascii="Times New Roman" w:hAnsi="Times New Roman" w:cs="Times New Roman"/>
        </w:rPr>
        <w:t>表6.2</w:t>
      </w:r>
      <w:r>
        <w:rPr>
          <w:rFonts w:hint="eastAsia" w:ascii="Times New Roman" w:hAnsi="Times New Roman" w:cs="Times New Roman"/>
          <w:lang w:val="en-US" w:eastAsia="zh-CN"/>
        </w:rPr>
        <w:t>-4</w:t>
      </w:r>
      <w:r>
        <w:rPr>
          <w:rFonts w:hint="default" w:ascii="Times New Roman" w:hAnsi="Times New Roman" w:cs="Times New Roman"/>
        </w:rPr>
        <w:fldChar w:fldCharType="end"/>
      </w:r>
      <w:r>
        <w:rPr>
          <w:rFonts w:hint="default" w:ascii="Times New Roman" w:hAnsi="Times New Roman" w:cs="Times New Roman"/>
        </w:rPr>
        <w:t>。</w:t>
      </w:r>
    </w:p>
    <w:p w14:paraId="0C194B09">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000" w:name="_Ref131756098"/>
      <w:r>
        <w:rPr>
          <w:rFonts w:hint="default" w:ascii="Times New Roman" w:hAnsi="Times New Roman" w:cs="Times New Roman"/>
          <w:b/>
          <w:bCs/>
        </w:rPr>
        <w:t>表</w:t>
      </w:r>
      <w:bookmarkEnd w:id="1000"/>
      <w:r>
        <w:rPr>
          <w:rFonts w:hint="eastAsia" w:ascii="Times New Roman" w:hAnsi="Times New Roman" w:cs="Times New Roman"/>
          <w:b/>
          <w:bCs/>
          <w:lang w:val="en-US" w:eastAsia="zh-CN"/>
        </w:rPr>
        <w:t>6.2-4</w:t>
      </w:r>
      <w:r>
        <w:rPr>
          <w:rFonts w:hint="default" w:ascii="Times New Roman" w:hAnsi="Times New Roman" w:cs="Times New Roman"/>
          <w:b/>
          <w:bCs/>
        </w:rPr>
        <w:t xml:space="preserve"> 项目污染防治分区表</w:t>
      </w:r>
    </w:p>
    <w:tbl>
      <w:tblPr>
        <w:tblStyle w:val="39"/>
        <w:tblW w:w="5035"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99"/>
        <w:gridCol w:w="1989"/>
        <w:gridCol w:w="1251"/>
        <w:gridCol w:w="1258"/>
        <w:gridCol w:w="2661"/>
      </w:tblGrid>
      <w:tr w14:paraId="5B7961F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17" w:type="pct"/>
            <w:tcBorders>
              <w:tl2br w:val="nil"/>
              <w:tr2bl w:val="nil"/>
            </w:tcBorders>
            <w:vAlign w:val="center"/>
          </w:tcPr>
          <w:p w14:paraId="59FA4FCE">
            <w:pPr>
              <w:pStyle w:val="52"/>
              <w:spacing w:before="0" w:after="0" w:line="240" w:lineRule="auto"/>
              <w:ind w:left="0" w:firstLine="0"/>
              <w:rPr>
                <w:rFonts w:hint="default" w:ascii="Times New Roman" w:hAnsi="Times New Roman" w:cs="Times New Roman"/>
                <w:b/>
                <w:bCs/>
                <w:color w:val="000000" w:themeColor="text1"/>
                <w:sz w:val="21"/>
                <w:szCs w:val="18"/>
                <w:lang w:val="zh-CN" w:bidi="zh-CN"/>
                <w14:textFill>
                  <w14:solidFill>
                    <w14:schemeClr w14:val="tx1"/>
                  </w14:solidFill>
                </w14:textFill>
              </w:rPr>
            </w:pPr>
            <w:r>
              <w:rPr>
                <w:rFonts w:hint="default" w:ascii="Times New Roman" w:hAnsi="Times New Roman" w:cs="Times New Roman"/>
                <w:b/>
                <w:bCs/>
                <w:color w:val="000000" w:themeColor="text1"/>
                <w:sz w:val="21"/>
                <w:szCs w:val="18"/>
                <w:lang w:val="zh-CN" w:bidi="zh-CN"/>
                <w14:textFill>
                  <w14:solidFill>
                    <w14:schemeClr w14:val="tx1"/>
                  </w14:solidFill>
                </w14:textFill>
              </w:rPr>
              <w:t>分区类别</w:t>
            </w:r>
          </w:p>
        </w:tc>
        <w:tc>
          <w:tcPr>
            <w:tcW w:w="1189" w:type="pct"/>
            <w:tcBorders>
              <w:tl2br w:val="nil"/>
              <w:tr2bl w:val="nil"/>
            </w:tcBorders>
            <w:vAlign w:val="center"/>
          </w:tcPr>
          <w:p w14:paraId="222AF508">
            <w:pPr>
              <w:pStyle w:val="52"/>
              <w:spacing w:before="0" w:after="0" w:line="240" w:lineRule="auto"/>
              <w:ind w:left="0" w:firstLine="0"/>
              <w:rPr>
                <w:rFonts w:hint="default" w:ascii="Times New Roman" w:hAnsi="Times New Roman" w:cs="Times New Roman"/>
                <w:b/>
                <w:bCs/>
                <w:color w:val="000000" w:themeColor="text1"/>
                <w:sz w:val="21"/>
                <w:szCs w:val="18"/>
                <w:lang w:val="zh-CN" w:bidi="zh-CN"/>
                <w14:textFill>
                  <w14:solidFill>
                    <w14:schemeClr w14:val="tx1"/>
                  </w14:solidFill>
                </w14:textFill>
              </w:rPr>
            </w:pPr>
            <w:r>
              <w:rPr>
                <w:rFonts w:hint="default" w:ascii="Times New Roman" w:hAnsi="Times New Roman" w:cs="Times New Roman"/>
                <w:b/>
                <w:bCs/>
                <w:color w:val="000000" w:themeColor="text1"/>
                <w:sz w:val="21"/>
                <w:szCs w:val="18"/>
                <w:lang w:val="zh-CN" w:bidi="zh-CN"/>
                <w14:textFill>
                  <w14:solidFill>
                    <w14:schemeClr w14:val="tx1"/>
                  </w14:solidFill>
                </w14:textFill>
              </w:rPr>
              <w:t>防渗区域</w:t>
            </w:r>
          </w:p>
        </w:tc>
        <w:tc>
          <w:tcPr>
            <w:tcW w:w="748" w:type="pct"/>
            <w:tcBorders>
              <w:tl2br w:val="nil"/>
              <w:tr2bl w:val="nil"/>
            </w:tcBorders>
            <w:vAlign w:val="center"/>
          </w:tcPr>
          <w:p w14:paraId="15F80FA1">
            <w:pPr>
              <w:pStyle w:val="52"/>
              <w:spacing w:before="0" w:after="0" w:line="240" w:lineRule="auto"/>
              <w:ind w:left="0" w:firstLine="0"/>
              <w:rPr>
                <w:rFonts w:hint="default" w:ascii="Times New Roman" w:hAnsi="Times New Roman" w:cs="Times New Roman"/>
                <w:b/>
                <w:bCs/>
                <w:color w:val="000000" w:themeColor="text1"/>
                <w:sz w:val="21"/>
                <w:szCs w:val="18"/>
                <w:lang w:val="zh-CN" w:bidi="zh-CN"/>
                <w14:textFill>
                  <w14:solidFill>
                    <w14:schemeClr w14:val="tx1"/>
                  </w14:solidFill>
                </w14:textFill>
              </w:rPr>
            </w:pPr>
            <w:r>
              <w:rPr>
                <w:rFonts w:hint="default" w:ascii="Times New Roman" w:hAnsi="Times New Roman" w:cs="Times New Roman"/>
                <w:b/>
                <w:bCs/>
                <w:color w:val="000000" w:themeColor="text1"/>
                <w:sz w:val="21"/>
                <w:szCs w:val="18"/>
                <w:lang w:val="zh-CN" w:bidi="zh-CN"/>
                <w14:textFill>
                  <w14:solidFill>
                    <w14:schemeClr w14:val="tx1"/>
                  </w14:solidFill>
                </w14:textFill>
              </w:rPr>
              <w:t>污染控制难易程度</w:t>
            </w:r>
          </w:p>
        </w:tc>
        <w:tc>
          <w:tcPr>
            <w:tcW w:w="752" w:type="pct"/>
            <w:tcBorders>
              <w:tl2br w:val="nil"/>
              <w:tr2bl w:val="nil"/>
            </w:tcBorders>
            <w:vAlign w:val="center"/>
          </w:tcPr>
          <w:p w14:paraId="4BE8FA15">
            <w:pPr>
              <w:pStyle w:val="52"/>
              <w:spacing w:before="0" w:after="0" w:line="240" w:lineRule="auto"/>
              <w:ind w:left="0" w:firstLine="0"/>
              <w:rPr>
                <w:rFonts w:hint="default" w:ascii="Times New Roman" w:hAnsi="Times New Roman" w:cs="Times New Roman"/>
                <w:b/>
                <w:bCs/>
                <w:color w:val="000000" w:themeColor="text1"/>
                <w:sz w:val="21"/>
                <w:szCs w:val="18"/>
                <w:lang w:val="zh-CN" w:bidi="zh-CN"/>
                <w14:textFill>
                  <w14:solidFill>
                    <w14:schemeClr w14:val="tx1"/>
                  </w14:solidFill>
                </w14:textFill>
              </w:rPr>
            </w:pPr>
            <w:r>
              <w:rPr>
                <w:rFonts w:hint="default" w:ascii="Times New Roman" w:hAnsi="Times New Roman" w:cs="Times New Roman"/>
                <w:b/>
                <w:bCs/>
                <w:color w:val="000000" w:themeColor="text1"/>
                <w:sz w:val="21"/>
                <w:szCs w:val="18"/>
                <w:lang w:val="zh-CN" w:bidi="zh-CN"/>
                <w14:textFill>
                  <w14:solidFill>
                    <w14:schemeClr w14:val="tx1"/>
                  </w14:solidFill>
                </w14:textFill>
              </w:rPr>
              <w:t>污染物类型</w:t>
            </w:r>
          </w:p>
        </w:tc>
        <w:tc>
          <w:tcPr>
            <w:tcW w:w="1591" w:type="pct"/>
            <w:tcBorders>
              <w:tl2br w:val="nil"/>
              <w:tr2bl w:val="nil"/>
            </w:tcBorders>
            <w:vAlign w:val="center"/>
          </w:tcPr>
          <w:p w14:paraId="6F2141CF">
            <w:pPr>
              <w:pStyle w:val="52"/>
              <w:spacing w:before="0" w:after="0" w:line="240" w:lineRule="auto"/>
              <w:ind w:left="0" w:firstLine="0"/>
              <w:rPr>
                <w:rFonts w:hint="default" w:ascii="Times New Roman" w:hAnsi="Times New Roman" w:cs="Times New Roman"/>
                <w:b/>
                <w:bCs/>
                <w:color w:val="000000" w:themeColor="text1"/>
                <w:sz w:val="21"/>
                <w:szCs w:val="18"/>
                <w:lang w:val="zh-CN" w:bidi="zh-CN"/>
                <w14:textFill>
                  <w14:solidFill>
                    <w14:schemeClr w14:val="tx1"/>
                  </w14:solidFill>
                </w14:textFill>
              </w:rPr>
            </w:pPr>
            <w:r>
              <w:rPr>
                <w:rFonts w:hint="default" w:ascii="Times New Roman" w:hAnsi="Times New Roman" w:cs="Times New Roman"/>
                <w:b/>
                <w:bCs/>
                <w:color w:val="000000" w:themeColor="text1"/>
                <w:sz w:val="21"/>
                <w:szCs w:val="18"/>
                <w:lang w:val="zh-CN" w:bidi="zh-CN"/>
                <w14:textFill>
                  <w14:solidFill>
                    <w14:schemeClr w14:val="tx1"/>
                  </w14:solidFill>
                </w14:textFill>
              </w:rPr>
              <w:t>防渗性能要求</w:t>
            </w:r>
          </w:p>
        </w:tc>
      </w:tr>
      <w:tr w14:paraId="218678D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717" w:type="pct"/>
            <w:tcBorders>
              <w:tl2br w:val="nil"/>
              <w:tr2bl w:val="nil"/>
            </w:tcBorders>
            <w:vAlign w:val="center"/>
          </w:tcPr>
          <w:p w14:paraId="16D91E45">
            <w:pPr>
              <w:pStyle w:val="52"/>
              <w:spacing w:before="0" w:after="0" w:line="240" w:lineRule="auto"/>
              <w:ind w:left="0" w:firstLine="0"/>
              <w:rPr>
                <w:rFonts w:hint="default" w:ascii="Times New Roman" w:hAnsi="Times New Roman" w:cs="Times New Roman"/>
                <w:color w:val="000000" w:themeColor="text1"/>
                <w:sz w:val="21"/>
                <w:szCs w:val="18"/>
                <w:highlight w:val="none"/>
                <w:lang w:val="zh-CN" w:bidi="zh-CN"/>
                <w14:textFill>
                  <w14:solidFill>
                    <w14:schemeClr w14:val="tx1"/>
                  </w14:solidFill>
                </w14:textFill>
              </w:rPr>
            </w:pPr>
            <w:r>
              <w:rPr>
                <w:rFonts w:hint="default" w:ascii="Times New Roman" w:hAnsi="Times New Roman" w:cs="Times New Roman"/>
                <w:color w:val="000000" w:themeColor="text1"/>
                <w:sz w:val="21"/>
                <w:szCs w:val="18"/>
                <w:highlight w:val="none"/>
                <w:lang w:val="zh-CN" w:bidi="zh-CN"/>
                <w14:textFill>
                  <w14:solidFill>
                    <w14:schemeClr w14:val="tx1"/>
                  </w14:solidFill>
                </w14:textFill>
              </w:rPr>
              <w:t>重点防渗区</w:t>
            </w:r>
          </w:p>
        </w:tc>
        <w:tc>
          <w:tcPr>
            <w:tcW w:w="1189" w:type="pct"/>
            <w:tcBorders>
              <w:tl2br w:val="nil"/>
              <w:tr2bl w:val="nil"/>
            </w:tcBorders>
            <w:vAlign w:val="center"/>
          </w:tcPr>
          <w:p w14:paraId="04E303CA">
            <w:pPr>
              <w:pStyle w:val="52"/>
              <w:spacing w:before="0" w:after="0" w:line="240" w:lineRule="auto"/>
              <w:ind w:left="0" w:firstLine="0"/>
              <w:rPr>
                <w:rFonts w:hint="default" w:ascii="Times New Roman" w:hAnsi="Times New Roman" w:cs="Times New Roman"/>
                <w:color w:val="000000" w:themeColor="text1"/>
                <w:sz w:val="21"/>
                <w:szCs w:val="18"/>
                <w:highlight w:val="none"/>
                <w:lang w:val="en-US" w:bidi="zh-CN"/>
                <w14:textFill>
                  <w14:solidFill>
                    <w14:schemeClr w14:val="tx1"/>
                  </w14:solidFill>
                </w14:textFill>
              </w:rPr>
            </w:pPr>
            <w:r>
              <w:rPr>
                <w:rFonts w:hint="eastAsia" w:cs="Times New Roman"/>
                <w:color w:val="000000" w:themeColor="text1"/>
                <w:sz w:val="21"/>
                <w:szCs w:val="18"/>
                <w:highlight w:val="none"/>
                <w:lang w:val="en-US" w:bidi="zh-CN"/>
                <w14:textFill>
                  <w14:solidFill>
                    <w14:schemeClr w14:val="tx1"/>
                  </w14:solidFill>
                </w14:textFill>
              </w:rPr>
              <w:t>投料车间、事故池</w:t>
            </w:r>
          </w:p>
        </w:tc>
        <w:tc>
          <w:tcPr>
            <w:tcW w:w="748" w:type="pct"/>
            <w:tcBorders>
              <w:tl2br w:val="nil"/>
              <w:tr2bl w:val="nil"/>
            </w:tcBorders>
            <w:vAlign w:val="center"/>
          </w:tcPr>
          <w:p w14:paraId="30F9AD05">
            <w:pPr>
              <w:pStyle w:val="52"/>
              <w:spacing w:before="0" w:after="0" w:line="240" w:lineRule="auto"/>
              <w:ind w:left="0" w:firstLine="0"/>
              <w:rPr>
                <w:rFonts w:hint="default" w:ascii="Times New Roman" w:hAnsi="Times New Roman" w:cs="Times New Roman"/>
                <w:color w:val="000000" w:themeColor="text1"/>
                <w:sz w:val="21"/>
                <w:szCs w:val="18"/>
                <w:highlight w:val="none"/>
                <w:lang w:val="zh-CN" w:bidi="zh-CN"/>
                <w14:textFill>
                  <w14:solidFill>
                    <w14:schemeClr w14:val="tx1"/>
                  </w14:solidFill>
                </w14:textFill>
              </w:rPr>
            </w:pPr>
            <w:r>
              <w:rPr>
                <w:rFonts w:hint="default" w:ascii="Times New Roman" w:hAnsi="Times New Roman" w:cs="Times New Roman"/>
                <w:color w:val="000000" w:themeColor="text1"/>
                <w:sz w:val="21"/>
                <w:szCs w:val="18"/>
                <w:highlight w:val="none"/>
                <w:lang w:val="zh-CN" w:bidi="zh-CN"/>
                <w14:textFill>
                  <w14:solidFill>
                    <w14:schemeClr w14:val="tx1"/>
                  </w14:solidFill>
                </w14:textFill>
              </w:rPr>
              <w:t>难</w:t>
            </w:r>
          </w:p>
        </w:tc>
        <w:tc>
          <w:tcPr>
            <w:tcW w:w="752" w:type="pct"/>
            <w:tcBorders>
              <w:tl2br w:val="nil"/>
              <w:tr2bl w:val="nil"/>
            </w:tcBorders>
            <w:vAlign w:val="center"/>
          </w:tcPr>
          <w:p w14:paraId="36905B7C">
            <w:pPr>
              <w:pStyle w:val="52"/>
              <w:spacing w:before="0" w:after="0" w:line="240" w:lineRule="auto"/>
              <w:ind w:left="0" w:firstLine="0"/>
              <w:rPr>
                <w:rFonts w:hint="default" w:ascii="Times New Roman" w:hAnsi="Times New Roman" w:cs="Times New Roman"/>
                <w:color w:val="000000" w:themeColor="text1"/>
                <w:sz w:val="21"/>
                <w:szCs w:val="18"/>
                <w:highlight w:val="none"/>
                <w:lang w:val="zh-CN" w:bidi="zh-CN"/>
                <w14:textFill>
                  <w14:solidFill>
                    <w14:schemeClr w14:val="tx1"/>
                  </w14:solidFill>
                </w14:textFill>
              </w:rPr>
            </w:pPr>
            <w:r>
              <w:rPr>
                <w:rFonts w:hint="default" w:ascii="Times New Roman" w:hAnsi="Times New Roman" w:cs="Times New Roman"/>
                <w:color w:val="000000" w:themeColor="text1"/>
                <w:sz w:val="21"/>
                <w:szCs w:val="18"/>
                <w:highlight w:val="none"/>
                <w:lang w:val="zh-CN" w:bidi="zh-CN"/>
                <w14:textFill>
                  <w14:solidFill>
                    <w14:schemeClr w14:val="tx1"/>
                  </w14:solidFill>
                </w14:textFill>
              </w:rPr>
              <w:t>重金属、持久性有机物</w:t>
            </w:r>
          </w:p>
        </w:tc>
        <w:tc>
          <w:tcPr>
            <w:tcW w:w="1591" w:type="pct"/>
            <w:tcBorders>
              <w:tl2br w:val="nil"/>
              <w:tr2bl w:val="nil"/>
            </w:tcBorders>
            <w:vAlign w:val="center"/>
          </w:tcPr>
          <w:p w14:paraId="7B679419">
            <w:pPr>
              <w:pStyle w:val="52"/>
              <w:spacing w:before="0" w:after="0" w:line="240" w:lineRule="auto"/>
              <w:ind w:left="0" w:firstLine="0"/>
              <w:rPr>
                <w:rFonts w:hint="default" w:ascii="Times New Roman" w:hAnsi="Times New Roman" w:eastAsia="Times New Roman" w:cs="Times New Roman"/>
                <w:color w:val="000000" w:themeColor="text1"/>
                <w:sz w:val="21"/>
                <w:szCs w:val="18"/>
                <w:highlight w:val="none"/>
                <w:lang w:val="zh-CN" w:bidi="zh-CN"/>
                <w14:textFill>
                  <w14:solidFill>
                    <w14:schemeClr w14:val="tx1"/>
                  </w14:solidFill>
                </w14:textFill>
              </w:rPr>
            </w:pPr>
            <w:r>
              <w:rPr>
                <w:rFonts w:hint="default" w:ascii="Times New Roman" w:hAnsi="Times New Roman" w:cs="Times New Roman"/>
                <w:color w:val="000000" w:themeColor="text1"/>
                <w:sz w:val="21"/>
                <w:szCs w:val="18"/>
                <w:highlight w:val="none"/>
                <w:lang w:val="zh-CN" w:bidi="zh-CN"/>
                <w14:textFill>
                  <w14:solidFill>
                    <w14:schemeClr w14:val="tx1"/>
                  </w14:solidFill>
                </w14:textFill>
              </w:rPr>
              <w:t>等效黏土防渗层Mb≥6.0m，K≤1×10</w:t>
            </w:r>
            <w:r>
              <w:rPr>
                <w:rFonts w:hint="default" w:ascii="Times New Roman" w:hAnsi="Times New Roman" w:cs="Times New Roman"/>
                <w:color w:val="000000" w:themeColor="text1"/>
                <w:sz w:val="21"/>
                <w:szCs w:val="18"/>
                <w:highlight w:val="none"/>
                <w:vertAlign w:val="superscript"/>
                <w:lang w:val="zh-CN" w:bidi="zh-CN"/>
                <w14:textFill>
                  <w14:solidFill>
                    <w14:schemeClr w14:val="tx1"/>
                  </w14:solidFill>
                </w14:textFill>
              </w:rPr>
              <w:t>-7</w:t>
            </w:r>
            <w:r>
              <w:rPr>
                <w:rFonts w:hint="default" w:ascii="Times New Roman" w:hAnsi="Times New Roman" w:cs="Times New Roman"/>
                <w:color w:val="000000" w:themeColor="text1"/>
                <w:sz w:val="21"/>
                <w:szCs w:val="18"/>
                <w:highlight w:val="none"/>
                <w:lang w:val="zh-CN" w:bidi="zh-CN"/>
                <w14:textFill>
                  <w14:solidFill>
                    <w14:schemeClr w14:val="tx1"/>
                  </w14:solidFill>
                </w14:textFill>
              </w:rPr>
              <w:t>cm/s；或参照GB18598执行</w:t>
            </w:r>
          </w:p>
        </w:tc>
      </w:tr>
      <w:tr w14:paraId="6053134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87" w:hRule="atLeast"/>
          <w:jc w:val="center"/>
        </w:trPr>
        <w:tc>
          <w:tcPr>
            <w:tcW w:w="717" w:type="pct"/>
            <w:tcBorders>
              <w:tl2br w:val="nil"/>
              <w:tr2bl w:val="nil"/>
            </w:tcBorders>
            <w:vAlign w:val="center"/>
          </w:tcPr>
          <w:p w14:paraId="6707AB1B">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lang w:val="zh-CN" w:bidi="zh-CN"/>
                <w14:textFill>
                  <w14:solidFill>
                    <w14:schemeClr w14:val="tx1"/>
                  </w14:solidFill>
                </w14:textFill>
              </w:rPr>
              <w:t>一般防渗区</w:t>
            </w:r>
          </w:p>
        </w:tc>
        <w:tc>
          <w:tcPr>
            <w:tcW w:w="1189" w:type="pct"/>
            <w:tcBorders>
              <w:tl2br w:val="nil"/>
              <w:tr2bl w:val="nil"/>
            </w:tcBorders>
            <w:vAlign w:val="center"/>
          </w:tcPr>
          <w:p w14:paraId="628C926E">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lang w:val="zh-CN" w:bidi="zh-CN"/>
                <w14:textFill>
                  <w14:solidFill>
                    <w14:schemeClr w14:val="tx1"/>
                  </w14:solidFill>
                </w14:textFill>
              </w:rPr>
              <w:t>入窑输送系统区域</w:t>
            </w:r>
          </w:p>
        </w:tc>
        <w:tc>
          <w:tcPr>
            <w:tcW w:w="748" w:type="pct"/>
            <w:tcBorders>
              <w:tl2br w:val="nil"/>
              <w:tr2bl w:val="nil"/>
            </w:tcBorders>
            <w:vAlign w:val="center"/>
          </w:tcPr>
          <w:p w14:paraId="21F010EC">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lang w:val="zh-CN" w:bidi="zh-CN"/>
                <w14:textFill>
                  <w14:solidFill>
                    <w14:schemeClr w14:val="tx1"/>
                  </w14:solidFill>
                </w14:textFill>
              </w:rPr>
              <w:t>易</w:t>
            </w:r>
          </w:p>
        </w:tc>
        <w:tc>
          <w:tcPr>
            <w:tcW w:w="752" w:type="pct"/>
            <w:tcBorders>
              <w:tl2br w:val="nil"/>
              <w:tr2bl w:val="nil"/>
            </w:tcBorders>
            <w:vAlign w:val="center"/>
          </w:tcPr>
          <w:p w14:paraId="26ACAC9A">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lang w:val="zh-CN" w:bidi="zh-CN"/>
                <w14:textFill>
                  <w14:solidFill>
                    <w14:schemeClr w14:val="tx1"/>
                  </w14:solidFill>
                </w14:textFill>
              </w:rPr>
              <w:t>重金属、持久性有机物</w:t>
            </w:r>
          </w:p>
        </w:tc>
        <w:tc>
          <w:tcPr>
            <w:tcW w:w="1591" w:type="pct"/>
            <w:tcBorders>
              <w:tl2br w:val="nil"/>
              <w:tr2bl w:val="nil"/>
            </w:tcBorders>
            <w:vAlign w:val="center"/>
          </w:tcPr>
          <w:p w14:paraId="7D0F1E09">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等效黏土防渗层Mb≥1.5m，K≤1×10</w:t>
            </w:r>
            <w:r>
              <w:rPr>
                <w:rFonts w:hint="default" w:ascii="Times New Roman" w:hAnsi="Times New Roman" w:cs="Times New Roman"/>
                <w:color w:val="000000" w:themeColor="text1"/>
                <w:sz w:val="21"/>
                <w:szCs w:val="18"/>
                <w:vertAlign w:val="superscript"/>
                <w14:textFill>
                  <w14:solidFill>
                    <w14:schemeClr w14:val="tx1"/>
                  </w14:solidFill>
                </w14:textFill>
              </w:rPr>
              <w:t>-7</w:t>
            </w:r>
            <w:r>
              <w:rPr>
                <w:rFonts w:hint="default" w:ascii="Times New Roman" w:hAnsi="Times New Roman" w:cs="Times New Roman"/>
                <w:color w:val="000000" w:themeColor="text1"/>
                <w:sz w:val="21"/>
                <w:szCs w:val="18"/>
                <w14:textFill>
                  <w14:solidFill>
                    <w14:schemeClr w14:val="tx1"/>
                  </w14:solidFill>
                </w14:textFill>
              </w:rPr>
              <w:t>cm/s；或参照GB16889执行</w:t>
            </w:r>
          </w:p>
        </w:tc>
      </w:tr>
      <w:tr w14:paraId="7785F37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87" w:hRule="atLeast"/>
          <w:jc w:val="center"/>
        </w:trPr>
        <w:tc>
          <w:tcPr>
            <w:tcW w:w="717" w:type="pct"/>
            <w:tcBorders>
              <w:tl2br w:val="nil"/>
              <w:tr2bl w:val="nil"/>
            </w:tcBorders>
            <w:vAlign w:val="center"/>
          </w:tcPr>
          <w:p w14:paraId="7DAD2424">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lang w:val="zh-CN" w:bidi="zh-CN"/>
                <w14:textFill>
                  <w14:solidFill>
                    <w14:schemeClr w14:val="tx1"/>
                  </w14:solidFill>
                </w14:textFill>
              </w:rPr>
              <w:t>简单防渗区</w:t>
            </w:r>
          </w:p>
        </w:tc>
        <w:tc>
          <w:tcPr>
            <w:tcW w:w="1189" w:type="pct"/>
            <w:tcBorders>
              <w:tl2br w:val="nil"/>
              <w:tr2bl w:val="nil"/>
            </w:tcBorders>
            <w:vAlign w:val="center"/>
          </w:tcPr>
          <w:p w14:paraId="544662C6">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lang w:val="zh-CN" w:bidi="zh-CN"/>
                <w14:textFill>
                  <w14:solidFill>
                    <w14:schemeClr w14:val="tx1"/>
                  </w14:solidFill>
                </w14:textFill>
              </w:rPr>
              <w:t>厂区内除重点防渗区、一般防渗区和新增绿化面积以外的区域</w:t>
            </w:r>
          </w:p>
        </w:tc>
        <w:tc>
          <w:tcPr>
            <w:tcW w:w="748" w:type="pct"/>
            <w:tcBorders>
              <w:tl2br w:val="nil"/>
              <w:tr2bl w:val="nil"/>
            </w:tcBorders>
            <w:vAlign w:val="center"/>
          </w:tcPr>
          <w:p w14:paraId="37577ED3">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lang w:val="zh-CN" w:bidi="zh-CN"/>
                <w14:textFill>
                  <w14:solidFill>
                    <w14:schemeClr w14:val="tx1"/>
                  </w14:solidFill>
                </w14:textFill>
              </w:rPr>
              <w:t>易</w:t>
            </w:r>
          </w:p>
        </w:tc>
        <w:tc>
          <w:tcPr>
            <w:tcW w:w="752" w:type="pct"/>
            <w:tcBorders>
              <w:tl2br w:val="nil"/>
              <w:tr2bl w:val="nil"/>
            </w:tcBorders>
            <w:vAlign w:val="center"/>
          </w:tcPr>
          <w:p w14:paraId="36919617">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lang w:val="zh-CN" w:bidi="zh-CN"/>
                <w14:textFill>
                  <w14:solidFill>
                    <w14:schemeClr w14:val="tx1"/>
                  </w14:solidFill>
                </w14:textFill>
              </w:rPr>
              <w:t>其他类型</w:t>
            </w:r>
          </w:p>
        </w:tc>
        <w:tc>
          <w:tcPr>
            <w:tcW w:w="1591" w:type="pct"/>
            <w:tcBorders>
              <w:tl2br w:val="nil"/>
              <w:tr2bl w:val="nil"/>
            </w:tcBorders>
            <w:vAlign w:val="center"/>
          </w:tcPr>
          <w:p w14:paraId="713259AC">
            <w:pPr>
              <w:pStyle w:val="52"/>
              <w:spacing w:before="0" w:after="0" w:line="240" w:lineRule="auto"/>
              <w:ind w:left="0" w:firstLine="0"/>
              <w:rPr>
                <w:rFonts w:hint="default" w:ascii="Times New Roman" w:hAnsi="Times New Roman" w:cs="Times New Roman"/>
                <w:color w:val="000000" w:themeColor="text1"/>
                <w:sz w:val="21"/>
                <w:szCs w:val="18"/>
                <w:lang w:val="zh-CN" w:bidi="zh-CN"/>
                <w14:textFill>
                  <w14:solidFill>
                    <w14:schemeClr w14:val="tx1"/>
                  </w14:solidFill>
                </w14:textFill>
              </w:rPr>
            </w:pPr>
            <w:r>
              <w:rPr>
                <w:rFonts w:hint="default" w:ascii="Times New Roman" w:hAnsi="Times New Roman" w:cs="Times New Roman"/>
                <w:color w:val="000000" w:themeColor="text1"/>
                <w:sz w:val="21"/>
                <w:szCs w:val="18"/>
                <w:lang w:val="zh-CN" w:bidi="zh-CN"/>
                <w14:textFill>
                  <w14:solidFill>
                    <w14:schemeClr w14:val="tx1"/>
                  </w14:solidFill>
                </w14:textFill>
              </w:rPr>
              <w:t>地面硬化</w:t>
            </w:r>
          </w:p>
        </w:tc>
      </w:tr>
    </w:tbl>
    <w:p w14:paraId="1A9D1C08">
      <w:pPr>
        <w:pStyle w:val="52"/>
        <w:spacing w:line="360" w:lineRule="auto"/>
        <w:jc w:val="left"/>
        <w:rPr>
          <w:rFonts w:hint="default" w:ascii="Times New Roman" w:hAnsi="Times New Roman" w:cs="Times New Roman"/>
          <w:color w:val="000000" w:themeColor="text1"/>
          <w:sz w:val="18"/>
          <w:szCs w:val="15"/>
          <w14:textFill>
            <w14:solidFill>
              <w14:schemeClr w14:val="tx1"/>
            </w14:solidFill>
          </w14:textFill>
        </w:rPr>
      </w:pPr>
      <w:r>
        <w:rPr>
          <w:rFonts w:hint="default" w:ascii="Times New Roman" w:hAnsi="Times New Roman" w:cs="Times New Roman"/>
          <w:color w:val="000000" w:themeColor="text1"/>
          <w:sz w:val="18"/>
          <w:szCs w:val="15"/>
          <w14:textFill>
            <w14:solidFill>
              <w14:schemeClr w14:val="tx1"/>
            </w14:solidFill>
          </w14:textFill>
        </w:rPr>
        <w:t>注：防渗层可由单一或多种防渗材料组成。</w:t>
      </w:r>
    </w:p>
    <w:p w14:paraId="4123B6F7">
      <w:pPr>
        <w:pStyle w:val="6"/>
        <w:rPr>
          <w:rFonts w:hint="default" w:ascii="Times New Roman" w:hAnsi="Times New Roman" w:cs="Times New Roman"/>
        </w:rPr>
      </w:pPr>
      <w:r>
        <w:rPr>
          <w:rFonts w:hint="default" w:ascii="Times New Roman" w:hAnsi="Times New Roman" w:cs="Times New Roman"/>
        </w:rPr>
        <w:t>1）重点防渗区</w:t>
      </w:r>
    </w:p>
    <w:p w14:paraId="0905EB84">
      <w:pPr>
        <w:pStyle w:val="6"/>
        <w:keepNext w:val="0"/>
        <w:keepLines w:val="0"/>
        <w:pageBreakBefore w:val="0"/>
        <w:widowControl w:val="0"/>
        <w:kinsoku/>
        <w:wordWrap w:val="0"/>
        <w:overflowPunct/>
        <w:topLinePunct w:val="0"/>
        <w:autoSpaceDE/>
        <w:autoSpaceDN/>
        <w:bidi w:val="0"/>
        <w:adjustRightInd w:val="0"/>
        <w:snapToGrid w:val="0"/>
        <w:textAlignment w:val="auto"/>
        <w:rPr>
          <w:rFonts w:hint="default" w:ascii="Times New Roman" w:hAnsi="Times New Roman" w:cs="Times New Roman"/>
        </w:rPr>
      </w:pPr>
      <w:r>
        <w:rPr>
          <w:rFonts w:hint="default" w:ascii="Times New Roman" w:hAnsi="Times New Roman" w:cs="Times New Roman"/>
          <w:highlight w:val="none"/>
        </w:rPr>
        <w:t>废水收集</w:t>
      </w:r>
      <w:r>
        <w:rPr>
          <w:rFonts w:hint="eastAsia" w:ascii="Times New Roman" w:hAnsi="Times New Roman" w:cs="Times New Roman"/>
          <w:highlight w:val="none"/>
          <w:lang w:val="en-US" w:eastAsia="zh-CN"/>
        </w:rPr>
        <w:t>系统</w:t>
      </w:r>
      <w:r>
        <w:rPr>
          <w:rFonts w:hint="default" w:ascii="Times New Roman" w:hAnsi="Times New Roman" w:cs="Times New Roman"/>
          <w:highlight w:val="none"/>
        </w:rPr>
        <w:t>、</w:t>
      </w:r>
      <w:r>
        <w:rPr>
          <w:rFonts w:hint="default" w:ascii="Times New Roman" w:hAnsi="Times New Roman" w:cs="Times New Roman"/>
          <w:highlight w:val="none"/>
          <w:lang w:val="en-US"/>
        </w:rPr>
        <w:t>投料车间</w:t>
      </w:r>
      <w:r>
        <w:rPr>
          <w:rFonts w:hint="eastAsia" w:ascii="Times New Roman" w:hAnsi="Times New Roman" w:cs="Times New Roman"/>
          <w:highlight w:val="none"/>
          <w:lang w:val="en-US" w:eastAsia="zh-CN"/>
        </w:rPr>
        <w:t>及事故池</w:t>
      </w:r>
      <w:r>
        <w:rPr>
          <w:rFonts w:hint="default" w:ascii="Times New Roman" w:hAnsi="Times New Roman" w:cs="Times New Roman"/>
          <w:highlight w:val="none"/>
        </w:rPr>
        <w:t>按</w:t>
      </w:r>
      <w:r>
        <w:rPr>
          <w:rFonts w:hint="default" w:ascii="Times New Roman" w:hAnsi="Times New Roman" w:cs="Times New Roman"/>
        </w:rPr>
        <w:t>重点防渗区进行防渗处理</w:t>
      </w:r>
      <w:r>
        <w:rPr>
          <w:rFonts w:hint="default" w:ascii="Times New Roman" w:hAnsi="Times New Roman" w:cs="Times New Roman"/>
          <w:lang w:eastAsia="zh-CN"/>
        </w:rPr>
        <w:t>，</w:t>
      </w:r>
      <w:r>
        <w:rPr>
          <w:rFonts w:hint="default" w:ascii="Times New Roman" w:hAnsi="Times New Roman" w:cs="Times New Roman"/>
        </w:rPr>
        <w:t>按照《环境影响评价技术导则 地下水环境》（HJ610-2016）要求做好防渗处置，防渗技术要求：防渗基础层为6m厚粘土层（渗透系数≤10</w:t>
      </w:r>
      <w:r>
        <w:rPr>
          <w:rFonts w:hint="default" w:ascii="Times New Roman" w:hAnsi="Times New Roman" w:cs="Times New Roman"/>
          <w:vertAlign w:val="superscript"/>
        </w:rPr>
        <w:t>-7</w:t>
      </w:r>
      <w:r>
        <w:rPr>
          <w:rFonts w:hint="default" w:ascii="Times New Roman" w:hAnsi="Times New Roman" w:cs="Times New Roman"/>
        </w:rPr>
        <w:t>cm/s），或至少2mm厚高密度聚乙烯膜等人工防渗材料（渗透系数≤10</w:t>
      </w:r>
      <w:r>
        <w:rPr>
          <w:rFonts w:hint="default" w:ascii="Times New Roman" w:hAnsi="Times New Roman" w:cs="Times New Roman"/>
          <w:vertAlign w:val="superscript"/>
        </w:rPr>
        <w:t>-10</w:t>
      </w:r>
      <w:r>
        <w:rPr>
          <w:rFonts w:hint="default" w:ascii="Times New Roman" w:hAnsi="Times New Roman" w:cs="Times New Roman"/>
        </w:rPr>
        <w:t xml:space="preserve"> cm/s），或其他防渗性能等效的材料。</w:t>
      </w:r>
    </w:p>
    <w:p w14:paraId="6AFB5660">
      <w:pPr>
        <w:pStyle w:val="6"/>
        <w:rPr>
          <w:rFonts w:hint="default" w:ascii="Times New Roman" w:hAnsi="Times New Roman" w:cs="Times New Roman"/>
        </w:rPr>
      </w:pPr>
      <w:r>
        <w:rPr>
          <w:rFonts w:hint="default" w:ascii="Times New Roman" w:hAnsi="Times New Roman" w:cs="Times New Roman"/>
        </w:rPr>
        <w:t>2）一般防渗区</w:t>
      </w:r>
    </w:p>
    <w:p w14:paraId="35604000">
      <w:pPr>
        <w:pStyle w:val="6"/>
        <w:rPr>
          <w:rFonts w:hint="default" w:ascii="Times New Roman" w:hAnsi="Times New Roman" w:cs="Times New Roman"/>
        </w:rPr>
      </w:pPr>
      <w:r>
        <w:rPr>
          <w:rFonts w:hint="default" w:ascii="Times New Roman" w:hAnsi="Times New Roman" w:cs="Times New Roman"/>
        </w:rPr>
        <w:t>地磅房按一般防渗区要求进行防渗处理，防渗技术要求：等效粘土防渗层Mb≥1.5m，K≤1×10</w:t>
      </w:r>
      <w:r>
        <w:rPr>
          <w:rFonts w:hint="default" w:ascii="Times New Roman" w:hAnsi="Times New Roman" w:cs="Times New Roman"/>
          <w:vertAlign w:val="superscript"/>
        </w:rPr>
        <w:t>-7</w:t>
      </w:r>
      <w:r>
        <w:rPr>
          <w:rFonts w:hint="default" w:ascii="Times New Roman" w:hAnsi="Times New Roman" w:cs="Times New Roman"/>
        </w:rPr>
        <w:t>cm/s。</w:t>
      </w:r>
    </w:p>
    <w:p w14:paraId="33D6730C">
      <w:pPr>
        <w:pStyle w:val="205"/>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textAlignment w:val="auto"/>
        <w:rPr>
          <w:rFonts w:hint="default" w:ascii="Times New Roman" w:hAnsi="Times New Roman" w:cs="Times New Roman"/>
        </w:rPr>
      </w:pPr>
      <w:r>
        <w:rPr>
          <w:rFonts w:hint="default" w:ascii="Times New Roman" w:hAnsi="Times New Roman" w:cs="Times New Roman"/>
        </w:rPr>
        <w:drawing>
          <wp:inline distT="0" distB="0" distL="0" distR="0">
            <wp:extent cx="3599815" cy="2112645"/>
            <wp:effectExtent l="0" t="0" r="12065"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3599815" cy="2112645"/>
                    </a:xfrm>
                    <a:prstGeom prst="rect">
                      <a:avLst/>
                    </a:prstGeom>
                    <a:noFill/>
                    <a:ln>
                      <a:noFill/>
                    </a:ln>
                  </pic:spPr>
                </pic:pic>
              </a:graphicData>
            </a:graphic>
          </wp:inline>
        </w:drawing>
      </w:r>
    </w:p>
    <w:p w14:paraId="1FB4BC72">
      <w:pPr>
        <w:pStyle w:val="205"/>
        <w:keepNext w:val="0"/>
        <w:keepLines w:val="0"/>
        <w:pageBreakBefore w:val="0"/>
        <w:widowControl w:val="0"/>
        <w:kinsoku/>
        <w:wordWrap/>
        <w:overflowPunct/>
        <w:topLinePunct w:val="0"/>
        <w:autoSpaceDE/>
        <w:autoSpaceDN/>
        <w:bidi w:val="0"/>
        <w:adjustRightInd w:val="0"/>
        <w:snapToGrid w:val="0"/>
        <w:spacing w:before="0" w:beforeLines="0" w:after="0" w:afterLines="0" w:line="360" w:lineRule="auto"/>
        <w:textAlignment w:val="auto"/>
        <w:rPr>
          <w:rFonts w:hint="default" w:ascii="Times New Roman" w:hAnsi="Times New Roman" w:eastAsia="宋体" w:cs="Times New Roman"/>
          <w:b/>
          <w:bCs/>
          <w:highlight w:val="none"/>
        </w:rPr>
      </w:pPr>
      <w:r>
        <w:rPr>
          <w:rFonts w:hint="default" w:ascii="Times New Roman" w:hAnsi="Times New Roman" w:eastAsia="宋体" w:cs="Times New Roman"/>
          <w:b/>
          <w:bCs/>
          <w:highlight w:val="none"/>
        </w:rPr>
        <w:t>图</w:t>
      </w:r>
      <w:r>
        <w:rPr>
          <w:rFonts w:hint="eastAsia" w:ascii="Times New Roman" w:hAnsi="Times New Roman" w:eastAsia="宋体" w:cs="Times New Roman"/>
          <w:b/>
          <w:bCs/>
          <w:highlight w:val="none"/>
          <w:lang w:val="en-US" w:eastAsia="zh-CN"/>
        </w:rPr>
        <w:t>6.2-2</w:t>
      </w:r>
      <w:r>
        <w:rPr>
          <w:rFonts w:hint="default" w:ascii="Times New Roman" w:hAnsi="Times New Roman" w:eastAsia="宋体" w:cs="Times New Roman"/>
          <w:b/>
          <w:bCs/>
          <w:highlight w:val="none"/>
        </w:rPr>
        <w:t xml:space="preserve"> 一般防渗区典型防渗结构示意图</w:t>
      </w:r>
    </w:p>
    <w:p w14:paraId="59650EDE">
      <w:pPr>
        <w:pStyle w:val="6"/>
        <w:rPr>
          <w:rFonts w:hint="default" w:ascii="Times New Roman" w:hAnsi="Times New Roman" w:cs="Times New Roman"/>
        </w:rPr>
      </w:pPr>
      <w:r>
        <w:rPr>
          <w:rFonts w:hint="default" w:ascii="Times New Roman" w:hAnsi="Times New Roman" w:cs="Times New Roman"/>
        </w:rPr>
        <w:t>3）简单防渗区</w:t>
      </w:r>
    </w:p>
    <w:p w14:paraId="1BA26054">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rPr>
        <w:t>本项目占地中除重点防渗区、一般防渗区以外的区域均为简单防渗区。简单防渗区采取一般性的地面硬化措施。</w:t>
      </w:r>
    </w:p>
    <w:p w14:paraId="5D699583">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③</w:t>
      </w:r>
      <w:r>
        <w:rPr>
          <w:rFonts w:hint="default" w:ascii="Times New Roman" w:hAnsi="Times New Roman" w:eastAsia="宋体" w:cs="Times New Roman"/>
          <w:sz w:val="24"/>
          <w:szCs w:val="24"/>
          <w:highlight w:val="none"/>
          <w:lang w:val="en-US" w:eastAsia="zh-CN"/>
        </w:rPr>
        <w:t>地下水监控要求</w:t>
      </w:r>
    </w:p>
    <w:p w14:paraId="40ED0A36">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为了掌握项目周围地下水环境质量状况和地下水体中污染物的动态变化，应对项目周围的地下水水质进行长期监测，以便及时准确地反馈地下水水质状况，为防止对地下水的污染采取相应的措施提供重要依据。</w:t>
      </w:r>
    </w:p>
    <w:p w14:paraId="5F28C0E6">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lang w:val="en-US" w:eastAsia="zh-CN"/>
        </w:rPr>
        <w:t>企业应根据《环境影响评价技术导则 地下水环境》（HJ610-2016）、《地下水环境监测技术规范》（HJ164-2020）、《工业企业土壤和地下水自行监测技术指南（试行）》（HJ1209-2021）相关要求，在企业地下水流向上游边界处布设1个对照监测点，在厂区内存在地下水污染隐患的</w:t>
      </w:r>
      <w:r>
        <w:rPr>
          <w:rFonts w:hint="eastAsia" w:cs="Times New Roman"/>
          <w:sz w:val="24"/>
          <w:szCs w:val="24"/>
          <w:highlight w:val="none"/>
          <w:lang w:val="en-US" w:eastAsia="zh-CN"/>
        </w:rPr>
        <w:t>投料</w:t>
      </w:r>
      <w:r>
        <w:rPr>
          <w:rFonts w:hint="default" w:ascii="Times New Roman" w:hAnsi="Times New Roman" w:eastAsia="宋体" w:cs="Times New Roman"/>
          <w:sz w:val="24"/>
          <w:szCs w:val="24"/>
          <w:highlight w:val="none"/>
          <w:lang w:val="en-US" w:eastAsia="zh-CN"/>
        </w:rPr>
        <w:t>车间下游方向布设1个污染监控点，地下水下游厂界外布设1个污染扩散监测点。共设不少于3个地下水监测点，监测频率不少于每年一次。当发生泄漏事故时，应加密监测。</w:t>
      </w:r>
    </w:p>
    <w:p w14:paraId="21FA510A">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监测因子主要为pH值、色度、嗅和味、浑浊度、肉眼可见物、总硬度、溶解性总固体、氯化物、硫酸盐、挥发性酚类、耗氧量、硫化物、钠、氰化物、氟化物、碘化物、氨氮、阴离子表面活性剂、亚硝酸盐氮、硝酸盐、六价铬、铁、锰、铜、锌、铝、砷、汞、镉、铅、硒、总大肠菌群、菌落总数、苯、甲苯、三氯甲烷、四氯化碳等，共计37项。pH值的检测需在现场进行，采样时带着测试仪器现场采样进行；其它项目的检测可先按《地下水环境监测技术规范》（HJ164-2020）的采样技术要求采集水样，然后将水样送至当地的专业水质检测机构进行；或委托有资质的单位进行跟踪监测。</w:t>
      </w:r>
    </w:p>
    <w:p w14:paraId="5A87A1E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④日常管理措施</w:t>
      </w:r>
    </w:p>
    <w:p w14:paraId="192B2447">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1）制定全厂设备安全操作规章、检修制度和设备管理考核制度、对每台设备确定责任人。定期进行设备完好率、运行率考核，实施重奖重罚，消除设备故障和地下水污染隐患。</w:t>
      </w:r>
    </w:p>
    <w:p w14:paraId="703C07F8">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2）加强管理，杜绝超设计生产。</w:t>
      </w:r>
    </w:p>
    <w:p w14:paraId="2DDBF4CA">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3）加强对所有管道的维护管理，及时发现和消除污染隐患，杜绝跑、冒、滴、漏现象。一旦发现有污染物泄漏或渗漏，立即采取清理污染物和修补漏洞（缝）等补救措施。对污染源项的地下水保护设施进行采用动态检查，对发现的问题及时进行处理。</w:t>
      </w:r>
    </w:p>
    <w:p w14:paraId="33B6AF6A">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4）做好员工的环保和安全知识培训，提高全厂职工地下水保护意识。</w:t>
      </w:r>
    </w:p>
    <w:p w14:paraId="72CA48C4">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6.2.3噪声污染防治措施</w:t>
      </w:r>
    </w:p>
    <w:p w14:paraId="38DA57C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（1）设备选型</w:t>
      </w:r>
    </w:p>
    <w:p w14:paraId="2FFF32F4">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在设计中，应要求设计单位按照《工业企业噪声控制设计规范》规范要求，尽量选用技术先进、性能质量良好、同类成品中声级较低的设备，从源头上控制噪声源。</w:t>
      </w:r>
    </w:p>
    <w:p w14:paraId="6118B6E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（2）泵类噪声</w:t>
      </w:r>
    </w:p>
    <w:p w14:paraId="4014ACE5">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①泵机组和电机处可设隔声罩或局部隔声罩、内衬吸声材料；</w:t>
      </w:r>
    </w:p>
    <w:p w14:paraId="624BDF5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②电机部分可根据型号配置消声器；</w:t>
      </w:r>
    </w:p>
    <w:p w14:paraId="33F215E2">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③泵的进出口接管做挠性连接或弹性连接；</w:t>
      </w:r>
    </w:p>
    <w:p w14:paraId="129198F2">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④泵机组做金属弹簧、橡胶减震器等隔振、减振处理；</w:t>
      </w:r>
    </w:p>
    <w:p w14:paraId="632A4B1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⑤泵的进出口管尺寸要合适、匹配，避免流速过高产生气蚀而引起强烈噪声。</w:t>
      </w:r>
    </w:p>
    <w:p w14:paraId="300A7B1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（3）风机类噪声</w:t>
      </w:r>
    </w:p>
    <w:p w14:paraId="2CD8056F">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①设置隔声罩，但要充分考虑通风散热问题；</w:t>
      </w:r>
    </w:p>
    <w:p w14:paraId="1B7959B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②风机进、出口加设合适型号的消声器；</w:t>
      </w:r>
    </w:p>
    <w:p w14:paraId="5FEF92C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③在满足风机特性参数的前提下选用低噪声风机；</w:t>
      </w:r>
    </w:p>
    <w:p w14:paraId="0E3BC77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④在满足工艺条件的情况下，尽量配置专用风机房，并采取相应综合治理措施；</w:t>
      </w:r>
    </w:p>
    <w:p w14:paraId="1F5F27B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⑤对震动较大风机机组基础采用隔振与减振措施，管路选用弹性软连接。</w:t>
      </w:r>
    </w:p>
    <w:p w14:paraId="7CD06388">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（4）从传播途径上控制降低噪声</w:t>
      </w:r>
    </w:p>
    <w:p w14:paraId="2A248FA6">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①车间墙壁采用双面粉刷，窗户采用隔音门窗进行隔音或采用吸声墙面。</w:t>
      </w:r>
    </w:p>
    <w:p w14:paraId="45F6EBB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②项目高噪设备在布置时应当相对远离厂界。</w:t>
      </w:r>
    </w:p>
    <w:p w14:paraId="6D752E56">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③在厂区及车间外多植密叶树木（如减噪力强的杨树、柳树、榆树），不仅可以改善环境，而且一定密度和具有一定宽度的树林具有衰减噪声的作用。</w:t>
      </w:r>
    </w:p>
    <w:p w14:paraId="46AA02D1">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（5）管理措施</w:t>
      </w:r>
    </w:p>
    <w:p w14:paraId="0BD848D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制定噪声监测计划并执行；生产时应维持设备处于良好的运转状态，避免因设备运转不正常而引起噪声的增高。</w:t>
      </w:r>
    </w:p>
    <w:p w14:paraId="52FB3038">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sz w:val="24"/>
          <w:szCs w:val="24"/>
          <w:highlight w:val="none"/>
        </w:rPr>
        <w:t>控制噪声最有效和最直接的措施是降低声源噪声，因此项目必须配置低噪声设备；其次在噪声的传播控制措施，本项目针对各种噪声源在传播途径上采取了适当控制措施，其控制措施可行。只要建设单位认真落实上述各项噪声防治与控制措施，本项目产生的噪声可得到有效的控制，可使厂界噪声满足《工业企业厂界环境噪声排放标准》（12348-2008）3类声环境功能区标准要求。</w:t>
      </w:r>
    </w:p>
    <w:p w14:paraId="6D680D38">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6.2.4固体废物污染防治措施</w:t>
      </w:r>
    </w:p>
    <w:p w14:paraId="0CAD82A4">
      <w:pPr>
        <w:pageBreakBefore w:val="0"/>
        <w:widowControl/>
        <w:kinsoku/>
        <w:wordWrap/>
        <w:overflowPunct/>
        <w:topLinePunct w:val="0"/>
        <w:bidi w:val="0"/>
        <w:adjustRightInd/>
        <w:snapToGrid w:val="0"/>
        <w:spacing w:line="360" w:lineRule="auto"/>
        <w:ind w:firstLine="480"/>
        <w:jc w:val="left"/>
        <w:textAlignment w:val="auto"/>
        <w:rPr>
          <w:rFonts w:hint="eastAsia"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sz w:val="24"/>
          <w:szCs w:val="24"/>
          <w:highlight w:val="none"/>
        </w:rPr>
        <w:t>本项目固体废物</w:t>
      </w:r>
      <w:r>
        <w:rPr>
          <w:rFonts w:hint="default" w:ascii="Times New Roman" w:hAnsi="Times New Roman" w:eastAsia="宋体" w:cs="Times New Roman"/>
          <w:color w:val="auto"/>
          <w:sz w:val="24"/>
          <w:szCs w:val="24"/>
          <w:highlight w:val="none"/>
        </w:rPr>
        <w:t>主要为废物包装物</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除尘灰及</w:t>
      </w:r>
      <w:r>
        <w:rPr>
          <w:rFonts w:hint="default" w:ascii="Times New Roman" w:hAnsi="Times New Roman" w:eastAsia="宋体" w:cs="Times New Roman"/>
          <w:color w:val="auto"/>
          <w:sz w:val="24"/>
          <w:szCs w:val="24"/>
          <w:highlight w:val="none"/>
        </w:rPr>
        <w:t>化验废物，</w:t>
      </w:r>
      <w:r>
        <w:rPr>
          <w:rFonts w:hint="eastAsia" w:ascii="Times New Roman" w:hAnsi="Times New Roman" w:eastAsia="宋体" w:cs="Times New Roman"/>
          <w:color w:val="auto"/>
          <w:sz w:val="24"/>
          <w:szCs w:val="24"/>
          <w:highlight w:val="none"/>
          <w:lang w:val="en-US" w:eastAsia="zh-CN"/>
        </w:rPr>
        <w:t>其中废物包装物按照固态入窑废物的要求处理后投入水泥窑处置</w:t>
      </w:r>
      <w:r>
        <w:rPr>
          <w:rFonts w:hint="eastAsia" w:cs="Times New Roman"/>
          <w:color w:val="auto"/>
          <w:sz w:val="24"/>
          <w:szCs w:val="24"/>
          <w:highlight w:val="none"/>
          <w:lang w:val="en-US" w:eastAsia="zh-CN"/>
        </w:rPr>
        <w:t>，</w:t>
      </w:r>
      <w:r>
        <w:rPr>
          <w:rFonts w:hint="default" w:ascii="Times New Roman" w:hAnsi="Times New Roman" w:eastAsia="宋体" w:cs="Times New Roman"/>
          <w:sz w:val="24"/>
          <w:szCs w:val="24"/>
          <w:highlight w:val="none"/>
        </w:rPr>
        <w:t>符合《水泥窑协同处置危险废物环境保护技术规范》（HJ662-2013）规定</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除尘灰与固态物料成分一致，最终混入固态废物投入水泥窑处置；</w:t>
      </w:r>
      <w:r>
        <w:rPr>
          <w:rFonts w:hint="eastAsia" w:cs="Times New Roman"/>
          <w:sz w:val="24"/>
          <w:szCs w:val="24"/>
          <w:highlight w:val="none"/>
          <w:lang w:val="en-US" w:eastAsia="zh-CN"/>
        </w:rPr>
        <w:t>化验废物</w:t>
      </w:r>
      <w:r>
        <w:rPr>
          <w:rFonts w:hint="eastAsia" w:ascii="Times New Roman" w:hAnsi="Times New Roman" w:eastAsia="宋体" w:cs="Times New Roman"/>
          <w:color w:val="auto"/>
          <w:sz w:val="24"/>
          <w:szCs w:val="24"/>
          <w:highlight w:val="none"/>
          <w:lang w:val="en-US" w:eastAsia="zh-CN"/>
        </w:rPr>
        <w:t>暂存在企业现有危险废物暂存间内，定期交有资质单位处置；项目不新增劳动定员，无新增生活垃圾。</w:t>
      </w:r>
    </w:p>
    <w:p w14:paraId="3E425F54">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本项目固体废物综合处置率达100%，在落实好固废安全处置的情况下，不会造成二次污染，不会对周围环境造成影响，其固废处理措施是可行的。</w:t>
      </w:r>
    </w:p>
    <w:p w14:paraId="50DCB2A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固体废物贮存的技术要求</w:t>
      </w:r>
    </w:p>
    <w:p w14:paraId="00943E4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auto"/>
          <w:sz w:val="24"/>
          <w:szCs w:val="24"/>
          <w:highlight w:val="none"/>
        </w:rPr>
        <w:t>固体废物应与水泥厂常规原料、燃料和产品分开贮存，禁止共用同一贮存设施。</w:t>
      </w:r>
      <w:r>
        <w:rPr>
          <w:rFonts w:hint="eastAsia" w:cs="Times New Roman"/>
          <w:color w:val="auto"/>
          <w:sz w:val="24"/>
          <w:szCs w:val="24"/>
          <w:highlight w:val="none"/>
          <w:lang w:val="en-US" w:eastAsia="zh-CN"/>
        </w:rPr>
        <w:t>项目区</w:t>
      </w:r>
      <w:r>
        <w:rPr>
          <w:rFonts w:hint="default" w:ascii="Times New Roman" w:hAnsi="Times New Roman" w:eastAsia="宋体" w:cs="Times New Roman"/>
          <w:color w:val="auto"/>
          <w:sz w:val="24"/>
          <w:szCs w:val="24"/>
          <w:highlight w:val="none"/>
        </w:rPr>
        <w:t>应设置足够数量的砂土等吸附物质，以用于液态废物泄漏后阻止其向外溢出。吸附危险废物后的吸附物质应作为危险废物进行管理和处置。</w:t>
      </w:r>
      <w:r>
        <w:rPr>
          <w:rFonts w:hint="default" w:ascii="Times New Roman" w:hAnsi="Times New Roman" w:eastAsia="宋体" w:cs="Times New Roman"/>
          <w:sz w:val="24"/>
          <w:szCs w:val="24"/>
          <w:highlight w:val="none"/>
        </w:rPr>
        <w:t>危险废物贮存设施的操作运行和管理应满足GB18597和HJ/T176中的相关要求。不明性质废物在水泥厂内的暂存时间不得超过1周。</w:t>
      </w:r>
    </w:p>
    <w:p w14:paraId="067880A2">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贮存设施污染防控技术要求</w:t>
      </w:r>
    </w:p>
    <w:p w14:paraId="02C72064">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包装容器应达到相应的强度要求并完好无损，禁止混合贮存性质不相容而未经安全性处置的危险废物；危险废物容器和包装物以及危险废物贮存设施、场所应按规定设置危险废物识别标志；仓库式贮存设施应分开存放不相容危险废物，按危险废物的种类和特性进行分区贮存，采用防腐、防渗地面和裙脚，设置防止泄漏物质扩散至外环境的拦截、导流、收集设施；贮存堆场要防风、防雨、防晒；从事收集、贮存、利用、处置危险废物经营活动的单位，贮存危险废物不得超过一年（报经颁发危险废物经营许可证的生态环境主管部门批准或法律法规另有规定的除外）等。</w:t>
      </w:r>
    </w:p>
    <w:p w14:paraId="01542FBD">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排污单位生产运营期间危险废物自行贮存设施的环境管理和相关设施运行维护还应符合GB15562.2、GB18484、GB18597、GB30485、HJ2025和HJ2042等相关标准规范要求。</w:t>
      </w:r>
    </w:p>
    <w:p w14:paraId="1166123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4</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危险废物厂内运输污染防控技术要求</w:t>
      </w:r>
    </w:p>
    <w:p w14:paraId="081BC6B5">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①</w:t>
      </w:r>
      <w:r>
        <w:rPr>
          <w:rFonts w:hint="default" w:ascii="Times New Roman" w:hAnsi="Times New Roman" w:cs="Times New Roman"/>
        </w:rPr>
        <w:t>在危险废物装卸场所、投加区域等各个区域之间，根据危险废物特性和设施要求配备必要的输送设备</w:t>
      </w:r>
      <w:r>
        <w:rPr>
          <w:rFonts w:hint="default" w:ascii="Times New Roman" w:hAnsi="Times New Roman" w:cs="Times New Roman"/>
          <w:lang w:eastAsia="zh-CN"/>
        </w:rPr>
        <w:t>；</w:t>
      </w:r>
    </w:p>
    <w:p w14:paraId="225760A5">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②</w:t>
      </w:r>
      <w:r>
        <w:rPr>
          <w:rFonts w:hint="default" w:ascii="Times New Roman" w:hAnsi="Times New Roman" w:cs="Times New Roman"/>
        </w:rPr>
        <w:t>危险废物的物流出入口以及转运、输送路线远离办公和生活服务设施</w:t>
      </w:r>
      <w:r>
        <w:rPr>
          <w:rFonts w:hint="default" w:ascii="Times New Roman" w:hAnsi="Times New Roman" w:cs="Times New Roman"/>
          <w:lang w:eastAsia="zh-CN"/>
        </w:rPr>
        <w:t>；</w:t>
      </w:r>
    </w:p>
    <w:p w14:paraId="5DFB541D">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③</w:t>
      </w:r>
      <w:r>
        <w:rPr>
          <w:rFonts w:hint="default" w:ascii="Times New Roman" w:hAnsi="Times New Roman" w:cs="Times New Roman"/>
        </w:rPr>
        <w:t>输送设备所用材料适应危险废物特性，确保不被腐蚀和不与危险废物发生任何反应</w:t>
      </w:r>
      <w:r>
        <w:rPr>
          <w:rFonts w:hint="default" w:ascii="Times New Roman" w:hAnsi="Times New Roman" w:cs="Times New Roman"/>
          <w:lang w:eastAsia="zh-CN"/>
        </w:rPr>
        <w:t>；</w:t>
      </w:r>
    </w:p>
    <w:p w14:paraId="78B687F4">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④</w:t>
      </w:r>
      <w:r>
        <w:rPr>
          <w:rFonts w:hint="default" w:ascii="Times New Roman" w:hAnsi="Times New Roman" w:cs="Times New Roman"/>
        </w:rPr>
        <w:t>管道输送设备保持良好的密闭性能，防止危险废物的滴漏和溢出</w:t>
      </w:r>
      <w:r>
        <w:rPr>
          <w:rFonts w:hint="default" w:ascii="Times New Roman" w:hAnsi="Times New Roman" w:cs="Times New Roman"/>
          <w:lang w:eastAsia="zh-CN"/>
        </w:rPr>
        <w:t>；</w:t>
      </w:r>
    </w:p>
    <w:p w14:paraId="37D1A2A5">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⑤</w:t>
      </w:r>
      <w:r>
        <w:rPr>
          <w:rFonts w:hint="default" w:ascii="Times New Roman" w:hAnsi="Times New Roman" w:cs="Times New Roman"/>
        </w:rPr>
        <w:t>非密闭输送设备采取防护措施（如加设防护罩），防止粉尘飘散</w:t>
      </w:r>
      <w:r>
        <w:rPr>
          <w:rFonts w:hint="default" w:ascii="Times New Roman" w:hAnsi="Times New Roman" w:cs="Times New Roman"/>
          <w:lang w:eastAsia="zh-CN"/>
        </w:rPr>
        <w:t>；</w:t>
      </w:r>
    </w:p>
    <w:p w14:paraId="5C8AB13C">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⑥</w:t>
      </w:r>
      <w:r>
        <w:rPr>
          <w:rFonts w:hint="default" w:ascii="Times New Roman" w:hAnsi="Times New Roman" w:cs="Times New Roman"/>
        </w:rPr>
        <w:t>移动式输送设备，采取措施防止粉尘飘散和危险废物遗撒</w:t>
      </w:r>
      <w:r>
        <w:rPr>
          <w:rFonts w:hint="default" w:ascii="Times New Roman" w:hAnsi="Times New Roman" w:cs="Times New Roman"/>
          <w:lang w:eastAsia="zh-CN"/>
        </w:rPr>
        <w:t>；</w:t>
      </w:r>
    </w:p>
    <w:p w14:paraId="4F37FDD2">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⑦</w:t>
      </w:r>
      <w:r>
        <w:rPr>
          <w:rFonts w:hint="default" w:ascii="Times New Roman" w:hAnsi="Times New Roman" w:cs="Times New Roman"/>
        </w:rPr>
        <w:t>厂内输送危险废物的管道、传送带在显眼处标有安全警告信息</w:t>
      </w:r>
      <w:r>
        <w:rPr>
          <w:rFonts w:hint="default" w:ascii="Times New Roman" w:hAnsi="Times New Roman" w:cs="Times New Roman"/>
          <w:lang w:eastAsia="zh-CN"/>
        </w:rPr>
        <w:t>；</w:t>
      </w:r>
    </w:p>
    <w:p w14:paraId="19018088">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⑧</w:t>
      </w:r>
      <w:r>
        <w:rPr>
          <w:rFonts w:hint="default" w:ascii="Times New Roman" w:hAnsi="Times New Roman" w:cs="Times New Roman"/>
        </w:rPr>
        <w:t>在进行危险废物的厂内输送时，采取必要的措施防止危险废物的扬尘、溢出和泄漏</w:t>
      </w:r>
      <w:r>
        <w:rPr>
          <w:rFonts w:hint="default" w:ascii="Times New Roman" w:hAnsi="Times New Roman" w:cs="Times New Roman"/>
          <w:lang w:eastAsia="zh-CN"/>
        </w:rPr>
        <w:t>；</w:t>
      </w:r>
    </w:p>
    <w:p w14:paraId="2866AC2C">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⑨</w:t>
      </w:r>
      <w:r>
        <w:rPr>
          <w:rFonts w:hint="default" w:ascii="Times New Roman" w:hAnsi="Times New Roman" w:cs="Times New Roman"/>
        </w:rPr>
        <w:t>危险废物运输车辆定期进行清洗</w:t>
      </w:r>
      <w:r>
        <w:rPr>
          <w:rFonts w:hint="default" w:ascii="Times New Roman" w:hAnsi="Times New Roman" w:cs="Times New Roman"/>
          <w:lang w:eastAsia="zh-CN"/>
        </w:rPr>
        <w:t>；</w:t>
      </w:r>
    </w:p>
    <w:p w14:paraId="6D642C86">
      <w:pPr>
        <w:pStyle w:val="6"/>
        <w:rPr>
          <w:rFonts w:hint="default" w:ascii="Times New Roman" w:hAnsi="Times New Roman" w:eastAsia="宋体" w:cs="Times New Roman"/>
          <w:lang w:eastAsia="zh-CN"/>
        </w:rPr>
      </w:pPr>
      <w:r>
        <w:rPr>
          <w:rFonts w:hint="default" w:ascii="Times New Roman" w:hAnsi="Times New Roman" w:cs="Times New Roman"/>
          <w:lang w:val="en-US" w:eastAsia="zh-CN"/>
        </w:rPr>
        <w:t>⑩</w:t>
      </w:r>
      <w:r>
        <w:rPr>
          <w:rFonts w:hint="default" w:ascii="Times New Roman" w:hAnsi="Times New Roman" w:cs="Times New Roman"/>
        </w:rPr>
        <w:t>采用车辆在厂内运输危险废物时，按照运输车辆的专用路线行驶</w:t>
      </w:r>
      <w:r>
        <w:rPr>
          <w:rFonts w:hint="default" w:ascii="Times New Roman" w:hAnsi="Times New Roman" w:cs="Times New Roman"/>
          <w:lang w:eastAsia="zh-CN"/>
        </w:rPr>
        <w:t>；</w:t>
      </w:r>
    </w:p>
    <w:p w14:paraId="6C0956B9">
      <w:pPr>
        <w:pStyle w:val="6"/>
        <w:rPr>
          <w:rFonts w:hint="default" w:ascii="Times New Roman" w:hAnsi="Times New Roman" w:cs="Times New Roman"/>
        </w:rPr>
      </w:pPr>
      <w:r>
        <w:rPr>
          <w:rFonts w:hint="default" w:ascii="Times New Roman" w:hAnsi="Times New Roman" w:eastAsia="微软雅黑" w:cs="Times New Roman"/>
        </w:rPr>
        <w:t>⑪</w:t>
      </w:r>
      <w:r>
        <w:rPr>
          <w:rFonts w:hint="default" w:ascii="Times New Roman" w:hAnsi="Times New Roman" w:cs="Times New Roman"/>
        </w:rPr>
        <w:t>厂内危险废物输送设施管理、维护产生的各种废物均应作为危险废物进行管理和处置。</w:t>
      </w:r>
    </w:p>
    <w:p w14:paraId="03E3CA5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自行利用/处置设施污染防控技术要求</w:t>
      </w:r>
    </w:p>
    <w:p w14:paraId="04F87318">
      <w:pPr>
        <w:keepNext w:val="0"/>
        <w:keepLines w:val="0"/>
        <w:pageBreakBefore w:val="0"/>
        <w:widowControl/>
        <w:kinsoku/>
        <w:wordWrap w:val="0"/>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利用/处置设施、场所应按照规定设置危险废物识别标志等。排污单位生产运营期间危险废物自行利用/处置设施的环境管理和相关设施运行维护还应符合GB15562.2、GB18484、GB18598、GB30485、HJ2025和HJ2042等相关标准规范要求。</w:t>
      </w:r>
    </w:p>
    <w:p w14:paraId="369556C3">
      <w:pPr>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br w:type="page"/>
      </w:r>
    </w:p>
    <w:p w14:paraId="4CACD928">
      <w:pPr>
        <w:keepNext/>
        <w:keepLines/>
        <w:pageBreakBefore w:val="0"/>
        <w:widowControl/>
        <w:kinsoku/>
        <w:wordWrap/>
        <w:overflowPunct/>
        <w:topLinePunct w:val="0"/>
        <w:autoSpaceDE/>
        <w:autoSpaceDN/>
        <w:bidi w:val="0"/>
        <w:adjustRightInd/>
        <w:snapToGrid w:val="0"/>
        <w:spacing w:line="360" w:lineRule="auto"/>
        <w:jc w:val="left"/>
        <w:textAlignment w:val="auto"/>
        <w:outlineLvl w:val="0"/>
        <w:rPr>
          <w:rFonts w:hint="default" w:ascii="Times New Roman" w:hAnsi="Times New Roman" w:eastAsia="宋体" w:cs="Times New Roman"/>
          <w:b/>
          <w:bCs/>
          <w:sz w:val="24"/>
          <w:szCs w:val="22"/>
          <w:highlight w:val="none"/>
        </w:rPr>
      </w:pPr>
      <w:bookmarkStart w:id="1001" w:name="_Toc22891"/>
      <w:bookmarkStart w:id="1002" w:name="_Toc23476"/>
      <w:bookmarkStart w:id="1003" w:name="_Toc2819"/>
      <w:r>
        <w:rPr>
          <w:rFonts w:hint="default" w:ascii="Times New Roman" w:hAnsi="Times New Roman" w:cs="Times New Roman"/>
          <w:b/>
          <w:bCs/>
          <w:sz w:val="24"/>
          <w:szCs w:val="22"/>
          <w:highlight w:val="none"/>
          <w:lang w:val="en-US" w:eastAsia="zh-CN"/>
        </w:rPr>
        <w:t>7</w:t>
      </w:r>
      <w:r>
        <w:rPr>
          <w:rFonts w:hint="default" w:ascii="Times New Roman" w:hAnsi="Times New Roman" w:eastAsia="宋体" w:cs="Times New Roman"/>
          <w:b/>
          <w:bCs/>
          <w:sz w:val="24"/>
          <w:szCs w:val="22"/>
          <w:highlight w:val="none"/>
        </w:rPr>
        <w:t>环境影响经济损益分析</w:t>
      </w:r>
      <w:bookmarkEnd w:id="1001"/>
      <w:bookmarkEnd w:id="1002"/>
      <w:bookmarkEnd w:id="1003"/>
    </w:p>
    <w:p w14:paraId="07D85C31">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2"/>
          <w:highlight w:val="none"/>
        </w:rPr>
      </w:pPr>
      <w:r>
        <w:rPr>
          <w:rFonts w:hint="default" w:ascii="Times New Roman" w:hAnsi="Times New Roman" w:eastAsia="宋体" w:cs="Times New Roman"/>
          <w:sz w:val="24"/>
          <w:szCs w:val="22"/>
          <w:highlight w:val="none"/>
        </w:rPr>
        <w:t>环境影响经济损益分析是针对建设项目的性质和当地的具体情况，确定环境影响因子，从而对项目环境影响范围内的环境影响总体做出经济评价。</w:t>
      </w:r>
    </w:p>
    <w:p w14:paraId="32D952D1">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2"/>
          <w:highlight w:val="none"/>
        </w:rPr>
      </w:pPr>
      <w:r>
        <w:rPr>
          <w:rFonts w:hint="default" w:ascii="Times New Roman" w:hAnsi="Times New Roman" w:eastAsia="宋体" w:cs="Times New Roman"/>
          <w:sz w:val="24"/>
          <w:szCs w:val="22"/>
          <w:highlight w:val="none"/>
        </w:rPr>
        <w:t>根据理论发展多年的实践经验，任何项目工程都不可能对全部环境影响因子做出经济评价，因此，环境影响经济损益分析的重点，主要是对工程的主要影响因子做出投资和经济损益的评价，即项目的环境保护措施投资估算和经济效益、环境效益和社会效益以及项目环境影响费用—效益总体分析评价。通过对项目的经济、社会和环境效益分析，为项目决策者更好地考虑环境、经济和社会效益的统一提供依据。</w:t>
      </w:r>
    </w:p>
    <w:p w14:paraId="265A4CF4">
      <w:pPr>
        <w:pStyle w:val="11"/>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2"/>
          <w:highlight w:val="none"/>
        </w:rPr>
      </w:pPr>
      <w:r>
        <w:rPr>
          <w:rFonts w:hint="default" w:ascii="Times New Roman" w:hAnsi="Times New Roman" w:eastAsia="宋体" w:cs="Times New Roman"/>
          <w:sz w:val="24"/>
          <w:szCs w:val="22"/>
          <w:highlight w:val="none"/>
        </w:rPr>
        <w:t>本项目评价内容主要就环境保护投资估算、投资比例、环保设施产生的经济、社会及环境效益，在一定的程度上作定性描述和简要的定量分析。</w:t>
      </w:r>
    </w:p>
    <w:p w14:paraId="46ADB43E">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24"/>
          <w:highlight w:val="none"/>
          <w:lang w:eastAsia="zh-CN"/>
        </w:rPr>
      </w:pPr>
      <w:bookmarkStart w:id="1004" w:name="_Toc14693"/>
      <w:bookmarkStart w:id="1005" w:name="_Toc2649"/>
      <w:bookmarkStart w:id="1006" w:name="_Toc9230"/>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eastAsia="宋体" w:cs="Times New Roman"/>
          <w:sz w:val="24"/>
          <w:szCs w:val="24"/>
          <w:highlight w:val="none"/>
          <w:lang w:eastAsia="zh-CN"/>
        </w:rPr>
        <w:t>社会效益分析</w:t>
      </w:r>
      <w:bookmarkEnd w:id="1004"/>
      <w:bookmarkEnd w:id="1005"/>
      <w:bookmarkEnd w:id="1006"/>
    </w:p>
    <w:p w14:paraId="0520806B">
      <w:pPr>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项目通过利用水泥厂现有</w:t>
      </w:r>
      <w:r>
        <w:rPr>
          <w:rFonts w:hint="eastAsia" w:cs="Times New Roman"/>
          <w:sz w:val="24"/>
          <w:szCs w:val="24"/>
          <w:highlight w:val="none"/>
          <w:lang w:val="en-US" w:eastAsia="zh-CN"/>
        </w:rPr>
        <w:t>水泥窑装置</w:t>
      </w:r>
      <w:r>
        <w:rPr>
          <w:rFonts w:hint="default" w:ascii="Times New Roman" w:hAnsi="Times New Roman" w:eastAsia="宋体" w:cs="Times New Roman"/>
          <w:sz w:val="24"/>
          <w:szCs w:val="24"/>
          <w:highlight w:val="none"/>
          <w:lang w:eastAsia="zh-CN"/>
        </w:rPr>
        <w:t>生产线处置危险废物，填补当地水泥窑协同处置危险废物行业的空白，同时，逐步实现现有水泥厂企业功能的转型，优化当地的产业结构，社会效益和环境效益十分突出。项目利用水泥烧成系统处理危险废物，可以减少对自然资源的不可再生能源的开发，并通过废物转化为水泥生产的替代原料，达到危险废物处理的无害化、减量化和资源化的目标，实现资源的再利用和经济的可持续发展。同时，项目建成后可以增加税收、带来一定的就业机会，促进当地经济的发展。</w:t>
      </w:r>
    </w:p>
    <w:p w14:paraId="0F527B84">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24"/>
          <w:highlight w:val="none"/>
          <w:lang w:eastAsia="zh-CN"/>
        </w:rPr>
      </w:pPr>
      <w:bookmarkStart w:id="1007" w:name="_Toc11168"/>
      <w:bookmarkStart w:id="1008" w:name="_Toc4271"/>
      <w:bookmarkStart w:id="1009" w:name="_Toc9539"/>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CN"/>
        </w:rPr>
        <w:t>.</w:t>
      </w: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lang w:eastAsia="zh-CN"/>
        </w:rPr>
        <w:t>环境效益分析</w:t>
      </w:r>
      <w:bookmarkEnd w:id="1007"/>
      <w:bookmarkEnd w:id="1008"/>
      <w:bookmarkEnd w:id="1009"/>
    </w:p>
    <w:p w14:paraId="7CD5DF36">
      <w:pPr>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本项目环境效益集中体现在对生产中污染物的排放控制、资源的集中合理利用以及废物再利用，不仅可以减少企业在能源方面的投入，更重要的是使原本分散、未经任何处理的污染物得到了综合利用，并且实现达标排放。项目环境保护工程的投资是各项环保设施的落实和投用的保障，在这些环保设施的建成和正常运行的情况下，能够带来较明显的环境效益。</w:t>
      </w:r>
    </w:p>
    <w:p w14:paraId="17FEA00A">
      <w:pPr>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本项目环保设施落实后，废气</w:t>
      </w:r>
      <w:r>
        <w:rPr>
          <w:rFonts w:hint="eastAsia" w:cs="Times New Roman"/>
          <w:sz w:val="24"/>
          <w:szCs w:val="24"/>
          <w:highlight w:val="none"/>
          <w:lang w:val="en-US" w:eastAsia="zh-CN"/>
        </w:rPr>
        <w:t>、</w:t>
      </w:r>
      <w:r>
        <w:rPr>
          <w:rFonts w:hint="default" w:ascii="Times New Roman" w:hAnsi="Times New Roman" w:eastAsia="宋体" w:cs="Times New Roman"/>
          <w:sz w:val="24"/>
          <w:szCs w:val="24"/>
          <w:highlight w:val="none"/>
          <w:lang w:eastAsia="zh-CN"/>
        </w:rPr>
        <w:t>厂界噪声都实现了达标排放，废水、固废实现零排放，有效减少了污染物的排放量，在落实“三同时”后，污染治理措施的运行使污染物排放量大大降低，根据污染源监测结果、环境影响预测评价结果以及环境质量现状监测结果，项目的环保设施实施后，有效地控制和减少了生产过程中的污染物，实现了污染物的达标排放，保证了项目实施后没有降低当地大气、水、声环境质量，保障周边居民的健康、工作和生活不会受到显著影响。</w:t>
      </w:r>
    </w:p>
    <w:p w14:paraId="0193E41D">
      <w:pPr>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同时，项目利用水泥烧成系统处置危险废物，可以减少对不可再生能源的开发，并通过废物转化为水泥生产的替代原料，达到危险废物处理的无害化、减量化和资源化的目标，实现资源的再利用和经济的可持续发展。</w:t>
      </w:r>
    </w:p>
    <w:p w14:paraId="16EB98E0">
      <w:pPr>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lang w:eastAsia="zh-CN"/>
        </w:rPr>
        <w:t>由此可见本项目环保措施的环境效益是显著的。</w:t>
      </w:r>
    </w:p>
    <w:p w14:paraId="473EA52D">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22"/>
          <w:highlight w:val="none"/>
        </w:rPr>
      </w:pPr>
      <w:bookmarkStart w:id="1010" w:name="_Toc7563"/>
      <w:bookmarkStart w:id="1011" w:name="_Toc6153"/>
      <w:bookmarkStart w:id="1012" w:name="_Toc6445"/>
      <w:r>
        <w:rPr>
          <w:rFonts w:hint="default" w:ascii="Times New Roman" w:hAnsi="Times New Roman" w:cs="Times New Roman"/>
          <w:sz w:val="24"/>
          <w:szCs w:val="22"/>
          <w:highlight w:val="none"/>
          <w:lang w:val="en-US" w:eastAsia="zh-CN"/>
        </w:rPr>
        <w:t>7</w:t>
      </w:r>
      <w:r>
        <w:rPr>
          <w:rFonts w:hint="default" w:ascii="Times New Roman" w:hAnsi="Times New Roman" w:eastAsia="宋体" w:cs="Times New Roman"/>
          <w:sz w:val="24"/>
          <w:szCs w:val="22"/>
          <w:highlight w:val="none"/>
        </w:rPr>
        <w:t>.</w:t>
      </w:r>
      <w:r>
        <w:rPr>
          <w:rFonts w:hint="default" w:ascii="Times New Roman" w:hAnsi="Times New Roman" w:cs="Times New Roman"/>
          <w:sz w:val="24"/>
          <w:szCs w:val="22"/>
          <w:highlight w:val="none"/>
          <w:lang w:val="en-US" w:eastAsia="zh-CN"/>
        </w:rPr>
        <w:t>3</w:t>
      </w:r>
      <w:r>
        <w:rPr>
          <w:rFonts w:hint="default" w:ascii="Times New Roman" w:hAnsi="Times New Roman" w:eastAsia="宋体" w:cs="Times New Roman"/>
          <w:sz w:val="24"/>
          <w:szCs w:val="22"/>
          <w:highlight w:val="none"/>
        </w:rPr>
        <w:t>环保投资估算</w:t>
      </w:r>
      <w:bookmarkEnd w:id="1010"/>
      <w:bookmarkEnd w:id="1011"/>
      <w:bookmarkEnd w:id="1012"/>
    </w:p>
    <w:p w14:paraId="5C44ED83">
      <w:pPr>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本项目环保投资主要由废气处理设施、地下水防渗、噪声防治、环境监测等方面组成。具体环保投资见表7.3</w:t>
      </w:r>
      <w:r>
        <w:rPr>
          <w:rFonts w:hint="default" w:ascii="Times New Roman" w:hAnsi="Times New Roman" w:eastAsia="宋体" w:cs="Times New Roman"/>
          <w:sz w:val="24"/>
          <w:szCs w:val="24"/>
          <w:highlight w:val="none"/>
        </w:rPr>
        <w:noBreakHyphen/>
      </w:r>
      <w:r>
        <w:rPr>
          <w:rFonts w:hint="default" w:ascii="Times New Roman" w:hAnsi="Times New Roman" w:eastAsia="宋体" w:cs="Times New Roman"/>
          <w:sz w:val="24"/>
          <w:szCs w:val="24"/>
          <w:highlight w:val="none"/>
        </w:rPr>
        <w:t>1。项目实施单位必须筹措足够的资金，采取相应的环保措施，以保证项目投产后产生的污染物对环境的影响降低到最小程度，满足建设项目环境保护管理的要求。</w:t>
      </w:r>
    </w:p>
    <w:p w14:paraId="1A41E904">
      <w:pPr>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w:t>
      </w:r>
      <w:r>
        <w:rPr>
          <w:rFonts w:hint="default" w:ascii="Times New Roman" w:hAnsi="Times New Roman" w:eastAsia="宋体" w:cs="Times New Roman"/>
          <w:sz w:val="24"/>
          <w:szCs w:val="24"/>
          <w:highlight w:val="none"/>
          <w:lang w:val="en-US" w:eastAsia="zh-CN"/>
        </w:rPr>
        <w:t>总</w:t>
      </w:r>
      <w:r>
        <w:rPr>
          <w:rFonts w:hint="default" w:ascii="Times New Roman" w:hAnsi="Times New Roman" w:eastAsia="宋体" w:cs="Times New Roman"/>
          <w:sz w:val="24"/>
          <w:szCs w:val="24"/>
          <w:highlight w:val="none"/>
        </w:rPr>
        <w:t>投资为</w:t>
      </w:r>
      <w:r>
        <w:rPr>
          <w:rFonts w:hint="eastAsia" w:cs="Times New Roman"/>
          <w:sz w:val="24"/>
          <w:szCs w:val="24"/>
          <w:highlight w:val="none"/>
          <w:lang w:val="en-US" w:eastAsia="zh-CN"/>
        </w:rPr>
        <w:t>500</w:t>
      </w:r>
      <w:r>
        <w:rPr>
          <w:rFonts w:hint="default" w:ascii="Times New Roman" w:hAnsi="Times New Roman" w:eastAsia="宋体" w:cs="Times New Roman"/>
          <w:sz w:val="24"/>
          <w:szCs w:val="24"/>
          <w:highlight w:val="none"/>
        </w:rPr>
        <w:t>万元，</w:t>
      </w:r>
      <w:r>
        <w:rPr>
          <w:rFonts w:hint="default" w:ascii="Times New Roman" w:hAnsi="Times New Roman" w:eastAsia="宋体" w:cs="Times New Roman"/>
          <w:sz w:val="24"/>
          <w:szCs w:val="24"/>
          <w:highlight w:val="none"/>
          <w:lang w:val="en-US" w:eastAsia="zh-CN"/>
        </w:rPr>
        <w:t>环保设施</w:t>
      </w:r>
      <w:r>
        <w:rPr>
          <w:rFonts w:hint="default" w:ascii="Times New Roman" w:hAnsi="Times New Roman" w:eastAsia="宋体" w:cs="Times New Roman"/>
          <w:sz w:val="24"/>
          <w:szCs w:val="24"/>
          <w:highlight w:val="none"/>
        </w:rPr>
        <w:t>建设投资为</w:t>
      </w:r>
      <w:r>
        <w:rPr>
          <w:rFonts w:hint="eastAsia" w:cs="Times New Roman"/>
          <w:sz w:val="24"/>
          <w:szCs w:val="24"/>
          <w:highlight w:val="none"/>
          <w:lang w:val="en-US" w:eastAsia="zh-CN"/>
        </w:rPr>
        <w:t>99</w:t>
      </w:r>
      <w:r>
        <w:rPr>
          <w:rFonts w:hint="default" w:ascii="Times New Roman" w:hAnsi="Times New Roman" w:eastAsia="宋体" w:cs="Times New Roman"/>
          <w:sz w:val="24"/>
          <w:szCs w:val="24"/>
          <w:highlight w:val="none"/>
        </w:rPr>
        <w:t>万元，环保投资</w:t>
      </w:r>
      <w:r>
        <w:rPr>
          <w:rFonts w:hint="default" w:ascii="Times New Roman" w:hAnsi="Times New Roman" w:eastAsia="宋体" w:cs="Times New Roman"/>
          <w:sz w:val="24"/>
          <w:szCs w:val="24"/>
          <w:highlight w:val="none"/>
          <w:lang w:val="en-US" w:eastAsia="zh-CN"/>
        </w:rPr>
        <w:t>比例约</w:t>
      </w:r>
      <w:r>
        <w:rPr>
          <w:rFonts w:hint="default" w:ascii="Times New Roman" w:hAnsi="Times New Roman" w:eastAsia="宋体" w:cs="Times New Roman"/>
          <w:sz w:val="24"/>
          <w:szCs w:val="24"/>
          <w:highlight w:val="none"/>
        </w:rPr>
        <w:t>为</w:t>
      </w:r>
      <w:r>
        <w:rPr>
          <w:rFonts w:hint="eastAsia" w:cs="Times New Roman"/>
          <w:sz w:val="24"/>
          <w:szCs w:val="24"/>
          <w:highlight w:val="none"/>
          <w:lang w:val="en-US" w:eastAsia="zh-CN"/>
        </w:rPr>
        <w:t>19.8</w:t>
      </w:r>
      <w:r>
        <w:rPr>
          <w:rFonts w:hint="default" w:ascii="Times New Roman" w:hAnsi="Times New Roman" w:eastAsia="宋体" w:cs="Times New Roman"/>
          <w:sz w:val="24"/>
          <w:szCs w:val="24"/>
          <w:highlight w:val="none"/>
        </w:rPr>
        <w:t>%</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rPr>
        <w:t>具体估算结果见表</w:t>
      </w:r>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rPr>
        <w:t>.</w:t>
      </w:r>
      <w:r>
        <w:rPr>
          <w:rFonts w:hint="eastAsia" w:cs="Times New Roman"/>
          <w:sz w:val="24"/>
          <w:szCs w:val="24"/>
          <w:highlight w:val="none"/>
          <w:lang w:val="en-US" w:eastAsia="zh-CN"/>
        </w:rPr>
        <w:t>3</w:t>
      </w:r>
      <w:r>
        <w:rPr>
          <w:rFonts w:hint="default" w:ascii="Times New Roman" w:hAnsi="Times New Roman" w:eastAsia="宋体" w:cs="Times New Roman"/>
          <w:sz w:val="24"/>
          <w:szCs w:val="24"/>
          <w:highlight w:val="none"/>
        </w:rPr>
        <w:t>-1。</w:t>
      </w:r>
    </w:p>
    <w:p w14:paraId="3AB20E30">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w:t>
      </w:r>
      <w:r>
        <w:rPr>
          <w:rFonts w:hint="default" w:ascii="Times New Roman" w:hAnsi="Times New Roman" w:cs="Times New Roman"/>
          <w:b/>
          <w:bCs/>
          <w:sz w:val="24"/>
          <w:szCs w:val="24"/>
          <w:highlight w:val="none"/>
          <w:lang w:val="en-US" w:eastAsia="zh-CN"/>
        </w:rPr>
        <w:t>7</w:t>
      </w:r>
      <w:r>
        <w:rPr>
          <w:rFonts w:hint="default" w:ascii="Times New Roman" w:hAnsi="Times New Roman" w:eastAsia="宋体" w:cs="Times New Roman"/>
          <w:b/>
          <w:bCs/>
          <w:sz w:val="24"/>
          <w:szCs w:val="24"/>
          <w:highlight w:val="none"/>
        </w:rPr>
        <w:t>.</w:t>
      </w:r>
      <w:r>
        <w:rPr>
          <w:rFonts w:hint="eastAsia" w:cs="Times New Roman"/>
          <w:b/>
          <w:bCs/>
          <w:sz w:val="24"/>
          <w:szCs w:val="24"/>
          <w:highlight w:val="none"/>
          <w:lang w:val="en-US" w:eastAsia="zh-CN"/>
        </w:rPr>
        <w:t>3</w:t>
      </w:r>
      <w:r>
        <w:rPr>
          <w:rFonts w:hint="default" w:ascii="Times New Roman" w:hAnsi="Times New Roman" w:eastAsia="宋体" w:cs="Times New Roman"/>
          <w:b/>
          <w:bCs/>
          <w:sz w:val="24"/>
          <w:szCs w:val="24"/>
          <w:highlight w:val="none"/>
        </w:rPr>
        <w:t xml:space="preserve">-1 </w:t>
      </w:r>
      <w:r>
        <w:rPr>
          <w:rFonts w:hint="default" w:ascii="Times New Roman" w:hAnsi="Times New Roman" w:eastAsia="宋体" w:cs="Times New Roman"/>
          <w:b/>
          <w:bCs/>
          <w:sz w:val="24"/>
          <w:szCs w:val="24"/>
          <w:highlight w:val="none"/>
          <w:lang w:val="en-US" w:eastAsia="zh-CN"/>
        </w:rPr>
        <w:t>项目</w:t>
      </w:r>
      <w:r>
        <w:rPr>
          <w:rFonts w:hint="default" w:ascii="Times New Roman" w:hAnsi="Times New Roman" w:eastAsia="宋体" w:cs="Times New Roman"/>
          <w:b/>
          <w:bCs/>
          <w:sz w:val="24"/>
          <w:szCs w:val="24"/>
          <w:highlight w:val="none"/>
        </w:rPr>
        <w:t>环保投资估算表</w:t>
      </w:r>
    </w:p>
    <w:tbl>
      <w:tblPr>
        <w:tblStyle w:val="39"/>
        <w:tblW w:w="4997"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1571"/>
        <w:gridCol w:w="4417"/>
        <w:gridCol w:w="1386"/>
      </w:tblGrid>
      <w:tr w14:paraId="29BB7AB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668" w:type="pct"/>
            <w:noWrap w:val="0"/>
            <w:vAlign w:val="center"/>
          </w:tcPr>
          <w:p w14:paraId="2534A96A">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类别</w:t>
            </w:r>
          </w:p>
        </w:tc>
        <w:tc>
          <w:tcPr>
            <w:tcW w:w="923" w:type="pct"/>
            <w:noWrap w:val="0"/>
            <w:vAlign w:val="center"/>
          </w:tcPr>
          <w:p w14:paraId="3D60CE9B">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污染源</w:t>
            </w:r>
          </w:p>
        </w:tc>
        <w:tc>
          <w:tcPr>
            <w:tcW w:w="2593" w:type="pct"/>
            <w:noWrap w:val="0"/>
            <w:vAlign w:val="center"/>
          </w:tcPr>
          <w:p w14:paraId="1F293360">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环保设施</w:t>
            </w:r>
          </w:p>
        </w:tc>
        <w:tc>
          <w:tcPr>
            <w:tcW w:w="814" w:type="pct"/>
            <w:noWrap w:val="0"/>
            <w:vAlign w:val="center"/>
          </w:tcPr>
          <w:p w14:paraId="5558F506">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rPr>
              <w:t>投资</w:t>
            </w:r>
            <w:r>
              <w:rPr>
                <w:rFonts w:hint="default" w:ascii="Times New Roman" w:hAnsi="Times New Roman" w:eastAsia="宋体" w:cs="Times New Roman"/>
                <w:b/>
                <w:bCs/>
                <w:sz w:val="21"/>
                <w:szCs w:val="21"/>
                <w:highlight w:val="none"/>
                <w:lang w:eastAsia="zh-CN"/>
              </w:rPr>
              <w:t>（</w:t>
            </w:r>
            <w:r>
              <w:rPr>
                <w:rFonts w:hint="default" w:ascii="Times New Roman" w:hAnsi="Times New Roman" w:eastAsia="宋体" w:cs="Times New Roman"/>
                <w:b/>
                <w:bCs/>
                <w:sz w:val="21"/>
                <w:szCs w:val="21"/>
                <w:highlight w:val="none"/>
                <w:lang w:val="en-US" w:eastAsia="zh-CN"/>
              </w:rPr>
              <w:t>万元</w:t>
            </w:r>
            <w:r>
              <w:rPr>
                <w:rFonts w:hint="default" w:ascii="Times New Roman" w:hAnsi="Times New Roman" w:eastAsia="宋体" w:cs="Times New Roman"/>
                <w:b/>
                <w:bCs/>
                <w:sz w:val="21"/>
                <w:szCs w:val="21"/>
                <w:highlight w:val="none"/>
                <w:lang w:eastAsia="zh-CN"/>
              </w:rPr>
              <w:t>）</w:t>
            </w:r>
          </w:p>
        </w:tc>
      </w:tr>
      <w:tr w14:paraId="5DB455B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6" w:hRule="atLeast"/>
        </w:trPr>
        <w:tc>
          <w:tcPr>
            <w:tcW w:w="668" w:type="pct"/>
            <w:vMerge w:val="restart"/>
            <w:noWrap w:val="0"/>
            <w:vAlign w:val="center"/>
          </w:tcPr>
          <w:p w14:paraId="2271A34E">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废气</w:t>
            </w:r>
          </w:p>
        </w:tc>
        <w:tc>
          <w:tcPr>
            <w:tcW w:w="923" w:type="pct"/>
            <w:shd w:val="clear" w:color="auto" w:fill="auto"/>
            <w:noWrap w:val="0"/>
            <w:vAlign w:val="center"/>
          </w:tcPr>
          <w:p w14:paraId="3C270D18">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sz w:val="21"/>
                <w:highlight w:val="none"/>
                <w:lang w:val="en-US" w:eastAsia="zh-CN" w:bidi="ar-SA"/>
              </w:rPr>
            </w:pPr>
            <w:r>
              <w:rPr>
                <w:rFonts w:hint="default" w:ascii="Times New Roman" w:hAnsi="Times New Roman" w:eastAsia="宋体" w:cs="Times New Roman"/>
                <w:b w:val="0"/>
                <w:bCs w:val="0"/>
                <w:sz w:val="21"/>
                <w:highlight w:val="none"/>
                <w:lang w:val="en-US" w:eastAsia="zh-CN"/>
              </w:rPr>
              <w:t>窑尾废气</w:t>
            </w:r>
          </w:p>
        </w:tc>
        <w:tc>
          <w:tcPr>
            <w:tcW w:w="2593" w:type="pct"/>
            <w:shd w:val="clear" w:color="auto" w:fill="auto"/>
            <w:noWrap w:val="0"/>
            <w:vAlign w:val="center"/>
          </w:tcPr>
          <w:p w14:paraId="42D1BF4A">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sz w:val="21"/>
                <w:highlight w:val="none"/>
                <w:lang w:val="en-US" w:eastAsia="zh-CN" w:bidi="ar-SA"/>
              </w:rPr>
            </w:pPr>
            <w:r>
              <w:rPr>
                <w:rFonts w:hint="default" w:ascii="Times New Roman" w:hAnsi="Times New Roman" w:eastAsia="宋体" w:cs="Times New Roman"/>
                <w:b w:val="0"/>
                <w:bCs w:val="0"/>
                <w:sz w:val="21"/>
                <w:highlight w:val="none"/>
                <w:lang w:val="en-US" w:eastAsia="zh-CN" w:bidi="ar-SA"/>
              </w:rPr>
              <w:t>依托水泥厂现有设施，采用“低氮燃烧+SNCR+增湿塔（急冷）+电除尘+布袋除尘+</w:t>
            </w:r>
            <w:r>
              <w:rPr>
                <w:rFonts w:hint="eastAsia" w:cs="Times New Roman"/>
                <w:b w:val="0"/>
                <w:bCs w:val="0"/>
                <w:sz w:val="21"/>
                <w:highlight w:val="none"/>
                <w:lang w:val="en-US" w:eastAsia="zh-CN" w:bidi="ar-SA"/>
              </w:rPr>
              <w:t>100</w:t>
            </w:r>
            <w:r>
              <w:rPr>
                <w:rFonts w:hint="default" w:ascii="Times New Roman" w:hAnsi="Times New Roman" w:eastAsia="宋体" w:cs="Times New Roman"/>
                <w:b w:val="0"/>
                <w:bCs w:val="0"/>
                <w:sz w:val="21"/>
                <w:highlight w:val="none"/>
                <w:lang w:val="en-US" w:eastAsia="zh-CN" w:bidi="ar-SA"/>
              </w:rPr>
              <w:t>m</w:t>
            </w:r>
            <w:r>
              <w:rPr>
                <w:rFonts w:hint="eastAsia" w:cs="Times New Roman"/>
                <w:b w:val="0"/>
                <w:bCs w:val="0"/>
                <w:sz w:val="21"/>
                <w:highlight w:val="none"/>
                <w:lang w:val="en-US" w:eastAsia="zh-CN" w:bidi="ar-SA"/>
              </w:rPr>
              <w:t>排气筒</w:t>
            </w:r>
            <w:r>
              <w:rPr>
                <w:rFonts w:hint="default" w:ascii="Times New Roman" w:hAnsi="Times New Roman" w:eastAsia="宋体" w:cs="Times New Roman"/>
                <w:b w:val="0"/>
                <w:bCs w:val="0"/>
                <w:sz w:val="21"/>
                <w:highlight w:val="none"/>
                <w:lang w:val="en-US" w:eastAsia="zh-CN" w:bidi="ar-SA"/>
              </w:rPr>
              <w:t>”，</w:t>
            </w:r>
            <w:r>
              <w:rPr>
                <w:rFonts w:hint="eastAsia" w:cs="Times New Roman"/>
                <w:b w:val="0"/>
                <w:bCs w:val="0"/>
                <w:sz w:val="21"/>
                <w:highlight w:val="none"/>
                <w:lang w:val="en-US" w:eastAsia="zh-CN" w:bidi="ar-SA"/>
              </w:rPr>
              <w:t>安装</w:t>
            </w:r>
            <w:r>
              <w:rPr>
                <w:rFonts w:hint="default" w:ascii="Times New Roman" w:hAnsi="Times New Roman" w:eastAsia="宋体" w:cs="Times New Roman"/>
                <w:b w:val="0"/>
                <w:bCs w:val="0"/>
                <w:sz w:val="21"/>
                <w:highlight w:val="none"/>
                <w:lang w:val="en-US" w:eastAsia="zh-CN" w:bidi="ar-SA"/>
              </w:rPr>
              <w:t>在线监测装置</w:t>
            </w:r>
          </w:p>
        </w:tc>
        <w:tc>
          <w:tcPr>
            <w:tcW w:w="814" w:type="pct"/>
            <w:shd w:val="clear" w:color="auto" w:fill="auto"/>
            <w:noWrap w:val="0"/>
            <w:vAlign w:val="center"/>
          </w:tcPr>
          <w:p w14:paraId="08BE648B">
            <w:pPr>
              <w:keepNext w:val="0"/>
              <w:keepLines w:val="0"/>
              <w:pageBreakBefore w:val="0"/>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eastAsia" w:cs="Times New Roman"/>
                <w:sz w:val="21"/>
                <w:szCs w:val="21"/>
                <w:highlight w:val="none"/>
                <w:lang w:val="en-US" w:eastAsia="zh-CN"/>
              </w:rPr>
              <w:t>依托现有</w:t>
            </w:r>
          </w:p>
        </w:tc>
      </w:tr>
      <w:tr w14:paraId="364C826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8" w:type="pct"/>
            <w:vMerge w:val="continue"/>
            <w:noWrap w:val="0"/>
            <w:vAlign w:val="center"/>
          </w:tcPr>
          <w:p w14:paraId="4CD37741">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p>
        </w:tc>
        <w:tc>
          <w:tcPr>
            <w:tcW w:w="923" w:type="pct"/>
            <w:shd w:val="clear" w:color="auto" w:fill="auto"/>
            <w:noWrap w:val="0"/>
            <w:vAlign w:val="center"/>
          </w:tcPr>
          <w:p w14:paraId="7D91F4F8">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cs="Times New Roman"/>
                <w:b w:val="0"/>
                <w:bCs w:val="0"/>
                <w:sz w:val="21"/>
                <w:highlight w:val="none"/>
                <w:lang w:val="en-US" w:eastAsia="zh-CN"/>
              </w:rPr>
            </w:pPr>
            <w:r>
              <w:rPr>
                <w:rFonts w:hint="eastAsia" w:cs="Times New Roman"/>
                <w:b w:val="0"/>
                <w:bCs w:val="0"/>
                <w:sz w:val="21"/>
                <w:highlight w:val="none"/>
                <w:lang w:val="en-US" w:eastAsia="zh-CN"/>
              </w:rPr>
              <w:t>预处理系统废气</w:t>
            </w:r>
          </w:p>
        </w:tc>
        <w:tc>
          <w:tcPr>
            <w:tcW w:w="2593" w:type="pct"/>
            <w:shd w:val="clear" w:color="auto" w:fill="auto"/>
            <w:noWrap w:val="0"/>
            <w:vAlign w:val="center"/>
          </w:tcPr>
          <w:p w14:paraId="18D19691">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cs="Times New Roman"/>
                <w:b w:val="0"/>
                <w:bCs w:val="0"/>
                <w:sz w:val="21"/>
                <w:highlight w:val="none"/>
                <w:lang w:val="en-US" w:eastAsia="zh-CN" w:bidi="ar-SA"/>
              </w:rPr>
              <w:t>进料系统全密闭，打散机上方设置1套袋式除尘器+15m排气筒</w:t>
            </w:r>
          </w:p>
        </w:tc>
        <w:tc>
          <w:tcPr>
            <w:tcW w:w="814" w:type="pct"/>
            <w:shd w:val="clear" w:color="auto" w:fill="auto"/>
            <w:noWrap w:val="0"/>
            <w:vAlign w:val="center"/>
          </w:tcPr>
          <w:p w14:paraId="4FFE9573">
            <w:pPr>
              <w:keepNext w:val="0"/>
              <w:keepLines w:val="0"/>
              <w:pageBreakBefore w:val="0"/>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10</w:t>
            </w:r>
          </w:p>
        </w:tc>
      </w:tr>
      <w:tr w14:paraId="6FAB7E2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8" w:type="pct"/>
            <w:vMerge w:val="continue"/>
            <w:noWrap w:val="0"/>
            <w:vAlign w:val="center"/>
          </w:tcPr>
          <w:p w14:paraId="73E68081">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rPr>
            </w:pPr>
          </w:p>
        </w:tc>
        <w:tc>
          <w:tcPr>
            <w:tcW w:w="923" w:type="pct"/>
            <w:noWrap w:val="0"/>
            <w:vAlign w:val="center"/>
          </w:tcPr>
          <w:p w14:paraId="278F7C32">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sz w:val="21"/>
                <w:highlight w:val="none"/>
                <w:lang w:val="en-US" w:eastAsia="zh-CN"/>
              </w:rPr>
            </w:pPr>
            <w:r>
              <w:rPr>
                <w:rFonts w:hint="eastAsia" w:cs="Times New Roman"/>
                <w:b w:val="0"/>
                <w:bCs w:val="0"/>
                <w:sz w:val="21"/>
                <w:highlight w:val="none"/>
                <w:lang w:val="en-US" w:eastAsia="zh-CN"/>
              </w:rPr>
              <w:t>输送系统废气</w:t>
            </w:r>
          </w:p>
        </w:tc>
        <w:tc>
          <w:tcPr>
            <w:tcW w:w="2593" w:type="pct"/>
            <w:noWrap w:val="0"/>
            <w:vAlign w:val="center"/>
          </w:tcPr>
          <w:p w14:paraId="0369500F">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sz w:val="21"/>
                <w:highlight w:val="none"/>
                <w:lang w:val="en-US" w:eastAsia="zh-CN" w:bidi="ar-SA"/>
              </w:rPr>
            </w:pPr>
            <w:r>
              <w:rPr>
                <w:rFonts w:hint="eastAsia" w:cs="Times New Roman"/>
                <w:b w:val="0"/>
                <w:bCs w:val="0"/>
                <w:sz w:val="21"/>
                <w:highlight w:val="none"/>
                <w:lang w:val="en-US" w:eastAsia="zh-CN" w:bidi="ar-SA"/>
              </w:rPr>
              <w:t>液态废物通过架空管道输送至水泥窑内，输送过程全密闭；固态废物输送过程全密闭，皮带输送设备上方设置1套袋式除尘器+15m排气筒</w:t>
            </w:r>
          </w:p>
        </w:tc>
        <w:tc>
          <w:tcPr>
            <w:tcW w:w="814" w:type="pct"/>
            <w:noWrap w:val="0"/>
            <w:vAlign w:val="center"/>
          </w:tcPr>
          <w:p w14:paraId="10B608C9">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30</w:t>
            </w:r>
          </w:p>
        </w:tc>
      </w:tr>
      <w:tr w14:paraId="58DD05F9">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2" w:hRule="atLeast"/>
        </w:trPr>
        <w:tc>
          <w:tcPr>
            <w:tcW w:w="668" w:type="pct"/>
            <w:noWrap w:val="0"/>
            <w:vAlign w:val="center"/>
          </w:tcPr>
          <w:p w14:paraId="3DCF59A6">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噪声</w:t>
            </w:r>
          </w:p>
        </w:tc>
        <w:tc>
          <w:tcPr>
            <w:tcW w:w="923" w:type="pct"/>
            <w:noWrap w:val="0"/>
            <w:vAlign w:val="center"/>
          </w:tcPr>
          <w:p w14:paraId="222F0716">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设备机械运行</w:t>
            </w:r>
            <w:r>
              <w:rPr>
                <w:rFonts w:hint="default" w:ascii="Times New Roman" w:hAnsi="Times New Roman" w:cs="Times New Roman"/>
                <w:sz w:val="21"/>
                <w:szCs w:val="21"/>
                <w:highlight w:val="none"/>
                <w:lang w:val="en-US" w:eastAsia="zh-CN"/>
              </w:rPr>
              <w:t>噪声</w:t>
            </w:r>
          </w:p>
        </w:tc>
        <w:tc>
          <w:tcPr>
            <w:tcW w:w="2593" w:type="pct"/>
            <w:noWrap w:val="0"/>
            <w:vAlign w:val="center"/>
          </w:tcPr>
          <w:p w14:paraId="7E5E8298">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主要声源采取隔声、消声、吸声及减振等措施</w:t>
            </w:r>
          </w:p>
        </w:tc>
        <w:tc>
          <w:tcPr>
            <w:tcW w:w="814" w:type="pct"/>
            <w:noWrap w:val="0"/>
            <w:vAlign w:val="center"/>
          </w:tcPr>
          <w:p w14:paraId="5613C7DE">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r>
      <w:tr w14:paraId="4B2CE85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8" w:type="pct"/>
            <w:vMerge w:val="restart"/>
            <w:noWrap w:val="0"/>
            <w:vAlign w:val="center"/>
          </w:tcPr>
          <w:p w14:paraId="4C7EEB47">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固体废物</w:t>
            </w:r>
          </w:p>
        </w:tc>
        <w:tc>
          <w:tcPr>
            <w:tcW w:w="923" w:type="pct"/>
            <w:noWrap w:val="0"/>
            <w:vAlign w:val="center"/>
          </w:tcPr>
          <w:p w14:paraId="25BED8BB">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废包装袋</w:t>
            </w:r>
          </w:p>
        </w:tc>
        <w:tc>
          <w:tcPr>
            <w:tcW w:w="2593" w:type="pct"/>
            <w:noWrap w:val="0"/>
            <w:vAlign w:val="center"/>
          </w:tcPr>
          <w:p w14:paraId="35828E05">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按照固态入窑废物要求处理后投入水泥窑处置</w:t>
            </w:r>
          </w:p>
        </w:tc>
        <w:tc>
          <w:tcPr>
            <w:tcW w:w="814" w:type="pct"/>
            <w:noWrap w:val="0"/>
            <w:vAlign w:val="center"/>
          </w:tcPr>
          <w:p w14:paraId="67E46525">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5</w:t>
            </w:r>
          </w:p>
        </w:tc>
      </w:tr>
      <w:tr w14:paraId="510B521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8" w:type="pct"/>
            <w:vMerge w:val="continue"/>
            <w:noWrap w:val="0"/>
            <w:vAlign w:val="center"/>
          </w:tcPr>
          <w:p w14:paraId="10D26328">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p>
        </w:tc>
        <w:tc>
          <w:tcPr>
            <w:tcW w:w="923" w:type="pct"/>
            <w:noWrap w:val="0"/>
            <w:vAlign w:val="center"/>
          </w:tcPr>
          <w:p w14:paraId="1485D602">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除尘灰</w:t>
            </w:r>
          </w:p>
        </w:tc>
        <w:tc>
          <w:tcPr>
            <w:tcW w:w="2593" w:type="pct"/>
            <w:noWrap w:val="0"/>
            <w:vAlign w:val="center"/>
          </w:tcPr>
          <w:p w14:paraId="6ACE9C78">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混入固态废物</w:t>
            </w:r>
            <w:r>
              <w:rPr>
                <w:rFonts w:hint="eastAsia" w:cs="Times New Roman"/>
                <w:sz w:val="21"/>
                <w:szCs w:val="21"/>
                <w:highlight w:val="none"/>
                <w:lang w:val="en-US" w:eastAsia="zh-CN"/>
              </w:rPr>
              <w:t>后一同</w:t>
            </w:r>
            <w:r>
              <w:rPr>
                <w:rFonts w:hint="default" w:ascii="Times New Roman" w:hAnsi="Times New Roman" w:eastAsia="宋体" w:cs="Times New Roman"/>
                <w:sz w:val="21"/>
                <w:szCs w:val="21"/>
                <w:highlight w:val="none"/>
              </w:rPr>
              <w:t>投入水泥窑处置</w:t>
            </w:r>
          </w:p>
        </w:tc>
        <w:tc>
          <w:tcPr>
            <w:tcW w:w="814" w:type="pct"/>
            <w:noWrap w:val="0"/>
            <w:vAlign w:val="center"/>
          </w:tcPr>
          <w:p w14:paraId="30981CC6">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cs="Times New Roman"/>
                <w:sz w:val="21"/>
                <w:szCs w:val="21"/>
                <w:highlight w:val="none"/>
                <w:lang w:val="en-US" w:eastAsia="zh-CN"/>
              </w:rPr>
            </w:pPr>
            <w:r>
              <w:rPr>
                <w:rFonts w:hint="eastAsia" w:cs="Times New Roman"/>
                <w:sz w:val="21"/>
                <w:szCs w:val="21"/>
                <w:highlight w:val="none"/>
                <w:lang w:val="en-US" w:eastAsia="zh-CN"/>
              </w:rPr>
              <w:t>5</w:t>
            </w:r>
          </w:p>
        </w:tc>
      </w:tr>
      <w:tr w14:paraId="1A976DB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8" w:type="pct"/>
            <w:vMerge w:val="continue"/>
            <w:noWrap w:val="0"/>
            <w:vAlign w:val="center"/>
          </w:tcPr>
          <w:p w14:paraId="16E2BD02">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rPr>
            </w:pPr>
          </w:p>
        </w:tc>
        <w:tc>
          <w:tcPr>
            <w:tcW w:w="923" w:type="pct"/>
            <w:noWrap w:val="0"/>
            <w:vAlign w:val="center"/>
          </w:tcPr>
          <w:p w14:paraId="6276913D">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rPr>
              <w:t>化验废物</w:t>
            </w:r>
          </w:p>
        </w:tc>
        <w:tc>
          <w:tcPr>
            <w:tcW w:w="2593" w:type="pct"/>
            <w:noWrap w:val="0"/>
            <w:vAlign w:val="center"/>
          </w:tcPr>
          <w:p w14:paraId="6A3EAD25">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在</w:t>
            </w:r>
            <w:r>
              <w:rPr>
                <w:rFonts w:hint="eastAsia" w:cs="Times New Roman"/>
                <w:sz w:val="21"/>
                <w:szCs w:val="21"/>
                <w:highlight w:val="none"/>
                <w:lang w:val="en-US" w:eastAsia="zh-CN"/>
              </w:rPr>
              <w:t>危险废物贮存设施</w:t>
            </w:r>
            <w:r>
              <w:rPr>
                <w:rFonts w:hint="default" w:ascii="Times New Roman" w:hAnsi="Times New Roman" w:eastAsia="宋体" w:cs="Times New Roman"/>
                <w:sz w:val="21"/>
                <w:szCs w:val="21"/>
                <w:highlight w:val="none"/>
              </w:rPr>
              <w:t>暂存后委托有资质单位处置</w:t>
            </w:r>
          </w:p>
        </w:tc>
        <w:tc>
          <w:tcPr>
            <w:tcW w:w="814" w:type="pct"/>
            <w:noWrap w:val="0"/>
            <w:vAlign w:val="center"/>
          </w:tcPr>
          <w:p w14:paraId="09D0467C">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2</w:t>
            </w:r>
          </w:p>
        </w:tc>
      </w:tr>
      <w:tr w14:paraId="34D0F3F3">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8" w:type="pct"/>
            <w:noWrap w:val="0"/>
            <w:vAlign w:val="center"/>
          </w:tcPr>
          <w:p w14:paraId="21EE6DF8">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地下水</w:t>
            </w:r>
            <w:r>
              <w:rPr>
                <w:rFonts w:hint="eastAsia" w:cs="Times New Roman"/>
                <w:sz w:val="21"/>
                <w:szCs w:val="21"/>
                <w:highlight w:val="none"/>
                <w:lang w:val="en-US" w:eastAsia="zh-CN"/>
              </w:rPr>
              <w:t>及土壤污染防治</w:t>
            </w:r>
          </w:p>
        </w:tc>
        <w:tc>
          <w:tcPr>
            <w:tcW w:w="923" w:type="pct"/>
            <w:noWrap w:val="0"/>
            <w:vAlign w:val="center"/>
          </w:tcPr>
          <w:p w14:paraId="53ADDAB4">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cs="Times New Roman"/>
                <w:sz w:val="21"/>
                <w:szCs w:val="21"/>
                <w:highlight w:val="none"/>
                <w:lang w:val="en-US" w:eastAsia="zh-CN"/>
              </w:rPr>
              <w:t>采取分区防渗措施</w:t>
            </w:r>
          </w:p>
        </w:tc>
        <w:tc>
          <w:tcPr>
            <w:tcW w:w="2593" w:type="pct"/>
            <w:noWrap w:val="0"/>
            <w:vAlign w:val="center"/>
          </w:tcPr>
          <w:p w14:paraId="46804895">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投料车间及事故池作</w:t>
            </w:r>
            <w:r>
              <w:rPr>
                <w:rFonts w:hint="default" w:ascii="Times New Roman" w:hAnsi="Times New Roman" w:cs="Times New Roman"/>
                <w:sz w:val="21"/>
                <w:szCs w:val="21"/>
                <w:highlight w:val="none"/>
                <w:lang w:val="en-US" w:eastAsia="zh-CN"/>
              </w:rPr>
              <w:t>为重点污染防治区，严格按照《环境影响评价技术导则 地下水环境》（HJ610-2016）的要求做好防渗措施，包括基础、墙裙、池底板、池壁等，其防渗性能不低于6.0m厚、渗透系数为1.0×10</w:t>
            </w:r>
            <w:r>
              <w:rPr>
                <w:rFonts w:hint="default" w:ascii="Times New Roman" w:hAnsi="Times New Roman" w:cs="Times New Roman"/>
                <w:sz w:val="21"/>
                <w:szCs w:val="21"/>
                <w:highlight w:val="none"/>
                <w:vertAlign w:val="superscript"/>
                <w:lang w:val="en-US" w:eastAsia="zh-CN"/>
              </w:rPr>
              <w:t>-7</w:t>
            </w:r>
            <w:r>
              <w:rPr>
                <w:rFonts w:hint="default" w:ascii="Times New Roman" w:hAnsi="Times New Roman" w:cs="Times New Roman"/>
                <w:sz w:val="21"/>
                <w:szCs w:val="21"/>
                <w:highlight w:val="none"/>
                <w:lang w:val="en-US" w:eastAsia="zh-CN"/>
              </w:rPr>
              <w:t>cm/s的黏土层的防渗性能</w:t>
            </w:r>
          </w:p>
        </w:tc>
        <w:tc>
          <w:tcPr>
            <w:tcW w:w="814" w:type="pct"/>
            <w:noWrap w:val="0"/>
            <w:vAlign w:val="center"/>
          </w:tcPr>
          <w:p w14:paraId="68B3B5FB">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20</w:t>
            </w:r>
          </w:p>
        </w:tc>
      </w:tr>
      <w:tr w14:paraId="105D4AA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8" w:type="pct"/>
            <w:noWrap w:val="0"/>
            <w:vAlign w:val="center"/>
          </w:tcPr>
          <w:p w14:paraId="58105A60">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环境风险</w:t>
            </w:r>
            <w:r>
              <w:rPr>
                <w:rFonts w:hint="default" w:ascii="Times New Roman" w:hAnsi="Times New Roman" w:cs="Times New Roman"/>
                <w:sz w:val="21"/>
                <w:szCs w:val="21"/>
                <w:highlight w:val="none"/>
                <w:lang w:val="en-US" w:eastAsia="zh-CN"/>
              </w:rPr>
              <w:t>防范</w:t>
            </w:r>
          </w:p>
        </w:tc>
        <w:tc>
          <w:tcPr>
            <w:tcW w:w="3516" w:type="pct"/>
            <w:gridSpan w:val="2"/>
            <w:noWrap w:val="0"/>
            <w:vAlign w:val="center"/>
          </w:tcPr>
          <w:p w14:paraId="4E0924C6">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rPr>
              <w:t>安装火灾报警系统、可燃气体报警系统、毒气报警系统；厂区内设1座</w:t>
            </w:r>
            <w:r>
              <w:rPr>
                <w:rFonts w:hint="eastAsia" w:cs="Times New Roman"/>
                <w:sz w:val="21"/>
                <w:szCs w:val="21"/>
                <w:highlight w:val="none"/>
                <w:lang w:val="en-US" w:eastAsia="zh-CN"/>
              </w:rPr>
              <w:t>2</w:t>
            </w:r>
            <w:r>
              <w:rPr>
                <w:rFonts w:hint="default" w:ascii="Times New Roman" w:hAnsi="Times New Roman" w:eastAsia="宋体" w:cs="Times New Roman"/>
                <w:sz w:val="21"/>
                <w:szCs w:val="21"/>
                <w:highlight w:val="none"/>
              </w:rPr>
              <w:t>00m</w:t>
            </w:r>
            <w:r>
              <w:rPr>
                <w:rFonts w:hint="default" w:ascii="Times New Roman" w:hAnsi="Times New Roman" w:eastAsia="宋体" w:cs="Times New Roman"/>
                <w:sz w:val="21"/>
                <w:szCs w:val="21"/>
                <w:highlight w:val="none"/>
                <w:vertAlign w:val="superscript"/>
              </w:rPr>
              <w:t>3</w:t>
            </w:r>
            <w:r>
              <w:rPr>
                <w:rFonts w:hint="default" w:ascii="Times New Roman" w:hAnsi="Times New Roman" w:eastAsia="宋体" w:cs="Times New Roman"/>
                <w:sz w:val="21"/>
                <w:szCs w:val="21"/>
                <w:highlight w:val="none"/>
              </w:rPr>
              <w:t>应急事故池、视频监控系统；配备相关应急装备和消防器材等；编制突发环境事件应急预案并备案</w:t>
            </w:r>
          </w:p>
        </w:tc>
        <w:tc>
          <w:tcPr>
            <w:tcW w:w="814" w:type="pct"/>
            <w:noWrap w:val="0"/>
            <w:vAlign w:val="center"/>
          </w:tcPr>
          <w:p w14:paraId="338F4974">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15</w:t>
            </w:r>
          </w:p>
        </w:tc>
      </w:tr>
      <w:tr w14:paraId="62EDFF6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68" w:type="pct"/>
            <w:shd w:val="clear" w:color="auto" w:fill="auto"/>
            <w:noWrap w:val="0"/>
            <w:vAlign w:val="center"/>
          </w:tcPr>
          <w:p w14:paraId="14ED5B60">
            <w:pPr>
              <w:autoSpaceDE/>
              <w:autoSpaceDN/>
              <w:adjustRightInd w:val="0"/>
              <w:snapToGrid w:val="0"/>
              <w:spacing w:before="0" w:after="0" w:line="240" w:lineRule="auto"/>
              <w:ind w:left="0" w:firstLine="0"/>
              <w:jc w:val="center"/>
              <w:rPr>
                <w:rFonts w:hint="default" w:ascii="Times New Roman" w:hAnsi="Times New Roman" w:eastAsia="宋体" w:cs="Times New Roman"/>
                <w:b w:val="0"/>
                <w:bCs w:val="0"/>
                <w:color w:val="auto"/>
                <w:sz w:val="21"/>
                <w:szCs w:val="21"/>
                <w:highlight w:val="none"/>
                <w:lang w:val="en-US" w:eastAsia="zh-CN" w:bidi="ar-SA"/>
              </w:rPr>
            </w:pPr>
            <w:r>
              <w:rPr>
                <w:rFonts w:hint="eastAsia" w:cs="Times New Roman"/>
                <w:b w:val="0"/>
                <w:bCs w:val="0"/>
                <w:color w:val="auto"/>
                <w:sz w:val="21"/>
                <w:szCs w:val="21"/>
                <w:highlight w:val="none"/>
                <w:lang w:val="en-US" w:eastAsia="zh-CN"/>
              </w:rPr>
              <w:t>环境管理及环境监测</w:t>
            </w:r>
          </w:p>
        </w:tc>
        <w:tc>
          <w:tcPr>
            <w:tcW w:w="3516" w:type="pct"/>
            <w:gridSpan w:val="2"/>
            <w:shd w:val="clear" w:color="auto" w:fill="auto"/>
            <w:noWrap w:val="0"/>
            <w:vAlign w:val="center"/>
          </w:tcPr>
          <w:p w14:paraId="29EF1A7F">
            <w:pPr>
              <w:autoSpaceDE/>
              <w:autoSpaceDN/>
              <w:spacing w:before="0" w:after="0" w:line="240" w:lineRule="auto"/>
              <w:ind w:left="0" w:firstLine="0"/>
              <w:jc w:val="center"/>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设置专人担负企业日常环境管理与监测工作，做好包括危险废物出入库台账在内的各项管理台账和环保档案，建立环境管理及监测机构，配备监测仪器、按监测计划开展监测，排污口规范化设置</w:t>
            </w:r>
          </w:p>
        </w:tc>
        <w:tc>
          <w:tcPr>
            <w:tcW w:w="814" w:type="pct"/>
            <w:noWrap w:val="0"/>
            <w:vAlign w:val="center"/>
          </w:tcPr>
          <w:p w14:paraId="32455798">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10</w:t>
            </w:r>
          </w:p>
        </w:tc>
      </w:tr>
      <w:tr w14:paraId="0E1E3E3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185" w:type="pct"/>
            <w:gridSpan w:val="3"/>
            <w:noWrap w:val="0"/>
            <w:vAlign w:val="center"/>
          </w:tcPr>
          <w:p w14:paraId="2F8FF419">
            <w:pPr>
              <w:keepNext w:val="0"/>
              <w:keepLines w:val="0"/>
              <w:pageBreakBefore w:val="0"/>
              <w:widowControl/>
              <w:kinsoku/>
              <w:wordWrap/>
              <w:overflowPunct/>
              <w:topLinePunct w:val="0"/>
              <w:autoSpaceDE/>
              <w:autoSpaceDN/>
              <w:bidi w:val="0"/>
              <w:adjustRightInd/>
              <w:snapToGrid/>
              <w:spacing w:before="0" w:after="0" w:line="240" w:lineRule="auto"/>
              <w:ind w:left="0" w:firstLine="0"/>
              <w:jc w:val="center"/>
              <w:textAlignment w:val="auto"/>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合计</w:t>
            </w:r>
          </w:p>
        </w:tc>
        <w:tc>
          <w:tcPr>
            <w:tcW w:w="814" w:type="pct"/>
            <w:noWrap w:val="0"/>
            <w:vAlign w:val="center"/>
          </w:tcPr>
          <w:p w14:paraId="73A5D70C">
            <w:pPr>
              <w:keepNext w:val="0"/>
              <w:keepLines w:val="0"/>
              <w:pageBreakBefore w:val="0"/>
              <w:kinsoku/>
              <w:wordWrap/>
              <w:overflowPunct/>
              <w:topLinePunct w:val="0"/>
              <w:autoSpaceDE/>
              <w:autoSpaceDN/>
              <w:bidi w:val="0"/>
              <w:adjustRightInd/>
              <w:snapToGrid/>
              <w:spacing w:before="0" w:after="0" w:line="240" w:lineRule="auto"/>
              <w:ind w:left="0" w:firstLine="0"/>
              <w:jc w:val="center"/>
              <w:textAlignment w:val="auto"/>
              <w:rPr>
                <w:rFonts w:hint="default" w:ascii="Times New Roman" w:hAnsi="Times New Roman" w:cs="Times New Roman"/>
                <w:sz w:val="21"/>
                <w:szCs w:val="21"/>
                <w:highlight w:val="none"/>
                <w:lang w:val="en-US" w:eastAsia="zh-CN"/>
              </w:rPr>
            </w:pPr>
            <w:r>
              <w:rPr>
                <w:rFonts w:hint="eastAsia" w:cs="Times New Roman"/>
                <w:sz w:val="21"/>
                <w:szCs w:val="21"/>
                <w:highlight w:val="none"/>
                <w:lang w:val="en-US" w:eastAsia="zh-CN"/>
              </w:rPr>
              <w:t>99</w:t>
            </w:r>
          </w:p>
        </w:tc>
      </w:tr>
    </w:tbl>
    <w:p w14:paraId="0D0867A2">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24"/>
          <w:highlight w:val="none"/>
          <w:lang w:eastAsia="zh-CN"/>
        </w:rPr>
      </w:pPr>
      <w:bookmarkStart w:id="1013" w:name="_Toc24812"/>
      <w:bookmarkStart w:id="1014" w:name="_Toc29585"/>
      <w:bookmarkStart w:id="1015" w:name="_Toc23745"/>
      <w:r>
        <w:rPr>
          <w:rFonts w:hint="default" w:ascii="Times New Roman" w:hAnsi="Times New Roman" w:cs="Times New Roman"/>
          <w:sz w:val="24"/>
          <w:szCs w:val="24"/>
          <w:highlight w:val="none"/>
          <w:lang w:val="en-US" w:eastAsia="zh-CN"/>
        </w:rPr>
        <w:t>7</w:t>
      </w:r>
      <w:r>
        <w:rPr>
          <w:rFonts w:hint="default" w:ascii="Times New Roman" w:hAnsi="Times New Roman" w:eastAsia="宋体" w:cs="Times New Roman"/>
          <w:sz w:val="24"/>
          <w:szCs w:val="24"/>
          <w:highlight w:val="none"/>
          <w:lang w:eastAsia="zh-CN"/>
        </w:rPr>
        <w:t>.</w:t>
      </w:r>
      <w:r>
        <w:rPr>
          <w:rFonts w:hint="default" w:ascii="Times New Roman" w:hAnsi="Times New Roman" w:cs="Times New Roman"/>
          <w:sz w:val="24"/>
          <w:szCs w:val="24"/>
          <w:highlight w:val="none"/>
          <w:lang w:val="en-US" w:eastAsia="zh-CN"/>
        </w:rPr>
        <w:t>4</w:t>
      </w:r>
      <w:r>
        <w:rPr>
          <w:rFonts w:hint="default" w:ascii="Times New Roman" w:hAnsi="Times New Roman" w:eastAsia="宋体" w:cs="Times New Roman"/>
          <w:sz w:val="24"/>
          <w:szCs w:val="24"/>
          <w:highlight w:val="none"/>
          <w:lang w:eastAsia="zh-CN"/>
        </w:rPr>
        <w:t>小结</w:t>
      </w:r>
      <w:bookmarkEnd w:id="1013"/>
      <w:bookmarkEnd w:id="1014"/>
      <w:bookmarkEnd w:id="1015"/>
    </w:p>
    <w:p w14:paraId="53B808BD">
      <w:pPr>
        <w:pageBreakBefore w:val="0"/>
        <w:kinsoku/>
        <w:wordWrap/>
        <w:overflowPunct/>
        <w:topLinePunct w:val="0"/>
        <w:autoSpaceDE/>
        <w:autoSpaceDN/>
        <w:bidi w:val="0"/>
        <w:adjustRightInd/>
        <w:spacing w:line="360" w:lineRule="auto"/>
        <w:ind w:firstLine="480" w:firstLineChars="200"/>
        <w:textAlignment w:val="auto"/>
        <w:rPr>
          <w:rFonts w:hint="default" w:ascii="Times New Roman" w:hAnsi="Times New Roman" w:eastAsia="宋体" w:cs="Times New Roman"/>
          <w:sz w:val="24"/>
          <w:szCs w:val="22"/>
          <w:highlight w:val="none"/>
        </w:rPr>
      </w:pPr>
      <w:r>
        <w:rPr>
          <w:rFonts w:hint="default" w:ascii="Times New Roman" w:hAnsi="Times New Roman" w:eastAsia="宋体" w:cs="Times New Roman"/>
          <w:sz w:val="24"/>
          <w:szCs w:val="24"/>
          <w:highlight w:val="none"/>
          <w:lang w:eastAsia="zh-CN"/>
        </w:rPr>
        <w:t>通过以上对项目建设的社会、经济和环境效益分析可知，项目的建设能够实现经济效益、社会效益和环境效益相统一的要求，即为地方经济发展做出贡献，又通过环保投资减少了污染物排放量，最大限度地减轻了对外环境的污染。因此，评价认为本项目是一项社会效益、环境效益和经济效益改善的工程，符合经济与环境协调发展的原则。</w:t>
      </w:r>
    </w:p>
    <w:p w14:paraId="0BDE97EC">
      <w:pPr>
        <w:widowControl/>
        <w:snapToGrid w:val="0"/>
        <w:jc w:val="left"/>
        <w:rPr>
          <w:rFonts w:hint="default" w:ascii="Times New Roman" w:hAnsi="Times New Roman" w:eastAsia="宋体" w:cs="Times New Roman"/>
          <w:highlight w:val="none"/>
        </w:rPr>
      </w:pPr>
    </w:p>
    <w:p w14:paraId="34B51466">
      <w:pPr>
        <w:widowControl/>
        <w:snapToGrid w:val="0"/>
        <w:jc w:val="left"/>
        <w:rPr>
          <w:rFonts w:hint="default" w:ascii="Times New Roman" w:hAnsi="Times New Roman" w:eastAsia="宋体" w:cs="Times New Roman"/>
          <w:highlight w:val="none"/>
        </w:rPr>
        <w:sectPr>
          <w:headerReference r:id="rId7" w:type="default"/>
          <w:pgSz w:w="11906" w:h="16838"/>
          <w:pgMar w:top="1440" w:right="1803" w:bottom="1440" w:left="1803" w:header="1021" w:footer="1021" w:gutter="0"/>
          <w:pgBorders>
            <w:top w:val="none" w:sz="0" w:space="0"/>
            <w:left w:val="none" w:sz="0" w:space="0"/>
            <w:bottom w:val="none" w:sz="0" w:space="0"/>
            <w:right w:val="none" w:sz="0" w:space="0"/>
          </w:pgBorders>
          <w:pgNumType w:fmt="decimal"/>
          <w:cols w:space="720" w:num="1"/>
          <w:docGrid w:linePitch="312" w:charSpace="0"/>
        </w:sectPr>
      </w:pPr>
    </w:p>
    <w:p w14:paraId="0EAA0FA1">
      <w:pPr>
        <w:keepNext/>
        <w:keepLines/>
        <w:pageBreakBefore w:val="0"/>
        <w:widowControl/>
        <w:kinsoku/>
        <w:wordWrap/>
        <w:overflowPunct/>
        <w:topLinePunct w:val="0"/>
        <w:autoSpaceDE/>
        <w:autoSpaceDN/>
        <w:bidi w:val="0"/>
        <w:adjustRightInd/>
        <w:snapToGrid w:val="0"/>
        <w:spacing w:line="360" w:lineRule="auto"/>
        <w:jc w:val="left"/>
        <w:textAlignment w:val="auto"/>
        <w:outlineLvl w:val="0"/>
        <w:rPr>
          <w:rFonts w:hint="default" w:ascii="Times New Roman" w:hAnsi="Times New Roman" w:eastAsia="宋体" w:cs="Times New Roman"/>
          <w:b/>
          <w:bCs/>
          <w:sz w:val="24"/>
          <w:szCs w:val="16"/>
          <w:highlight w:val="none"/>
        </w:rPr>
      </w:pPr>
      <w:bookmarkStart w:id="1016" w:name="_Toc9868273"/>
      <w:bookmarkStart w:id="1017" w:name="_Toc16559"/>
      <w:bookmarkStart w:id="1018" w:name="_Toc27641"/>
      <w:bookmarkStart w:id="1019" w:name="_Toc29257"/>
      <w:r>
        <w:rPr>
          <w:rFonts w:hint="default" w:ascii="Times New Roman" w:hAnsi="Times New Roman" w:cs="Times New Roman"/>
          <w:b/>
          <w:bCs/>
          <w:sz w:val="24"/>
          <w:szCs w:val="16"/>
          <w:highlight w:val="none"/>
          <w:lang w:val="en-US" w:eastAsia="zh-CN"/>
        </w:rPr>
        <w:t>8</w:t>
      </w:r>
      <w:r>
        <w:rPr>
          <w:rFonts w:hint="default" w:ascii="Times New Roman" w:hAnsi="Times New Roman" w:eastAsia="宋体" w:cs="Times New Roman"/>
          <w:b/>
          <w:bCs/>
          <w:sz w:val="24"/>
          <w:szCs w:val="16"/>
          <w:highlight w:val="none"/>
        </w:rPr>
        <w:t>环境管理与监测计划</w:t>
      </w:r>
      <w:bookmarkEnd w:id="1016"/>
      <w:bookmarkEnd w:id="1017"/>
      <w:bookmarkEnd w:id="1018"/>
      <w:bookmarkEnd w:id="1019"/>
    </w:p>
    <w:p w14:paraId="67779F66">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24"/>
          <w:highlight w:val="none"/>
        </w:rPr>
      </w:pPr>
      <w:bookmarkStart w:id="1020" w:name="_Toc19231"/>
      <w:bookmarkStart w:id="1021" w:name="_Toc633"/>
      <w:bookmarkStart w:id="1022" w:name="_Toc20178"/>
      <w:r>
        <w:rPr>
          <w:rFonts w:hint="default" w:ascii="Times New Roman" w:hAnsi="Times New Roman" w:cs="Times New Roman"/>
          <w:sz w:val="24"/>
          <w:szCs w:val="24"/>
          <w:highlight w:val="none"/>
          <w:lang w:val="en-US" w:eastAsia="zh-CN"/>
        </w:rPr>
        <w:t>8</w:t>
      </w:r>
      <w:r>
        <w:rPr>
          <w:rFonts w:hint="default" w:ascii="Times New Roman" w:hAnsi="Times New Roman" w:eastAsia="宋体" w:cs="Times New Roman"/>
          <w:sz w:val="24"/>
          <w:szCs w:val="24"/>
          <w:highlight w:val="none"/>
        </w:rPr>
        <w:t>.1环境管理</w:t>
      </w:r>
      <w:bookmarkEnd w:id="1020"/>
      <w:bookmarkEnd w:id="1021"/>
      <w:bookmarkEnd w:id="1022"/>
    </w:p>
    <w:p w14:paraId="1438AA5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管理是环境保护工作的重要内容之一，也是企业管理的主要组成部分。环境管理的核心是把环境保护融于企业经营管理的过程之中，使环境保护成为工业企业的重要决策因素，重视研究本企业的环境对策，采用新技术、新工艺，减少有害废物的排放，努力通过环境认证，积极参与社会环境整治，推动员工和公众的环保宣传和引导，树立“绿色企业”的良好形象。</w:t>
      </w:r>
    </w:p>
    <w:p w14:paraId="2EF91A30">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为了贯彻和执行国家和地方环境保护法律、法规、政策与标准，及时掌握和了解污染控制措施的效果，以及项目所在区域环境质量的变化情况，更好地监控环保设施的运行情况，协调与地方环保职能部门和其它有关部门的工作，同时保证企业生产管理和环境管理的正常运作，建立环境管理体系与监测制度是非常必要和重要的。</w:t>
      </w:r>
    </w:p>
    <w:p w14:paraId="3447EB5E">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管理体机构的建立能够帮助企业及早发现问题，使企业在发展生产的同时节约能源、降低原材料的消耗，控制污染物排放量，减轻污染物排放对环境产生的影响，为企业创造更好的经济效益和环境效益，树立良好的社会形象。</w:t>
      </w:r>
    </w:p>
    <w:p w14:paraId="1DF5DD33">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8.1.1环境管理任务</w:t>
      </w:r>
    </w:p>
    <w:p w14:paraId="755666B1">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对于项目来说，环境管理的基本任务是：控制污染物排放量，避免污染物对环境质量的损害。</w:t>
      </w:r>
    </w:p>
    <w:p w14:paraId="395C9072">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为了控制污染物的排放，就需要加强计划、生产、技术、质量、设备、劳动、财务等方面的管理，把环境管理渗透到整个企业管理中，将环境管理融合在一起，以减少从生产过程中各环节排出的污染物。</w:t>
      </w:r>
    </w:p>
    <w:p w14:paraId="5AACBEF0">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应该将环境管理作为工业企业管理的重要组成部分，建立环境污染管理系统、制度、环保规划、协调发展生产保护环境的关系，使生产管理系统、制度、环境污染规划协调生产与保护环境的关系，使生产目标与环境目标统一起来，经济效益与环境效益统一起来。</w:t>
      </w:r>
    </w:p>
    <w:p w14:paraId="2FDEA58C">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8.1.2环境管理基本原则</w:t>
      </w:r>
    </w:p>
    <w:p w14:paraId="064682F1">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正确处理生产经营与环境保护的关系，在生产经营中做好环境保护，环境教育、环境规划等都是协调企业生产经营与环境保护的重要手段，在本企业环境管理工作中掌握和充分运用这些手段促使生产经营与环境保护协调发展。</w:t>
      </w:r>
    </w:p>
    <w:p w14:paraId="2DFCCC1D">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正确处理环境管理与污染防治的关系，管治结合，以管促治，把环境管理放在企业环境保护工作首位。</w:t>
      </w:r>
    </w:p>
    <w:p w14:paraId="3C35F2D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专业环境管理与群众环境管理结合，企业环境管理与生产管理结合，产品质量控制与环境质量控制结合。</w:t>
      </w:r>
    </w:p>
    <w:p w14:paraId="6B70DB45">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企业环境管理渗透到整个生产经营活动中，贯彻在过程始终。</w:t>
      </w:r>
    </w:p>
    <w:p w14:paraId="7D0FFFD1">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5</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坚持“谁污染，谁治理”原则，企业内部从部门、工段至班组领导和职工都要对本企业污染与治理负责，收费、罚款、赔偿损失、行政处分等处罚都要落实，实行分片包干，各负其责。</w:t>
      </w:r>
    </w:p>
    <w:p w14:paraId="53EFA61B">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8.1.3环境管理制度</w:t>
      </w:r>
    </w:p>
    <w:p w14:paraId="4FF8A28E">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企业应建立健全环境管理制度体系，将环保纳入考核体系，确保在日常运行中将环保目标落实到实处。</w:t>
      </w:r>
    </w:p>
    <w:p w14:paraId="590635C6">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（1）报告制度</w:t>
      </w:r>
    </w:p>
    <w:p w14:paraId="65FD306B">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企业应定期向当地政府环保部门报告污染治理设施运行情况、污染物排放情况以及污染事故、污染纠纷等情况，便于环保部门和企业管理人员及时了解企业污染动态，利于采取相应的对策措施。若企业排污情况发生重大变化、污染治理设施改变或企业改、扩建等都必须按《建设项目环境保护管理条例》等文件要求，向当地环保部门申报，并请有审批权限的环保部门审批。企业产量和生产原辅料发生变化也应及时向环保部门报告。</w:t>
      </w:r>
    </w:p>
    <w:p w14:paraId="78BD924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（2）污染治理设施的管理、监控制度</w:t>
      </w:r>
    </w:p>
    <w:p w14:paraId="76928996">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拟建项目建成后，必须确保污染治理设施长期、稳定、有效地运行，不得擅自拆除或者闲置尾气处理装置和污水治理设施等，不得故意不正常使用污染治理设施。污染治理设施的管理必须与生产经营活动</w:t>
      </w:r>
      <w:r>
        <w:rPr>
          <w:rFonts w:hint="default" w:ascii="Times New Roman" w:hAnsi="Times New Roman" w:cs="Times New Roman"/>
          <w:sz w:val="24"/>
          <w:szCs w:val="24"/>
          <w:highlight w:val="none"/>
          <w:lang w:val="en-US" w:eastAsia="zh-CN"/>
        </w:rPr>
        <w:t>一</w:t>
      </w:r>
      <w:r>
        <w:rPr>
          <w:rFonts w:hint="default" w:ascii="Times New Roman" w:hAnsi="Times New Roman" w:eastAsia="宋体" w:cs="Times New Roman"/>
          <w:sz w:val="24"/>
          <w:szCs w:val="24"/>
          <w:highlight w:val="none"/>
        </w:rPr>
        <w:t>起纳入到公司日常管理工作的范畴，落实责任人、操作人员、维修人员、运行经费、设备的备品备件和其他原辅材料。同时要建立健全岗位责任制、制定正确的操作规程、建立管理</w:t>
      </w:r>
      <w:r>
        <w:rPr>
          <w:rFonts w:hint="default" w:ascii="Times New Roman" w:hAnsi="Times New Roman" w:cs="Times New Roman"/>
          <w:sz w:val="24"/>
          <w:szCs w:val="24"/>
          <w:highlight w:val="none"/>
          <w:lang w:val="en-US" w:eastAsia="zh-CN"/>
        </w:rPr>
        <w:t>台账</w:t>
      </w:r>
      <w:r>
        <w:rPr>
          <w:rFonts w:hint="default" w:ascii="Times New Roman" w:hAnsi="Times New Roman" w:eastAsia="宋体" w:cs="Times New Roman"/>
          <w:sz w:val="24"/>
          <w:szCs w:val="24"/>
          <w:highlight w:val="none"/>
        </w:rPr>
        <w:t>。</w:t>
      </w:r>
    </w:p>
    <w:p w14:paraId="6F3DB2B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（3）固体废物环境保护制度</w:t>
      </w:r>
    </w:p>
    <w:p w14:paraId="49F3585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明确建设单位为固体废物污染防治的责任主体，要求企业建立风险管理及应急救援体系，执行环境监测计划、转移联单管理制度及国家和省有关转移管理的相关规定、处置过程安全操作规程、人员培训考核制度、档案管理制度、处置全过程管理制度等。</w:t>
      </w:r>
    </w:p>
    <w:p w14:paraId="34CDECD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企业需</w:t>
      </w:r>
      <w:r>
        <w:rPr>
          <w:rFonts w:hint="default" w:ascii="Times New Roman" w:hAnsi="Times New Roman" w:eastAsia="宋体" w:cs="Times New Roman"/>
          <w:sz w:val="24"/>
          <w:szCs w:val="24"/>
          <w:highlight w:val="none"/>
        </w:rPr>
        <w:t>结合《危险废物转移管理办法》、《危险废物贮存污染控制标准》（GB18597-2023）和《危险废物收集、贮存、运输技术规范》（HJ2025-2012）</w:t>
      </w:r>
      <w:r>
        <w:rPr>
          <w:rFonts w:hint="default" w:ascii="Times New Roman" w:hAnsi="Times New Roman" w:cs="Times New Roman"/>
          <w:sz w:val="24"/>
          <w:szCs w:val="24"/>
          <w:highlight w:val="none"/>
          <w:lang w:val="en-US" w:eastAsia="zh-CN"/>
        </w:rPr>
        <w:t>等文件加强固体废物环境管理制度。</w:t>
      </w:r>
    </w:p>
    <w:p w14:paraId="31029B81">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rPr>
        <w:t>①</w:t>
      </w:r>
      <w:r>
        <w:rPr>
          <w:rFonts w:hint="default" w:ascii="Times New Roman" w:hAnsi="Times New Roman" w:eastAsia="宋体" w:cs="Times New Roman"/>
          <w:sz w:val="24"/>
          <w:szCs w:val="24"/>
          <w:highlight w:val="none"/>
        </w:rPr>
        <w:t>危险废物</w:t>
      </w:r>
      <w:r>
        <w:rPr>
          <w:rFonts w:hint="default" w:ascii="Times New Roman" w:hAnsi="Times New Roman" w:cs="Times New Roman"/>
          <w:sz w:val="24"/>
          <w:szCs w:val="24"/>
          <w:highlight w:val="none"/>
          <w:lang w:val="en-US" w:eastAsia="zh-CN"/>
        </w:rPr>
        <w:t>贮存设施运行环境管理要求</w:t>
      </w:r>
    </w:p>
    <w:p w14:paraId="04D3C368">
      <w:pPr>
        <w:pStyle w:val="6"/>
        <w:rPr>
          <w:rFonts w:hint="default" w:ascii="Times New Roman" w:hAnsi="Times New Roman" w:cs="Times New Roman"/>
        </w:rPr>
      </w:pPr>
      <w:r>
        <w:rPr>
          <w:rFonts w:hint="default" w:ascii="Times New Roman" w:hAnsi="Times New Roman" w:cs="Times New Roman"/>
        </w:rPr>
        <w:t>按照《水泥窑协同处置固体废物环境保护技术规范》（HJ662-2013）要求进行危险废物贮存。固体废物贮存设施专门建设，以保证固体废物不与水泥生产原料、燃料和产品混合贮存。</w:t>
      </w:r>
    </w:p>
    <w:p w14:paraId="69BFC777">
      <w:pPr>
        <w:pStyle w:val="6"/>
        <w:numPr>
          <w:ilvl w:val="0"/>
          <w:numId w:val="0"/>
        </w:numPr>
        <w:ind w:firstLine="480" w:firstLineChars="200"/>
        <w:rPr>
          <w:rFonts w:hint="default" w:ascii="Times New Roman" w:hAnsi="Times New Roman" w:cs="Times New Roman"/>
          <w:lang w:eastAsia="zh-CN"/>
        </w:rPr>
      </w:pPr>
      <w:r>
        <w:rPr>
          <w:rFonts w:hint="eastAsia" w:ascii="Times New Roman" w:hAnsi="Times New Roman" w:cs="Times New Roman"/>
          <w:lang w:val="en-US" w:eastAsia="zh-CN"/>
        </w:rPr>
        <w:t>1）</w:t>
      </w:r>
      <w:r>
        <w:rPr>
          <w:rFonts w:hint="default" w:ascii="Times New Roman" w:hAnsi="Times New Roman" w:cs="Times New Roman"/>
        </w:rPr>
        <w:t>项目在厂区</w:t>
      </w:r>
      <w:r>
        <w:rPr>
          <w:rFonts w:hint="default" w:ascii="Times New Roman" w:hAnsi="Times New Roman" w:cs="Times New Roman"/>
          <w:lang w:val="en-US" w:eastAsia="zh-CN"/>
        </w:rPr>
        <w:t>内不</w:t>
      </w:r>
      <w:r>
        <w:rPr>
          <w:rFonts w:hint="default" w:ascii="Times New Roman" w:hAnsi="Times New Roman" w:cs="Times New Roman"/>
        </w:rPr>
        <w:t>设置危废贮存库</w:t>
      </w:r>
      <w:r>
        <w:rPr>
          <w:rFonts w:hint="default" w:ascii="Times New Roman" w:hAnsi="Times New Roman" w:cs="Times New Roman"/>
          <w:lang w:eastAsia="zh-CN"/>
        </w:rPr>
        <w:t>，</w:t>
      </w:r>
      <w:r>
        <w:rPr>
          <w:rFonts w:hint="default" w:ascii="Times New Roman" w:hAnsi="Times New Roman" w:cs="Times New Roman"/>
          <w:lang w:val="en-US" w:eastAsia="zh-CN"/>
        </w:rPr>
        <w:t>新疆兴发化工有限公司紧邻本项目厂区，液态危险废物采用管输，固态危险废物贮存在新疆兴发化工有限公司危废贮存库内，经取样化验符合要求的危险废物采用叉车</w:t>
      </w:r>
      <w:r>
        <w:rPr>
          <w:rFonts w:hint="eastAsia" w:cs="Times New Roman"/>
          <w:lang w:val="en-US" w:eastAsia="zh-CN"/>
        </w:rPr>
        <w:t>沿设定</w:t>
      </w:r>
      <w:r>
        <w:rPr>
          <w:rFonts w:hint="default" w:ascii="Times New Roman" w:hAnsi="Times New Roman" w:cs="Times New Roman"/>
          <w:lang w:val="en-US" w:eastAsia="zh-CN"/>
        </w:rPr>
        <w:t>路线运至</w:t>
      </w:r>
      <w:r>
        <w:rPr>
          <w:rFonts w:hint="eastAsia" w:cs="Times New Roman"/>
          <w:lang w:val="en-US" w:eastAsia="zh-CN"/>
        </w:rPr>
        <w:t>投料车间</w:t>
      </w:r>
      <w:r>
        <w:rPr>
          <w:rFonts w:hint="default" w:ascii="Times New Roman" w:hAnsi="Times New Roman" w:cs="Times New Roman"/>
          <w:lang w:val="en-US" w:eastAsia="zh-CN"/>
        </w:rPr>
        <w:t>；</w:t>
      </w:r>
    </w:p>
    <w:p w14:paraId="2BE08550">
      <w:pPr>
        <w:pStyle w:val="6"/>
        <w:numPr>
          <w:ilvl w:val="0"/>
          <w:numId w:val="0"/>
        </w:numPr>
        <w:ind w:firstLine="480" w:firstLineChars="200"/>
        <w:rPr>
          <w:rFonts w:hint="default" w:ascii="Times New Roman" w:hAnsi="Times New Roman" w:eastAsia="宋体" w:cs="Times New Roman"/>
          <w:lang w:eastAsia="zh-CN"/>
        </w:rPr>
      </w:pPr>
      <w:r>
        <w:rPr>
          <w:rFonts w:hint="eastAsia" w:ascii="Times New Roman" w:hAnsi="Times New Roman" w:cs="Times New Roman"/>
          <w:lang w:val="en-US" w:eastAsia="zh-CN"/>
        </w:rPr>
        <w:t>2）</w:t>
      </w:r>
      <w:r>
        <w:rPr>
          <w:rFonts w:hint="default" w:ascii="Times New Roman" w:hAnsi="Times New Roman" w:cs="Times New Roman"/>
          <w:lang w:val="en-US" w:eastAsia="zh-CN"/>
        </w:rPr>
        <w:t>本项目依托新疆兴发化工有限公司现有危废暂存设施，</w:t>
      </w:r>
      <w:r>
        <w:rPr>
          <w:rFonts w:hint="default" w:ascii="Times New Roman" w:hAnsi="Times New Roman" w:cs="Times New Roman"/>
        </w:rPr>
        <w:t>专门用于贮存拟处置的危险废物，液态废物</w:t>
      </w:r>
      <w:r>
        <w:rPr>
          <w:rFonts w:hint="eastAsia" w:cs="Times New Roman"/>
          <w:lang w:val="en-US" w:eastAsia="zh-CN"/>
        </w:rPr>
        <w:t>储存在废液贮存罐内，固态废物储存在贮存设施内</w:t>
      </w:r>
      <w:r>
        <w:rPr>
          <w:rFonts w:hint="default" w:ascii="Times New Roman" w:hAnsi="Times New Roman" w:cs="Times New Roman"/>
          <w:lang w:eastAsia="zh-CN"/>
        </w:rPr>
        <w:t>；</w:t>
      </w:r>
    </w:p>
    <w:p w14:paraId="3CDE0BA9">
      <w:pPr>
        <w:pStyle w:val="6"/>
        <w:rPr>
          <w:rFonts w:hint="default" w:ascii="Times New Roman" w:hAnsi="Times New Roman" w:eastAsia="宋体" w:cs="Times New Roman"/>
          <w:lang w:eastAsia="zh-CN"/>
        </w:rPr>
      </w:pPr>
      <w:r>
        <w:rPr>
          <w:rFonts w:hint="eastAsia" w:ascii="Times New Roman" w:hAnsi="Times New Roman" w:cs="Times New Roman"/>
          <w:lang w:val="en-US" w:eastAsia="zh-CN"/>
        </w:rPr>
        <w:t>3）</w:t>
      </w:r>
      <w:r>
        <w:rPr>
          <w:rFonts w:hint="default" w:ascii="Times New Roman" w:hAnsi="Times New Roman" w:cs="Times New Roman"/>
          <w:lang w:val="en-US" w:eastAsia="zh-CN"/>
        </w:rPr>
        <w:t>依托的</w:t>
      </w:r>
      <w:r>
        <w:rPr>
          <w:rFonts w:hint="default" w:ascii="Times New Roman" w:hAnsi="Times New Roman" w:cs="Times New Roman"/>
        </w:rPr>
        <w:t>固体废物贮存设施符合GB50016等相关消防规范的要求。与水泥窑窑体、分解炉和预热器保持一定的安全距离；贮存设施内张贴严禁烟火的明显标识；根据固体废物特性、贮存和卸载区条件配置相应的消防警报设备和灭火器材；贮存设施中的电子设备接地，并装备抗静电设备；设置防爆通讯设备并保持通畅完好</w:t>
      </w:r>
      <w:r>
        <w:rPr>
          <w:rFonts w:hint="default" w:ascii="Times New Roman" w:hAnsi="Times New Roman" w:cs="Times New Roman"/>
          <w:lang w:eastAsia="zh-CN"/>
        </w:rPr>
        <w:t>；</w:t>
      </w:r>
    </w:p>
    <w:p w14:paraId="75815652">
      <w:pPr>
        <w:pStyle w:val="6"/>
        <w:rPr>
          <w:rFonts w:hint="default" w:ascii="Times New Roman" w:hAnsi="Times New Roman" w:eastAsia="宋体" w:cs="Times New Roman"/>
          <w:sz w:val="21"/>
          <w:szCs w:val="21"/>
          <w:lang w:eastAsia="zh-CN"/>
        </w:rPr>
      </w:pPr>
      <w:r>
        <w:rPr>
          <w:rFonts w:hint="eastAsia" w:ascii="Times New Roman" w:hAnsi="Times New Roman" w:cs="Times New Roman"/>
          <w:lang w:val="en-US" w:eastAsia="zh-CN"/>
        </w:rPr>
        <w:t>4）</w:t>
      </w:r>
      <w:r>
        <w:rPr>
          <w:rFonts w:hint="default" w:ascii="Times New Roman" w:hAnsi="Times New Roman" w:cs="Times New Roman"/>
          <w:lang w:val="en-US" w:eastAsia="zh-CN"/>
        </w:rPr>
        <w:t>依托</w:t>
      </w:r>
      <w:r>
        <w:rPr>
          <w:rFonts w:hint="default" w:ascii="Times New Roman" w:hAnsi="Times New Roman" w:cs="Times New Roman"/>
        </w:rPr>
        <w:t>危险废物贮存设施的安全防护、污染防治等满足GB18597和HJT176中的相关要求；危险废物贮存区标有明确的安全警告和清晰的撤离路线；危险废物贮存区及附近配备紧急人体清洗冲淋设施，并标明用途</w:t>
      </w:r>
      <w:r>
        <w:rPr>
          <w:rFonts w:hint="default" w:ascii="Times New Roman" w:hAnsi="Times New Roman" w:cs="Times New Roman"/>
          <w:lang w:eastAsia="zh-CN"/>
        </w:rPr>
        <w:t>；</w:t>
      </w:r>
    </w:p>
    <w:p w14:paraId="51795D10">
      <w:pPr>
        <w:pageBreakBefore w:val="0"/>
        <w:widowControl/>
        <w:kinsoku/>
        <w:wordWrap/>
        <w:overflowPunct/>
        <w:topLinePunct w:val="0"/>
        <w:autoSpaceDE/>
        <w:autoSpaceDN/>
        <w:bidi w:val="0"/>
        <w:adjustRightInd/>
        <w:snapToGrid w:val="0"/>
        <w:spacing w:line="360" w:lineRule="auto"/>
        <w:ind w:firstLine="482"/>
        <w:jc w:val="left"/>
        <w:textAlignment w:val="auto"/>
        <w:rPr>
          <w:rFonts w:hint="eastAsia" w:cs="Times New Roman"/>
          <w:sz w:val="24"/>
          <w:szCs w:val="24"/>
          <w:highlight w:val="none"/>
          <w:lang w:val="en-US" w:eastAsia="zh-CN"/>
        </w:rPr>
      </w:pPr>
      <w:r>
        <w:rPr>
          <w:rFonts w:hint="eastAsia" w:ascii="Times New Roman" w:hAnsi="Times New Roman" w:cs="Times New Roman"/>
          <w:lang w:val="en-US" w:eastAsia="zh-CN"/>
        </w:rPr>
        <w:t>5）</w:t>
      </w:r>
      <w:r>
        <w:rPr>
          <w:rFonts w:hint="default" w:ascii="Times New Roman" w:hAnsi="Times New Roman" w:cs="Times New Roman"/>
        </w:rPr>
        <w:t>除上述规定之外的其他固体废物贮存设施均有良好的防滲性能，以及必要的防雨、防尘功能。地沟和地面防渗，满足《危险废物贮存污染控制标准》（GB18597-2023）中对基础层的防渗要求。</w:t>
      </w:r>
    </w:p>
    <w:p w14:paraId="6605E02F">
      <w:pPr>
        <w:pageBreakBefore w:val="0"/>
        <w:widowControl/>
        <w:kinsoku/>
        <w:wordWrap/>
        <w:overflowPunct/>
        <w:topLinePunct w:val="0"/>
        <w:autoSpaceDE/>
        <w:autoSpaceDN/>
        <w:bidi w:val="0"/>
        <w:adjustRightInd/>
        <w:snapToGrid w:val="0"/>
        <w:spacing w:line="360" w:lineRule="auto"/>
        <w:ind w:firstLine="482"/>
        <w:jc w:val="left"/>
        <w:textAlignment w:val="auto"/>
        <w:rPr>
          <w:rFonts w:hint="eastAsia" w:ascii="Times New Roman" w:hAnsi="Times New Roman" w:eastAsia="宋体" w:cs="Times New Roman"/>
          <w:sz w:val="24"/>
          <w:szCs w:val="24"/>
          <w:highlight w:val="none"/>
          <w:lang w:eastAsia="zh-CN"/>
        </w:rPr>
      </w:pPr>
      <w:r>
        <w:rPr>
          <w:rFonts w:hint="eastAsia" w:cs="Times New Roman"/>
          <w:sz w:val="24"/>
          <w:szCs w:val="24"/>
          <w:highlight w:val="none"/>
          <w:lang w:val="en-US" w:eastAsia="zh-CN"/>
        </w:rPr>
        <w:t>6）</w:t>
      </w:r>
      <w:r>
        <w:rPr>
          <w:rFonts w:hint="default" w:ascii="Times New Roman" w:hAnsi="Times New Roman" w:eastAsia="宋体" w:cs="Times New Roman"/>
          <w:sz w:val="24"/>
          <w:szCs w:val="24"/>
          <w:highlight w:val="none"/>
        </w:rPr>
        <w:t>项目运行过程在自行产生危险废物须贮存在企业现有危险废物贮存库内，危险废物贮存设施按《危险废物贮存污染控制标准》（GB18597-2023）进行建设，贮存场所根据《环境保护图形标志-固体废物贮存（处置）场》（GB15562.2-1995）设立专用标志</w:t>
      </w:r>
      <w:r>
        <w:rPr>
          <w:rFonts w:hint="eastAsia" w:cs="Times New Roman"/>
          <w:sz w:val="24"/>
          <w:szCs w:val="24"/>
          <w:highlight w:val="none"/>
          <w:lang w:eastAsia="zh-CN"/>
        </w:rPr>
        <w:t>。</w:t>
      </w:r>
    </w:p>
    <w:p w14:paraId="636C75F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eastAsia" w:cs="Times New Roman"/>
          <w:sz w:val="24"/>
          <w:szCs w:val="24"/>
          <w:highlight w:val="none"/>
          <w:lang w:val="en-US" w:eastAsia="zh-CN"/>
        </w:rPr>
        <w:t>7）</w:t>
      </w:r>
      <w:r>
        <w:rPr>
          <w:rFonts w:hint="default" w:ascii="Times New Roman" w:hAnsi="Times New Roman" w:eastAsia="宋体" w:cs="Times New Roman"/>
          <w:sz w:val="24"/>
          <w:szCs w:val="24"/>
          <w:highlight w:val="none"/>
        </w:rPr>
        <w:t>贮存设施运行期间，应按国家有关标准和规定建立危险废物管理台账并保存</w:t>
      </w:r>
      <w:r>
        <w:rPr>
          <w:rFonts w:hint="default" w:ascii="Times New Roman" w:hAnsi="Times New Roman" w:cs="Times New Roman"/>
          <w:sz w:val="24"/>
          <w:szCs w:val="24"/>
          <w:highlight w:val="none"/>
          <w:lang w:eastAsia="zh-CN"/>
        </w:rPr>
        <w:t>；</w:t>
      </w:r>
    </w:p>
    <w:p w14:paraId="723720BC">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eastAsia" w:cs="Times New Roman"/>
          <w:sz w:val="24"/>
          <w:szCs w:val="24"/>
          <w:highlight w:val="none"/>
          <w:lang w:val="en-US" w:eastAsia="zh-CN"/>
        </w:rPr>
        <w:t>8）</w:t>
      </w:r>
      <w:r>
        <w:rPr>
          <w:rFonts w:hint="default" w:ascii="Times New Roman" w:hAnsi="Times New Roman" w:eastAsia="宋体" w:cs="Times New Roman"/>
          <w:sz w:val="24"/>
          <w:szCs w:val="24"/>
          <w:highlight w:val="none"/>
        </w:rPr>
        <w:t>贮存设施所有者或运营者应建立贮存设施环境管理制度、管理人员岗位职责制度、设施运行操作制度、人员岗位培训制度等</w:t>
      </w:r>
      <w:r>
        <w:rPr>
          <w:rFonts w:hint="default" w:ascii="Times New Roman" w:hAnsi="Times New Roman" w:cs="Times New Roman"/>
          <w:sz w:val="24"/>
          <w:szCs w:val="24"/>
          <w:highlight w:val="none"/>
          <w:lang w:eastAsia="zh-CN"/>
        </w:rPr>
        <w:t>；</w:t>
      </w:r>
    </w:p>
    <w:p w14:paraId="72EE07FC">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eastAsia" w:cs="Times New Roman"/>
          <w:sz w:val="24"/>
          <w:szCs w:val="24"/>
          <w:highlight w:val="none"/>
          <w:lang w:val="en-US" w:eastAsia="zh-CN"/>
        </w:rPr>
        <w:t>9）</w:t>
      </w:r>
      <w:r>
        <w:rPr>
          <w:rFonts w:hint="default" w:ascii="Times New Roman" w:hAnsi="Times New Roman" w:eastAsia="宋体" w:cs="Times New Roman"/>
          <w:sz w:val="24"/>
          <w:szCs w:val="24"/>
          <w:highlight w:val="none"/>
        </w:rPr>
        <w:t>贮存设所有者或运营者应依据国家土壤和地下水污染防治的有关规定，结合贮存设旅特点建立土填和地下水污染隐患排查制度，并定期开展隐患排查，发现隐患应及时采取措施消除隐患，并建立档案</w:t>
      </w:r>
      <w:r>
        <w:rPr>
          <w:rFonts w:hint="default" w:ascii="Times New Roman" w:hAnsi="Times New Roman" w:cs="Times New Roman"/>
          <w:sz w:val="24"/>
          <w:szCs w:val="24"/>
          <w:highlight w:val="none"/>
          <w:lang w:eastAsia="zh-CN"/>
        </w:rPr>
        <w:t>；</w:t>
      </w:r>
    </w:p>
    <w:p w14:paraId="6A2C044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eastAsia" w:cs="Times New Roman"/>
          <w:sz w:val="24"/>
          <w:szCs w:val="24"/>
          <w:highlight w:val="none"/>
          <w:lang w:val="en-US" w:eastAsia="zh-CN"/>
        </w:rPr>
        <w:t>10）</w:t>
      </w:r>
      <w:r>
        <w:rPr>
          <w:rFonts w:hint="default" w:ascii="Times New Roman" w:hAnsi="Times New Roman" w:eastAsia="宋体" w:cs="Times New Roman"/>
          <w:sz w:val="24"/>
          <w:szCs w:val="24"/>
          <w:highlight w:val="none"/>
        </w:rPr>
        <w:t>贮存设施所有者或运营者应建立贮存设施全部档案，包括设计、施工、验收、运行、监测和环境应急等，应按国家有关档案管理的法律法规进行整理和归档</w:t>
      </w:r>
      <w:r>
        <w:rPr>
          <w:rFonts w:hint="eastAsia" w:cs="Times New Roman"/>
          <w:sz w:val="24"/>
          <w:szCs w:val="24"/>
          <w:highlight w:val="none"/>
          <w:lang w:eastAsia="zh-CN"/>
        </w:rPr>
        <w:t>。</w:t>
      </w:r>
    </w:p>
    <w:p w14:paraId="1E4F7350">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②</w:t>
      </w:r>
      <w:r>
        <w:rPr>
          <w:rFonts w:hint="default" w:ascii="Times New Roman" w:hAnsi="Times New Roman" w:cs="Times New Roman"/>
          <w:sz w:val="24"/>
          <w:szCs w:val="24"/>
          <w:highlight w:val="none"/>
          <w:lang w:val="en-US" w:eastAsia="zh-CN"/>
        </w:rPr>
        <w:t>危险废物</w:t>
      </w:r>
      <w:r>
        <w:rPr>
          <w:rFonts w:hint="eastAsia" w:cs="Times New Roman"/>
          <w:sz w:val="24"/>
          <w:szCs w:val="24"/>
          <w:highlight w:val="none"/>
          <w:lang w:val="en-US" w:eastAsia="zh-CN"/>
        </w:rPr>
        <w:t>厂内</w:t>
      </w:r>
      <w:r>
        <w:rPr>
          <w:rFonts w:hint="default" w:ascii="Times New Roman" w:hAnsi="Times New Roman" w:cs="Times New Roman"/>
          <w:sz w:val="24"/>
          <w:szCs w:val="24"/>
          <w:highlight w:val="none"/>
          <w:lang w:val="en-US" w:eastAsia="zh-CN"/>
        </w:rPr>
        <w:t>运输环境管理要求</w:t>
      </w:r>
    </w:p>
    <w:p w14:paraId="0E1319C2">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应该严格执行《危险废物收集、贮存、运输技术规范》（HJ2025-2012）和《危险废物转移管理办法》，危险废物转移前向环保主管部门报批危险废物转移计划，经批准后，向环保主管部门申请领取联单，并在转移前三日内报告移出地环境保护行政主管部门，并同时将预期到达时间报告接受地环境保护行政主管部门。</w:t>
      </w:r>
    </w:p>
    <w:p w14:paraId="5FBCCD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本项目处置的危险废物均为临厂新疆兴发化工有限公司生产过程产生的危险废物，运输严格按照划定路线运至指定区域</w:t>
      </w:r>
      <w:r>
        <w:rPr>
          <w:rFonts w:hint="eastAsia" w:ascii="Times New Roman" w:hAnsi="Times New Roman" w:cs="Times New Roman"/>
          <w:sz w:val="24"/>
          <w:szCs w:val="24"/>
          <w:highlight w:val="none"/>
          <w:lang w:val="en-US" w:eastAsia="zh-CN"/>
        </w:rPr>
        <w:t>内</w:t>
      </w:r>
      <w:r>
        <w:rPr>
          <w:rFonts w:hint="default" w:ascii="Times New Roman" w:hAnsi="Times New Roman" w:cs="Times New Roman"/>
          <w:sz w:val="24"/>
          <w:szCs w:val="24"/>
          <w:highlight w:val="none"/>
          <w:lang w:val="en-US" w:eastAsia="zh-CN"/>
        </w:rPr>
        <w:t>焚烧，液态废物采用管输。</w:t>
      </w:r>
    </w:p>
    <w:p w14:paraId="243171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1）由于兴发化工与兴悦化工两厂址相邻，项目危险废物的运输过程仅在两厂址内进行，不得擅自将危险废物运输至厂址外；</w:t>
      </w:r>
    </w:p>
    <w:p w14:paraId="296777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val="en-US" w:eastAsia="zh-CN"/>
        </w:rPr>
        <w:t>2）运输危险废物时，应在危险废物包装上按照GB18597附录A设置标志，其中医疗废物包装容器上的标志应按HJ421要求设置</w:t>
      </w:r>
      <w:r>
        <w:rPr>
          <w:rFonts w:hint="eastAsia" w:ascii="Times New Roman" w:hAnsi="Times New Roman" w:cs="Times New Roman"/>
          <w:sz w:val="24"/>
          <w:szCs w:val="24"/>
          <w:highlight w:val="none"/>
          <w:lang w:val="en-US" w:eastAsia="zh-CN"/>
        </w:rPr>
        <w:t>；</w:t>
      </w:r>
    </w:p>
    <w:p w14:paraId="2FE2888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3）危险废物运输时的装卸过程应遵守如下技术要求：卸载区的工作人员应熟悉废物的危险特性，并配备适当的个人防护装备，装卸剧毒废物应配备特殊的防护装备；卸载区应配备必要的消防设备和设施，并设置明显的指示标志；危险废物装卸区应设置隔离设施。</w:t>
      </w:r>
    </w:p>
    <w:p w14:paraId="49EA30F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（4）环保奖惩条例</w:t>
      </w:r>
    </w:p>
    <w:p w14:paraId="3B58C130">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建设单位应按照《排污许可证申请与核发技术规范 水泥工业》（HJ 847）要求，在申请排污许可证时，按HJ847规定，在排污许可证申请表中明确环境管理台账记录要求。排污单位应建立环境管理台账制度，设置专职人员进行台账的记录、整理、维护和管理，并对台账记录结果的真实性、准确性、完整性负责。</w:t>
      </w:r>
    </w:p>
    <w:p w14:paraId="67E1E6E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为实现台账便于携带、作为许可证执行情况佐证并长时间储存的目的以及导出原始数据，加工分析、综合判断运行情况的功能，台账应当按照电子化储存和纸质储存两种形式同步管理。</w:t>
      </w:r>
    </w:p>
    <w:p w14:paraId="1DDF2E42">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排污单位排污许可证台账应真实记录生产设施和污染防治设施信息，其中，生产设施信息包括基本信息和生产设施运行管理信息，污染防治设施信息包括基本信息、污染治理措施运行管理信息、监测记录信息、其他环境管理信息等内容。</w:t>
      </w:r>
    </w:p>
    <w:p w14:paraId="34EFB3DC">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（5）环境管理台账制度</w:t>
      </w:r>
    </w:p>
    <w:p w14:paraId="04F5D2E4">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做好污染物产排、环保设施运行等环境管理台账。主要包括：主要污染源情况、环保设施及运行记录、环保检查台账、环境事件台账、非常规“三废”排放记录、环保考核与奖惩台账、噪声监测台账、固体废物台账等。</w:t>
      </w:r>
    </w:p>
    <w:p w14:paraId="560C9588">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（6）排污许可证制度</w:t>
      </w:r>
    </w:p>
    <w:p w14:paraId="268EB753">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《排污许可证管理暂行规定》要求“新建项目的排污单位应当在投入生产或使用并产生实际排污行为之前申请领取排污许可证”，因此，建设单位应在项目建设完成投入运行之前向</w:t>
      </w:r>
      <w:r>
        <w:rPr>
          <w:rFonts w:hint="default" w:ascii="Times New Roman" w:hAnsi="Times New Roman" w:cs="Times New Roman"/>
          <w:sz w:val="24"/>
          <w:szCs w:val="24"/>
          <w:highlight w:val="none"/>
          <w:lang w:val="en-US" w:eastAsia="zh-CN"/>
        </w:rPr>
        <w:t>上级生态环境部门</w:t>
      </w:r>
      <w:r>
        <w:rPr>
          <w:rFonts w:hint="default" w:ascii="Times New Roman" w:hAnsi="Times New Roman" w:eastAsia="宋体" w:cs="Times New Roman"/>
          <w:sz w:val="24"/>
          <w:szCs w:val="24"/>
          <w:highlight w:val="none"/>
        </w:rPr>
        <w:t>申办排污许可证，并严格按照排污许可证规定的污染物排放种类、浓度、总量等排污。根据《排污许可管理条例》（国务院令第736号）要求，纳入固定污染源排污许可分类管理名录的企业事业单位和其他生产经营者应当按照规定的时限申请并取得排污许可证。排污单位应当依法持有排污许可证，并按照排污许可证的规定排放污染物，应当取得排污许可证而未取得的，不得排放污染物。</w:t>
      </w:r>
    </w:p>
    <w:p w14:paraId="309068BE">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根据《固定污染源排污许可分类管理名录（2019年版）》，本项目属于名录中“103环境治理业772”，为重点管理单位。本项目实施后应当申请取得排污许可证。</w:t>
      </w:r>
    </w:p>
    <w:p w14:paraId="5009EB46">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①排污单位应当遵守排污许可证规定，按照生态环境管理要求运行和维护污染防治设施，建立环境管理制度，严格控制污染物排放</w:t>
      </w:r>
      <w:r>
        <w:rPr>
          <w:rFonts w:hint="default" w:ascii="Times New Roman" w:hAnsi="Times New Roman" w:cs="Times New Roman"/>
          <w:sz w:val="24"/>
          <w:szCs w:val="24"/>
          <w:highlight w:val="none"/>
          <w:lang w:eastAsia="zh-CN"/>
        </w:rPr>
        <w:t>；</w:t>
      </w:r>
    </w:p>
    <w:p w14:paraId="4CAFF454">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②排污单位应当按照生态环境主管部门的规定建设规范化污染物排放口，并设置标志牌。污染物排放口位置和数量、污染物排放方式和排放去向应当与排污许可证规定相符</w:t>
      </w:r>
      <w:r>
        <w:rPr>
          <w:rFonts w:hint="default" w:ascii="Times New Roman" w:hAnsi="Times New Roman" w:cs="Times New Roman"/>
          <w:sz w:val="24"/>
          <w:szCs w:val="24"/>
          <w:highlight w:val="none"/>
          <w:lang w:eastAsia="zh-CN"/>
        </w:rPr>
        <w:t>；</w:t>
      </w:r>
    </w:p>
    <w:p w14:paraId="3EFD4301">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③排污单位应当按照排污许可证规定和有关标准规范，依法开展自行监测，并保存原始监测记录。原始监测记录保存期限不得少于5年。排污单位应当对自行监测数据的真实性、准确性负责，不得篡改、伪造</w:t>
      </w:r>
      <w:r>
        <w:rPr>
          <w:rFonts w:hint="default" w:ascii="Times New Roman" w:hAnsi="Times New Roman" w:cs="Times New Roman"/>
          <w:sz w:val="24"/>
          <w:szCs w:val="24"/>
          <w:highlight w:val="none"/>
          <w:lang w:eastAsia="zh-CN"/>
        </w:rPr>
        <w:t>；</w:t>
      </w:r>
    </w:p>
    <w:p w14:paraId="1C8ED9AD">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④排污单位应当建立环境管理台账记录制度，按照排污许可证规定的格式、内容和频次，如实记录主要生产设施、污染防治设施运行情况以及污染物排放浓度、排放量。环境管理台账记录保存期限不得少于5年。排污单位发现污染物排放超过污染物排放标准等异常情况时，应当立即采取措施消除、减轻危害后果，如实进行环境管理台账记录，并报告生态环境主管部门，说明原因。超过污染物排放标准等异常情况下的污染物排放计入排污单位的污染物排放量</w:t>
      </w:r>
      <w:r>
        <w:rPr>
          <w:rFonts w:hint="default" w:ascii="Times New Roman" w:hAnsi="Times New Roman" w:cs="Times New Roman"/>
          <w:sz w:val="24"/>
          <w:szCs w:val="24"/>
          <w:highlight w:val="none"/>
          <w:lang w:eastAsia="zh-CN"/>
        </w:rPr>
        <w:t>；</w:t>
      </w:r>
    </w:p>
    <w:p w14:paraId="4851F2F3">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⑤排污单位应当按照排污许可证规定的内容、频次和时间要求，向审批部门提交排污许可证执行报告，如实报告污染物排放行为、排放浓度、排放量等。排污许可证有效期内发生停产的，排污单位应当在排污许可证执行报告中如实报告污染物排放变化情况并说明原因。排污许可证执行报告中报告的污染物排放量可以作为年度生态环境统计、重点污染物排放总量考核、污染源排放清单编制的依据</w:t>
      </w:r>
      <w:r>
        <w:rPr>
          <w:rFonts w:hint="default" w:ascii="Times New Roman" w:hAnsi="Times New Roman" w:cs="Times New Roman"/>
          <w:sz w:val="24"/>
          <w:szCs w:val="24"/>
          <w:highlight w:val="none"/>
          <w:lang w:eastAsia="zh-CN"/>
        </w:rPr>
        <w:t>；</w:t>
      </w:r>
    </w:p>
    <w:p w14:paraId="5F7065D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⑥排污单位应当按照排污许可证规定，如实在全国排污许可证管理信息平台上公开污染物排放信息。污染物排放信息应当包括污染物排放种类、排放浓度和排放量，以及污染防治设施的建设运行情况、排污许可证执行报告、自行监测数据等。水污染物排入市政排水管网的，还应当包括污水接入市政排水管网位置、排放方式等信息。</w:t>
      </w:r>
    </w:p>
    <w:p w14:paraId="112AD652">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1）</w:t>
      </w:r>
      <w:r>
        <w:rPr>
          <w:rFonts w:hint="default" w:ascii="Times New Roman" w:hAnsi="Times New Roman" w:eastAsia="宋体" w:cs="Times New Roman"/>
          <w:sz w:val="24"/>
          <w:szCs w:val="24"/>
          <w:highlight w:val="none"/>
        </w:rPr>
        <w:t>年度执行报告</w:t>
      </w:r>
    </w:p>
    <w:p w14:paraId="159E6EAC">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水泥工业排污单位应每自然年上报一次排污许可证年度执行报告， 年报应于次年一月底前提交至排污许可证核发机关。对于持证时间不足三个月的，当年可不上报年度执行报告，许可证执行情况纳入下一年年度执行报告。</w:t>
      </w:r>
    </w:p>
    <w:p w14:paraId="4E25E5C4">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rPr>
        <w:t>半年、月/季度执行报告</w:t>
      </w:r>
    </w:p>
    <w:p w14:paraId="41313655">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水泥工业排污单位应每季度上报一次排污许可证季度执行报告。地方环境保护主管部门可按照环境管理要求，要求上报半年、月度执行报告，并在排污许可证中明确。</w:t>
      </w:r>
    </w:p>
    <w:p w14:paraId="51749141">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上半年执行报告周期为当年一月至六月，于每年七月底前提交至排污许可证核发机关，提交年度执行报告时可免报下半年执行报告。对于持证时间不足三个月的，该报告周期内可不上报半年执行报告，纳入下一次半年/年度执行报告。</w:t>
      </w:r>
    </w:p>
    <w:p w14:paraId="74EE4941">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月/季度执行报告周期为自然月/季，于下一周期首月十五日前提交至排污许可证核发机关，提交季报、半年报或年报时，可免报当月月报。对于持证时间不足十天的，该报告周期内可不上报月报，排污许可证执行情况纳入下一月执行报告。对于持证时间不足一个月的，该报告周期内可不上报季报，排污许可证执行情况纳入下一季度执行报告。</w:t>
      </w:r>
    </w:p>
    <w:p w14:paraId="127029A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7</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危险废物管理计划和环境管理台账记录制度</w:t>
      </w:r>
    </w:p>
    <w:p w14:paraId="45835D68">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依据《排污许可管理条例》（国务院令第736号），排污单位应当建立环境管理台账记录制度，按照排污许可证规定的格式、内容和频次，如实记录主要生产设施、污染防治设施运行情况以及污染物排放浓度、排放量。环境管理台账记录保存期限不得少于5年。</w:t>
      </w:r>
    </w:p>
    <w:p w14:paraId="429FD977">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产生危险废物的单位应根据《危险废物管理计划和管理台账制定技术导则》（HJ 1259-2022）相关要求，制定危险废物管理计划和管理台账，并通过国家危险废物信息管理系统（含省级自建系统）向所在地生态环境主管部门申报危险废物的种类、产生量、流向、贮存、利用、处置等有关资料。</w:t>
      </w:r>
    </w:p>
    <w:p w14:paraId="6064C4FB">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8</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土壤污染隐患排查制度</w:t>
      </w:r>
    </w:p>
    <w:p w14:paraId="51F6AA4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中华人民共和国土壤污染防治法》、《工矿用地土壤环境管理办法（试行）》和《重点监管单位土壤污染隐患排查指南（试行）》要求，建立土壤污染隐患排查治理制度，定期对重点区域、重点设施开展隐患排查。发现污染隐患的，应当制定整改方案，及时采取技术、管理措施消除隐患。隐患排查、治理情况应当如实记录并建立档案。</w:t>
      </w:r>
    </w:p>
    <w:p w14:paraId="3C8B58F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9</w:t>
      </w:r>
      <w:r>
        <w:rPr>
          <w:rFonts w:hint="default" w:ascii="Times New Roman" w:hAnsi="Times New Roman" w:eastAsia="宋体" w:cs="Times New Roman"/>
          <w:sz w:val="24"/>
          <w:szCs w:val="24"/>
          <w:highlight w:val="none"/>
        </w:rPr>
        <w:t>）环境信息依法披露制度</w:t>
      </w:r>
    </w:p>
    <w:p w14:paraId="389A8AA7">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环境监管重点单位名录管理办法》（生态环境部令第27号），企业为土壤污染重点监管单位、环境风险重点管控单位。环境监管重点单位应当依法履行自行监测、信息公开等生态环境法律义务，采取措施防治环境污染，防范环境风险。</w:t>
      </w:r>
    </w:p>
    <w:p w14:paraId="298A9C4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根据《企业环境信息依法披露管理办法》，重点排污单位应按规定披露年度环境信息，企业年度环境信息依法披露报告应当包括以下内容：</w:t>
      </w:r>
    </w:p>
    <w:p w14:paraId="1D1CB1EB">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（一）企业基本信息，包括企业生产和生态环境保护等方面的基础信息；</w:t>
      </w:r>
    </w:p>
    <w:p w14:paraId="02C13156">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（二）企业环境管理信息，包括生态环境行政许可、环境保护税、环境污染责任保险、环保信用评价等方面的信息；</w:t>
      </w:r>
    </w:p>
    <w:p w14:paraId="7A5D616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（三）污染物产生、治理与排放信息，包括污染防治设施，污染物排放，有毒有害物质排放，工业固体废物和危险废物产生、贮存、流向、利用、处置，自行监测等方面的信息；</w:t>
      </w:r>
    </w:p>
    <w:p w14:paraId="5F8782BE">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（四）碳排放信息，包括排放量、排放设施等方面的信息；</w:t>
      </w:r>
    </w:p>
    <w:p w14:paraId="3297FCF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（五）生态环境应急信息，包括突发环境事件应急预案、重污染天气应急响应等方面的信息；</w:t>
      </w:r>
    </w:p>
    <w:p w14:paraId="12969070">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（六）生态环境违法信息；</w:t>
      </w:r>
    </w:p>
    <w:p w14:paraId="449CE4C6">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（七）本年度临时环境信息依法披露情况；</w:t>
      </w:r>
    </w:p>
    <w:p w14:paraId="4B10C200">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（八）法律法规规定的其他环境信息。</w:t>
      </w:r>
    </w:p>
    <w:p w14:paraId="4228F7C3">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8.1.3环境管理机构</w:t>
      </w:r>
    </w:p>
    <w:p w14:paraId="7DD5C18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为了保证将环境保护纳入企业管理和生产计划，并制定企业管理的污染控制指标，使企业排污符合国家和地方有关排放标准，并实现企业管理总量控制，企业内部必须建立行之有效的环境管理机构。</w:t>
      </w:r>
    </w:p>
    <w:p w14:paraId="2C1A2C5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）环境管理机构设置目的</w:t>
      </w:r>
    </w:p>
    <w:p w14:paraId="3190DCB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管理机构设置目的是为贯彻执行《中华人民共和国环境保护法》和相关法律法规以及全面落实《国务院关于环境保护若干问题的决定》中相关规定，对“三废”排放实行管理和监控，确保社会、经济、环境等效益的协调发展，协调地方生态环境部门工作，为企业生产管理和环境管理提供保证，针对本项目具体情况，为加强管理，建设单位应设置环境管理机构，并尽相应职责。</w:t>
      </w:r>
    </w:p>
    <w:p w14:paraId="166EB15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cs="Times New Roman"/>
          <w:sz w:val="24"/>
          <w:szCs w:val="24"/>
          <w:highlight w:val="none"/>
          <w:lang w:val="en-US" w:eastAsia="zh-CN"/>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eastAsia="zh-CN"/>
        </w:rPr>
        <w:t>）环境管理机构设置</w:t>
      </w:r>
      <w:r>
        <w:rPr>
          <w:rFonts w:hint="default" w:ascii="Times New Roman" w:hAnsi="Times New Roman" w:cs="Times New Roman"/>
          <w:sz w:val="24"/>
          <w:szCs w:val="24"/>
          <w:highlight w:val="none"/>
          <w:lang w:val="en-US" w:eastAsia="zh-CN"/>
        </w:rPr>
        <w:t>要求</w:t>
      </w:r>
    </w:p>
    <w:p w14:paraId="03AA43D5">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根据《建设项目环境保护设计规定》，新建、扩建企业应设置环境保护管理机构，负责组织、落实、监督本企业环保工作。本项目的环境保护管理工作应建立在厂长（经理）领导下，各生产单位安全环保人员向上级负责的体制。安全环保科是具体负责该项目环境保护工作的组织、落实、监督的职能部门。安全环保科应在厂级主管领导的直接领导下，负责整个企业在建设、生产过程中的环境保护管理工作。对本工程环境监测进行日常业务管理，通过检查、统计、分析、调查及监测，监督和指导各项环保措施的落实。针对污染严重的工段，要求一名工段负责人分管环保工作，并在工段设置相应的专职或兼职的环保工作人员，形成厂、工段、班组的三级负责的环境管理体系，以推进全厂的环境保护工作。同时安全环保科还应在厂生产调度、管理工作会应针对生产运行中存在的环境问题，提出建议和解决问题的技术方案，并负责同各级生态环境部门的联系和协调，了解当地生态环境部门及政府对该厂环境保护的要求、技术指导及建议，并督促各生产单位贯彻落实。</w:t>
      </w:r>
    </w:p>
    <w:p w14:paraId="11C0D278">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lang w:eastAsia="zh-CN"/>
        </w:rPr>
        <w:t>各级环保管理人员应具备一定的清洁生产和环境管理知识，熟悉本企业的生产特点，由责任心、组织能力强的人员担任。同时在各车间培训若干有经验、懂技术、责任心强的技术人员担任兼职管理人员，便于监督管理，防患于未然。</w:t>
      </w:r>
    </w:p>
    <w:p w14:paraId="4A2D725B">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环境管理机构职责</w:t>
      </w:r>
    </w:p>
    <w:p w14:paraId="0B1D5BF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cs="Times New Roman"/>
        </w:rPr>
      </w:pPr>
      <w:r>
        <w:rPr>
          <w:rFonts w:hint="default" w:ascii="Times New Roman" w:hAnsi="Times New Roman" w:eastAsia="宋体" w:cs="Times New Roman"/>
          <w:sz w:val="24"/>
          <w:szCs w:val="24"/>
          <w:highlight w:val="none"/>
        </w:rPr>
        <w:t>环境管理机构主要任务是依据国家、行业、地方等环保监督部门制定的法规、方针政策，管理、监督并掌握全厂环保工作情况，督促、检查本</w:t>
      </w:r>
      <w:r>
        <w:rPr>
          <w:rFonts w:hint="default" w:ascii="Times New Roman" w:hAnsi="Times New Roman" w:cs="Times New Roman"/>
          <w:sz w:val="24"/>
          <w:szCs w:val="24"/>
          <w:highlight w:val="none"/>
          <w:lang w:val="en-US" w:eastAsia="zh-CN"/>
        </w:rPr>
        <w:t>项目</w:t>
      </w:r>
      <w:r>
        <w:rPr>
          <w:rFonts w:hint="default" w:ascii="Times New Roman" w:hAnsi="Times New Roman" w:eastAsia="宋体" w:cs="Times New Roman"/>
          <w:sz w:val="24"/>
          <w:szCs w:val="24"/>
          <w:highlight w:val="none"/>
        </w:rPr>
        <w:t>各项环境保护工作正常进行。</w:t>
      </w:r>
      <w:r>
        <w:rPr>
          <w:rFonts w:hint="default" w:ascii="Times New Roman" w:hAnsi="Times New Roman" w:cs="Times New Roman"/>
        </w:rPr>
        <w:t>企业环境管理机构职能见</w:t>
      </w:r>
      <w:r>
        <w:rPr>
          <w:rFonts w:hint="default" w:ascii="Times New Roman" w:hAnsi="Times New Roman" w:cs="Times New Roman"/>
        </w:rPr>
        <w:fldChar w:fldCharType="begin"/>
      </w:r>
      <w:r>
        <w:rPr>
          <w:rFonts w:hint="default" w:ascii="Times New Roman" w:hAnsi="Times New Roman" w:cs="Times New Roman"/>
        </w:rPr>
        <w:instrText xml:space="preserve"> REF _Ref131761354 \h  \* MERGEFORMAT </w:instrText>
      </w:r>
      <w:r>
        <w:rPr>
          <w:rFonts w:hint="default" w:ascii="Times New Roman" w:hAnsi="Times New Roman" w:cs="Times New Roman"/>
        </w:rPr>
        <w:fldChar w:fldCharType="separate"/>
      </w:r>
      <w:r>
        <w:rPr>
          <w:rFonts w:hint="default" w:ascii="Times New Roman" w:hAnsi="Times New Roman" w:cs="Times New Roman"/>
        </w:rPr>
        <w:t>表8.1</w:t>
      </w:r>
      <w:r>
        <w:rPr>
          <w:rFonts w:hint="default" w:ascii="Times New Roman" w:hAnsi="Times New Roman" w:cs="Times New Roman"/>
        </w:rPr>
        <w:noBreakHyphen/>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rPr>
        <w:t>。</w:t>
      </w:r>
    </w:p>
    <w:p w14:paraId="005E1B1B">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023" w:name="_Ref131761354"/>
      <w:r>
        <w:rPr>
          <w:rFonts w:hint="default" w:ascii="Times New Roman" w:hAnsi="Times New Roman" w:cs="Times New Roman"/>
          <w:b/>
          <w:bCs/>
        </w:rPr>
        <w:t>表</w:t>
      </w:r>
      <w:bookmarkEnd w:id="1023"/>
      <w:r>
        <w:rPr>
          <w:rFonts w:hint="eastAsia" w:cs="Times New Roman"/>
          <w:b/>
          <w:bCs/>
          <w:lang w:val="en-US" w:eastAsia="zh-CN"/>
        </w:rPr>
        <w:t>8.1-1</w:t>
      </w:r>
      <w:r>
        <w:rPr>
          <w:rFonts w:hint="default" w:ascii="Times New Roman" w:hAnsi="Times New Roman" w:cs="Times New Roman"/>
          <w:b/>
          <w:bCs/>
        </w:rPr>
        <w:t xml:space="preserve"> 环境管理机构职能</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7688"/>
      </w:tblGrid>
      <w:tr w14:paraId="0D4986C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6" w:type="pct"/>
            <w:tcBorders>
              <w:tl2br w:val="nil"/>
              <w:tr2bl w:val="nil"/>
            </w:tcBorders>
            <w:vAlign w:val="center"/>
          </w:tcPr>
          <w:p w14:paraId="35427E6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项目</w:t>
            </w:r>
          </w:p>
        </w:tc>
        <w:tc>
          <w:tcPr>
            <w:tcW w:w="4514" w:type="pct"/>
            <w:tcBorders>
              <w:tl2br w:val="nil"/>
              <w:tr2bl w:val="nil"/>
            </w:tcBorders>
            <w:vAlign w:val="center"/>
          </w:tcPr>
          <w:p w14:paraId="52F7F39C">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管    理    职    能</w:t>
            </w:r>
          </w:p>
        </w:tc>
      </w:tr>
      <w:tr w14:paraId="05F6A8D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tcBorders>
              <w:tl2br w:val="nil"/>
              <w:tr2bl w:val="nil"/>
            </w:tcBorders>
            <w:vAlign w:val="center"/>
          </w:tcPr>
          <w:p w14:paraId="58C3873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施工期管理</w:t>
            </w:r>
          </w:p>
        </w:tc>
        <w:tc>
          <w:tcPr>
            <w:tcW w:w="4514" w:type="pct"/>
            <w:tcBorders>
              <w:tl2br w:val="nil"/>
              <w:tr2bl w:val="nil"/>
            </w:tcBorders>
            <w:vAlign w:val="center"/>
          </w:tcPr>
          <w:p w14:paraId="6026E813">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（1）同施工单位签订合同时以国家和当地有关施工管理的文件法规为指导，将有关内容作为合同内容明确要求，以控制建设期施工作业对环境的影响。</w:t>
            </w:r>
          </w:p>
          <w:p w14:paraId="4FA2095A">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（2）负责施工过程中的日常环境管理和环境保护宣传。提高施工人员的环境保护意识，协调和督促与生产装置配套的环保设施的建设符合“三同时”要求。</w:t>
            </w:r>
          </w:p>
          <w:p w14:paraId="164DA37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（3）监督建设期环保措施的落实，并注意在本工程建成投入运行之前，全面检查施工现场环境恢复情况。</w:t>
            </w:r>
          </w:p>
          <w:p w14:paraId="3B855ABC">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（4）建设设施竣工质量验收（对不符合质量要求和达不到环保性能要求的设施，不能通过验收）。</w:t>
            </w:r>
          </w:p>
        </w:tc>
      </w:tr>
      <w:tr w14:paraId="588B18FF">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tcBorders>
              <w:tl2br w:val="nil"/>
              <w:tr2bl w:val="nil"/>
            </w:tcBorders>
            <w:vAlign w:val="center"/>
          </w:tcPr>
          <w:p w14:paraId="5B7D95A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竣工管理</w:t>
            </w:r>
          </w:p>
        </w:tc>
        <w:tc>
          <w:tcPr>
            <w:tcW w:w="4514" w:type="pct"/>
            <w:tcBorders>
              <w:tl2br w:val="nil"/>
              <w:tr2bl w:val="nil"/>
            </w:tcBorders>
            <w:vAlign w:val="center"/>
          </w:tcPr>
          <w:p w14:paraId="7BE342EB">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根据《建设项目环境保护管理条例》（国务院令第682号），建设项目竣工后，建设单位应当按照国务院生态环境主管部门规定的标准和程序，对配套建设的环境保护设施进行验收，编制验收报告。</w:t>
            </w:r>
          </w:p>
        </w:tc>
      </w:tr>
      <w:tr w14:paraId="4088AF54">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tcBorders>
              <w:tl2br w:val="nil"/>
              <w:tr2bl w:val="nil"/>
            </w:tcBorders>
            <w:vAlign w:val="center"/>
          </w:tcPr>
          <w:p w14:paraId="6B4AD09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运行期管理</w:t>
            </w:r>
          </w:p>
        </w:tc>
        <w:tc>
          <w:tcPr>
            <w:tcW w:w="4514" w:type="pct"/>
            <w:tcBorders>
              <w:tl2br w:val="nil"/>
              <w:tr2bl w:val="nil"/>
            </w:tcBorders>
            <w:vAlign w:val="center"/>
          </w:tcPr>
          <w:p w14:paraId="30303407">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（1）制定切实可行的环保管理制度和条例。</w:t>
            </w:r>
          </w:p>
          <w:p w14:paraId="4448B301">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（2）负责环保设施的运行监督及污染源监测与控制，把污染源监督和“三废”排放纳入日常管理工作，并落实到车间、班组和岗位，进行全方位管理。</w:t>
            </w:r>
          </w:p>
          <w:p w14:paraId="34080BA0">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（3）每季度对全厂各环保设施运行情况全面检查一次，确保无重大环境污染、泄漏事故发生。</w:t>
            </w:r>
          </w:p>
          <w:p w14:paraId="33B2BFE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（4）对可能造成的环境污染及时向上级汇报并开展污染事故的调查，提出防治和应急措施。</w:t>
            </w:r>
          </w:p>
          <w:p w14:paraId="6B7A0040">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（5）实施有效的“三废”综合利用开发措施。</w:t>
            </w:r>
          </w:p>
          <w:p w14:paraId="42687B94">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（6）按照责、权、利实行奖罚制度，对违反法规和制度行为根据情节给予处理，对有功人员给予奖励。</w:t>
            </w:r>
          </w:p>
          <w:p w14:paraId="3D59BEF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（7）收集、整理和推广环保技术和经验，对运行中出现的环保问题及时解决。</w:t>
            </w:r>
          </w:p>
          <w:p w14:paraId="37011B7F">
            <w:pPr>
              <w:pStyle w:val="52"/>
              <w:spacing w:before="0" w:after="0" w:line="240" w:lineRule="auto"/>
              <w:ind w:left="0" w:firstLine="0"/>
              <w:jc w:val="both"/>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（8）配合当地或上级生态环境主管部门，认真贯彻落实国家有关环保法规和行业主管部门的环保规定。</w:t>
            </w:r>
          </w:p>
        </w:tc>
      </w:tr>
    </w:tbl>
    <w:p w14:paraId="2ED6BFC6">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8.1.5环境管理措施</w:t>
      </w:r>
    </w:p>
    <w:p w14:paraId="566D0C2D">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为了使环境管理工作科学化、规范化、合理化，确保各项环保措施落实到位，企业在环境管理方面采取以下措施：</w:t>
      </w:r>
    </w:p>
    <w:p w14:paraId="202C699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（1）制订环境保护岗位目标责任制，将环境管理纳入生产管理体系，环保评估与经济效益评估相结合，建立严格的奖惩机制；</w:t>
      </w:r>
    </w:p>
    <w:p w14:paraId="69010138">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（2）加强环境保护宣传教育工作，进行岗位培训，使全体职工能够意识到环境保护的重要意义，包括与企业生产、生存和发展的关系，全公司应有危机感和责任感，把环保工作落实到实处，落实到每一位员工；</w:t>
      </w:r>
    </w:p>
    <w:p w14:paraId="39E9086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（3）加强环境监测数据的统计工作，建立全厂完善的污染源及物料流失档案，严格控制污染物排放总量，确保污染物排放指标达到设计要求；</w:t>
      </w:r>
    </w:p>
    <w:p w14:paraId="62599C3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（4）强化对环保设施运行监督、管理的职能，建立全厂完善的环保设施运行、维护、维修等技术档案，以及加强对环保设施操作人员的技术培训，确保环境设施处于正常运行情况，污染物排放连续达标</w:t>
      </w:r>
      <w:r>
        <w:rPr>
          <w:rFonts w:hint="default" w:ascii="Times New Roman" w:hAnsi="Times New Roman" w:cs="Times New Roman"/>
          <w:sz w:val="24"/>
          <w:szCs w:val="24"/>
          <w:highlight w:val="none"/>
          <w:lang w:eastAsia="zh-CN"/>
        </w:rPr>
        <w:t>。</w:t>
      </w:r>
    </w:p>
    <w:p w14:paraId="2950D03A">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8.1.6项目环境管理具体要求</w:t>
      </w:r>
    </w:p>
    <w:p w14:paraId="749A1E1D">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项目审批阶段</w:t>
      </w:r>
    </w:p>
    <w:p w14:paraId="017B274D">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根据《建设项目环境影响评价分类管理目录（2021年版）》，确定本项目需编制环境影响报告书，建设单位应委托具有相应能力的机构编制本项目环评文件。</w:t>
      </w:r>
    </w:p>
    <w:p w14:paraId="02BCC1C7">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企业在建设项目环评文件编制前应积极配合环评编制单位查勘现场，及时提供环评文件编写所需的各类资料。</w:t>
      </w:r>
    </w:p>
    <w:p w14:paraId="2B487C54">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在环境影响报告书的编制和生态环境主管部门审批或者重新审核环境影响报告书的过程中，应该按规定公开有关环境影响评价的信息，征求公众意见。</w:t>
      </w:r>
    </w:p>
    <w:p w14:paraId="2AD2C56D">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企业有权要求环评文件编制及审批等单位和个人为其保守商业、技术等秘密。</w:t>
      </w:r>
    </w:p>
    <w:p w14:paraId="05101985">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影响评价文件由建设单位报有审批权的生态环境行政主管部门审批，环境影响评价文件未经批准，不得开工建设，自批准之日起超过5年方决定该项目开工建设的，其环境影响评价文件应当报原审批部门重新审核。</w:t>
      </w:r>
    </w:p>
    <w:p w14:paraId="6ABAF050">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项目的性质、规模、地点、生产工艺、生产设备等应与环境影响评价报告或环境影响评价审批等文件一致。如发生重大变动的，应当重新履行环评手续。</w:t>
      </w:r>
    </w:p>
    <w:p w14:paraId="001328EC">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建设施工阶段</w:t>
      </w:r>
    </w:p>
    <w:p w14:paraId="24F6B8F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本项目施工期间，应根据环境保护设计要求，开展施工期环境监理工作，确保环境保护设施高质量的施工，并及时处理和解决临时出现的环境污染事件。</w:t>
      </w:r>
    </w:p>
    <w:p w14:paraId="3F142C8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所有防渗工程应开展施工期环境监理，防渗工程完工后建设单位应组织设计单位、质检部门、环境监理单位、工程监理单位、施工单位等进行防渗工程阶段性质量验收，并留下工程质量验收档案和相关影像资料。工程质量验收资料和环境监理资料应作为本项目竣工环境保护验收的技术支撑材料。</w:t>
      </w:r>
    </w:p>
    <w:p w14:paraId="3B40FE5B">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竣工环境保护验收阶段</w:t>
      </w:r>
    </w:p>
    <w:p w14:paraId="3C738CA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根据《建设项目竣工环境保护验收暂行办法》，建设项目竣工后建设单位自主开展环境保护验收及相关监督管理。</w:t>
      </w:r>
    </w:p>
    <w:p w14:paraId="665C3048">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项目建设中应配套建设气、水、噪声以及固体废物污染防治设施，正式投入生产或使用之前自主开展废水、废气、噪声、固废的环境保护验收工作。</w:t>
      </w:r>
    </w:p>
    <w:p w14:paraId="3C1383E4">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建设单位是建设项目竣工环境保护验收的责任主体，应当按照本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环境保护设施是指防治环境污染和生态破坏以及开展环境监测所需的装置、设备和工程设施等。验收报告分为验收监测（调查）报告、验收意见和其他需要说明的事项等三项内容。</w:t>
      </w:r>
    </w:p>
    <w:p w14:paraId="7C50053E">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建设项目竣工环境保护验收的主要依据、验收的程序和内容具体详见《建设项目竣工环境保护验收暂行办法》中的相关要求。</w:t>
      </w:r>
    </w:p>
    <w:p w14:paraId="055A47EC">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项目运营期环境管理</w:t>
      </w:r>
    </w:p>
    <w:p w14:paraId="7EF4B436">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①</w:t>
      </w:r>
      <w:r>
        <w:rPr>
          <w:rFonts w:hint="default" w:ascii="Times New Roman" w:hAnsi="Times New Roman" w:eastAsia="宋体" w:cs="Times New Roman"/>
          <w:sz w:val="24"/>
          <w:szCs w:val="24"/>
          <w:highlight w:val="none"/>
        </w:rPr>
        <w:t>根据国家生态环境保护政策、标准及环境监测要求，制定该项目运行期生态环境保护管理规章制度、各种污染物排放控制指标。</w:t>
      </w:r>
    </w:p>
    <w:p w14:paraId="2E3C85E6">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②</w:t>
      </w:r>
      <w:r>
        <w:rPr>
          <w:rFonts w:hint="default" w:ascii="Times New Roman" w:hAnsi="Times New Roman" w:eastAsia="宋体" w:cs="Times New Roman"/>
          <w:sz w:val="24"/>
          <w:szCs w:val="24"/>
          <w:highlight w:val="none"/>
        </w:rPr>
        <w:t>污染治理设施应与其对应的生产工艺设备同步运转，保证在生产工艺设备运行波动情况下仍能正常运转，实现达标排放。监管污染治理设施运行、操作、维护过程，确保各污染治理设施的正常运行。</w:t>
      </w:r>
    </w:p>
    <w:p w14:paraId="1947636D">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③</w:t>
      </w:r>
      <w:r>
        <w:rPr>
          <w:rFonts w:hint="default" w:ascii="Times New Roman" w:hAnsi="Times New Roman" w:eastAsia="宋体" w:cs="Times New Roman"/>
          <w:sz w:val="24"/>
          <w:szCs w:val="24"/>
          <w:highlight w:val="none"/>
        </w:rPr>
        <w:t>无组织排放的运行管理要求按照《水泥工业大气污染物排放标准》（GB4915-2013）（含2025年修改单）、《恶臭污染物排放标准》（GB14554）中的要求执行。</w:t>
      </w:r>
    </w:p>
    <w:p w14:paraId="5E301866">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④</w:t>
      </w:r>
      <w:r>
        <w:rPr>
          <w:rFonts w:hint="default" w:ascii="Times New Roman" w:hAnsi="Times New Roman" w:eastAsia="宋体" w:cs="Times New Roman"/>
          <w:sz w:val="24"/>
          <w:szCs w:val="24"/>
          <w:highlight w:val="none"/>
        </w:rPr>
        <w:t>废水治理设施应制定操作规程，明确各项运行参数，实际运行参数应与操作规程中的规定一致，记录各处理设施的运行参数。</w:t>
      </w:r>
    </w:p>
    <w:p w14:paraId="16BE534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⑤</w:t>
      </w:r>
      <w:r>
        <w:rPr>
          <w:rFonts w:hint="default" w:ascii="Times New Roman" w:hAnsi="Times New Roman" w:eastAsia="宋体" w:cs="Times New Roman"/>
          <w:sz w:val="24"/>
          <w:szCs w:val="24"/>
          <w:highlight w:val="none"/>
        </w:rPr>
        <w:t>对废水治理设施的计量装置要定期校验和比对，对泵、电机等要定期检修、维护。</w:t>
      </w:r>
    </w:p>
    <w:p w14:paraId="4E5EDB7D">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⑥</w:t>
      </w:r>
      <w:r>
        <w:rPr>
          <w:rFonts w:hint="default" w:ascii="Times New Roman" w:hAnsi="Times New Roman" w:eastAsia="宋体" w:cs="Times New Roman"/>
          <w:sz w:val="24"/>
          <w:szCs w:val="24"/>
          <w:highlight w:val="none"/>
        </w:rPr>
        <w:t>项目运行期的环境管理由单位安全环保科承担；负责该项目内所有污染治理设施的日常运行管理，保障各污染治理设施的正常运行，并对污染治理设施的改进提出积极的建议。</w:t>
      </w:r>
    </w:p>
    <w:p w14:paraId="0905B9F8">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⑦</w:t>
      </w:r>
      <w:r>
        <w:rPr>
          <w:rFonts w:hint="default" w:ascii="Times New Roman" w:hAnsi="Times New Roman" w:eastAsia="宋体" w:cs="Times New Roman"/>
          <w:sz w:val="24"/>
          <w:szCs w:val="24"/>
          <w:highlight w:val="none"/>
        </w:rPr>
        <w:t>对全厂职工进行环保宣传教育工作，定期检查、监督各单位环保制度的执行情况。</w:t>
      </w:r>
    </w:p>
    <w:p w14:paraId="5E716C45">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⑧</w:t>
      </w:r>
      <w:r>
        <w:rPr>
          <w:rFonts w:hint="default" w:ascii="Times New Roman" w:hAnsi="Times New Roman" w:eastAsia="宋体" w:cs="Times New Roman"/>
          <w:sz w:val="24"/>
          <w:szCs w:val="24"/>
          <w:highlight w:val="none"/>
        </w:rPr>
        <w:t>建立健全环境台账和环境档案管理制度、污染防治设施设计技术改进及运行资料、污染源调查技术档案、环境监测及评价资料、项目平面图和给排水管网图等。</w:t>
      </w:r>
    </w:p>
    <w:p w14:paraId="0E3E5A23">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8.1.7排污口设置及规范化管理</w:t>
      </w:r>
    </w:p>
    <w:p w14:paraId="58AA926A">
      <w:pPr>
        <w:pStyle w:val="6"/>
        <w:rPr>
          <w:rFonts w:hint="default" w:ascii="Times New Roman" w:hAnsi="Times New Roman" w:cs="Times New Roman"/>
        </w:rPr>
      </w:pPr>
      <w:r>
        <w:rPr>
          <w:rFonts w:hint="default" w:ascii="Times New Roman" w:hAnsi="Times New Roman" w:cs="Times New Roman"/>
        </w:rPr>
        <w:t>根据国家环境保护总局《关于开展排放口规范化整治工作的通知》（环发〔1999〕24号）的要求，“一切新建、扩建、改建和限期治理的排污单位必须在建设污染治理设施的同时建设规范化排污口”，排污口是企业排放污染物进入环境的通道，强化排污口的管理是实施污染物总量控制的基础工作之一，也是区域环境管理逐步实现污染物排放科学化、定量化的重要手段。</w:t>
      </w:r>
    </w:p>
    <w:p w14:paraId="22BFCFB7">
      <w:pPr>
        <w:pStyle w:val="6"/>
        <w:rPr>
          <w:rFonts w:hint="default" w:ascii="Times New Roman" w:hAnsi="Times New Roman" w:cs="Times New Roman"/>
        </w:rPr>
      </w:pPr>
      <w:r>
        <w:rPr>
          <w:rFonts w:hint="default" w:ascii="Times New Roman" w:hAnsi="Times New Roman" w:cs="Times New Roman"/>
        </w:rPr>
        <w:t>（1）排污口规范化管理的基本原则</w:t>
      </w:r>
    </w:p>
    <w:p w14:paraId="339065D7">
      <w:pPr>
        <w:pStyle w:val="6"/>
        <w:rPr>
          <w:rFonts w:hint="default" w:ascii="Times New Roman" w:hAnsi="Times New Roman" w:cs="Times New Roman"/>
        </w:rPr>
      </w:pPr>
      <w:r>
        <w:rPr>
          <w:rFonts w:hint="default" w:ascii="Times New Roman" w:hAnsi="Times New Roman" w:cs="Times New Roman"/>
          <w:lang w:val="en-US" w:eastAsia="zh-CN"/>
        </w:rPr>
        <w:t>①</w:t>
      </w:r>
      <w:r>
        <w:rPr>
          <w:rFonts w:hint="default" w:ascii="Times New Roman" w:hAnsi="Times New Roman" w:cs="Times New Roman"/>
        </w:rPr>
        <w:t>向环境排放污染物的排污口必须规范化。</w:t>
      </w:r>
    </w:p>
    <w:p w14:paraId="459FB216">
      <w:pPr>
        <w:pStyle w:val="6"/>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排放列入总量控制指标污染物的排污口为管理重点。</w:t>
      </w:r>
    </w:p>
    <w:p w14:paraId="1A7FCCB0">
      <w:pPr>
        <w:pStyle w:val="6"/>
        <w:rPr>
          <w:rFonts w:hint="default" w:ascii="Times New Roman" w:hAnsi="Times New Roman" w:cs="Times New Roman"/>
        </w:rPr>
      </w:pPr>
      <w:r>
        <w:rPr>
          <w:rFonts w:hint="default" w:ascii="Times New Roman" w:hAnsi="Times New Roman" w:cs="Times New Roman"/>
          <w:lang w:val="en-US" w:eastAsia="zh-CN"/>
        </w:rPr>
        <w:t>③</w:t>
      </w:r>
      <w:r>
        <w:rPr>
          <w:rFonts w:hint="default" w:ascii="Times New Roman" w:hAnsi="Times New Roman" w:cs="Times New Roman"/>
        </w:rPr>
        <w:t>排污口应便于采样与计量监测，便于日常现场监督检查。</w:t>
      </w:r>
    </w:p>
    <w:p w14:paraId="33DC357C">
      <w:pPr>
        <w:pStyle w:val="6"/>
        <w:rPr>
          <w:rFonts w:hint="default" w:ascii="Times New Roman" w:hAnsi="Times New Roman" w:cs="Times New Roman"/>
        </w:rPr>
      </w:pPr>
      <w:r>
        <w:rPr>
          <w:rFonts w:hint="default" w:ascii="Times New Roman" w:hAnsi="Times New Roman" w:cs="Times New Roman"/>
        </w:rPr>
        <w:t>（2）排污口的技术要求</w:t>
      </w:r>
    </w:p>
    <w:p w14:paraId="21FC9CB5">
      <w:pPr>
        <w:pStyle w:val="6"/>
        <w:rPr>
          <w:rFonts w:hint="default" w:ascii="Times New Roman" w:hAnsi="Times New Roman" w:cs="Times New Roman"/>
        </w:rPr>
      </w:pPr>
      <w:r>
        <w:rPr>
          <w:rFonts w:hint="default" w:ascii="Times New Roman" w:hAnsi="Times New Roman" w:cs="Times New Roman"/>
          <w:lang w:val="en-US" w:eastAsia="zh-CN"/>
        </w:rPr>
        <w:t>①</w:t>
      </w:r>
      <w:r>
        <w:rPr>
          <w:rFonts w:hint="default" w:ascii="Times New Roman" w:hAnsi="Times New Roman" w:cs="Times New Roman"/>
        </w:rPr>
        <w:t>排污口的位置必须合理确定，按规定要求进行规范化管理。</w:t>
      </w:r>
    </w:p>
    <w:p w14:paraId="73148A3E">
      <w:pPr>
        <w:pStyle w:val="6"/>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排放污染物的采样点设置应按国家有关污染源监测技术规范的规定执行，设置在企业污染物总排口及治理设施的进出口等处。</w:t>
      </w:r>
    </w:p>
    <w:p w14:paraId="76085917">
      <w:pPr>
        <w:pStyle w:val="6"/>
        <w:rPr>
          <w:rFonts w:hint="default" w:ascii="Times New Roman" w:hAnsi="Times New Roman" w:cs="Times New Roman"/>
        </w:rPr>
      </w:pPr>
      <w:r>
        <w:rPr>
          <w:rFonts w:hint="default" w:ascii="Times New Roman" w:hAnsi="Times New Roman" w:cs="Times New Roman"/>
        </w:rPr>
        <w:t>（3）排污口立标管理</w:t>
      </w:r>
    </w:p>
    <w:p w14:paraId="394ECF34">
      <w:pPr>
        <w:pStyle w:val="6"/>
        <w:rPr>
          <w:rFonts w:hint="default" w:ascii="Times New Roman" w:hAnsi="Times New Roman" w:cs="Times New Roman"/>
        </w:rPr>
      </w:pPr>
      <w:r>
        <w:rPr>
          <w:rFonts w:hint="default" w:ascii="Times New Roman" w:hAnsi="Times New Roman" w:cs="Times New Roman"/>
        </w:rPr>
        <w:t>排污口及环境保护图形标志设置应符合《排污口规范化整治技术要求(试行)》（环监[1996]470号）、《关于开展排放口规范化整治工作的通知》（环发〔1999〕24号）、《环境保护图形标志 排放口（源）》（GB15562.1-1995）、《环境保护图形标志 固体废物贮存（处置）场》（GB15562.2-1995）、《固定污染源烟气（SO</w:t>
      </w:r>
      <w:r>
        <w:rPr>
          <w:rFonts w:hint="default" w:ascii="Times New Roman" w:hAnsi="Times New Roman" w:cs="Times New Roman"/>
          <w:vertAlign w:val="subscript"/>
        </w:rPr>
        <w:t>2</w:t>
      </w:r>
      <w:r>
        <w:rPr>
          <w:rFonts w:hint="default" w:ascii="Times New Roman" w:hAnsi="Times New Roman" w:cs="Times New Roman"/>
        </w:rPr>
        <w:t>、NO</w:t>
      </w:r>
      <w:r>
        <w:rPr>
          <w:rFonts w:hint="default" w:ascii="Times New Roman" w:hAnsi="Times New Roman" w:cs="Times New Roman"/>
          <w:vertAlign w:val="subscript"/>
        </w:rPr>
        <w:t>X</w:t>
      </w:r>
      <w:r>
        <w:rPr>
          <w:rFonts w:hint="default" w:ascii="Times New Roman" w:hAnsi="Times New Roman" w:cs="Times New Roman"/>
        </w:rPr>
        <w:t>、颗粒物）排放连续监测技术规范》（HJ75-2017）的规定。</w:t>
      </w:r>
    </w:p>
    <w:p w14:paraId="1F6FBD82">
      <w:pPr>
        <w:pStyle w:val="6"/>
        <w:rPr>
          <w:rFonts w:hint="default" w:ascii="Times New Roman" w:hAnsi="Times New Roman" w:cs="Times New Roman"/>
        </w:rPr>
      </w:pPr>
      <w:r>
        <w:rPr>
          <w:rFonts w:hint="default" w:ascii="Times New Roman" w:hAnsi="Times New Roman" w:cs="Times New Roman"/>
        </w:rPr>
        <w:t>本项目实施后，企业还需按照《危险废物识别标志设置技术规范》（HJ 1276-2022）和《环境保护图形标志 固体废物贮存（处置）场》（15562.2-1995）修改单规范设置危险废物识别标志。</w:t>
      </w:r>
    </w:p>
    <w:p w14:paraId="1CC5DFDF">
      <w:pPr>
        <w:pStyle w:val="6"/>
        <w:rPr>
          <w:rFonts w:hint="default" w:ascii="Times New Roman" w:hAnsi="Times New Roman" w:cs="Times New Roman"/>
        </w:rPr>
      </w:pPr>
      <w:r>
        <w:rPr>
          <w:rFonts w:hint="default" w:ascii="Times New Roman" w:hAnsi="Times New Roman" w:cs="Times New Roman"/>
        </w:rPr>
        <w:t>企业污染物排放口的标志示例见</w:t>
      </w:r>
      <w:r>
        <w:rPr>
          <w:rFonts w:hint="default" w:ascii="Times New Roman" w:hAnsi="Times New Roman" w:cs="Times New Roman"/>
        </w:rPr>
        <w:fldChar w:fldCharType="begin"/>
      </w:r>
      <w:r>
        <w:rPr>
          <w:rFonts w:hint="default" w:ascii="Times New Roman" w:hAnsi="Times New Roman" w:cs="Times New Roman"/>
        </w:rPr>
        <w:instrText xml:space="preserve"> REF _Ref21511656 \h  \* MERGEFORMAT </w:instrText>
      </w:r>
      <w:r>
        <w:rPr>
          <w:rFonts w:hint="default" w:ascii="Times New Roman" w:hAnsi="Times New Roman" w:cs="Times New Roman"/>
        </w:rPr>
        <w:fldChar w:fldCharType="separate"/>
      </w:r>
      <w:r>
        <w:rPr>
          <w:rFonts w:hint="default" w:ascii="Times New Roman" w:hAnsi="Times New Roman" w:cs="Times New Roman"/>
        </w:rPr>
        <w:t>表8.1</w:t>
      </w:r>
      <w:r>
        <w:rPr>
          <w:rFonts w:hint="default" w:ascii="Times New Roman" w:hAnsi="Times New Roman" w:cs="Times New Roman"/>
        </w:rPr>
        <w:noBreakHyphen/>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cs="Times New Roman"/>
        </w:rPr>
        <w:t>和</w:t>
      </w:r>
      <w:r>
        <w:rPr>
          <w:rFonts w:hint="default" w:ascii="Times New Roman" w:hAnsi="Times New Roman" w:cs="Times New Roman"/>
        </w:rPr>
        <w:fldChar w:fldCharType="begin"/>
      </w:r>
      <w:r>
        <w:rPr>
          <w:rFonts w:hint="default" w:ascii="Times New Roman" w:hAnsi="Times New Roman" w:cs="Times New Roman"/>
        </w:rPr>
        <w:instrText xml:space="preserve"> REF _Ref111572713 \h  \* MERGEFORMAT </w:instrText>
      </w:r>
      <w:r>
        <w:rPr>
          <w:rFonts w:hint="default" w:ascii="Times New Roman" w:hAnsi="Times New Roman" w:cs="Times New Roman"/>
        </w:rPr>
        <w:fldChar w:fldCharType="separate"/>
      </w:r>
      <w:r>
        <w:rPr>
          <w:rFonts w:hint="default" w:ascii="Times New Roman" w:hAnsi="Times New Roman" w:cs="Times New Roman"/>
        </w:rPr>
        <w:t>表8.1</w:t>
      </w:r>
      <w:r>
        <w:rPr>
          <w:rFonts w:hint="default" w:ascii="Times New Roman" w:hAnsi="Times New Roman" w:cs="Times New Roman"/>
        </w:rPr>
        <w:noBreakHyphen/>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cs="Times New Roman"/>
        </w:rPr>
        <w:t>。</w:t>
      </w:r>
    </w:p>
    <w:p w14:paraId="6E2A37F7">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024" w:name="_Ref21511656"/>
      <w:r>
        <w:rPr>
          <w:rFonts w:hint="default" w:ascii="Times New Roman" w:hAnsi="Times New Roman" w:cs="Times New Roman"/>
          <w:b/>
          <w:bCs/>
        </w:rPr>
        <w:t>表</w:t>
      </w:r>
      <w:bookmarkEnd w:id="1024"/>
      <w:r>
        <w:rPr>
          <w:rFonts w:hint="eastAsia" w:cs="Times New Roman"/>
          <w:b/>
          <w:bCs/>
          <w:lang w:val="en-US" w:eastAsia="zh-CN"/>
        </w:rPr>
        <w:t>8.1-2</w:t>
      </w:r>
      <w:r>
        <w:rPr>
          <w:rFonts w:hint="default" w:ascii="Times New Roman" w:hAnsi="Times New Roman" w:cs="Times New Roman"/>
          <w:b/>
          <w:bCs/>
        </w:rPr>
        <w:t xml:space="preserve"> 排污口提示图形符号</w:t>
      </w:r>
    </w:p>
    <w:tbl>
      <w:tblPr>
        <w:tblStyle w:val="39"/>
        <w:tblW w:w="5000"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59"/>
        <w:gridCol w:w="1785"/>
        <w:gridCol w:w="1685"/>
        <w:gridCol w:w="2099"/>
        <w:gridCol w:w="1572"/>
      </w:tblGrid>
      <w:tr w14:paraId="74A9BA8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98" w:type="pct"/>
            <w:tcBorders>
              <w:tl2br w:val="nil"/>
              <w:tr2bl w:val="nil"/>
            </w:tcBorders>
            <w:vAlign w:val="center"/>
          </w:tcPr>
          <w:p w14:paraId="64B1E348">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排放口</w:t>
            </w:r>
          </w:p>
        </w:tc>
        <w:tc>
          <w:tcPr>
            <w:tcW w:w="1075" w:type="pct"/>
            <w:tcBorders>
              <w:tl2br w:val="nil"/>
              <w:tr2bl w:val="nil"/>
            </w:tcBorders>
            <w:tcMar>
              <w:left w:w="0" w:type="dxa"/>
              <w:right w:w="0" w:type="dxa"/>
            </w:tcMar>
            <w:vAlign w:val="center"/>
          </w:tcPr>
          <w:p w14:paraId="1769385F">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废水排口</w:t>
            </w:r>
          </w:p>
        </w:tc>
        <w:tc>
          <w:tcPr>
            <w:tcW w:w="1015" w:type="pct"/>
            <w:tcBorders>
              <w:tl2br w:val="nil"/>
              <w:tr2bl w:val="nil"/>
            </w:tcBorders>
            <w:vAlign w:val="center"/>
          </w:tcPr>
          <w:p w14:paraId="3AA4479D">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废气排口</w:t>
            </w:r>
          </w:p>
        </w:tc>
        <w:tc>
          <w:tcPr>
            <w:tcW w:w="1264" w:type="pct"/>
            <w:tcBorders>
              <w:tl2br w:val="nil"/>
              <w:tr2bl w:val="nil"/>
            </w:tcBorders>
            <w:vAlign w:val="center"/>
          </w:tcPr>
          <w:p w14:paraId="4B5C273A">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一般固废贮存、处置场</w:t>
            </w:r>
          </w:p>
        </w:tc>
        <w:tc>
          <w:tcPr>
            <w:tcW w:w="946" w:type="pct"/>
            <w:tcBorders>
              <w:tl2br w:val="nil"/>
              <w:tr2bl w:val="nil"/>
            </w:tcBorders>
            <w:vAlign w:val="center"/>
          </w:tcPr>
          <w:p w14:paraId="2959CA11">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噪声源</w:t>
            </w:r>
          </w:p>
        </w:tc>
      </w:tr>
      <w:tr w14:paraId="1FAC4372">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98" w:type="pct"/>
            <w:tcBorders>
              <w:tl2br w:val="nil"/>
              <w:tr2bl w:val="nil"/>
            </w:tcBorders>
            <w:vAlign w:val="center"/>
          </w:tcPr>
          <w:p w14:paraId="2E65AA6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图形符号</w:t>
            </w:r>
          </w:p>
        </w:tc>
        <w:tc>
          <w:tcPr>
            <w:tcW w:w="1075" w:type="pct"/>
            <w:tcBorders>
              <w:tl2br w:val="nil"/>
              <w:tr2bl w:val="nil"/>
            </w:tcBorders>
            <w:tcMar>
              <w:left w:w="0" w:type="dxa"/>
              <w:right w:w="0" w:type="dxa"/>
            </w:tcMar>
            <w:vAlign w:val="center"/>
          </w:tcPr>
          <w:p w14:paraId="0D4717D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drawing>
                <wp:inline distT="0" distB="0" distL="0" distR="0">
                  <wp:extent cx="720090" cy="720090"/>
                  <wp:effectExtent l="0" t="0" r="11430" b="1143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720090" cy="720090"/>
                          </a:xfrm>
                          <a:prstGeom prst="rect">
                            <a:avLst/>
                          </a:prstGeom>
                          <a:noFill/>
                          <a:ln>
                            <a:noFill/>
                          </a:ln>
                        </pic:spPr>
                      </pic:pic>
                    </a:graphicData>
                  </a:graphic>
                </wp:inline>
              </w:drawing>
            </w:r>
          </w:p>
        </w:tc>
        <w:tc>
          <w:tcPr>
            <w:tcW w:w="1015" w:type="pct"/>
            <w:tcBorders>
              <w:tl2br w:val="nil"/>
              <w:tr2bl w:val="nil"/>
            </w:tcBorders>
            <w:vAlign w:val="center"/>
          </w:tcPr>
          <w:p w14:paraId="7B6A9EE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drawing>
                <wp:inline distT="0" distB="0" distL="0" distR="0">
                  <wp:extent cx="720090" cy="720090"/>
                  <wp:effectExtent l="0" t="0" r="11430" b="1143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720090" cy="720090"/>
                          </a:xfrm>
                          <a:prstGeom prst="rect">
                            <a:avLst/>
                          </a:prstGeom>
                          <a:noFill/>
                          <a:ln>
                            <a:noFill/>
                          </a:ln>
                        </pic:spPr>
                      </pic:pic>
                    </a:graphicData>
                  </a:graphic>
                </wp:inline>
              </w:drawing>
            </w:r>
          </w:p>
        </w:tc>
        <w:tc>
          <w:tcPr>
            <w:tcW w:w="1264" w:type="pct"/>
            <w:tcBorders>
              <w:tl2br w:val="nil"/>
              <w:tr2bl w:val="nil"/>
            </w:tcBorders>
            <w:vAlign w:val="center"/>
          </w:tcPr>
          <w:p w14:paraId="445F9B5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drawing>
                <wp:inline distT="0" distB="0" distL="0" distR="0">
                  <wp:extent cx="742315" cy="720090"/>
                  <wp:effectExtent l="0" t="0" r="4445" b="1143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742315" cy="720090"/>
                          </a:xfrm>
                          <a:prstGeom prst="rect">
                            <a:avLst/>
                          </a:prstGeom>
                          <a:noFill/>
                          <a:ln>
                            <a:noFill/>
                          </a:ln>
                        </pic:spPr>
                      </pic:pic>
                    </a:graphicData>
                  </a:graphic>
                </wp:inline>
              </w:drawing>
            </w:r>
          </w:p>
        </w:tc>
        <w:tc>
          <w:tcPr>
            <w:tcW w:w="946" w:type="pct"/>
            <w:tcBorders>
              <w:tl2br w:val="nil"/>
              <w:tr2bl w:val="nil"/>
            </w:tcBorders>
            <w:vAlign w:val="center"/>
          </w:tcPr>
          <w:p w14:paraId="22D6A60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drawing>
                <wp:inline distT="0" distB="0" distL="0" distR="0">
                  <wp:extent cx="720090" cy="720090"/>
                  <wp:effectExtent l="0" t="0" r="11430" b="1143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720090" cy="720090"/>
                          </a:xfrm>
                          <a:prstGeom prst="rect">
                            <a:avLst/>
                          </a:prstGeom>
                          <a:noFill/>
                          <a:ln>
                            <a:noFill/>
                          </a:ln>
                        </pic:spPr>
                      </pic:pic>
                    </a:graphicData>
                  </a:graphic>
                </wp:inline>
              </w:drawing>
            </w:r>
          </w:p>
        </w:tc>
      </w:tr>
      <w:tr w14:paraId="5927CA4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98" w:type="pct"/>
            <w:tcBorders>
              <w:tl2br w:val="nil"/>
              <w:tr2bl w:val="nil"/>
            </w:tcBorders>
            <w:vAlign w:val="center"/>
          </w:tcPr>
          <w:p w14:paraId="2EA42B48">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背景颜色</w:t>
            </w:r>
          </w:p>
        </w:tc>
        <w:tc>
          <w:tcPr>
            <w:tcW w:w="4301" w:type="pct"/>
            <w:gridSpan w:val="4"/>
            <w:tcBorders>
              <w:tl2br w:val="nil"/>
              <w:tr2bl w:val="nil"/>
            </w:tcBorders>
            <w:tcMar>
              <w:left w:w="0" w:type="dxa"/>
              <w:right w:w="0" w:type="dxa"/>
            </w:tcMar>
            <w:vAlign w:val="center"/>
          </w:tcPr>
          <w:p w14:paraId="6B1D2BD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绿色</w:t>
            </w:r>
          </w:p>
        </w:tc>
      </w:tr>
      <w:tr w14:paraId="0EAF0EC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0" w:type="dxa"/>
            <w:bottom w:w="0" w:type="dxa"/>
            <w:right w:w="0" w:type="dxa"/>
          </w:tblCellMar>
        </w:tblPrEx>
        <w:trPr>
          <w:jc w:val="center"/>
        </w:trPr>
        <w:tc>
          <w:tcPr>
            <w:tcW w:w="698" w:type="pct"/>
            <w:tcBorders>
              <w:tl2br w:val="nil"/>
              <w:tr2bl w:val="nil"/>
            </w:tcBorders>
            <w:vAlign w:val="center"/>
          </w:tcPr>
          <w:p w14:paraId="668799F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图形颜色</w:t>
            </w:r>
          </w:p>
        </w:tc>
        <w:tc>
          <w:tcPr>
            <w:tcW w:w="4301" w:type="pct"/>
            <w:gridSpan w:val="4"/>
            <w:tcBorders>
              <w:tl2br w:val="nil"/>
              <w:tr2bl w:val="nil"/>
            </w:tcBorders>
            <w:tcMar>
              <w:left w:w="0" w:type="dxa"/>
              <w:right w:w="0" w:type="dxa"/>
            </w:tcMar>
            <w:vAlign w:val="center"/>
          </w:tcPr>
          <w:p w14:paraId="7B29D3C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白色</w:t>
            </w:r>
          </w:p>
        </w:tc>
      </w:tr>
    </w:tbl>
    <w:p w14:paraId="6CD5CD44">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025" w:name="_Ref111572713"/>
      <w:r>
        <w:rPr>
          <w:rFonts w:hint="default" w:ascii="Times New Roman" w:hAnsi="Times New Roman" w:cs="Times New Roman"/>
          <w:b/>
          <w:bCs/>
        </w:rPr>
        <w:t>表</w:t>
      </w:r>
      <w:bookmarkEnd w:id="1025"/>
      <w:r>
        <w:rPr>
          <w:rFonts w:hint="eastAsia" w:cs="Times New Roman"/>
          <w:b/>
          <w:bCs/>
          <w:lang w:val="en-US" w:eastAsia="zh-CN"/>
        </w:rPr>
        <w:t>8.1-3</w:t>
      </w:r>
      <w:r>
        <w:rPr>
          <w:rFonts w:hint="default" w:ascii="Times New Roman" w:hAnsi="Times New Roman" w:cs="Times New Roman"/>
          <w:b/>
          <w:bCs/>
        </w:rPr>
        <w:t xml:space="preserve"> 排污口警告图形符号</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406"/>
        <w:gridCol w:w="1376"/>
        <w:gridCol w:w="1623"/>
        <w:gridCol w:w="1623"/>
        <w:gridCol w:w="1623"/>
      </w:tblGrid>
      <w:tr w14:paraId="6D27A54E">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8" w:type="pct"/>
            <w:tcBorders>
              <w:tl2br w:val="nil"/>
              <w:tr2bl w:val="nil"/>
            </w:tcBorders>
            <w:vAlign w:val="center"/>
          </w:tcPr>
          <w:p w14:paraId="61308AA9">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排放口</w:t>
            </w:r>
          </w:p>
        </w:tc>
        <w:tc>
          <w:tcPr>
            <w:tcW w:w="824" w:type="pct"/>
            <w:tcBorders>
              <w:tl2br w:val="nil"/>
              <w:tr2bl w:val="nil"/>
            </w:tcBorders>
            <w:vAlign w:val="center"/>
          </w:tcPr>
          <w:p w14:paraId="1E445109">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废水排放口</w:t>
            </w:r>
          </w:p>
        </w:tc>
        <w:tc>
          <w:tcPr>
            <w:tcW w:w="808" w:type="pct"/>
            <w:tcBorders>
              <w:tl2br w:val="nil"/>
              <w:tr2bl w:val="nil"/>
            </w:tcBorders>
            <w:vAlign w:val="center"/>
          </w:tcPr>
          <w:p w14:paraId="3DE57F5E">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废气排放口</w:t>
            </w:r>
          </w:p>
        </w:tc>
        <w:tc>
          <w:tcPr>
            <w:tcW w:w="952" w:type="pct"/>
            <w:tcBorders>
              <w:tl2br w:val="nil"/>
              <w:tr2bl w:val="nil"/>
            </w:tcBorders>
            <w:vAlign w:val="center"/>
          </w:tcPr>
          <w:p w14:paraId="2853FC5C">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噪声排放源</w:t>
            </w:r>
          </w:p>
        </w:tc>
        <w:tc>
          <w:tcPr>
            <w:tcW w:w="952" w:type="pct"/>
            <w:tcBorders>
              <w:tl2br w:val="nil"/>
              <w:tr2bl w:val="nil"/>
            </w:tcBorders>
            <w:vAlign w:val="center"/>
          </w:tcPr>
          <w:p w14:paraId="39052CA4">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一般固废警告</w:t>
            </w:r>
          </w:p>
        </w:tc>
        <w:tc>
          <w:tcPr>
            <w:tcW w:w="952" w:type="pct"/>
            <w:tcBorders>
              <w:tl2br w:val="nil"/>
              <w:tr2bl w:val="nil"/>
            </w:tcBorders>
            <w:vAlign w:val="center"/>
          </w:tcPr>
          <w:p w14:paraId="168E538A">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危险废物警告</w:t>
            </w:r>
          </w:p>
        </w:tc>
      </w:tr>
      <w:tr w14:paraId="60363E6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508" w:type="pct"/>
            <w:tcBorders>
              <w:tl2br w:val="nil"/>
              <w:tr2bl w:val="nil"/>
            </w:tcBorders>
            <w:vAlign w:val="center"/>
          </w:tcPr>
          <w:p w14:paraId="24FD88D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图形符号</w:t>
            </w:r>
          </w:p>
        </w:tc>
        <w:tc>
          <w:tcPr>
            <w:tcW w:w="824" w:type="pct"/>
            <w:tcBorders>
              <w:tl2br w:val="nil"/>
              <w:tr2bl w:val="nil"/>
            </w:tcBorders>
            <w:vAlign w:val="center"/>
          </w:tcPr>
          <w:p w14:paraId="2D76678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drawing>
                <wp:inline distT="0" distB="0" distL="0" distR="0">
                  <wp:extent cx="818515" cy="720090"/>
                  <wp:effectExtent l="0" t="0" r="4445" b="1143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818515" cy="720090"/>
                          </a:xfrm>
                          <a:prstGeom prst="rect">
                            <a:avLst/>
                          </a:prstGeom>
                          <a:noFill/>
                          <a:ln>
                            <a:noFill/>
                          </a:ln>
                        </pic:spPr>
                      </pic:pic>
                    </a:graphicData>
                  </a:graphic>
                </wp:inline>
              </w:drawing>
            </w:r>
          </w:p>
        </w:tc>
        <w:tc>
          <w:tcPr>
            <w:tcW w:w="808" w:type="pct"/>
            <w:tcBorders>
              <w:tl2br w:val="nil"/>
              <w:tr2bl w:val="nil"/>
            </w:tcBorders>
            <w:vAlign w:val="center"/>
          </w:tcPr>
          <w:p w14:paraId="326FA42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drawing>
                <wp:inline distT="0" distB="0" distL="0" distR="0">
                  <wp:extent cx="818515" cy="720090"/>
                  <wp:effectExtent l="0" t="0" r="4445" b="1143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818515" cy="720090"/>
                          </a:xfrm>
                          <a:prstGeom prst="rect">
                            <a:avLst/>
                          </a:prstGeom>
                          <a:noFill/>
                          <a:ln>
                            <a:noFill/>
                          </a:ln>
                        </pic:spPr>
                      </pic:pic>
                    </a:graphicData>
                  </a:graphic>
                </wp:inline>
              </w:drawing>
            </w:r>
          </w:p>
        </w:tc>
        <w:tc>
          <w:tcPr>
            <w:tcW w:w="952" w:type="pct"/>
            <w:tcBorders>
              <w:tl2br w:val="nil"/>
              <w:tr2bl w:val="nil"/>
            </w:tcBorders>
            <w:vAlign w:val="center"/>
          </w:tcPr>
          <w:p w14:paraId="7FFA3A45">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drawing>
                <wp:inline distT="0" distB="0" distL="0" distR="0">
                  <wp:extent cx="818515" cy="720090"/>
                  <wp:effectExtent l="0" t="0" r="4445" b="1143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818515" cy="720090"/>
                          </a:xfrm>
                          <a:prstGeom prst="rect">
                            <a:avLst/>
                          </a:prstGeom>
                          <a:noFill/>
                          <a:ln>
                            <a:noFill/>
                          </a:ln>
                        </pic:spPr>
                      </pic:pic>
                    </a:graphicData>
                  </a:graphic>
                </wp:inline>
              </w:drawing>
            </w:r>
          </w:p>
        </w:tc>
        <w:tc>
          <w:tcPr>
            <w:tcW w:w="952" w:type="pct"/>
            <w:tcBorders>
              <w:tl2br w:val="nil"/>
              <w:tr2bl w:val="nil"/>
            </w:tcBorders>
            <w:vAlign w:val="center"/>
          </w:tcPr>
          <w:p w14:paraId="3D9A66C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drawing>
                <wp:inline distT="0" distB="0" distL="0" distR="0">
                  <wp:extent cx="818515" cy="720090"/>
                  <wp:effectExtent l="0" t="0" r="4445" b="1143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818515" cy="720090"/>
                          </a:xfrm>
                          <a:prstGeom prst="rect">
                            <a:avLst/>
                          </a:prstGeom>
                          <a:noFill/>
                          <a:ln>
                            <a:noFill/>
                          </a:ln>
                        </pic:spPr>
                      </pic:pic>
                    </a:graphicData>
                  </a:graphic>
                </wp:inline>
              </w:drawing>
            </w:r>
          </w:p>
        </w:tc>
        <w:tc>
          <w:tcPr>
            <w:tcW w:w="952" w:type="pct"/>
            <w:tcBorders>
              <w:tl2br w:val="nil"/>
              <w:tr2bl w:val="nil"/>
            </w:tcBorders>
            <w:vAlign w:val="center"/>
          </w:tcPr>
          <w:p w14:paraId="6766722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drawing>
                <wp:inline distT="0" distB="0" distL="0" distR="0">
                  <wp:extent cx="815975" cy="720090"/>
                  <wp:effectExtent l="0" t="0" r="6985" b="1143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pic:cNvPicPr>
                        </pic:nvPicPr>
                        <pic:blipFill>
                          <a:blip r:embed="rId88"/>
                          <a:stretch>
                            <a:fillRect/>
                          </a:stretch>
                        </pic:blipFill>
                        <pic:spPr>
                          <a:xfrm>
                            <a:off x="0" y="0"/>
                            <a:ext cx="815975" cy="720090"/>
                          </a:xfrm>
                          <a:prstGeom prst="rect">
                            <a:avLst/>
                          </a:prstGeom>
                        </pic:spPr>
                      </pic:pic>
                    </a:graphicData>
                  </a:graphic>
                </wp:inline>
              </w:drawing>
            </w:r>
          </w:p>
        </w:tc>
      </w:tr>
    </w:tbl>
    <w:p w14:paraId="1C04AF0A">
      <w:pPr>
        <w:pStyle w:val="6"/>
        <w:spacing w:before="120" w:beforeLines="50"/>
        <w:rPr>
          <w:rFonts w:hint="default" w:ascii="Times New Roman" w:hAnsi="Times New Roman" w:cs="Times New Roman"/>
        </w:rPr>
      </w:pPr>
      <w:r>
        <w:rPr>
          <w:rFonts w:hint="default" w:ascii="Times New Roman" w:hAnsi="Times New Roman" w:cs="Times New Roman"/>
        </w:rPr>
        <w:t>（4）排污口建档管理</w:t>
      </w:r>
    </w:p>
    <w:p w14:paraId="7ABBE041">
      <w:pPr>
        <w:pStyle w:val="6"/>
        <w:rPr>
          <w:rFonts w:hint="default" w:ascii="Times New Roman" w:hAnsi="Times New Roman" w:cs="Times New Roman"/>
        </w:rPr>
      </w:pPr>
      <w:r>
        <w:rPr>
          <w:rFonts w:hint="default" w:ascii="Times New Roman" w:hAnsi="Times New Roman" w:cs="Times New Roman"/>
          <w:lang w:val="en-US" w:eastAsia="zh-CN"/>
        </w:rPr>
        <w:t>①</w:t>
      </w:r>
      <w:r>
        <w:rPr>
          <w:rFonts w:hint="default" w:ascii="Times New Roman" w:hAnsi="Times New Roman" w:cs="Times New Roman"/>
        </w:rPr>
        <w:t>要求使用规范的《中华人民共和国规范化排污口标志登记证》，并按要求填写有关内容。</w:t>
      </w:r>
    </w:p>
    <w:p w14:paraId="149724B6">
      <w:pPr>
        <w:pStyle w:val="6"/>
        <w:rPr>
          <w:rFonts w:hint="default" w:ascii="Times New Roman" w:hAnsi="Times New Roman" w:cs="Times New Roman"/>
        </w:rPr>
      </w:pPr>
      <w:r>
        <w:rPr>
          <w:rFonts w:hint="default" w:ascii="Times New Roman" w:hAnsi="Times New Roman" w:cs="Times New Roman"/>
          <w:lang w:val="en-US" w:eastAsia="zh-CN"/>
        </w:rPr>
        <w:t>②</w:t>
      </w:r>
      <w:r>
        <w:rPr>
          <w:rFonts w:hint="default" w:ascii="Times New Roman" w:hAnsi="Times New Roman" w:cs="Times New Roman"/>
        </w:rPr>
        <w:t>根据排污口管理档案内容要求，项目建成后，应将主要污染物种类、数量、浓度、排放去向、达标情况及设施运行情况记录于档案。</w:t>
      </w:r>
    </w:p>
    <w:p w14:paraId="056820C7">
      <w:pPr>
        <w:pStyle w:val="6"/>
        <w:rPr>
          <w:rFonts w:hint="default" w:ascii="Times New Roman" w:hAnsi="Times New Roman" w:cs="Times New Roman"/>
        </w:rPr>
      </w:pPr>
      <w:r>
        <w:rPr>
          <w:rFonts w:hint="default" w:ascii="Times New Roman" w:hAnsi="Times New Roman" w:cs="Times New Roman"/>
        </w:rPr>
        <w:t>（5）排放口设置及编号</w:t>
      </w:r>
    </w:p>
    <w:p w14:paraId="06BE30C9">
      <w:pPr>
        <w:pStyle w:val="6"/>
        <w:rPr>
          <w:rFonts w:hint="default" w:ascii="Times New Roman" w:hAnsi="Times New Roman" w:cs="Times New Roman"/>
        </w:rPr>
      </w:pPr>
      <w:r>
        <w:rPr>
          <w:rFonts w:hint="default" w:ascii="Times New Roman" w:hAnsi="Times New Roman" w:cs="Times New Roman"/>
        </w:rPr>
        <w:t>排放口编号应填报地方生态环境主管部门现有编号，若地方生态环境主管部门未对排放口进行编号，则根据《关于开展火电、造纸行业和京津试点城市高架源排污许可证管理工作的通知》（环水体〔2016〕189号）附件4《固定污染源（水、大气）编码规则（试行）》进行编号并填报。</w:t>
      </w:r>
    </w:p>
    <w:p w14:paraId="4962553A">
      <w:pPr>
        <w:pStyle w:val="6"/>
        <w:rPr>
          <w:rFonts w:hint="default" w:ascii="Times New Roman" w:hAnsi="Times New Roman" w:cs="Times New Roman"/>
        </w:rPr>
      </w:pPr>
      <w:r>
        <w:rPr>
          <w:rFonts w:hint="default" w:ascii="Times New Roman" w:hAnsi="Times New Roman" w:cs="Times New Roman"/>
        </w:rPr>
        <w:t>根据水泥工业各废气排放口污染物排放特点及排放负荷，将废气排放口分为主要排放口和一般排放口。主要排放口是指水泥窑及窑尾余热利用系统烟囱（窑尾烟囱）、冷却机烟囱（窑头烟</w:t>
      </w:r>
      <w:bookmarkStart w:id="1026" w:name="OLE_LINK1"/>
      <w:bookmarkStart w:id="1027" w:name="OLE_LINK2"/>
      <w:r>
        <w:rPr>
          <w:rFonts w:hint="default" w:ascii="Times New Roman" w:hAnsi="Times New Roman" w:cs="Times New Roman"/>
        </w:rPr>
        <w:t>囱</w:t>
      </w:r>
      <w:bookmarkEnd w:id="1026"/>
      <w:bookmarkEnd w:id="1027"/>
      <w:r>
        <w:rPr>
          <w:rFonts w:hint="default" w:ascii="Times New Roman" w:hAnsi="Times New Roman" w:cs="Times New Roman"/>
        </w:rPr>
        <w:t>），其余废气排放口均为一般排放口。根据水泥工业废水排放特点，废水排放口分为外排口（直接排放口、间接排放口）、设施或车间排放口，均为一般排放口。</w:t>
      </w:r>
    </w:p>
    <w:p w14:paraId="5EF6BA82">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lang w:val="en-US" w:eastAsia="zh-CN"/>
        </w:rPr>
      </w:pPr>
      <w:bookmarkStart w:id="1028" w:name="_Toc9868275"/>
      <w:bookmarkStart w:id="1029" w:name="_Toc17938"/>
      <w:bookmarkStart w:id="1030" w:name="_Toc31625"/>
      <w:bookmarkStart w:id="1031" w:name="_Toc15491"/>
      <w:r>
        <w:rPr>
          <w:rFonts w:hint="default" w:ascii="Times New Roman" w:hAnsi="Times New Roman" w:cs="Times New Roman"/>
          <w:sz w:val="24"/>
          <w:szCs w:val="18"/>
          <w:highlight w:val="none"/>
          <w:lang w:val="en-US" w:eastAsia="zh-CN"/>
        </w:rPr>
        <w:t>8</w:t>
      </w:r>
      <w:r>
        <w:rPr>
          <w:rFonts w:hint="default" w:ascii="Times New Roman" w:hAnsi="Times New Roman" w:eastAsia="宋体" w:cs="Times New Roman"/>
          <w:sz w:val="24"/>
          <w:szCs w:val="18"/>
          <w:highlight w:val="none"/>
        </w:rPr>
        <w:t>.</w:t>
      </w:r>
      <w:r>
        <w:rPr>
          <w:rFonts w:hint="default" w:ascii="Times New Roman" w:hAnsi="Times New Roman" w:cs="Times New Roman"/>
          <w:sz w:val="24"/>
          <w:szCs w:val="18"/>
          <w:highlight w:val="none"/>
          <w:lang w:val="en-US" w:eastAsia="zh-CN"/>
        </w:rPr>
        <w:t>2</w:t>
      </w:r>
      <w:r>
        <w:rPr>
          <w:rFonts w:hint="default" w:ascii="Times New Roman" w:hAnsi="Times New Roman" w:eastAsia="宋体" w:cs="Times New Roman"/>
          <w:sz w:val="24"/>
          <w:szCs w:val="18"/>
          <w:highlight w:val="none"/>
        </w:rPr>
        <w:t>环境监测</w:t>
      </w:r>
      <w:bookmarkEnd w:id="1028"/>
      <w:r>
        <w:rPr>
          <w:rFonts w:hint="default" w:ascii="Times New Roman" w:hAnsi="Times New Roman" w:eastAsia="宋体" w:cs="Times New Roman"/>
          <w:sz w:val="24"/>
          <w:szCs w:val="18"/>
          <w:highlight w:val="none"/>
          <w:lang w:val="en-US" w:eastAsia="zh-CN"/>
        </w:rPr>
        <w:t>计划</w:t>
      </w:r>
      <w:bookmarkEnd w:id="1029"/>
      <w:bookmarkEnd w:id="1030"/>
      <w:bookmarkEnd w:id="1031"/>
    </w:p>
    <w:p w14:paraId="17559EBD">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b w:val="0"/>
          <w:bCs/>
          <w:kern w:val="2"/>
          <w:sz w:val="24"/>
          <w:szCs w:val="24"/>
          <w:highlight w:val="none"/>
          <w:lang w:val="en-US" w:eastAsia="zh-CN"/>
        </w:rPr>
      </w:pPr>
      <w:r>
        <w:rPr>
          <w:rFonts w:hint="default" w:ascii="Times New Roman" w:hAnsi="Times New Roman" w:eastAsia="宋体" w:cs="Times New Roman"/>
          <w:b w:val="0"/>
          <w:bCs/>
          <w:kern w:val="2"/>
          <w:sz w:val="24"/>
          <w:szCs w:val="24"/>
          <w:highlight w:val="none"/>
          <w:lang w:val="en-US" w:eastAsia="zh-CN"/>
        </w:rPr>
        <w:t>环境监测（包括污染源监测）是企业环境保护的重要组成部分，也是企业的一项规范化制度。通过环境监测，进行数据整理分析，建立监测档案，可为污染源治理，掌握污染物排放变化规律提供依据，为上级生态环境部门进行区域环境规划、管理执法提供依据。同时，环境监测也是企业实现污染物总量控制，做到清洁生产的重要保证手段之一。</w:t>
      </w:r>
    </w:p>
    <w:p w14:paraId="29BE702A">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b/>
          <w:color w:val="000000"/>
          <w:spacing w:val="6"/>
          <w:sz w:val="24"/>
          <w:szCs w:val="24"/>
          <w:highlight w:val="none"/>
          <w:lang w:val="en-US" w:eastAsia="zh-CN"/>
        </w:rPr>
      </w:pPr>
      <w:r>
        <w:rPr>
          <w:rFonts w:hint="default" w:ascii="Times New Roman" w:hAnsi="Times New Roman" w:eastAsia="宋体" w:cs="Times New Roman"/>
          <w:sz w:val="24"/>
          <w:szCs w:val="24"/>
          <w:highlight w:val="none"/>
        </w:rPr>
        <w:t>环境监测包括自身管理性环境监测及环境行政主管部门的监督性监测。</w:t>
      </w:r>
      <w:r>
        <w:rPr>
          <w:rFonts w:hint="default" w:ascii="Times New Roman" w:hAnsi="Times New Roman" w:eastAsia="宋体" w:cs="Times New Roman"/>
          <w:color w:val="000000"/>
          <w:spacing w:val="6"/>
          <w:sz w:val="24"/>
          <w:szCs w:val="24"/>
          <w:highlight w:val="none"/>
        </w:rPr>
        <w:t>建设单位</w:t>
      </w:r>
      <w:r>
        <w:rPr>
          <w:rFonts w:hint="default" w:ascii="Times New Roman" w:hAnsi="Times New Roman" w:eastAsia="宋体" w:cs="Times New Roman"/>
          <w:sz w:val="24"/>
          <w:szCs w:val="24"/>
          <w:highlight w:val="none"/>
        </w:rPr>
        <w:t>自身管理性环境监测</w:t>
      </w:r>
      <w:r>
        <w:rPr>
          <w:rFonts w:hint="default" w:ascii="Times New Roman" w:hAnsi="Times New Roman" w:eastAsia="宋体" w:cs="Times New Roman"/>
          <w:color w:val="000000"/>
          <w:spacing w:val="6"/>
          <w:sz w:val="24"/>
          <w:szCs w:val="24"/>
          <w:highlight w:val="none"/>
        </w:rPr>
        <w:t>工作委托有资质的环境监测公司承担，要求与对方签定协议，明确监测类别、监测点位、监测项目、监测方式及频率等。根据《排污单位自行监测技术指南 总则》（HJ819-2017）、《排污单位自行监测技术指南 水泥工业》（HJ848-2017）、《排污许可证申请与核发技术规范 水泥工业（HJ847-2017）》</w:t>
      </w:r>
      <w:r>
        <w:rPr>
          <w:rFonts w:hint="default" w:ascii="Times New Roman" w:hAnsi="Times New Roman" w:eastAsia="宋体" w:cs="Times New Roman"/>
          <w:color w:val="000000"/>
          <w:spacing w:val="6"/>
          <w:sz w:val="24"/>
          <w:szCs w:val="24"/>
          <w:highlight w:val="none"/>
          <w:lang w:eastAsia="zh-CN"/>
        </w:rPr>
        <w:t>，</w:t>
      </w:r>
      <w:r>
        <w:rPr>
          <w:rFonts w:hint="default" w:ascii="Times New Roman" w:hAnsi="Times New Roman" w:eastAsia="宋体" w:cs="Times New Roman"/>
          <w:color w:val="000000"/>
          <w:spacing w:val="6"/>
          <w:sz w:val="24"/>
          <w:szCs w:val="24"/>
          <w:highlight w:val="none"/>
        </w:rPr>
        <w:t>本项目环境监测计划见表</w:t>
      </w:r>
      <w:r>
        <w:rPr>
          <w:rFonts w:hint="eastAsia" w:cs="Times New Roman"/>
          <w:color w:val="000000"/>
          <w:spacing w:val="6"/>
          <w:sz w:val="24"/>
          <w:szCs w:val="24"/>
          <w:highlight w:val="none"/>
          <w:lang w:val="en-US" w:eastAsia="zh-CN"/>
        </w:rPr>
        <w:t>8</w:t>
      </w:r>
      <w:r>
        <w:rPr>
          <w:rFonts w:hint="default" w:ascii="Times New Roman" w:hAnsi="Times New Roman" w:eastAsia="宋体" w:cs="Times New Roman"/>
          <w:color w:val="000000"/>
          <w:spacing w:val="6"/>
          <w:sz w:val="24"/>
          <w:szCs w:val="24"/>
          <w:highlight w:val="none"/>
          <w:lang w:val="en-US" w:eastAsia="zh-CN"/>
        </w:rPr>
        <w:t>.2</w:t>
      </w:r>
      <w:r>
        <w:rPr>
          <w:rFonts w:hint="default" w:ascii="Times New Roman" w:hAnsi="Times New Roman" w:eastAsia="宋体" w:cs="Times New Roman"/>
          <w:color w:val="000000"/>
          <w:spacing w:val="6"/>
          <w:sz w:val="24"/>
          <w:szCs w:val="24"/>
          <w:highlight w:val="none"/>
        </w:rPr>
        <w:t>-</w:t>
      </w:r>
      <w:r>
        <w:rPr>
          <w:rFonts w:hint="eastAsia" w:cs="Times New Roman"/>
          <w:color w:val="000000"/>
          <w:spacing w:val="6"/>
          <w:sz w:val="24"/>
          <w:szCs w:val="24"/>
          <w:highlight w:val="none"/>
          <w:lang w:val="en-US" w:eastAsia="zh-CN"/>
        </w:rPr>
        <w:t>1</w:t>
      </w:r>
      <w:r>
        <w:rPr>
          <w:rFonts w:hint="default" w:ascii="Times New Roman" w:hAnsi="Times New Roman" w:eastAsia="宋体" w:cs="Times New Roman"/>
          <w:color w:val="000000"/>
          <w:spacing w:val="6"/>
          <w:sz w:val="24"/>
          <w:szCs w:val="24"/>
          <w:highlight w:val="none"/>
          <w:lang w:val="en-US" w:eastAsia="zh-CN"/>
        </w:rPr>
        <w:t>。</w:t>
      </w:r>
    </w:p>
    <w:p w14:paraId="41F23497">
      <w:pPr>
        <w:keepNext w:val="0"/>
        <w:keepLines w:val="0"/>
        <w:pageBreakBefore w:val="0"/>
        <w:widowControl/>
        <w:kinsoku/>
        <w:wordWrap/>
        <w:overflowPunct/>
        <w:topLinePunct w:val="0"/>
        <w:autoSpaceDE/>
        <w:autoSpaceDN/>
        <w:bidi w:val="0"/>
        <w:adjustRightInd/>
        <w:snapToGrid w:val="0"/>
        <w:spacing w:line="240" w:lineRule="auto"/>
        <w:ind w:left="-34" w:right="-34"/>
        <w:jc w:val="center"/>
        <w:textAlignment w:val="auto"/>
        <w:rPr>
          <w:rFonts w:hint="default" w:ascii="Times New Roman" w:hAnsi="Times New Roman" w:eastAsia="宋体" w:cs="Times New Roman"/>
          <w:b/>
          <w:bCs/>
          <w:sz w:val="24"/>
          <w:szCs w:val="24"/>
          <w:highlight w:val="none"/>
          <w:lang w:val="en-US" w:eastAsia="zh-CN"/>
        </w:rPr>
      </w:pPr>
      <w:r>
        <w:rPr>
          <w:rFonts w:hint="default" w:ascii="Times New Roman" w:hAnsi="Times New Roman" w:eastAsia="宋体" w:cs="Times New Roman"/>
          <w:b/>
          <w:bCs/>
          <w:sz w:val="24"/>
          <w:szCs w:val="24"/>
          <w:highlight w:val="none"/>
        </w:rPr>
        <w:t>表</w:t>
      </w:r>
      <w:r>
        <w:rPr>
          <w:rFonts w:hint="default" w:ascii="Times New Roman" w:hAnsi="Times New Roman" w:cs="Times New Roman"/>
          <w:b/>
          <w:bCs/>
          <w:sz w:val="24"/>
          <w:szCs w:val="24"/>
          <w:highlight w:val="none"/>
          <w:lang w:val="en-US" w:eastAsia="zh-CN"/>
        </w:rPr>
        <w:t>8</w:t>
      </w:r>
      <w:r>
        <w:rPr>
          <w:rFonts w:hint="default" w:ascii="Times New Roman" w:hAnsi="Times New Roman" w:eastAsia="宋体" w:cs="Times New Roman"/>
          <w:b/>
          <w:bCs/>
          <w:sz w:val="24"/>
          <w:szCs w:val="24"/>
          <w:highlight w:val="none"/>
          <w:lang w:val="en-US" w:eastAsia="zh-CN"/>
        </w:rPr>
        <w:t>.</w:t>
      </w:r>
      <w:r>
        <w:rPr>
          <w:rFonts w:hint="eastAsia" w:cs="Times New Roman"/>
          <w:b/>
          <w:bCs/>
          <w:sz w:val="24"/>
          <w:szCs w:val="24"/>
          <w:highlight w:val="none"/>
          <w:lang w:val="en-US" w:eastAsia="zh-CN"/>
        </w:rPr>
        <w:t>2</w:t>
      </w:r>
      <w:r>
        <w:rPr>
          <w:rFonts w:hint="default" w:ascii="Times New Roman" w:hAnsi="Times New Roman" w:cs="Times New Roman"/>
          <w:b/>
          <w:bCs/>
          <w:sz w:val="24"/>
          <w:szCs w:val="24"/>
          <w:highlight w:val="none"/>
          <w:lang w:val="en-US" w:eastAsia="zh-CN"/>
        </w:rPr>
        <w:t>-</w:t>
      </w:r>
      <w:r>
        <w:rPr>
          <w:rFonts w:hint="eastAsia"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t xml:space="preserve"> </w:t>
      </w:r>
      <w:r>
        <w:rPr>
          <w:rFonts w:hint="default" w:ascii="Times New Roman" w:hAnsi="Times New Roman" w:eastAsia="宋体" w:cs="Times New Roman"/>
          <w:b/>
          <w:bCs/>
          <w:sz w:val="24"/>
          <w:szCs w:val="24"/>
          <w:highlight w:val="none"/>
          <w:lang w:val="en-US" w:eastAsia="zh-CN"/>
        </w:rPr>
        <w:t>项目</w:t>
      </w:r>
      <w:r>
        <w:rPr>
          <w:rFonts w:hint="default" w:ascii="Times New Roman" w:hAnsi="Times New Roman" w:eastAsia="宋体" w:cs="Times New Roman"/>
          <w:b/>
          <w:bCs/>
          <w:sz w:val="24"/>
          <w:szCs w:val="24"/>
          <w:highlight w:val="none"/>
        </w:rPr>
        <w:t>环境监测计划</w:t>
      </w:r>
      <w:r>
        <w:rPr>
          <w:rFonts w:hint="default" w:ascii="Times New Roman" w:hAnsi="Times New Roman" w:eastAsia="宋体" w:cs="Times New Roman"/>
          <w:b/>
          <w:bCs/>
          <w:sz w:val="24"/>
          <w:szCs w:val="24"/>
          <w:highlight w:val="none"/>
          <w:lang w:val="en-US" w:eastAsia="zh-CN"/>
        </w:rPr>
        <w:t>表</w:t>
      </w:r>
    </w:p>
    <w:tbl>
      <w:tblPr>
        <w:tblStyle w:val="39"/>
        <w:tblW w:w="5000" w:type="pct"/>
        <w:tblInd w:w="0" w:type="dxa"/>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561"/>
        <w:gridCol w:w="3534"/>
        <w:gridCol w:w="1113"/>
        <w:gridCol w:w="1441"/>
      </w:tblGrid>
      <w:tr w14:paraId="6D7260E7">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9" w:type="pct"/>
            <w:tcBorders>
              <w:tl2br w:val="nil"/>
              <w:tr2bl w:val="nil"/>
            </w:tcBorders>
            <w:vAlign w:val="center"/>
          </w:tcPr>
          <w:p w14:paraId="62BDA278">
            <w:pPr>
              <w:pStyle w:val="52"/>
              <w:spacing w:before="0" w:after="0" w:line="240" w:lineRule="auto"/>
              <w:ind w:left="0" w:firstLine="0"/>
              <w:rPr>
                <w:rFonts w:hint="default" w:ascii="Times New Roman" w:hAnsi="Times New Roman" w:eastAsia="宋体" w:cs="Times New Roman"/>
                <w:b/>
                <w:bCs/>
                <w:color w:val="000000" w:themeColor="text1"/>
                <w:sz w:val="21"/>
                <w:szCs w:val="18"/>
                <w:lang w:eastAsia="zh-CN"/>
                <w14:textFill>
                  <w14:solidFill>
                    <w14:schemeClr w14:val="tx1"/>
                  </w14:solidFill>
                </w14:textFill>
              </w:rPr>
            </w:pPr>
            <w:bookmarkStart w:id="1032" w:name="_Ref130378143"/>
            <w:bookmarkStart w:id="1033" w:name="_Hlk151312830"/>
            <w:r>
              <w:rPr>
                <w:rFonts w:hint="default" w:ascii="Times New Roman" w:hAnsi="Times New Roman" w:cs="Times New Roman"/>
                <w:b/>
                <w:bCs/>
                <w:color w:val="000000" w:themeColor="text1"/>
                <w:sz w:val="21"/>
                <w:szCs w:val="18"/>
                <w:lang w:val="en-US" w:eastAsia="zh-CN"/>
                <w14:textFill>
                  <w14:solidFill>
                    <w14:schemeClr w14:val="tx1"/>
                  </w14:solidFill>
                </w14:textFill>
              </w:rPr>
              <w:t>污染物类别</w:t>
            </w:r>
          </w:p>
        </w:tc>
        <w:tc>
          <w:tcPr>
            <w:tcW w:w="916" w:type="pct"/>
            <w:tcBorders>
              <w:tl2br w:val="nil"/>
              <w:tr2bl w:val="nil"/>
            </w:tcBorders>
            <w:vAlign w:val="center"/>
          </w:tcPr>
          <w:p w14:paraId="73A21D6C">
            <w:pPr>
              <w:pStyle w:val="52"/>
              <w:spacing w:before="0" w:after="0" w:line="240" w:lineRule="auto"/>
              <w:ind w:left="0" w:firstLine="0"/>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监测</w:t>
            </w:r>
            <w:r>
              <w:rPr>
                <w:rFonts w:hint="default" w:ascii="Times New Roman" w:hAnsi="Times New Roman" w:cs="Times New Roman"/>
                <w:b/>
                <w:bCs/>
                <w:color w:val="000000" w:themeColor="text1"/>
                <w:sz w:val="21"/>
                <w:szCs w:val="18"/>
                <w:lang w:val="en-US" w:eastAsia="zh-CN"/>
                <w14:textFill>
                  <w14:solidFill>
                    <w14:schemeClr w14:val="tx1"/>
                  </w14:solidFill>
                </w14:textFill>
              </w:rPr>
              <w:t>点位</w:t>
            </w:r>
          </w:p>
        </w:tc>
        <w:tc>
          <w:tcPr>
            <w:tcW w:w="2074" w:type="pct"/>
            <w:tcBorders>
              <w:tl2br w:val="nil"/>
              <w:tr2bl w:val="nil"/>
            </w:tcBorders>
            <w:vAlign w:val="center"/>
          </w:tcPr>
          <w:p w14:paraId="0FB4DF67">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监测因子</w:t>
            </w:r>
          </w:p>
        </w:tc>
        <w:tc>
          <w:tcPr>
            <w:tcW w:w="653" w:type="pct"/>
            <w:tcBorders>
              <w:tl2br w:val="nil"/>
              <w:tr2bl w:val="nil"/>
            </w:tcBorders>
            <w:vAlign w:val="center"/>
          </w:tcPr>
          <w:p w14:paraId="0AFAC9A3">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监测频次</w:t>
            </w:r>
          </w:p>
        </w:tc>
        <w:tc>
          <w:tcPr>
            <w:tcW w:w="846" w:type="pct"/>
            <w:tcBorders>
              <w:tl2br w:val="nil"/>
              <w:tr2bl w:val="nil"/>
            </w:tcBorders>
            <w:vAlign w:val="center"/>
          </w:tcPr>
          <w:p w14:paraId="43DD723E">
            <w:pPr>
              <w:pStyle w:val="52"/>
              <w:spacing w:before="0" w:after="0" w:line="240" w:lineRule="auto"/>
              <w:ind w:left="0" w:firstLine="0"/>
              <w:rPr>
                <w:rFonts w:hint="default" w:ascii="Times New Roman" w:hAnsi="Times New Roman" w:eastAsia="宋体" w:cs="Times New Roman"/>
                <w:b/>
                <w:bCs/>
                <w:color w:val="000000" w:themeColor="text1"/>
                <w:sz w:val="21"/>
                <w:szCs w:val="18"/>
                <w:lang w:val="en-US" w:eastAsia="zh-CN"/>
                <w14:textFill>
                  <w14:solidFill>
                    <w14:schemeClr w14:val="tx1"/>
                  </w14:solidFill>
                </w14:textFill>
              </w:rPr>
            </w:pPr>
            <w:r>
              <w:rPr>
                <w:rFonts w:hint="default" w:ascii="Times New Roman" w:hAnsi="Times New Roman" w:cs="Times New Roman"/>
                <w:b/>
                <w:bCs/>
                <w:color w:val="000000" w:themeColor="text1"/>
                <w:sz w:val="21"/>
                <w:szCs w:val="18"/>
                <w:lang w:val="en-US" w:eastAsia="zh-CN"/>
                <w14:textFill>
                  <w14:solidFill>
                    <w14:schemeClr w14:val="tx1"/>
                  </w14:solidFill>
                </w14:textFill>
              </w:rPr>
              <w:t>执行标准</w:t>
            </w:r>
          </w:p>
        </w:tc>
      </w:tr>
      <w:tr w14:paraId="5D2B86B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09" w:type="pct"/>
            <w:vMerge w:val="restart"/>
            <w:tcBorders>
              <w:tl2br w:val="nil"/>
              <w:tr2bl w:val="nil"/>
            </w:tcBorders>
            <w:vAlign w:val="center"/>
          </w:tcPr>
          <w:p w14:paraId="12C76E2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废气</w:t>
            </w:r>
          </w:p>
        </w:tc>
        <w:tc>
          <w:tcPr>
            <w:tcW w:w="916" w:type="pct"/>
            <w:vMerge w:val="restart"/>
            <w:tcBorders>
              <w:tl2br w:val="nil"/>
              <w:tr2bl w:val="nil"/>
            </w:tcBorders>
            <w:vAlign w:val="center"/>
          </w:tcPr>
          <w:p w14:paraId="3E37E48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水泥窑及窑尾余热利用系统排气筒</w:t>
            </w:r>
          </w:p>
        </w:tc>
        <w:tc>
          <w:tcPr>
            <w:tcW w:w="2074" w:type="pct"/>
            <w:tcBorders>
              <w:tl2br w:val="nil"/>
              <w:tr2bl w:val="nil"/>
            </w:tcBorders>
            <w:vAlign w:val="center"/>
          </w:tcPr>
          <w:p w14:paraId="2DDE429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颗粒物、二氧化硫、氮氧化物</w:t>
            </w:r>
          </w:p>
        </w:tc>
        <w:tc>
          <w:tcPr>
            <w:tcW w:w="653" w:type="pct"/>
            <w:tcBorders>
              <w:tl2br w:val="nil"/>
              <w:tr2bl w:val="nil"/>
            </w:tcBorders>
            <w:vAlign w:val="center"/>
          </w:tcPr>
          <w:p w14:paraId="7CE9DFD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自动监测</w:t>
            </w:r>
          </w:p>
        </w:tc>
        <w:tc>
          <w:tcPr>
            <w:tcW w:w="846" w:type="pct"/>
            <w:vMerge w:val="restart"/>
            <w:tcBorders>
              <w:tl2br w:val="nil"/>
              <w:tr2bl w:val="nil"/>
            </w:tcBorders>
            <w:vAlign w:val="center"/>
          </w:tcPr>
          <w:p w14:paraId="69F10C28">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GB4915</w:t>
            </w:r>
            <w:r>
              <w:rPr>
                <w:rFonts w:hint="eastAsia" w:cs="Times New Roman"/>
                <w:color w:val="000000" w:themeColor="text1"/>
                <w:sz w:val="21"/>
                <w:szCs w:val="18"/>
                <w:lang w:val="en-US" w:eastAsia="zh-CN"/>
                <w14:textFill>
                  <w14:solidFill>
                    <w14:schemeClr w14:val="tx1"/>
                  </w14:solidFill>
                </w14:textFill>
              </w:rPr>
              <w:t>表1</w:t>
            </w:r>
          </w:p>
        </w:tc>
      </w:tr>
      <w:tr w14:paraId="6F70C82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9" w:type="pct"/>
            <w:vMerge w:val="continue"/>
            <w:tcBorders>
              <w:tl2br w:val="nil"/>
              <w:tr2bl w:val="nil"/>
            </w:tcBorders>
            <w:vAlign w:val="center"/>
          </w:tcPr>
          <w:p w14:paraId="12CE2C0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916" w:type="pct"/>
            <w:vMerge w:val="continue"/>
            <w:tcBorders>
              <w:tl2br w:val="nil"/>
              <w:tr2bl w:val="nil"/>
            </w:tcBorders>
            <w:vAlign w:val="center"/>
          </w:tcPr>
          <w:p w14:paraId="3FFC2B1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2074" w:type="pct"/>
            <w:tcBorders>
              <w:tl2br w:val="nil"/>
              <w:tr2bl w:val="nil"/>
            </w:tcBorders>
            <w:vAlign w:val="center"/>
          </w:tcPr>
          <w:p w14:paraId="4330D8D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氨</w:t>
            </w:r>
          </w:p>
        </w:tc>
        <w:tc>
          <w:tcPr>
            <w:tcW w:w="653" w:type="pct"/>
            <w:tcBorders>
              <w:tl2br w:val="nil"/>
              <w:tr2bl w:val="nil"/>
            </w:tcBorders>
            <w:vAlign w:val="center"/>
          </w:tcPr>
          <w:p w14:paraId="6299C8E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季度</w:t>
            </w:r>
          </w:p>
        </w:tc>
        <w:tc>
          <w:tcPr>
            <w:tcW w:w="846" w:type="pct"/>
            <w:vMerge w:val="continue"/>
            <w:tcBorders>
              <w:tl2br w:val="nil"/>
              <w:tr2bl w:val="nil"/>
            </w:tcBorders>
            <w:vAlign w:val="center"/>
          </w:tcPr>
          <w:p w14:paraId="7FF3313C">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5873704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 w:type="pct"/>
            <w:vMerge w:val="continue"/>
            <w:tcBorders>
              <w:tl2br w:val="nil"/>
              <w:tr2bl w:val="nil"/>
            </w:tcBorders>
            <w:vAlign w:val="center"/>
          </w:tcPr>
          <w:p w14:paraId="3CF3732E">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916" w:type="pct"/>
            <w:vMerge w:val="continue"/>
            <w:tcBorders>
              <w:tl2br w:val="nil"/>
              <w:tr2bl w:val="nil"/>
            </w:tcBorders>
            <w:vAlign w:val="center"/>
          </w:tcPr>
          <w:p w14:paraId="1A03782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2074" w:type="pct"/>
            <w:tcBorders>
              <w:tl2br w:val="nil"/>
              <w:tr2bl w:val="nil"/>
            </w:tcBorders>
            <w:vAlign w:val="center"/>
          </w:tcPr>
          <w:p w14:paraId="3C3C887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汞及其化合物</w:t>
            </w:r>
          </w:p>
        </w:tc>
        <w:tc>
          <w:tcPr>
            <w:tcW w:w="653" w:type="pct"/>
            <w:tcBorders>
              <w:tl2br w:val="nil"/>
              <w:tr2bl w:val="nil"/>
            </w:tcBorders>
            <w:vAlign w:val="center"/>
          </w:tcPr>
          <w:p w14:paraId="5A20893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半年</w:t>
            </w:r>
          </w:p>
        </w:tc>
        <w:tc>
          <w:tcPr>
            <w:tcW w:w="846" w:type="pct"/>
            <w:vMerge w:val="continue"/>
            <w:tcBorders>
              <w:tl2br w:val="nil"/>
              <w:tr2bl w:val="nil"/>
            </w:tcBorders>
            <w:vAlign w:val="center"/>
          </w:tcPr>
          <w:p w14:paraId="3CD3379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06619F6D">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9" w:type="pct"/>
            <w:vMerge w:val="continue"/>
            <w:tcBorders>
              <w:tl2br w:val="nil"/>
              <w:tr2bl w:val="nil"/>
            </w:tcBorders>
            <w:vAlign w:val="center"/>
          </w:tcPr>
          <w:p w14:paraId="50E13F3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916" w:type="pct"/>
            <w:tcBorders>
              <w:tl2br w:val="nil"/>
              <w:tr2bl w:val="nil"/>
            </w:tcBorders>
            <w:vAlign w:val="center"/>
          </w:tcPr>
          <w:p w14:paraId="3FC22641">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DA002</w:t>
            </w:r>
          </w:p>
        </w:tc>
        <w:tc>
          <w:tcPr>
            <w:tcW w:w="2074" w:type="pct"/>
            <w:tcBorders>
              <w:tl2br w:val="nil"/>
              <w:tr2bl w:val="nil"/>
            </w:tcBorders>
            <w:vAlign w:val="center"/>
          </w:tcPr>
          <w:p w14:paraId="4E516E1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颗粒物</w:t>
            </w:r>
          </w:p>
        </w:tc>
        <w:tc>
          <w:tcPr>
            <w:tcW w:w="653" w:type="pct"/>
            <w:tcBorders>
              <w:tl2br w:val="nil"/>
              <w:tr2bl w:val="nil"/>
            </w:tcBorders>
            <w:vAlign w:val="center"/>
          </w:tcPr>
          <w:p w14:paraId="7E399FD1">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季度</w:t>
            </w:r>
          </w:p>
        </w:tc>
        <w:tc>
          <w:tcPr>
            <w:tcW w:w="846" w:type="pct"/>
            <w:vMerge w:val="continue"/>
            <w:tcBorders>
              <w:tl2br w:val="nil"/>
              <w:tr2bl w:val="nil"/>
            </w:tcBorders>
            <w:vAlign w:val="center"/>
          </w:tcPr>
          <w:p w14:paraId="21D05457">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p>
        </w:tc>
      </w:tr>
      <w:tr w14:paraId="15325911">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9" w:type="pct"/>
            <w:vMerge w:val="continue"/>
            <w:tcBorders>
              <w:tl2br w:val="nil"/>
              <w:tr2bl w:val="nil"/>
            </w:tcBorders>
            <w:vAlign w:val="center"/>
          </w:tcPr>
          <w:p w14:paraId="5606F3E0">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c>
          <w:tcPr>
            <w:tcW w:w="916" w:type="pct"/>
            <w:tcBorders>
              <w:tl2br w:val="nil"/>
              <w:tr2bl w:val="nil"/>
            </w:tcBorders>
            <w:vAlign w:val="center"/>
          </w:tcPr>
          <w:p w14:paraId="0BB12297">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DA003</w:t>
            </w:r>
          </w:p>
        </w:tc>
        <w:tc>
          <w:tcPr>
            <w:tcW w:w="2074" w:type="pct"/>
            <w:tcBorders>
              <w:tl2br w:val="nil"/>
              <w:tr2bl w:val="nil"/>
            </w:tcBorders>
            <w:vAlign w:val="center"/>
          </w:tcPr>
          <w:p w14:paraId="6586AC4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颗粒物</w:t>
            </w:r>
          </w:p>
        </w:tc>
        <w:tc>
          <w:tcPr>
            <w:tcW w:w="653" w:type="pct"/>
            <w:tcBorders>
              <w:tl2br w:val="nil"/>
              <w:tr2bl w:val="nil"/>
            </w:tcBorders>
            <w:vAlign w:val="center"/>
          </w:tcPr>
          <w:p w14:paraId="33D0E17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季度</w:t>
            </w:r>
          </w:p>
        </w:tc>
        <w:tc>
          <w:tcPr>
            <w:tcW w:w="846" w:type="pct"/>
            <w:vMerge w:val="continue"/>
            <w:tcBorders>
              <w:tl2br w:val="nil"/>
              <w:tr2bl w:val="nil"/>
            </w:tcBorders>
            <w:vAlign w:val="center"/>
          </w:tcPr>
          <w:p w14:paraId="23A87F1A">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p>
        </w:tc>
      </w:tr>
      <w:tr w14:paraId="06EA0F96">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09" w:type="pct"/>
            <w:tcBorders>
              <w:tl2br w:val="nil"/>
              <w:tr2bl w:val="nil"/>
            </w:tcBorders>
            <w:vAlign w:val="center"/>
          </w:tcPr>
          <w:p w14:paraId="5ED58FA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噪声</w:t>
            </w:r>
          </w:p>
        </w:tc>
        <w:tc>
          <w:tcPr>
            <w:tcW w:w="916" w:type="pct"/>
            <w:tcBorders>
              <w:tl2br w:val="nil"/>
              <w:tr2bl w:val="nil"/>
            </w:tcBorders>
            <w:vAlign w:val="center"/>
          </w:tcPr>
          <w:p w14:paraId="2667C7E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厂界四周外1m</w:t>
            </w:r>
          </w:p>
        </w:tc>
        <w:tc>
          <w:tcPr>
            <w:tcW w:w="2074" w:type="pct"/>
            <w:tcBorders>
              <w:tl2br w:val="nil"/>
              <w:tr2bl w:val="nil"/>
            </w:tcBorders>
            <w:vAlign w:val="center"/>
          </w:tcPr>
          <w:p w14:paraId="0F18F882">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昼间、夜间等效连续A声级</w:t>
            </w:r>
          </w:p>
        </w:tc>
        <w:tc>
          <w:tcPr>
            <w:tcW w:w="653" w:type="pct"/>
            <w:tcBorders>
              <w:tl2br w:val="nil"/>
              <w:tr2bl w:val="nil"/>
            </w:tcBorders>
            <w:vAlign w:val="center"/>
          </w:tcPr>
          <w:p w14:paraId="7178C817">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季度</w:t>
            </w:r>
          </w:p>
        </w:tc>
        <w:tc>
          <w:tcPr>
            <w:tcW w:w="846" w:type="pct"/>
            <w:tcBorders>
              <w:tl2br w:val="nil"/>
              <w:tr2bl w:val="nil"/>
            </w:tcBorders>
            <w:vAlign w:val="center"/>
          </w:tcPr>
          <w:p w14:paraId="6AF8E01C">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GB12348</w:t>
            </w:r>
            <w:r>
              <w:rPr>
                <w:rFonts w:hint="eastAsia" w:cs="Times New Roman"/>
                <w:color w:val="000000" w:themeColor="text1"/>
                <w:sz w:val="21"/>
                <w:szCs w:val="18"/>
                <w:lang w:val="en-US" w:eastAsia="zh-CN"/>
                <w14:textFill>
                  <w14:solidFill>
                    <w14:schemeClr w14:val="tx1"/>
                  </w14:solidFill>
                </w14:textFill>
              </w:rPr>
              <w:t>表1</w:t>
            </w:r>
          </w:p>
        </w:tc>
      </w:tr>
    </w:tbl>
    <w:p w14:paraId="7AAA2D83">
      <w:pPr>
        <w:keepNext w:val="0"/>
        <w:keepLines w:val="0"/>
        <w:pageBreakBefore w:val="0"/>
        <w:widowControl/>
        <w:kinsoku/>
        <w:wordWrap/>
        <w:overflowPunct/>
        <w:topLinePunct w:val="0"/>
        <w:autoSpaceDE/>
        <w:autoSpaceDN/>
        <w:bidi w:val="0"/>
        <w:adjustRightInd/>
        <w:snapToGrid w:val="0"/>
        <w:spacing w:line="240" w:lineRule="auto"/>
        <w:ind w:left="-34" w:right="-34"/>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w:t>
      </w:r>
      <w:r>
        <w:rPr>
          <w:rFonts w:hint="eastAsia" w:cs="Times New Roman"/>
          <w:b/>
          <w:bCs/>
          <w:sz w:val="24"/>
          <w:szCs w:val="24"/>
          <w:highlight w:val="none"/>
          <w:lang w:val="en-US" w:eastAsia="zh-CN"/>
        </w:rPr>
        <w:t>8.2-</w:t>
      </w:r>
      <w:r>
        <w:rPr>
          <w:rFonts w:hint="default" w:ascii="Times New Roman" w:hAnsi="Times New Roman" w:eastAsia="宋体" w:cs="Times New Roman"/>
          <w:b/>
          <w:bCs/>
          <w:sz w:val="24"/>
          <w:szCs w:val="24"/>
          <w:highlight w:val="none"/>
        </w:rPr>
        <w:fldChar w:fldCharType="begin"/>
      </w:r>
      <w:r>
        <w:rPr>
          <w:rFonts w:hint="default" w:ascii="Times New Roman" w:hAnsi="Times New Roman" w:eastAsia="宋体" w:cs="Times New Roman"/>
          <w:b/>
          <w:bCs/>
          <w:sz w:val="24"/>
          <w:szCs w:val="24"/>
          <w:highlight w:val="none"/>
        </w:rPr>
        <w:instrText xml:space="preserve"> SEQ 表 \* ARABIC \s 2 </w:instrText>
      </w:r>
      <w:r>
        <w:rPr>
          <w:rFonts w:hint="default" w:ascii="Times New Roman" w:hAnsi="Times New Roman" w:eastAsia="宋体" w:cs="Times New Roman"/>
          <w:b/>
          <w:bCs/>
          <w:sz w:val="24"/>
          <w:szCs w:val="24"/>
          <w:highlight w:val="none"/>
        </w:rPr>
        <w:fldChar w:fldCharType="separate"/>
      </w:r>
      <w:r>
        <w:rPr>
          <w:rFonts w:hint="default" w:ascii="Times New Roman" w:hAnsi="Times New Roman" w:eastAsia="宋体" w:cs="Times New Roman"/>
          <w:b/>
          <w:bCs/>
          <w:sz w:val="24"/>
          <w:szCs w:val="24"/>
          <w:highlight w:val="none"/>
        </w:rPr>
        <w:t>2</w:t>
      </w:r>
      <w:r>
        <w:rPr>
          <w:rFonts w:hint="default" w:ascii="Times New Roman" w:hAnsi="Times New Roman" w:eastAsia="宋体" w:cs="Times New Roman"/>
          <w:b/>
          <w:bCs/>
          <w:sz w:val="24"/>
          <w:szCs w:val="24"/>
          <w:highlight w:val="none"/>
        </w:rPr>
        <w:fldChar w:fldCharType="end"/>
      </w:r>
      <w:bookmarkEnd w:id="1032"/>
      <w:r>
        <w:rPr>
          <w:rFonts w:hint="default" w:ascii="Times New Roman" w:hAnsi="Times New Roman" w:eastAsia="宋体" w:cs="Times New Roman"/>
          <w:b/>
          <w:bCs/>
          <w:sz w:val="24"/>
          <w:szCs w:val="24"/>
          <w:highlight w:val="none"/>
        </w:rPr>
        <w:t xml:space="preserve"> 周边环境质量监测计划</w:t>
      </w:r>
    </w:p>
    <w:tbl>
      <w:tblPr>
        <w:tblStyle w:val="39"/>
        <w:tblW w:w="5000" w:type="pct"/>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094"/>
        <w:gridCol w:w="2067"/>
        <w:gridCol w:w="2789"/>
        <w:gridCol w:w="1043"/>
        <w:gridCol w:w="1523"/>
      </w:tblGrid>
      <w:tr w14:paraId="10C7C0F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642" w:type="pct"/>
            <w:tcBorders>
              <w:tl2br w:val="nil"/>
              <w:tr2bl w:val="nil"/>
            </w:tcBorders>
            <w:vAlign w:val="center"/>
          </w:tcPr>
          <w:p w14:paraId="6DA1073A">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环境类别</w:t>
            </w:r>
          </w:p>
        </w:tc>
        <w:tc>
          <w:tcPr>
            <w:tcW w:w="1213" w:type="pct"/>
            <w:tcBorders>
              <w:tl2br w:val="nil"/>
              <w:tr2bl w:val="nil"/>
            </w:tcBorders>
            <w:vAlign w:val="center"/>
          </w:tcPr>
          <w:p w14:paraId="559F3A06">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监测点</w:t>
            </w:r>
          </w:p>
        </w:tc>
        <w:tc>
          <w:tcPr>
            <w:tcW w:w="1637" w:type="pct"/>
            <w:tcBorders>
              <w:tl2br w:val="nil"/>
              <w:tr2bl w:val="nil"/>
            </w:tcBorders>
            <w:vAlign w:val="center"/>
          </w:tcPr>
          <w:p w14:paraId="5881DF0E">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监测项目</w:t>
            </w:r>
          </w:p>
        </w:tc>
        <w:tc>
          <w:tcPr>
            <w:tcW w:w="612" w:type="pct"/>
            <w:tcBorders>
              <w:tl2br w:val="nil"/>
              <w:tr2bl w:val="nil"/>
            </w:tcBorders>
            <w:vAlign w:val="center"/>
          </w:tcPr>
          <w:p w14:paraId="095704FD">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监测频率</w:t>
            </w:r>
          </w:p>
        </w:tc>
        <w:tc>
          <w:tcPr>
            <w:tcW w:w="894" w:type="pct"/>
            <w:tcBorders>
              <w:tl2br w:val="nil"/>
              <w:tr2bl w:val="nil"/>
            </w:tcBorders>
            <w:vAlign w:val="center"/>
          </w:tcPr>
          <w:p w14:paraId="6A671CC6">
            <w:pPr>
              <w:pStyle w:val="52"/>
              <w:spacing w:before="0" w:after="0" w:line="240" w:lineRule="auto"/>
              <w:ind w:left="0" w:firstLine="0"/>
              <w:rPr>
                <w:rFonts w:hint="default" w:ascii="Times New Roman" w:hAnsi="Times New Roman" w:cs="Times New Roman"/>
                <w:b/>
                <w:bCs/>
                <w:color w:val="000000" w:themeColor="text1"/>
                <w:sz w:val="21"/>
                <w:szCs w:val="18"/>
                <w14:textFill>
                  <w14:solidFill>
                    <w14:schemeClr w14:val="tx1"/>
                  </w14:solidFill>
                </w14:textFill>
              </w:rPr>
            </w:pPr>
            <w:r>
              <w:rPr>
                <w:rFonts w:hint="default" w:ascii="Times New Roman" w:hAnsi="Times New Roman" w:cs="Times New Roman"/>
                <w:b/>
                <w:bCs/>
                <w:color w:val="000000" w:themeColor="text1"/>
                <w:sz w:val="21"/>
                <w:szCs w:val="18"/>
                <w14:textFill>
                  <w14:solidFill>
                    <w14:schemeClr w14:val="tx1"/>
                  </w14:solidFill>
                </w14:textFill>
              </w:rPr>
              <w:t>执行标准</w:t>
            </w:r>
          </w:p>
        </w:tc>
      </w:tr>
      <w:tr w14:paraId="086A699E">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220" w:hRule="atLeast"/>
          <w:jc w:val="center"/>
        </w:trPr>
        <w:tc>
          <w:tcPr>
            <w:tcW w:w="642" w:type="pct"/>
            <w:tcBorders>
              <w:tl2br w:val="nil"/>
              <w:tr2bl w:val="nil"/>
            </w:tcBorders>
            <w:vAlign w:val="center"/>
          </w:tcPr>
          <w:p w14:paraId="4F1BB86B">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地下水环境</w:t>
            </w:r>
          </w:p>
        </w:tc>
        <w:tc>
          <w:tcPr>
            <w:tcW w:w="1213" w:type="pct"/>
            <w:tcBorders>
              <w:tl2br w:val="nil"/>
              <w:tr2bl w:val="nil"/>
            </w:tcBorders>
            <w:vAlign w:val="center"/>
          </w:tcPr>
          <w:p w14:paraId="757ECE7D">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在企业地下水流向上游边界处布设1个对照监测点，在厂区内存在地下水污染隐患</w:t>
            </w:r>
            <w:r>
              <w:rPr>
                <w:rFonts w:hint="eastAsia" w:cs="Times New Roman"/>
                <w:color w:val="000000" w:themeColor="text1"/>
                <w:sz w:val="21"/>
                <w:szCs w:val="18"/>
                <w:lang w:val="en-US" w:eastAsia="zh-CN"/>
                <w14:textFill>
                  <w14:solidFill>
                    <w14:schemeClr w14:val="tx1"/>
                  </w14:solidFill>
                </w14:textFill>
              </w:rPr>
              <w:t>的</w:t>
            </w:r>
            <w:r>
              <w:rPr>
                <w:rFonts w:hint="default" w:ascii="Times New Roman" w:hAnsi="Times New Roman" w:cs="Times New Roman"/>
                <w:color w:val="000000" w:themeColor="text1"/>
                <w:sz w:val="21"/>
                <w:szCs w:val="18"/>
                <w14:textFill>
                  <w14:solidFill>
                    <w14:schemeClr w14:val="tx1"/>
                  </w14:solidFill>
                </w14:textFill>
              </w:rPr>
              <w:t>下游方向布设1个污染监控点，地下水下游厂界外布设1个污染扩散监测点</w:t>
            </w:r>
          </w:p>
        </w:tc>
        <w:tc>
          <w:tcPr>
            <w:tcW w:w="1637" w:type="pct"/>
            <w:tcBorders>
              <w:tl2br w:val="nil"/>
              <w:tr2bl w:val="nil"/>
            </w:tcBorders>
            <w:vAlign w:val="center"/>
          </w:tcPr>
          <w:p w14:paraId="1CC4931D">
            <w:pPr>
              <w:pStyle w:val="52"/>
              <w:spacing w:before="0" w:after="0" w:line="240" w:lineRule="auto"/>
              <w:ind w:left="0" w:firstLine="0"/>
              <w:rPr>
                <w:rFonts w:hint="default" w:ascii="Times New Roman" w:hAnsi="Times New Roman" w:eastAsia="Times New Roman" w:cs="Times New Roman"/>
                <w:color w:val="000000" w:themeColor="text1"/>
                <w:spacing w:val="-3"/>
                <w:position w:val="2"/>
                <w:sz w:val="21"/>
                <w:szCs w:val="18"/>
                <w14:textFill>
                  <w14:solidFill>
                    <w14:schemeClr w14:val="tx1"/>
                  </w14:solidFill>
                </w14:textFill>
              </w:rPr>
            </w:pPr>
            <w:r>
              <w:rPr>
                <w:rFonts w:hint="default" w:ascii="Times New Roman" w:hAnsi="Times New Roman" w:cs="Times New Roman"/>
                <w:bCs/>
                <w:color w:val="000000" w:themeColor="text1"/>
                <w:sz w:val="21"/>
                <w:szCs w:val="18"/>
                <w14:textFill>
                  <w14:solidFill>
                    <w14:schemeClr w14:val="tx1"/>
                  </w14:solidFill>
                </w14:textFill>
              </w:rPr>
              <w:t>pH、总硬度、溶解性总固体、硫酸盐、氯化物、铁、锰、铜、锌、挥发酚、阴离子表面活性剂、硝酸盐、亚硝酸盐、氨氮、硫化物、氟化物、氰化物、汞、砷、镉、六价铬、铅、总大肠菌群等</w:t>
            </w:r>
          </w:p>
        </w:tc>
        <w:tc>
          <w:tcPr>
            <w:tcW w:w="612" w:type="pct"/>
            <w:tcBorders>
              <w:tl2br w:val="nil"/>
              <w:tr2bl w:val="nil"/>
            </w:tcBorders>
            <w:vAlign w:val="center"/>
          </w:tcPr>
          <w:p w14:paraId="3C4C8332">
            <w:pPr>
              <w:pStyle w:val="52"/>
              <w:spacing w:before="0" w:after="0" w:line="240" w:lineRule="auto"/>
              <w:ind w:left="0" w:firstLine="0"/>
              <w:rPr>
                <w:rFonts w:hint="default" w:ascii="Times New Roman" w:hAnsi="Times New Roman" w:eastAsia="宋体" w:cs="Times New Roman"/>
                <w:color w:val="000000" w:themeColor="text1"/>
                <w:spacing w:val="-10"/>
                <w:position w:val="2"/>
                <w:sz w:val="21"/>
                <w:szCs w:val="18"/>
                <w:lang w:val="en-US" w:eastAsia="zh-CN"/>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对照监测点和扩散监测点：年；监控点：</w:t>
            </w:r>
            <w:r>
              <w:rPr>
                <w:rFonts w:hint="eastAsia" w:cs="Times New Roman"/>
                <w:color w:val="000000" w:themeColor="text1"/>
                <w:sz w:val="21"/>
                <w:szCs w:val="18"/>
                <w:lang w:val="en-US" w:eastAsia="zh-CN"/>
                <w14:textFill>
                  <w14:solidFill>
                    <w14:schemeClr w14:val="tx1"/>
                  </w14:solidFill>
                </w14:textFill>
              </w:rPr>
              <w:t>1</w:t>
            </w:r>
            <w:r>
              <w:rPr>
                <w:rFonts w:hint="default" w:ascii="Times New Roman" w:hAnsi="Times New Roman" w:cs="Times New Roman"/>
                <w:color w:val="000000" w:themeColor="text1"/>
                <w:sz w:val="21"/>
                <w:szCs w:val="18"/>
                <w14:textFill>
                  <w14:solidFill>
                    <w14:schemeClr w14:val="tx1"/>
                  </w14:solidFill>
                </w14:textFill>
              </w:rPr>
              <w:t>年</w:t>
            </w:r>
            <w:r>
              <w:rPr>
                <w:rFonts w:hint="default" w:ascii="Times New Roman" w:hAnsi="Times New Roman" w:cs="Times New Roman"/>
                <w:color w:val="000000" w:themeColor="text1"/>
                <w:sz w:val="21"/>
                <w:szCs w:val="18"/>
                <w:lang w:val="en-US" w:eastAsia="zh-CN"/>
                <w14:textFill>
                  <w14:solidFill>
                    <w14:schemeClr w14:val="tx1"/>
                  </w14:solidFill>
                </w14:textFill>
              </w:rPr>
              <w:t>/次</w:t>
            </w:r>
          </w:p>
        </w:tc>
        <w:tc>
          <w:tcPr>
            <w:tcW w:w="894" w:type="pct"/>
            <w:tcBorders>
              <w:tl2br w:val="nil"/>
              <w:tr2bl w:val="nil"/>
            </w:tcBorders>
            <w:vAlign w:val="center"/>
          </w:tcPr>
          <w:p w14:paraId="5E51EFD3">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GB/T14848Ⅲ类标准</w:t>
            </w:r>
          </w:p>
        </w:tc>
      </w:tr>
      <w:tr w14:paraId="45E2D5D8">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642" w:type="pct"/>
            <w:tcBorders>
              <w:tl2br w:val="nil"/>
              <w:tr2bl w:val="nil"/>
            </w:tcBorders>
            <w:vAlign w:val="center"/>
          </w:tcPr>
          <w:p w14:paraId="75627E74">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土壤环境</w:t>
            </w:r>
          </w:p>
        </w:tc>
        <w:tc>
          <w:tcPr>
            <w:tcW w:w="1213" w:type="pct"/>
            <w:tcBorders>
              <w:tl2br w:val="nil"/>
              <w:tr2bl w:val="nil"/>
            </w:tcBorders>
            <w:vAlign w:val="center"/>
          </w:tcPr>
          <w:p w14:paraId="5E9A20D9">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危险废物贮存库</w:t>
            </w:r>
          </w:p>
        </w:tc>
        <w:tc>
          <w:tcPr>
            <w:tcW w:w="1637" w:type="pct"/>
            <w:tcBorders>
              <w:tl2br w:val="nil"/>
              <w:tr2bl w:val="nil"/>
            </w:tcBorders>
            <w:vAlign w:val="center"/>
          </w:tcPr>
          <w:p w14:paraId="59EB16A6">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pH</w:t>
            </w:r>
          </w:p>
        </w:tc>
        <w:tc>
          <w:tcPr>
            <w:tcW w:w="612" w:type="pct"/>
            <w:tcBorders>
              <w:tl2br w:val="nil"/>
              <w:tr2bl w:val="nil"/>
            </w:tcBorders>
            <w:vAlign w:val="center"/>
          </w:tcPr>
          <w:p w14:paraId="2AD0B4C6">
            <w:pPr>
              <w:pStyle w:val="52"/>
              <w:spacing w:before="0" w:after="0" w:line="240" w:lineRule="auto"/>
              <w:ind w:left="0" w:firstLine="0"/>
              <w:rPr>
                <w:rFonts w:hint="default" w:ascii="Times New Roman" w:hAnsi="Times New Roman" w:eastAsia="宋体" w:cs="Times New Roman"/>
                <w:color w:val="000000" w:themeColor="text1"/>
                <w:sz w:val="21"/>
                <w:szCs w:val="18"/>
                <w:lang w:val="en-US" w:eastAsia="zh-CN"/>
                <w14:textFill>
                  <w14:solidFill>
                    <w14:schemeClr w14:val="tx1"/>
                  </w14:solidFill>
                </w14:textFill>
              </w:rPr>
            </w:pPr>
            <w:r>
              <w:rPr>
                <w:rFonts w:hint="eastAsia" w:cs="Times New Roman"/>
                <w:color w:val="000000" w:themeColor="text1"/>
                <w:sz w:val="21"/>
                <w:szCs w:val="18"/>
                <w:lang w:val="en-US" w:eastAsia="zh-CN"/>
                <w14:textFill>
                  <w14:solidFill>
                    <w14:schemeClr w14:val="tx1"/>
                  </w14:solidFill>
                </w14:textFill>
              </w:rPr>
              <w:t>5</w:t>
            </w:r>
            <w:r>
              <w:rPr>
                <w:rFonts w:hint="default" w:ascii="Times New Roman" w:hAnsi="Times New Roman" w:cs="Times New Roman"/>
                <w:color w:val="000000" w:themeColor="text1"/>
                <w:sz w:val="21"/>
                <w:szCs w:val="18"/>
                <w14:textFill>
                  <w14:solidFill>
                    <w14:schemeClr w14:val="tx1"/>
                  </w14:solidFill>
                </w14:textFill>
              </w:rPr>
              <w:t>年</w:t>
            </w:r>
            <w:r>
              <w:rPr>
                <w:rFonts w:hint="default" w:ascii="Times New Roman" w:hAnsi="Times New Roman" w:cs="Times New Roman"/>
                <w:color w:val="000000" w:themeColor="text1"/>
                <w:sz w:val="21"/>
                <w:szCs w:val="18"/>
                <w:lang w:val="en-US" w:eastAsia="zh-CN"/>
                <w14:textFill>
                  <w14:solidFill>
                    <w14:schemeClr w14:val="tx1"/>
                  </w14:solidFill>
                </w14:textFill>
              </w:rPr>
              <w:t>/次</w:t>
            </w:r>
          </w:p>
        </w:tc>
        <w:tc>
          <w:tcPr>
            <w:tcW w:w="894" w:type="pct"/>
            <w:tcBorders>
              <w:tl2br w:val="nil"/>
              <w:tr2bl w:val="nil"/>
            </w:tcBorders>
            <w:vAlign w:val="center"/>
          </w:tcPr>
          <w:p w14:paraId="23B3DAEF">
            <w:pPr>
              <w:pStyle w:val="52"/>
              <w:spacing w:before="0" w:after="0" w:line="240" w:lineRule="auto"/>
              <w:ind w:left="0" w:firstLine="0"/>
              <w:rPr>
                <w:rFonts w:hint="default" w:ascii="Times New Roman" w:hAnsi="Times New Roman" w:cs="Times New Roman"/>
                <w:color w:val="000000" w:themeColor="text1"/>
                <w:sz w:val="21"/>
                <w:szCs w:val="18"/>
                <w14:textFill>
                  <w14:solidFill>
                    <w14:schemeClr w14:val="tx1"/>
                  </w14:solidFill>
                </w14:textFill>
              </w:rPr>
            </w:pPr>
            <w:r>
              <w:rPr>
                <w:rFonts w:hint="default" w:ascii="Times New Roman" w:hAnsi="Times New Roman" w:cs="Times New Roman"/>
                <w:color w:val="000000" w:themeColor="text1"/>
                <w:sz w:val="21"/>
                <w:szCs w:val="18"/>
                <w14:textFill>
                  <w14:solidFill>
                    <w14:schemeClr w14:val="tx1"/>
                  </w14:solidFill>
                </w14:textFill>
              </w:rPr>
              <w:t>GB36600第二类用地筛选值</w:t>
            </w:r>
          </w:p>
        </w:tc>
      </w:tr>
      <w:bookmarkEnd w:id="1033"/>
    </w:tbl>
    <w:p w14:paraId="1DFDA6DA">
      <w:pPr>
        <w:pStyle w:val="3"/>
        <w:pageBreakBefore w:val="0"/>
        <w:widowControl/>
        <w:kinsoku/>
        <w:wordWrap/>
        <w:overflowPunct/>
        <w:topLinePunct w:val="0"/>
        <w:autoSpaceDE/>
        <w:autoSpaceDN/>
        <w:bidi w:val="0"/>
        <w:adjustRightInd/>
        <w:spacing w:beforeLines="0" w:afterLines="0" w:line="360" w:lineRule="auto"/>
        <w:textAlignment w:val="auto"/>
        <w:rPr>
          <w:rFonts w:hint="default" w:ascii="Times New Roman" w:hAnsi="Times New Roman" w:eastAsia="宋体" w:cs="Times New Roman"/>
          <w:sz w:val="24"/>
          <w:szCs w:val="18"/>
          <w:highlight w:val="none"/>
          <w:lang w:val="en-US" w:eastAsia="zh-CN"/>
        </w:rPr>
      </w:pPr>
      <w:bookmarkStart w:id="1034" w:name="_Toc24504"/>
      <w:bookmarkStart w:id="1035" w:name="_Toc19721"/>
      <w:bookmarkStart w:id="1036" w:name="_Toc31290"/>
      <w:r>
        <w:rPr>
          <w:rFonts w:hint="default" w:ascii="Times New Roman" w:hAnsi="Times New Roman" w:cs="Times New Roman"/>
          <w:sz w:val="24"/>
          <w:szCs w:val="18"/>
          <w:highlight w:val="none"/>
          <w:lang w:val="en-US" w:eastAsia="zh-CN"/>
        </w:rPr>
        <w:t>8</w:t>
      </w:r>
      <w:r>
        <w:rPr>
          <w:rFonts w:hint="default" w:ascii="Times New Roman" w:hAnsi="Times New Roman" w:eastAsia="宋体" w:cs="Times New Roman"/>
          <w:sz w:val="24"/>
          <w:szCs w:val="18"/>
          <w:highlight w:val="none"/>
        </w:rPr>
        <w:t>.</w:t>
      </w:r>
      <w:r>
        <w:rPr>
          <w:rFonts w:hint="default" w:ascii="Times New Roman" w:hAnsi="Times New Roman" w:cs="Times New Roman"/>
          <w:sz w:val="24"/>
          <w:szCs w:val="18"/>
          <w:highlight w:val="none"/>
          <w:lang w:val="en-US" w:eastAsia="zh-CN"/>
        </w:rPr>
        <w:t>3污染物排放清单</w:t>
      </w:r>
      <w:bookmarkEnd w:id="1034"/>
      <w:bookmarkEnd w:id="1035"/>
      <w:bookmarkEnd w:id="1036"/>
    </w:p>
    <w:p w14:paraId="79D33682">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b w:val="0"/>
          <w:bCs/>
          <w:kern w:val="2"/>
          <w:sz w:val="24"/>
          <w:szCs w:val="24"/>
          <w:highlight w:val="none"/>
          <w:lang w:val="en-US" w:eastAsia="zh-CN"/>
        </w:rPr>
      </w:pPr>
      <w:r>
        <w:rPr>
          <w:rFonts w:hint="default" w:ascii="Times New Roman" w:hAnsi="Times New Roman" w:eastAsia="宋体" w:cs="Times New Roman"/>
          <w:b w:val="0"/>
          <w:bCs/>
          <w:kern w:val="2"/>
          <w:sz w:val="24"/>
          <w:szCs w:val="24"/>
          <w:highlight w:val="none"/>
          <w:lang w:val="en-US" w:eastAsia="zh-CN"/>
        </w:rPr>
        <w:t>根据工程分析及本项目采取的污染治理措施，对本项目污染物排放源及排放量进行梳理，形成污染物排放清单，详见表</w:t>
      </w:r>
      <w:r>
        <w:rPr>
          <w:rFonts w:hint="eastAsia" w:cs="Times New Roman"/>
          <w:b w:val="0"/>
          <w:bCs/>
          <w:kern w:val="2"/>
          <w:sz w:val="24"/>
          <w:szCs w:val="24"/>
          <w:highlight w:val="none"/>
          <w:lang w:val="en-US" w:eastAsia="zh-CN"/>
        </w:rPr>
        <w:t>8.3-</w:t>
      </w:r>
      <w:r>
        <w:rPr>
          <w:rFonts w:hint="default" w:ascii="Times New Roman" w:hAnsi="Times New Roman" w:eastAsia="宋体" w:cs="Times New Roman"/>
          <w:b w:val="0"/>
          <w:bCs/>
          <w:kern w:val="2"/>
          <w:sz w:val="24"/>
          <w:szCs w:val="24"/>
          <w:highlight w:val="none"/>
          <w:lang w:val="en-US" w:eastAsia="zh-CN"/>
        </w:rPr>
        <w:t>1。</w:t>
      </w:r>
    </w:p>
    <w:p w14:paraId="27B6B890">
      <w:pPr>
        <w:pStyle w:val="203"/>
        <w:keepNext w:val="0"/>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cs="Times New Roman"/>
          <w:b/>
          <w:bCs/>
        </w:rPr>
      </w:pPr>
      <w:bookmarkStart w:id="1037" w:name="_Ref112673781"/>
      <w:r>
        <w:rPr>
          <w:rFonts w:hint="default" w:ascii="Times New Roman" w:hAnsi="Times New Roman" w:cs="Times New Roman"/>
          <w:b/>
          <w:bCs/>
        </w:rPr>
        <w:t>表</w:t>
      </w:r>
      <w:r>
        <w:rPr>
          <w:rFonts w:hint="eastAsia" w:cs="Times New Roman"/>
          <w:b/>
          <w:bCs/>
          <w:lang w:val="en-US" w:eastAsia="zh-CN"/>
        </w:rPr>
        <w:t>8.3-</w:t>
      </w:r>
      <w:r>
        <w:rPr>
          <w:rFonts w:hint="default" w:ascii="Times New Roman" w:hAnsi="Times New Roman" w:cs="Times New Roman"/>
          <w:b/>
          <w:bCs/>
        </w:rPr>
        <w:fldChar w:fldCharType="begin"/>
      </w:r>
      <w:r>
        <w:rPr>
          <w:rFonts w:hint="default" w:ascii="Times New Roman" w:hAnsi="Times New Roman" w:cs="Times New Roman"/>
          <w:b/>
          <w:bCs/>
        </w:rPr>
        <w:instrText xml:space="preserve"> SEQ 表 \* ARABIC \s 2 </w:instrText>
      </w:r>
      <w:r>
        <w:rPr>
          <w:rFonts w:hint="default" w:ascii="Times New Roman" w:hAnsi="Times New Roman" w:cs="Times New Roman"/>
          <w:b/>
          <w:bCs/>
        </w:rPr>
        <w:fldChar w:fldCharType="separate"/>
      </w:r>
      <w:r>
        <w:rPr>
          <w:rFonts w:hint="default" w:ascii="Times New Roman" w:hAnsi="Times New Roman" w:cs="Times New Roman"/>
          <w:b/>
          <w:bCs/>
        </w:rPr>
        <w:t>1</w:t>
      </w:r>
      <w:r>
        <w:rPr>
          <w:rFonts w:hint="default" w:ascii="Times New Roman" w:hAnsi="Times New Roman" w:cs="Times New Roman"/>
          <w:b/>
          <w:bCs/>
        </w:rPr>
        <w:fldChar w:fldCharType="end"/>
      </w:r>
      <w:bookmarkEnd w:id="1037"/>
      <w:r>
        <w:rPr>
          <w:rFonts w:hint="default" w:ascii="Times New Roman" w:hAnsi="Times New Roman" w:cs="Times New Roman"/>
          <w:b/>
          <w:bCs/>
        </w:rPr>
        <w:t xml:space="preserve"> </w:t>
      </w:r>
      <w:r>
        <w:rPr>
          <w:rFonts w:hint="eastAsia" w:cs="Times New Roman"/>
          <w:b/>
          <w:bCs/>
          <w:lang w:val="en-US" w:eastAsia="zh-CN"/>
        </w:rPr>
        <w:t>本项目</w:t>
      </w:r>
      <w:r>
        <w:rPr>
          <w:rFonts w:hint="default" w:ascii="Times New Roman" w:hAnsi="Times New Roman" w:cs="Times New Roman"/>
          <w:b/>
          <w:bCs/>
        </w:rPr>
        <w:t>污染物排放清单</w:t>
      </w:r>
    </w:p>
    <w:tbl>
      <w:tblPr>
        <w:tblStyle w:val="39"/>
        <w:tblW w:w="4997" w:type="pct"/>
        <w:jc w:val="center"/>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0"/>
        <w:gridCol w:w="450"/>
        <w:gridCol w:w="542"/>
        <w:gridCol w:w="448"/>
        <w:gridCol w:w="670"/>
        <w:gridCol w:w="690"/>
        <w:gridCol w:w="1219"/>
        <w:gridCol w:w="899"/>
        <w:gridCol w:w="871"/>
        <w:gridCol w:w="1219"/>
        <w:gridCol w:w="1033"/>
      </w:tblGrid>
      <w:tr w14:paraId="758C7C20">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0" w:type="pct"/>
            <w:vMerge w:val="restart"/>
            <w:tcBorders>
              <w:tl2br w:val="nil"/>
              <w:tr2bl w:val="nil"/>
            </w:tcBorders>
            <w:vAlign w:val="center"/>
          </w:tcPr>
          <w:p w14:paraId="1152E6E0">
            <w:pPr>
              <w:pStyle w:val="52"/>
              <w:spacing w:before="0" w:after="0" w:line="240" w:lineRule="auto"/>
              <w:ind w:left="0" w:firstLine="0"/>
              <w:rPr>
                <w:rFonts w:hint="default" w:ascii="Times New Roman" w:hAnsi="Times New Roman" w:cs="Times New Roman"/>
                <w:b/>
                <w:bCs/>
                <w:color w:val="auto"/>
                <w:sz w:val="21"/>
                <w:szCs w:val="18"/>
              </w:rPr>
            </w:pPr>
            <w:bookmarkStart w:id="1038" w:name="_Toc15600"/>
            <w:r>
              <w:rPr>
                <w:rFonts w:hint="default" w:ascii="Times New Roman" w:hAnsi="Times New Roman" w:cs="Times New Roman"/>
                <w:b/>
                <w:bCs/>
                <w:color w:val="auto"/>
                <w:sz w:val="21"/>
                <w:szCs w:val="18"/>
              </w:rPr>
              <w:t>污染物类型</w:t>
            </w:r>
          </w:p>
        </w:tc>
        <w:tc>
          <w:tcPr>
            <w:tcW w:w="368" w:type="pct"/>
            <w:vMerge w:val="restart"/>
            <w:tcBorders>
              <w:tl2br w:val="nil"/>
              <w:tr2bl w:val="nil"/>
            </w:tcBorders>
            <w:vAlign w:val="center"/>
          </w:tcPr>
          <w:p w14:paraId="53F2128F">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工程组成</w:t>
            </w:r>
          </w:p>
        </w:tc>
        <w:tc>
          <w:tcPr>
            <w:tcW w:w="422" w:type="pct"/>
            <w:vMerge w:val="restart"/>
            <w:tcBorders>
              <w:tl2br w:val="nil"/>
              <w:tr2bl w:val="nil"/>
            </w:tcBorders>
            <w:vAlign w:val="center"/>
          </w:tcPr>
          <w:p w14:paraId="410F463F">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产污环节</w:t>
            </w:r>
          </w:p>
        </w:tc>
        <w:tc>
          <w:tcPr>
            <w:tcW w:w="367" w:type="pct"/>
            <w:vMerge w:val="restart"/>
            <w:tcBorders>
              <w:tl2br w:val="nil"/>
              <w:tr2bl w:val="nil"/>
            </w:tcBorders>
            <w:vAlign w:val="center"/>
          </w:tcPr>
          <w:p w14:paraId="3E60C954">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污染物类型</w:t>
            </w:r>
          </w:p>
        </w:tc>
        <w:tc>
          <w:tcPr>
            <w:tcW w:w="497" w:type="pct"/>
            <w:vMerge w:val="restart"/>
            <w:tcBorders>
              <w:tl2br w:val="nil"/>
              <w:tr2bl w:val="nil"/>
            </w:tcBorders>
            <w:vAlign w:val="center"/>
          </w:tcPr>
          <w:p w14:paraId="4D688F00">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排放</w:t>
            </w:r>
          </w:p>
          <w:p w14:paraId="68DD36E7">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形式</w:t>
            </w:r>
          </w:p>
        </w:tc>
        <w:tc>
          <w:tcPr>
            <w:tcW w:w="509" w:type="pct"/>
            <w:vMerge w:val="restart"/>
            <w:tcBorders>
              <w:tl2br w:val="nil"/>
              <w:tr2bl w:val="nil"/>
            </w:tcBorders>
            <w:vAlign w:val="center"/>
          </w:tcPr>
          <w:p w14:paraId="46A17578">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环境保护措施</w:t>
            </w:r>
          </w:p>
        </w:tc>
        <w:tc>
          <w:tcPr>
            <w:tcW w:w="623" w:type="pct"/>
            <w:vMerge w:val="restart"/>
            <w:tcBorders>
              <w:tl2br w:val="nil"/>
              <w:tr2bl w:val="nil"/>
            </w:tcBorders>
            <w:vAlign w:val="center"/>
          </w:tcPr>
          <w:p w14:paraId="45CA7B50">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排放浓度</w:t>
            </w:r>
          </w:p>
          <w:p w14:paraId="01EC00B5">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（mg/m</w:t>
            </w:r>
            <w:r>
              <w:rPr>
                <w:rFonts w:hint="default" w:ascii="Times New Roman" w:hAnsi="Times New Roman" w:cs="Times New Roman"/>
                <w:b/>
                <w:bCs/>
                <w:color w:val="auto"/>
                <w:sz w:val="21"/>
                <w:szCs w:val="18"/>
                <w:vertAlign w:val="superscript"/>
              </w:rPr>
              <w:t>3</w:t>
            </w:r>
            <w:r>
              <w:rPr>
                <w:rFonts w:hint="default" w:ascii="Times New Roman" w:hAnsi="Times New Roman" w:cs="Times New Roman"/>
                <w:b/>
                <w:bCs/>
                <w:color w:val="auto"/>
                <w:sz w:val="21"/>
                <w:szCs w:val="18"/>
              </w:rPr>
              <w:t>）</w:t>
            </w:r>
          </w:p>
        </w:tc>
        <w:tc>
          <w:tcPr>
            <w:tcW w:w="382" w:type="pct"/>
            <w:vMerge w:val="restart"/>
            <w:tcBorders>
              <w:tl2br w:val="nil"/>
              <w:tr2bl w:val="nil"/>
            </w:tcBorders>
            <w:vAlign w:val="center"/>
          </w:tcPr>
          <w:p w14:paraId="3AD9DB34">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排放量</w:t>
            </w:r>
          </w:p>
          <w:p w14:paraId="3DECD0D0">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（t/a）</w:t>
            </w:r>
          </w:p>
        </w:tc>
        <w:tc>
          <w:tcPr>
            <w:tcW w:w="422" w:type="pct"/>
            <w:vMerge w:val="restart"/>
            <w:tcBorders>
              <w:tl2br w:val="nil"/>
              <w:tr2bl w:val="nil"/>
            </w:tcBorders>
            <w:vAlign w:val="center"/>
          </w:tcPr>
          <w:p w14:paraId="5808B0B3">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总量指标</w:t>
            </w:r>
          </w:p>
          <w:p w14:paraId="7054EDA4">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（t/a）</w:t>
            </w:r>
          </w:p>
        </w:tc>
        <w:tc>
          <w:tcPr>
            <w:tcW w:w="630" w:type="pct"/>
            <w:tcBorders>
              <w:tl2br w:val="nil"/>
              <w:tr2bl w:val="nil"/>
            </w:tcBorders>
            <w:vAlign w:val="center"/>
          </w:tcPr>
          <w:p w14:paraId="249B35B0">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排放标准限值</w:t>
            </w:r>
          </w:p>
        </w:tc>
        <w:tc>
          <w:tcPr>
            <w:tcW w:w="394" w:type="pct"/>
            <w:vMerge w:val="restart"/>
            <w:tcBorders>
              <w:tl2br w:val="nil"/>
              <w:tr2bl w:val="nil"/>
            </w:tcBorders>
            <w:vAlign w:val="center"/>
          </w:tcPr>
          <w:p w14:paraId="4BFEF528">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执行标准</w:t>
            </w:r>
          </w:p>
        </w:tc>
      </w:tr>
      <w:tr w14:paraId="543B8E1B">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blHeader/>
          <w:jc w:val="center"/>
        </w:trPr>
        <w:tc>
          <w:tcPr>
            <w:tcW w:w="380" w:type="pct"/>
            <w:vMerge w:val="continue"/>
            <w:tcBorders>
              <w:tl2br w:val="nil"/>
              <w:tr2bl w:val="nil"/>
            </w:tcBorders>
            <w:vAlign w:val="center"/>
          </w:tcPr>
          <w:p w14:paraId="42C572D2">
            <w:pPr>
              <w:pStyle w:val="52"/>
              <w:spacing w:before="0" w:after="0" w:line="240" w:lineRule="auto"/>
              <w:ind w:left="0" w:firstLine="0"/>
              <w:rPr>
                <w:rFonts w:hint="default" w:ascii="Times New Roman" w:hAnsi="Times New Roman" w:cs="Times New Roman"/>
                <w:color w:val="auto"/>
                <w:sz w:val="21"/>
                <w:szCs w:val="18"/>
              </w:rPr>
            </w:pPr>
          </w:p>
        </w:tc>
        <w:tc>
          <w:tcPr>
            <w:tcW w:w="368" w:type="pct"/>
            <w:vMerge w:val="continue"/>
            <w:tcBorders>
              <w:tl2br w:val="nil"/>
              <w:tr2bl w:val="nil"/>
            </w:tcBorders>
            <w:vAlign w:val="center"/>
          </w:tcPr>
          <w:p w14:paraId="1DF50EE3">
            <w:pPr>
              <w:pStyle w:val="52"/>
              <w:spacing w:before="0" w:after="0" w:line="240" w:lineRule="auto"/>
              <w:ind w:left="0" w:firstLine="0"/>
              <w:rPr>
                <w:rFonts w:hint="default" w:ascii="Times New Roman" w:hAnsi="Times New Roman" w:cs="Times New Roman"/>
                <w:color w:val="auto"/>
                <w:sz w:val="21"/>
                <w:szCs w:val="18"/>
              </w:rPr>
            </w:pPr>
          </w:p>
        </w:tc>
        <w:tc>
          <w:tcPr>
            <w:tcW w:w="422" w:type="pct"/>
            <w:vMerge w:val="continue"/>
            <w:tcBorders>
              <w:tl2br w:val="nil"/>
              <w:tr2bl w:val="nil"/>
            </w:tcBorders>
            <w:vAlign w:val="center"/>
          </w:tcPr>
          <w:p w14:paraId="34760FEE">
            <w:pPr>
              <w:pStyle w:val="52"/>
              <w:spacing w:before="0" w:after="0" w:line="240" w:lineRule="auto"/>
              <w:ind w:left="0" w:firstLine="0"/>
              <w:rPr>
                <w:rFonts w:hint="default" w:ascii="Times New Roman" w:hAnsi="Times New Roman" w:cs="Times New Roman"/>
                <w:color w:val="auto"/>
                <w:sz w:val="21"/>
                <w:szCs w:val="18"/>
              </w:rPr>
            </w:pPr>
          </w:p>
        </w:tc>
        <w:tc>
          <w:tcPr>
            <w:tcW w:w="367" w:type="pct"/>
            <w:vMerge w:val="continue"/>
            <w:tcBorders>
              <w:tl2br w:val="nil"/>
              <w:tr2bl w:val="nil"/>
            </w:tcBorders>
            <w:vAlign w:val="center"/>
          </w:tcPr>
          <w:p w14:paraId="1D4741C0">
            <w:pPr>
              <w:pStyle w:val="52"/>
              <w:spacing w:before="0" w:after="0" w:line="240" w:lineRule="auto"/>
              <w:ind w:left="0" w:firstLine="0"/>
              <w:rPr>
                <w:rFonts w:hint="default" w:ascii="Times New Roman" w:hAnsi="Times New Roman" w:cs="Times New Roman"/>
                <w:color w:val="auto"/>
                <w:sz w:val="21"/>
                <w:szCs w:val="18"/>
              </w:rPr>
            </w:pPr>
          </w:p>
        </w:tc>
        <w:tc>
          <w:tcPr>
            <w:tcW w:w="497" w:type="pct"/>
            <w:vMerge w:val="continue"/>
            <w:tcBorders>
              <w:tl2br w:val="nil"/>
              <w:tr2bl w:val="nil"/>
            </w:tcBorders>
            <w:vAlign w:val="center"/>
          </w:tcPr>
          <w:p w14:paraId="535B4AAB">
            <w:pPr>
              <w:pStyle w:val="52"/>
              <w:spacing w:before="0" w:after="0" w:line="240" w:lineRule="auto"/>
              <w:ind w:left="0" w:firstLine="0"/>
              <w:rPr>
                <w:rFonts w:hint="default" w:ascii="Times New Roman" w:hAnsi="Times New Roman" w:cs="Times New Roman"/>
                <w:color w:val="auto"/>
                <w:sz w:val="21"/>
                <w:szCs w:val="18"/>
              </w:rPr>
            </w:pPr>
          </w:p>
        </w:tc>
        <w:tc>
          <w:tcPr>
            <w:tcW w:w="509" w:type="pct"/>
            <w:vMerge w:val="continue"/>
            <w:tcBorders>
              <w:tl2br w:val="nil"/>
              <w:tr2bl w:val="nil"/>
            </w:tcBorders>
            <w:vAlign w:val="center"/>
          </w:tcPr>
          <w:p w14:paraId="2FFA73B4">
            <w:pPr>
              <w:pStyle w:val="52"/>
              <w:spacing w:before="0" w:after="0" w:line="240" w:lineRule="auto"/>
              <w:ind w:left="0" w:firstLine="0"/>
              <w:rPr>
                <w:rFonts w:hint="default" w:ascii="Times New Roman" w:hAnsi="Times New Roman" w:cs="Times New Roman"/>
                <w:color w:val="auto"/>
                <w:sz w:val="21"/>
                <w:szCs w:val="18"/>
              </w:rPr>
            </w:pPr>
          </w:p>
        </w:tc>
        <w:tc>
          <w:tcPr>
            <w:tcW w:w="623" w:type="pct"/>
            <w:vMerge w:val="continue"/>
            <w:tcBorders>
              <w:tl2br w:val="nil"/>
              <w:tr2bl w:val="nil"/>
            </w:tcBorders>
            <w:vAlign w:val="center"/>
          </w:tcPr>
          <w:p w14:paraId="2968B917">
            <w:pPr>
              <w:pStyle w:val="52"/>
              <w:spacing w:before="0" w:after="0" w:line="240" w:lineRule="auto"/>
              <w:ind w:left="0" w:firstLine="0"/>
              <w:rPr>
                <w:rFonts w:hint="default" w:ascii="Times New Roman" w:hAnsi="Times New Roman" w:cs="Times New Roman"/>
                <w:color w:val="auto"/>
                <w:sz w:val="21"/>
                <w:szCs w:val="18"/>
              </w:rPr>
            </w:pPr>
          </w:p>
        </w:tc>
        <w:tc>
          <w:tcPr>
            <w:tcW w:w="382" w:type="pct"/>
            <w:vMerge w:val="continue"/>
            <w:tcBorders>
              <w:tl2br w:val="nil"/>
              <w:tr2bl w:val="nil"/>
            </w:tcBorders>
            <w:vAlign w:val="center"/>
          </w:tcPr>
          <w:p w14:paraId="358C8E67">
            <w:pPr>
              <w:pStyle w:val="52"/>
              <w:spacing w:before="0" w:after="0" w:line="240" w:lineRule="auto"/>
              <w:ind w:left="0" w:firstLine="0"/>
              <w:rPr>
                <w:rFonts w:hint="default" w:ascii="Times New Roman" w:hAnsi="Times New Roman" w:cs="Times New Roman"/>
                <w:color w:val="auto"/>
                <w:sz w:val="21"/>
                <w:szCs w:val="18"/>
              </w:rPr>
            </w:pPr>
          </w:p>
        </w:tc>
        <w:tc>
          <w:tcPr>
            <w:tcW w:w="422" w:type="pct"/>
            <w:vMerge w:val="continue"/>
            <w:tcBorders>
              <w:tl2br w:val="nil"/>
              <w:tr2bl w:val="nil"/>
            </w:tcBorders>
            <w:vAlign w:val="center"/>
          </w:tcPr>
          <w:p w14:paraId="263E1D6B">
            <w:pPr>
              <w:pStyle w:val="52"/>
              <w:spacing w:before="0" w:after="0" w:line="240" w:lineRule="auto"/>
              <w:ind w:left="0" w:firstLine="0"/>
              <w:rPr>
                <w:rFonts w:hint="default" w:ascii="Times New Roman" w:hAnsi="Times New Roman" w:cs="Times New Roman"/>
                <w:color w:val="auto"/>
                <w:sz w:val="21"/>
                <w:szCs w:val="18"/>
              </w:rPr>
            </w:pPr>
          </w:p>
        </w:tc>
        <w:tc>
          <w:tcPr>
            <w:tcW w:w="630" w:type="pct"/>
            <w:tcBorders>
              <w:tl2br w:val="nil"/>
              <w:tr2bl w:val="nil"/>
            </w:tcBorders>
            <w:vAlign w:val="center"/>
          </w:tcPr>
          <w:p w14:paraId="4FCEC690">
            <w:pPr>
              <w:pStyle w:val="52"/>
              <w:spacing w:before="0" w:after="0" w:line="240" w:lineRule="auto"/>
              <w:ind w:left="0" w:firstLine="0"/>
              <w:rPr>
                <w:rFonts w:hint="default" w:ascii="Times New Roman" w:hAnsi="Times New Roman" w:cs="Times New Roman"/>
                <w:b/>
                <w:bCs/>
                <w:color w:val="auto"/>
                <w:sz w:val="21"/>
                <w:szCs w:val="18"/>
              </w:rPr>
            </w:pPr>
            <w:r>
              <w:rPr>
                <w:rFonts w:hint="default" w:ascii="Times New Roman" w:hAnsi="Times New Roman" w:cs="Times New Roman"/>
                <w:b/>
                <w:bCs/>
                <w:color w:val="auto"/>
                <w:sz w:val="21"/>
                <w:szCs w:val="18"/>
              </w:rPr>
              <w:t>排放浓度（mg/m</w:t>
            </w:r>
            <w:r>
              <w:rPr>
                <w:rFonts w:hint="default" w:ascii="Times New Roman" w:hAnsi="Times New Roman" w:cs="Times New Roman"/>
                <w:b/>
                <w:bCs/>
                <w:color w:val="auto"/>
                <w:sz w:val="21"/>
                <w:szCs w:val="18"/>
                <w:vertAlign w:val="superscript"/>
              </w:rPr>
              <w:t>3</w:t>
            </w:r>
            <w:r>
              <w:rPr>
                <w:rFonts w:hint="default" w:ascii="Times New Roman" w:hAnsi="Times New Roman" w:cs="Times New Roman"/>
                <w:b/>
                <w:bCs/>
                <w:color w:val="auto"/>
                <w:sz w:val="21"/>
                <w:szCs w:val="18"/>
              </w:rPr>
              <w:t>）</w:t>
            </w:r>
          </w:p>
        </w:tc>
        <w:tc>
          <w:tcPr>
            <w:tcW w:w="394" w:type="pct"/>
            <w:vMerge w:val="continue"/>
            <w:tcBorders>
              <w:tl2br w:val="nil"/>
              <w:tr2bl w:val="nil"/>
            </w:tcBorders>
            <w:vAlign w:val="center"/>
          </w:tcPr>
          <w:p w14:paraId="5B9BFEB2">
            <w:pPr>
              <w:pStyle w:val="52"/>
              <w:spacing w:before="0" w:after="0" w:line="240" w:lineRule="auto"/>
              <w:ind w:left="0" w:firstLine="0"/>
              <w:rPr>
                <w:rFonts w:hint="default" w:ascii="Times New Roman" w:hAnsi="Times New Roman" w:cs="Times New Roman"/>
                <w:color w:val="auto"/>
                <w:sz w:val="21"/>
                <w:szCs w:val="18"/>
              </w:rPr>
            </w:pPr>
          </w:p>
        </w:tc>
      </w:tr>
      <w:tr w14:paraId="0AA972F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vMerge w:val="restart"/>
            <w:tcBorders>
              <w:tl2br w:val="nil"/>
              <w:tr2bl w:val="nil"/>
            </w:tcBorders>
            <w:vAlign w:val="center"/>
          </w:tcPr>
          <w:p w14:paraId="528AB71A">
            <w:pPr>
              <w:pStyle w:val="52"/>
              <w:spacing w:before="0" w:after="0" w:line="240" w:lineRule="auto"/>
              <w:ind w:left="0" w:firstLine="0"/>
              <w:rPr>
                <w:rFonts w:hint="default" w:ascii="Times New Roman" w:hAnsi="Times New Roman" w:cs="Times New Roman"/>
                <w:bCs/>
                <w:color w:val="auto"/>
                <w:sz w:val="21"/>
                <w:szCs w:val="18"/>
              </w:rPr>
            </w:pPr>
            <w:r>
              <w:rPr>
                <w:rFonts w:hint="default" w:ascii="Times New Roman" w:hAnsi="Times New Roman" w:cs="Times New Roman"/>
                <w:color w:val="auto"/>
                <w:sz w:val="21"/>
                <w:szCs w:val="18"/>
              </w:rPr>
              <w:t>大气污染物</w:t>
            </w:r>
          </w:p>
        </w:tc>
        <w:tc>
          <w:tcPr>
            <w:tcW w:w="368" w:type="pct"/>
            <w:vMerge w:val="restart"/>
            <w:tcBorders>
              <w:tl2br w:val="nil"/>
              <w:tr2bl w:val="nil"/>
            </w:tcBorders>
            <w:vAlign w:val="center"/>
          </w:tcPr>
          <w:p w14:paraId="2254C307">
            <w:pPr>
              <w:pStyle w:val="52"/>
              <w:spacing w:before="0" w:after="0" w:line="240" w:lineRule="auto"/>
              <w:ind w:left="0" w:firstLine="0"/>
              <w:rPr>
                <w:rFonts w:hint="eastAsia" w:ascii="Times New Roman" w:hAnsi="Times New Roman" w:eastAsia="宋体" w:cs="Times New Roman"/>
                <w:color w:val="auto"/>
                <w:sz w:val="21"/>
                <w:szCs w:val="18"/>
                <w:lang w:eastAsia="zh-CN"/>
              </w:rPr>
            </w:pPr>
            <w:r>
              <w:rPr>
                <w:rFonts w:hint="eastAsia" w:cs="Times New Roman"/>
                <w:color w:val="auto"/>
                <w:sz w:val="21"/>
                <w:szCs w:val="18"/>
                <w:lang w:val="en-US" w:eastAsia="zh-CN"/>
              </w:rPr>
              <w:t>投料车间</w:t>
            </w:r>
          </w:p>
        </w:tc>
        <w:tc>
          <w:tcPr>
            <w:tcW w:w="422" w:type="pct"/>
            <w:tcBorders>
              <w:tl2br w:val="nil"/>
              <w:tr2bl w:val="nil"/>
            </w:tcBorders>
            <w:vAlign w:val="center"/>
          </w:tcPr>
          <w:p w14:paraId="344632B7">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预处理系统</w:t>
            </w:r>
          </w:p>
        </w:tc>
        <w:tc>
          <w:tcPr>
            <w:tcW w:w="367" w:type="pct"/>
            <w:tcBorders>
              <w:tl2br w:val="nil"/>
              <w:tr2bl w:val="nil"/>
            </w:tcBorders>
            <w:vAlign w:val="center"/>
          </w:tcPr>
          <w:p w14:paraId="7C389C34">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颗粒物</w:t>
            </w:r>
          </w:p>
        </w:tc>
        <w:tc>
          <w:tcPr>
            <w:tcW w:w="497" w:type="pct"/>
            <w:tcBorders>
              <w:tl2br w:val="nil"/>
              <w:tr2bl w:val="nil"/>
            </w:tcBorders>
            <w:vAlign w:val="center"/>
          </w:tcPr>
          <w:p w14:paraId="75425900">
            <w:pPr>
              <w:pStyle w:val="52"/>
              <w:spacing w:before="0" w:after="0" w:line="240" w:lineRule="auto"/>
              <w:ind w:left="0" w:firstLine="0"/>
              <w:rPr>
                <w:rFonts w:hint="eastAsia"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有组织</w:t>
            </w:r>
          </w:p>
        </w:tc>
        <w:tc>
          <w:tcPr>
            <w:tcW w:w="509" w:type="pct"/>
            <w:tcBorders>
              <w:tl2br w:val="nil"/>
              <w:tr2bl w:val="nil"/>
            </w:tcBorders>
            <w:vAlign w:val="center"/>
          </w:tcPr>
          <w:p w14:paraId="7A3B3ACE">
            <w:pPr>
              <w:pStyle w:val="52"/>
              <w:spacing w:before="0" w:after="0" w:line="240" w:lineRule="auto"/>
              <w:ind w:left="0" w:firstLine="0"/>
              <w:rPr>
                <w:rFonts w:hint="default" w:ascii="Times New Roman" w:hAnsi="Times New Roman" w:eastAsia="宋体" w:cs="Times New Roman"/>
                <w:bCs/>
                <w:color w:val="auto"/>
                <w:sz w:val="21"/>
                <w:szCs w:val="18"/>
                <w:lang w:val="en-US" w:eastAsia="zh-CN"/>
              </w:rPr>
            </w:pPr>
            <w:r>
              <w:rPr>
                <w:rFonts w:hint="eastAsia" w:cs="Times New Roman"/>
                <w:bCs/>
                <w:color w:val="auto"/>
                <w:sz w:val="21"/>
                <w:szCs w:val="18"/>
                <w:lang w:val="en-US" w:eastAsia="zh-CN"/>
              </w:rPr>
              <w:t>设备全密闭布袋除尘</w:t>
            </w:r>
          </w:p>
        </w:tc>
        <w:tc>
          <w:tcPr>
            <w:tcW w:w="623" w:type="pct"/>
            <w:tcBorders>
              <w:tl2br w:val="nil"/>
              <w:tr2bl w:val="nil"/>
            </w:tcBorders>
            <w:vAlign w:val="center"/>
          </w:tcPr>
          <w:p w14:paraId="44158503">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9</w:t>
            </w:r>
          </w:p>
        </w:tc>
        <w:tc>
          <w:tcPr>
            <w:tcW w:w="382" w:type="pct"/>
            <w:tcBorders>
              <w:tl2br w:val="nil"/>
              <w:tr2bl w:val="nil"/>
            </w:tcBorders>
            <w:vAlign w:val="center"/>
          </w:tcPr>
          <w:p w14:paraId="21C02415">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0.162</w:t>
            </w:r>
          </w:p>
        </w:tc>
        <w:tc>
          <w:tcPr>
            <w:tcW w:w="422" w:type="pct"/>
            <w:tcBorders>
              <w:tl2br w:val="nil"/>
              <w:tr2bl w:val="nil"/>
            </w:tcBorders>
            <w:vAlign w:val="center"/>
          </w:tcPr>
          <w:p w14:paraId="5E59752F">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ascii="Times New Roman" w:hAnsi="Times New Roman" w:cs="Times New Roman"/>
                <w:color w:val="auto"/>
                <w:sz w:val="21"/>
                <w:szCs w:val="18"/>
                <w:lang w:val="en-US" w:eastAsia="zh-CN"/>
              </w:rPr>
              <w:t>/</w:t>
            </w:r>
          </w:p>
        </w:tc>
        <w:tc>
          <w:tcPr>
            <w:tcW w:w="630" w:type="pct"/>
            <w:tcBorders>
              <w:tl2br w:val="nil"/>
              <w:tr2bl w:val="nil"/>
            </w:tcBorders>
            <w:vAlign w:val="center"/>
          </w:tcPr>
          <w:p w14:paraId="629DEADE">
            <w:pPr>
              <w:pStyle w:val="52"/>
              <w:spacing w:before="0" w:after="0" w:line="240" w:lineRule="auto"/>
              <w:ind w:left="0" w:firstLine="0"/>
              <w:rPr>
                <w:rFonts w:hint="eastAsia"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20</w:t>
            </w:r>
          </w:p>
        </w:tc>
        <w:tc>
          <w:tcPr>
            <w:tcW w:w="394" w:type="pct"/>
            <w:tcBorders>
              <w:tl2br w:val="nil"/>
              <w:tr2bl w:val="nil"/>
            </w:tcBorders>
            <w:vAlign w:val="center"/>
          </w:tcPr>
          <w:p w14:paraId="75094F19">
            <w:pPr>
              <w:pStyle w:val="52"/>
              <w:spacing w:before="0" w:after="0" w:line="240" w:lineRule="auto"/>
              <w:ind w:left="0" w:leftChars="0" w:firstLine="0" w:firstLineChars="0"/>
              <w:rPr>
                <w:rFonts w:hint="eastAsia" w:ascii="Times New Roman" w:hAnsi="Times New Roman" w:eastAsia="宋体" w:cs="Times New Roman"/>
                <w:color w:val="auto"/>
                <w:sz w:val="21"/>
                <w:szCs w:val="18"/>
                <w:lang w:val="zh-CN" w:eastAsia="zh-CN"/>
              </w:rPr>
            </w:pPr>
            <w:r>
              <w:rPr>
                <w:rFonts w:hint="default" w:ascii="Times New Roman" w:hAnsi="Times New Roman" w:cs="Times New Roman"/>
                <w:color w:val="auto"/>
                <w:sz w:val="21"/>
                <w:szCs w:val="18"/>
              </w:rPr>
              <w:t>GB4915表</w:t>
            </w:r>
            <w:r>
              <w:rPr>
                <w:rFonts w:hint="eastAsia" w:cs="Times New Roman"/>
                <w:color w:val="auto"/>
                <w:sz w:val="21"/>
                <w:szCs w:val="18"/>
                <w:lang w:val="en-US" w:eastAsia="zh-CN"/>
              </w:rPr>
              <w:t>1</w:t>
            </w:r>
          </w:p>
        </w:tc>
      </w:tr>
      <w:tr w14:paraId="00A08605">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80" w:type="pct"/>
            <w:vMerge w:val="continue"/>
            <w:tcBorders>
              <w:tl2br w:val="nil"/>
              <w:tr2bl w:val="nil"/>
            </w:tcBorders>
            <w:vAlign w:val="center"/>
          </w:tcPr>
          <w:p w14:paraId="1051AAB3">
            <w:pPr>
              <w:pStyle w:val="52"/>
              <w:spacing w:before="0" w:after="0" w:line="240" w:lineRule="auto"/>
              <w:ind w:left="0" w:firstLine="0"/>
              <w:rPr>
                <w:rFonts w:hint="default" w:ascii="Times New Roman" w:hAnsi="Times New Roman" w:cs="Times New Roman"/>
                <w:color w:val="auto"/>
                <w:sz w:val="21"/>
                <w:szCs w:val="18"/>
              </w:rPr>
            </w:pPr>
          </w:p>
        </w:tc>
        <w:tc>
          <w:tcPr>
            <w:tcW w:w="368" w:type="pct"/>
            <w:vMerge w:val="continue"/>
            <w:tcBorders>
              <w:tl2br w:val="nil"/>
              <w:tr2bl w:val="nil"/>
            </w:tcBorders>
            <w:vAlign w:val="center"/>
          </w:tcPr>
          <w:p w14:paraId="787BF6F8">
            <w:pPr>
              <w:pStyle w:val="52"/>
              <w:spacing w:before="0" w:after="0" w:line="240" w:lineRule="auto"/>
              <w:ind w:left="0" w:firstLine="0"/>
              <w:rPr>
                <w:rFonts w:hint="eastAsia" w:cs="Times New Roman"/>
                <w:color w:val="auto"/>
                <w:sz w:val="21"/>
                <w:szCs w:val="18"/>
                <w:lang w:val="en-US" w:eastAsia="zh-CN"/>
              </w:rPr>
            </w:pPr>
          </w:p>
        </w:tc>
        <w:tc>
          <w:tcPr>
            <w:tcW w:w="422" w:type="pct"/>
            <w:tcBorders>
              <w:tl2br w:val="nil"/>
              <w:tr2bl w:val="nil"/>
            </w:tcBorders>
            <w:vAlign w:val="center"/>
          </w:tcPr>
          <w:p w14:paraId="6F398801">
            <w:pPr>
              <w:pStyle w:val="52"/>
              <w:spacing w:before="0" w:after="0" w:line="240" w:lineRule="auto"/>
              <w:ind w:left="0" w:firstLine="0"/>
              <w:rPr>
                <w:rFonts w:hint="default" w:cs="Times New Roman"/>
                <w:color w:val="auto"/>
                <w:sz w:val="21"/>
                <w:szCs w:val="18"/>
                <w:lang w:val="en-US" w:eastAsia="zh-CN"/>
              </w:rPr>
            </w:pPr>
            <w:r>
              <w:rPr>
                <w:rFonts w:hint="eastAsia" w:cs="Times New Roman"/>
                <w:color w:val="auto"/>
                <w:sz w:val="21"/>
                <w:szCs w:val="18"/>
                <w:lang w:val="en-US" w:eastAsia="zh-CN"/>
              </w:rPr>
              <w:t>输送系统</w:t>
            </w:r>
          </w:p>
        </w:tc>
        <w:tc>
          <w:tcPr>
            <w:tcW w:w="367" w:type="pct"/>
            <w:tcBorders>
              <w:tl2br w:val="nil"/>
              <w:tr2bl w:val="nil"/>
            </w:tcBorders>
            <w:vAlign w:val="center"/>
          </w:tcPr>
          <w:p w14:paraId="5292617C">
            <w:pPr>
              <w:pStyle w:val="52"/>
              <w:spacing w:before="0" w:after="0" w:line="240" w:lineRule="auto"/>
              <w:ind w:left="0" w:firstLine="0"/>
              <w:rPr>
                <w:rFonts w:hint="eastAsia"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颗粒物</w:t>
            </w:r>
          </w:p>
        </w:tc>
        <w:tc>
          <w:tcPr>
            <w:tcW w:w="497" w:type="pct"/>
            <w:tcBorders>
              <w:tl2br w:val="nil"/>
              <w:tr2bl w:val="nil"/>
            </w:tcBorders>
            <w:vAlign w:val="center"/>
          </w:tcPr>
          <w:p w14:paraId="6DA29BCF">
            <w:pPr>
              <w:pStyle w:val="52"/>
              <w:spacing w:before="0" w:after="0" w:line="240" w:lineRule="auto"/>
              <w:ind w:left="0" w:firstLine="0"/>
              <w:rPr>
                <w:rFonts w:hint="default" w:cs="Times New Roman"/>
                <w:color w:val="auto"/>
                <w:sz w:val="21"/>
                <w:szCs w:val="18"/>
                <w:lang w:val="en-US" w:eastAsia="zh-CN"/>
              </w:rPr>
            </w:pPr>
            <w:r>
              <w:rPr>
                <w:rFonts w:hint="eastAsia" w:cs="Times New Roman"/>
                <w:color w:val="auto"/>
                <w:sz w:val="21"/>
                <w:szCs w:val="18"/>
                <w:lang w:val="en-US" w:eastAsia="zh-CN"/>
              </w:rPr>
              <w:t>有组织</w:t>
            </w:r>
          </w:p>
        </w:tc>
        <w:tc>
          <w:tcPr>
            <w:tcW w:w="509" w:type="pct"/>
            <w:tcBorders>
              <w:tl2br w:val="nil"/>
              <w:tr2bl w:val="nil"/>
            </w:tcBorders>
            <w:vAlign w:val="center"/>
          </w:tcPr>
          <w:p w14:paraId="5A229A0F">
            <w:pPr>
              <w:pStyle w:val="52"/>
              <w:spacing w:before="0" w:after="0" w:line="240" w:lineRule="auto"/>
              <w:ind w:left="0" w:firstLine="0"/>
              <w:rPr>
                <w:rFonts w:hint="eastAsia" w:ascii="Times New Roman" w:hAnsi="Times New Roman" w:eastAsia="宋体" w:cs="Times New Roman"/>
                <w:bCs/>
                <w:color w:val="auto"/>
                <w:sz w:val="21"/>
                <w:szCs w:val="18"/>
                <w:lang w:val="en-US" w:eastAsia="zh-CN"/>
              </w:rPr>
            </w:pPr>
            <w:r>
              <w:rPr>
                <w:rFonts w:hint="eastAsia" w:cs="Times New Roman"/>
                <w:bCs/>
                <w:color w:val="auto"/>
                <w:sz w:val="21"/>
                <w:szCs w:val="18"/>
                <w:lang w:val="en-US" w:eastAsia="zh-CN"/>
              </w:rPr>
              <w:t>设备全密闭+布袋除尘</w:t>
            </w:r>
          </w:p>
        </w:tc>
        <w:tc>
          <w:tcPr>
            <w:tcW w:w="623" w:type="pct"/>
            <w:tcBorders>
              <w:tl2br w:val="nil"/>
              <w:tr2bl w:val="nil"/>
            </w:tcBorders>
            <w:vAlign w:val="center"/>
          </w:tcPr>
          <w:p w14:paraId="77B6C16D">
            <w:pPr>
              <w:pStyle w:val="52"/>
              <w:spacing w:before="0" w:after="0" w:line="240" w:lineRule="auto"/>
              <w:ind w:left="0" w:firstLine="0"/>
              <w:rPr>
                <w:rFonts w:hint="default" w:ascii="Times New Roman" w:hAnsi="Times New Roman" w:cs="Times New Roman"/>
                <w:color w:val="auto"/>
                <w:sz w:val="21"/>
                <w:szCs w:val="18"/>
                <w:lang w:val="en-US" w:eastAsia="zh-CN"/>
              </w:rPr>
            </w:pPr>
            <w:r>
              <w:rPr>
                <w:rFonts w:hint="eastAsia" w:cs="Times New Roman"/>
                <w:color w:val="auto"/>
                <w:sz w:val="21"/>
                <w:szCs w:val="18"/>
                <w:lang w:val="en-US" w:eastAsia="zh-CN"/>
              </w:rPr>
              <w:t>0.015</w:t>
            </w:r>
          </w:p>
        </w:tc>
        <w:tc>
          <w:tcPr>
            <w:tcW w:w="382" w:type="pct"/>
            <w:tcBorders>
              <w:tl2br w:val="nil"/>
              <w:tr2bl w:val="nil"/>
            </w:tcBorders>
            <w:vAlign w:val="center"/>
          </w:tcPr>
          <w:p w14:paraId="00AF5EE9">
            <w:pPr>
              <w:pStyle w:val="52"/>
              <w:spacing w:before="0" w:after="0" w:line="240" w:lineRule="auto"/>
              <w:ind w:left="0" w:firstLine="0"/>
              <w:rPr>
                <w:rFonts w:hint="default" w:ascii="Times New Roman" w:hAnsi="Times New Roman" w:cs="Times New Roman"/>
                <w:color w:val="auto"/>
                <w:sz w:val="21"/>
                <w:szCs w:val="18"/>
                <w:lang w:val="en-US" w:eastAsia="zh-CN"/>
              </w:rPr>
            </w:pPr>
            <w:r>
              <w:rPr>
                <w:rFonts w:hint="eastAsia" w:cs="Times New Roman"/>
                <w:color w:val="auto"/>
                <w:sz w:val="21"/>
                <w:szCs w:val="18"/>
                <w:lang w:val="en-US" w:eastAsia="zh-CN"/>
              </w:rPr>
              <w:t>0.0003</w:t>
            </w:r>
          </w:p>
        </w:tc>
        <w:tc>
          <w:tcPr>
            <w:tcW w:w="422" w:type="pct"/>
            <w:tcBorders>
              <w:tl2br w:val="nil"/>
              <w:tr2bl w:val="nil"/>
            </w:tcBorders>
            <w:vAlign w:val="center"/>
          </w:tcPr>
          <w:p w14:paraId="17D3E238">
            <w:pPr>
              <w:pStyle w:val="52"/>
              <w:spacing w:before="0" w:after="0" w:line="240" w:lineRule="auto"/>
              <w:ind w:left="0" w:firstLine="0"/>
              <w:rPr>
                <w:rFonts w:hint="default" w:ascii="Times New Roman" w:hAnsi="Times New Roman" w:cs="Times New Roman"/>
                <w:color w:val="auto"/>
                <w:sz w:val="21"/>
                <w:szCs w:val="18"/>
                <w:lang w:val="en-US" w:eastAsia="zh-CN"/>
              </w:rPr>
            </w:pPr>
            <w:r>
              <w:rPr>
                <w:rFonts w:hint="eastAsia" w:cs="Times New Roman"/>
                <w:color w:val="auto"/>
                <w:sz w:val="21"/>
                <w:szCs w:val="18"/>
                <w:lang w:val="en-US" w:eastAsia="zh-CN"/>
              </w:rPr>
              <w:t>/</w:t>
            </w:r>
          </w:p>
        </w:tc>
        <w:tc>
          <w:tcPr>
            <w:tcW w:w="630" w:type="pct"/>
            <w:tcBorders>
              <w:tl2br w:val="nil"/>
              <w:tr2bl w:val="nil"/>
            </w:tcBorders>
            <w:vAlign w:val="center"/>
          </w:tcPr>
          <w:p w14:paraId="19FBC318">
            <w:pPr>
              <w:pStyle w:val="52"/>
              <w:spacing w:before="0" w:after="0" w:line="240" w:lineRule="auto"/>
              <w:ind w:left="0" w:firstLine="0"/>
              <w:rPr>
                <w:rFonts w:hint="eastAsia" w:ascii="Times New Roman" w:hAnsi="Times New Roman" w:cs="Times New Roman"/>
                <w:color w:val="auto"/>
                <w:sz w:val="21"/>
                <w:szCs w:val="18"/>
                <w:lang w:val="en-US" w:eastAsia="zh-CN"/>
              </w:rPr>
            </w:pPr>
            <w:r>
              <w:rPr>
                <w:rFonts w:hint="eastAsia" w:cs="Times New Roman"/>
                <w:color w:val="auto"/>
                <w:sz w:val="21"/>
                <w:szCs w:val="18"/>
                <w:lang w:val="en-US" w:eastAsia="zh-CN"/>
              </w:rPr>
              <w:t>20</w:t>
            </w:r>
          </w:p>
        </w:tc>
        <w:tc>
          <w:tcPr>
            <w:tcW w:w="394" w:type="pct"/>
            <w:tcBorders>
              <w:tl2br w:val="nil"/>
              <w:tr2bl w:val="nil"/>
            </w:tcBorders>
            <w:shd w:val="clear" w:color="auto" w:fill="auto"/>
            <w:vAlign w:val="center"/>
          </w:tcPr>
          <w:p w14:paraId="096F4E81">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lang w:val="zh-CN" w:eastAsia="zh-CN" w:bidi="ar-SA"/>
              </w:rPr>
            </w:pPr>
            <w:r>
              <w:rPr>
                <w:rFonts w:hint="default" w:ascii="Times New Roman" w:hAnsi="Times New Roman" w:cs="Times New Roman"/>
                <w:color w:val="auto"/>
                <w:sz w:val="21"/>
                <w:szCs w:val="18"/>
              </w:rPr>
              <w:t>GB4915表</w:t>
            </w:r>
            <w:r>
              <w:rPr>
                <w:rFonts w:hint="eastAsia" w:cs="Times New Roman"/>
                <w:color w:val="auto"/>
                <w:sz w:val="21"/>
                <w:szCs w:val="18"/>
                <w:lang w:val="en-US" w:eastAsia="zh-CN"/>
              </w:rPr>
              <w:t>1</w:t>
            </w:r>
          </w:p>
        </w:tc>
      </w:tr>
      <w:tr w14:paraId="69FE90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Merge w:val="restart"/>
            <w:tcBorders>
              <w:tl2br w:val="nil"/>
              <w:tr2bl w:val="nil"/>
            </w:tcBorders>
            <w:vAlign w:val="center"/>
          </w:tcPr>
          <w:p w14:paraId="0EDFD99F">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固体废物</w:t>
            </w:r>
          </w:p>
        </w:tc>
        <w:tc>
          <w:tcPr>
            <w:tcW w:w="368" w:type="pct"/>
            <w:tcBorders>
              <w:tl2br w:val="nil"/>
              <w:tr2bl w:val="nil"/>
            </w:tcBorders>
            <w:vAlign w:val="center"/>
          </w:tcPr>
          <w:p w14:paraId="4A34F1D1">
            <w:pPr>
              <w:pStyle w:val="52"/>
              <w:spacing w:before="0" w:after="0" w:line="240" w:lineRule="auto"/>
              <w:ind w:left="0" w:firstLine="0"/>
              <w:rPr>
                <w:rFonts w:hint="default" w:ascii="Times New Roman" w:hAnsi="Times New Roman" w:cs="Times New Roman"/>
                <w:color w:val="auto"/>
                <w:sz w:val="21"/>
                <w:szCs w:val="18"/>
              </w:rPr>
            </w:pPr>
            <w:r>
              <w:rPr>
                <w:rFonts w:hint="eastAsia" w:cs="Times New Roman"/>
                <w:color w:val="auto"/>
                <w:sz w:val="21"/>
                <w:szCs w:val="18"/>
                <w:lang w:val="en-US" w:eastAsia="zh-CN"/>
              </w:rPr>
              <w:t>辅助工程</w:t>
            </w:r>
          </w:p>
        </w:tc>
        <w:tc>
          <w:tcPr>
            <w:tcW w:w="422" w:type="pct"/>
            <w:tcBorders>
              <w:tl2br w:val="nil"/>
              <w:tr2bl w:val="nil"/>
            </w:tcBorders>
            <w:vAlign w:val="center"/>
          </w:tcPr>
          <w:p w14:paraId="664BB0E4">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default" w:ascii="Times New Roman" w:hAnsi="Times New Roman" w:cs="Times New Roman"/>
                <w:color w:val="auto"/>
                <w:sz w:val="21"/>
                <w:szCs w:val="18"/>
              </w:rPr>
              <w:t>危废</w:t>
            </w:r>
            <w:r>
              <w:rPr>
                <w:rFonts w:hint="eastAsia" w:cs="Times New Roman"/>
                <w:color w:val="auto"/>
                <w:sz w:val="21"/>
                <w:szCs w:val="18"/>
                <w:lang w:val="en-US" w:eastAsia="zh-CN"/>
              </w:rPr>
              <w:t>卸料</w:t>
            </w:r>
          </w:p>
        </w:tc>
        <w:tc>
          <w:tcPr>
            <w:tcW w:w="367" w:type="pct"/>
            <w:tcBorders>
              <w:tl2br w:val="nil"/>
              <w:tr2bl w:val="nil"/>
            </w:tcBorders>
            <w:vAlign w:val="center"/>
          </w:tcPr>
          <w:p w14:paraId="2AF054B3">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废包装物</w:t>
            </w:r>
          </w:p>
        </w:tc>
        <w:tc>
          <w:tcPr>
            <w:tcW w:w="497" w:type="pct"/>
            <w:tcBorders>
              <w:tl2br w:val="nil"/>
              <w:tr2bl w:val="nil"/>
            </w:tcBorders>
            <w:vAlign w:val="center"/>
          </w:tcPr>
          <w:p w14:paraId="42AE8FC5">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不排放</w:t>
            </w:r>
          </w:p>
        </w:tc>
        <w:tc>
          <w:tcPr>
            <w:tcW w:w="509" w:type="pct"/>
            <w:tcBorders>
              <w:tl2br w:val="nil"/>
              <w:tr2bl w:val="nil"/>
            </w:tcBorders>
            <w:vAlign w:val="center"/>
          </w:tcPr>
          <w:p w14:paraId="0D415509">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入窑</w:t>
            </w:r>
          </w:p>
          <w:p w14:paraId="381EA7A1">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焚烧</w:t>
            </w:r>
          </w:p>
        </w:tc>
        <w:tc>
          <w:tcPr>
            <w:tcW w:w="623" w:type="pct"/>
            <w:tcBorders>
              <w:tl2br w:val="nil"/>
              <w:tr2bl w:val="nil"/>
            </w:tcBorders>
            <w:vAlign w:val="center"/>
          </w:tcPr>
          <w:p w14:paraId="7B0DA2A0">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w:t>
            </w:r>
          </w:p>
        </w:tc>
        <w:tc>
          <w:tcPr>
            <w:tcW w:w="382" w:type="pct"/>
            <w:tcBorders>
              <w:tl2br w:val="nil"/>
              <w:tr2bl w:val="nil"/>
            </w:tcBorders>
            <w:vAlign w:val="center"/>
          </w:tcPr>
          <w:p w14:paraId="0FB116B2">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2.5</w:t>
            </w:r>
          </w:p>
        </w:tc>
        <w:tc>
          <w:tcPr>
            <w:tcW w:w="422" w:type="pct"/>
            <w:tcBorders>
              <w:tl2br w:val="nil"/>
              <w:tr2bl w:val="nil"/>
            </w:tcBorders>
            <w:vAlign w:val="center"/>
          </w:tcPr>
          <w:p w14:paraId="4D628B5C">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w:t>
            </w:r>
          </w:p>
        </w:tc>
        <w:tc>
          <w:tcPr>
            <w:tcW w:w="630" w:type="pct"/>
            <w:tcBorders>
              <w:tl2br w:val="nil"/>
              <w:tr2bl w:val="nil"/>
            </w:tcBorders>
            <w:vAlign w:val="center"/>
          </w:tcPr>
          <w:p w14:paraId="5A6B8683">
            <w:pPr>
              <w:pStyle w:val="52"/>
              <w:spacing w:before="0" w:after="0" w:line="240" w:lineRule="auto"/>
              <w:ind w:left="0" w:firstLine="0"/>
              <w:rPr>
                <w:rFonts w:hint="eastAsia"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w:t>
            </w:r>
          </w:p>
        </w:tc>
        <w:tc>
          <w:tcPr>
            <w:tcW w:w="394" w:type="pct"/>
            <w:tcBorders>
              <w:tl2br w:val="nil"/>
              <w:tr2bl w:val="nil"/>
            </w:tcBorders>
            <w:vAlign w:val="center"/>
          </w:tcPr>
          <w:p w14:paraId="7D886326">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21"/>
              </w:rPr>
              <w:t>GB18597</w:t>
            </w:r>
          </w:p>
        </w:tc>
      </w:tr>
      <w:tr w14:paraId="1F1B03AA">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Merge w:val="continue"/>
            <w:tcBorders>
              <w:tl2br w:val="nil"/>
              <w:tr2bl w:val="nil"/>
            </w:tcBorders>
            <w:vAlign w:val="center"/>
          </w:tcPr>
          <w:p w14:paraId="5FA92C28">
            <w:pPr>
              <w:pStyle w:val="52"/>
              <w:spacing w:before="0" w:after="0" w:line="240" w:lineRule="auto"/>
              <w:ind w:left="0" w:firstLine="0"/>
              <w:rPr>
                <w:rFonts w:hint="default" w:ascii="Times New Roman" w:hAnsi="Times New Roman" w:cs="Times New Roman"/>
                <w:color w:val="auto"/>
                <w:sz w:val="21"/>
                <w:szCs w:val="18"/>
              </w:rPr>
            </w:pPr>
          </w:p>
        </w:tc>
        <w:tc>
          <w:tcPr>
            <w:tcW w:w="368" w:type="pct"/>
            <w:tcBorders>
              <w:tl2br w:val="nil"/>
              <w:tr2bl w:val="nil"/>
            </w:tcBorders>
            <w:vAlign w:val="center"/>
          </w:tcPr>
          <w:p w14:paraId="0977C721">
            <w:pPr>
              <w:pStyle w:val="52"/>
              <w:spacing w:before="0" w:after="0" w:line="240" w:lineRule="auto"/>
              <w:ind w:left="0" w:firstLine="0"/>
              <w:rPr>
                <w:rFonts w:hint="default" w:cs="Times New Roman"/>
                <w:color w:val="auto"/>
                <w:sz w:val="21"/>
                <w:szCs w:val="18"/>
                <w:lang w:val="en-US" w:eastAsia="zh-CN"/>
              </w:rPr>
            </w:pPr>
            <w:r>
              <w:rPr>
                <w:rFonts w:hint="eastAsia" w:cs="Times New Roman"/>
                <w:color w:val="auto"/>
                <w:sz w:val="21"/>
                <w:szCs w:val="18"/>
                <w:lang w:val="en-US" w:eastAsia="zh-CN"/>
              </w:rPr>
              <w:t>环保工程</w:t>
            </w:r>
          </w:p>
        </w:tc>
        <w:tc>
          <w:tcPr>
            <w:tcW w:w="422" w:type="pct"/>
            <w:tcBorders>
              <w:tl2br w:val="nil"/>
              <w:tr2bl w:val="nil"/>
            </w:tcBorders>
            <w:vAlign w:val="center"/>
          </w:tcPr>
          <w:p w14:paraId="43EEE744">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废气治理</w:t>
            </w:r>
          </w:p>
        </w:tc>
        <w:tc>
          <w:tcPr>
            <w:tcW w:w="367" w:type="pct"/>
            <w:tcBorders>
              <w:tl2br w:val="nil"/>
              <w:tr2bl w:val="nil"/>
            </w:tcBorders>
            <w:vAlign w:val="center"/>
          </w:tcPr>
          <w:p w14:paraId="33943A50">
            <w:pPr>
              <w:pStyle w:val="52"/>
              <w:spacing w:before="0" w:after="0" w:line="240" w:lineRule="auto"/>
              <w:ind w:left="0" w:firstLine="0"/>
              <w:rPr>
                <w:rFonts w:hint="default" w:ascii="Times New Roman" w:hAnsi="Times New Roman" w:cs="Times New Roman"/>
                <w:color w:val="auto"/>
                <w:sz w:val="21"/>
                <w:szCs w:val="18"/>
              </w:rPr>
            </w:pPr>
            <w:r>
              <w:rPr>
                <w:rFonts w:hint="eastAsia" w:cs="Times New Roman"/>
                <w:color w:val="auto"/>
                <w:sz w:val="21"/>
                <w:szCs w:val="18"/>
                <w:lang w:val="en-US" w:eastAsia="zh-CN"/>
              </w:rPr>
              <w:t>除尘灰</w:t>
            </w:r>
          </w:p>
        </w:tc>
        <w:tc>
          <w:tcPr>
            <w:tcW w:w="497" w:type="pct"/>
            <w:tcBorders>
              <w:tl2br w:val="nil"/>
              <w:tr2bl w:val="nil"/>
            </w:tcBorders>
            <w:shd w:val="clear" w:color="auto" w:fill="auto"/>
            <w:vAlign w:val="center"/>
          </w:tcPr>
          <w:p w14:paraId="794C252E">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不排放</w:t>
            </w:r>
          </w:p>
        </w:tc>
        <w:tc>
          <w:tcPr>
            <w:tcW w:w="509" w:type="pct"/>
            <w:tcBorders>
              <w:tl2br w:val="nil"/>
              <w:tr2bl w:val="nil"/>
            </w:tcBorders>
            <w:shd w:val="clear" w:color="auto" w:fill="auto"/>
            <w:vAlign w:val="center"/>
          </w:tcPr>
          <w:p w14:paraId="1DEF71CF">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入窑焚烧</w:t>
            </w:r>
          </w:p>
        </w:tc>
        <w:tc>
          <w:tcPr>
            <w:tcW w:w="623" w:type="pct"/>
            <w:tcBorders>
              <w:tl2br w:val="nil"/>
              <w:tr2bl w:val="nil"/>
            </w:tcBorders>
            <w:shd w:val="clear" w:color="auto" w:fill="auto"/>
            <w:vAlign w:val="center"/>
          </w:tcPr>
          <w:p w14:paraId="42588A7E">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w:t>
            </w:r>
          </w:p>
        </w:tc>
        <w:tc>
          <w:tcPr>
            <w:tcW w:w="382" w:type="pct"/>
            <w:tcBorders>
              <w:tl2br w:val="nil"/>
              <w:tr2bl w:val="nil"/>
            </w:tcBorders>
            <w:shd w:val="clear" w:color="auto" w:fill="auto"/>
            <w:vAlign w:val="center"/>
          </w:tcPr>
          <w:p w14:paraId="1D395AAA">
            <w:pPr>
              <w:pStyle w:val="52"/>
              <w:spacing w:before="0" w:after="0" w:line="240" w:lineRule="auto"/>
              <w:ind w:left="0" w:leftChars="0" w:firstLine="0" w:firstLineChars="0"/>
              <w:rPr>
                <w:rFonts w:hint="eastAsia"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53.8777</w:t>
            </w:r>
          </w:p>
        </w:tc>
        <w:tc>
          <w:tcPr>
            <w:tcW w:w="422" w:type="pct"/>
            <w:tcBorders>
              <w:tl2br w:val="nil"/>
              <w:tr2bl w:val="nil"/>
            </w:tcBorders>
            <w:shd w:val="clear" w:color="auto" w:fill="auto"/>
            <w:vAlign w:val="center"/>
          </w:tcPr>
          <w:p w14:paraId="479B8962">
            <w:pPr>
              <w:pStyle w:val="52"/>
              <w:spacing w:before="0" w:after="0" w:line="240" w:lineRule="auto"/>
              <w:ind w:left="0" w:leftChars="0" w:firstLine="0" w:firstLineChars="0"/>
              <w:rPr>
                <w:rFonts w:hint="default"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w:t>
            </w:r>
          </w:p>
        </w:tc>
        <w:tc>
          <w:tcPr>
            <w:tcW w:w="630" w:type="pct"/>
            <w:tcBorders>
              <w:tl2br w:val="nil"/>
              <w:tr2bl w:val="nil"/>
            </w:tcBorders>
            <w:shd w:val="clear" w:color="auto" w:fill="auto"/>
            <w:vAlign w:val="center"/>
          </w:tcPr>
          <w:p w14:paraId="7F35D584">
            <w:pPr>
              <w:pStyle w:val="52"/>
              <w:spacing w:before="0" w:after="0" w:line="240" w:lineRule="auto"/>
              <w:ind w:left="0" w:leftChars="0" w:firstLine="0" w:firstLineChars="0"/>
              <w:rPr>
                <w:rFonts w:hint="eastAsia" w:ascii="Times New Roman" w:hAnsi="Times New Roman" w:eastAsia="宋体" w:cs="Times New Roman"/>
                <w:color w:val="auto"/>
                <w:kern w:val="0"/>
                <w:sz w:val="21"/>
                <w:szCs w:val="18"/>
                <w:highlight w:val="none"/>
                <w:lang w:val="en-US" w:eastAsia="zh-CN" w:bidi="ar-SA"/>
              </w:rPr>
            </w:pPr>
            <w:r>
              <w:rPr>
                <w:rFonts w:hint="eastAsia" w:cs="Times New Roman"/>
                <w:color w:val="auto"/>
                <w:sz w:val="21"/>
                <w:szCs w:val="18"/>
                <w:highlight w:val="none"/>
                <w:lang w:val="en-US" w:eastAsia="zh-CN"/>
              </w:rPr>
              <w:t>/</w:t>
            </w:r>
          </w:p>
        </w:tc>
        <w:tc>
          <w:tcPr>
            <w:tcW w:w="394" w:type="pct"/>
            <w:tcBorders>
              <w:tl2br w:val="nil"/>
              <w:tr2bl w:val="nil"/>
            </w:tcBorders>
            <w:shd w:val="clear" w:color="auto" w:fill="auto"/>
            <w:vAlign w:val="center"/>
          </w:tcPr>
          <w:p w14:paraId="59594105">
            <w:pPr>
              <w:pStyle w:val="52"/>
              <w:spacing w:before="0" w:after="0" w:line="240" w:lineRule="auto"/>
              <w:ind w:left="0" w:lef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GB18597</w:t>
            </w:r>
          </w:p>
        </w:tc>
      </w:tr>
      <w:tr w14:paraId="2A398378">
        <w:tblPrEx>
          <w:tblBorders>
            <w:top w:val="single" w:color="auto" w:sz="18" w:space="0"/>
            <w:left w:val="none" w:color="auto" w:sz="0" w:space="0"/>
            <w:bottom w:val="single" w:color="auto" w:sz="18"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80" w:type="pct"/>
            <w:vMerge w:val="continue"/>
            <w:tcBorders>
              <w:tl2br w:val="nil"/>
              <w:tr2bl w:val="nil"/>
            </w:tcBorders>
            <w:vAlign w:val="center"/>
          </w:tcPr>
          <w:p w14:paraId="4662B6CB">
            <w:pPr>
              <w:pStyle w:val="52"/>
              <w:spacing w:before="0" w:after="0" w:line="240" w:lineRule="auto"/>
              <w:ind w:left="0" w:firstLine="0"/>
              <w:rPr>
                <w:rFonts w:hint="default" w:ascii="Times New Roman" w:hAnsi="Times New Roman" w:cs="Times New Roman"/>
                <w:color w:val="auto"/>
                <w:sz w:val="21"/>
                <w:szCs w:val="18"/>
              </w:rPr>
            </w:pPr>
          </w:p>
        </w:tc>
        <w:tc>
          <w:tcPr>
            <w:tcW w:w="368" w:type="pct"/>
            <w:tcBorders>
              <w:tl2br w:val="nil"/>
              <w:tr2bl w:val="nil"/>
            </w:tcBorders>
            <w:vAlign w:val="center"/>
          </w:tcPr>
          <w:p w14:paraId="4FAD99F5">
            <w:pPr>
              <w:pStyle w:val="52"/>
              <w:spacing w:before="0" w:after="0" w:line="240" w:lineRule="auto"/>
              <w:ind w:left="0" w:firstLine="0"/>
              <w:rPr>
                <w:rFonts w:hint="default" w:ascii="Times New Roman" w:hAnsi="Times New Roman" w:cs="Times New Roman"/>
                <w:color w:val="auto"/>
                <w:sz w:val="21"/>
                <w:szCs w:val="18"/>
              </w:rPr>
            </w:pPr>
            <w:r>
              <w:rPr>
                <w:rFonts w:hint="eastAsia" w:cs="Times New Roman"/>
                <w:color w:val="auto"/>
                <w:sz w:val="21"/>
                <w:szCs w:val="18"/>
                <w:lang w:val="en-US" w:eastAsia="zh-CN"/>
              </w:rPr>
              <w:t>化验室</w:t>
            </w:r>
          </w:p>
        </w:tc>
        <w:tc>
          <w:tcPr>
            <w:tcW w:w="422" w:type="pct"/>
            <w:tcBorders>
              <w:tl2br w:val="nil"/>
              <w:tr2bl w:val="nil"/>
            </w:tcBorders>
            <w:vAlign w:val="center"/>
          </w:tcPr>
          <w:p w14:paraId="46DE3BAC">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化验过程</w:t>
            </w:r>
          </w:p>
        </w:tc>
        <w:tc>
          <w:tcPr>
            <w:tcW w:w="367" w:type="pct"/>
            <w:tcBorders>
              <w:tl2br w:val="nil"/>
              <w:tr2bl w:val="nil"/>
            </w:tcBorders>
            <w:vAlign w:val="center"/>
          </w:tcPr>
          <w:p w14:paraId="1B72572E">
            <w:pPr>
              <w:pStyle w:val="52"/>
              <w:spacing w:before="0" w:after="0" w:line="240" w:lineRule="auto"/>
              <w:ind w:left="0" w:firstLine="0"/>
              <w:rPr>
                <w:rFonts w:hint="default" w:ascii="Times New Roman" w:hAnsi="Times New Roman" w:cs="Times New Roman"/>
                <w:color w:val="auto"/>
                <w:sz w:val="21"/>
                <w:szCs w:val="18"/>
              </w:rPr>
            </w:pPr>
            <w:r>
              <w:rPr>
                <w:rFonts w:hint="default" w:ascii="Times New Roman" w:hAnsi="Times New Roman" w:cs="Times New Roman"/>
                <w:color w:val="auto"/>
                <w:sz w:val="21"/>
                <w:szCs w:val="18"/>
              </w:rPr>
              <w:t>化验废物</w:t>
            </w:r>
          </w:p>
        </w:tc>
        <w:tc>
          <w:tcPr>
            <w:tcW w:w="497" w:type="pct"/>
            <w:tcBorders>
              <w:tl2br w:val="nil"/>
              <w:tr2bl w:val="nil"/>
            </w:tcBorders>
            <w:vAlign w:val="center"/>
          </w:tcPr>
          <w:p w14:paraId="1C8291AD">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危险废物贮存库</w:t>
            </w:r>
          </w:p>
        </w:tc>
        <w:tc>
          <w:tcPr>
            <w:tcW w:w="509" w:type="pct"/>
            <w:tcBorders>
              <w:tl2br w:val="nil"/>
              <w:tr2bl w:val="nil"/>
            </w:tcBorders>
            <w:vAlign w:val="center"/>
          </w:tcPr>
          <w:p w14:paraId="583AC913">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交有资质单位处置</w:t>
            </w:r>
          </w:p>
        </w:tc>
        <w:tc>
          <w:tcPr>
            <w:tcW w:w="623" w:type="pct"/>
            <w:tcBorders>
              <w:tl2br w:val="nil"/>
              <w:tr2bl w:val="nil"/>
            </w:tcBorders>
            <w:vAlign w:val="center"/>
          </w:tcPr>
          <w:p w14:paraId="162E1008">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w:t>
            </w:r>
          </w:p>
        </w:tc>
        <w:tc>
          <w:tcPr>
            <w:tcW w:w="382" w:type="pct"/>
            <w:tcBorders>
              <w:tl2br w:val="nil"/>
              <w:tr2bl w:val="nil"/>
            </w:tcBorders>
            <w:vAlign w:val="center"/>
          </w:tcPr>
          <w:p w14:paraId="2A2D58FD">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0.05</w:t>
            </w:r>
          </w:p>
        </w:tc>
        <w:tc>
          <w:tcPr>
            <w:tcW w:w="422" w:type="pct"/>
            <w:tcBorders>
              <w:tl2br w:val="nil"/>
              <w:tr2bl w:val="nil"/>
            </w:tcBorders>
            <w:vAlign w:val="center"/>
          </w:tcPr>
          <w:p w14:paraId="5554C12B">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w:t>
            </w:r>
          </w:p>
        </w:tc>
        <w:tc>
          <w:tcPr>
            <w:tcW w:w="630" w:type="pct"/>
            <w:tcBorders>
              <w:tl2br w:val="nil"/>
              <w:tr2bl w:val="nil"/>
            </w:tcBorders>
            <w:vAlign w:val="center"/>
          </w:tcPr>
          <w:p w14:paraId="67C57A50">
            <w:pPr>
              <w:pStyle w:val="52"/>
              <w:spacing w:before="0" w:after="0" w:line="240" w:lineRule="auto"/>
              <w:ind w:left="0" w:firstLine="0"/>
              <w:rPr>
                <w:rFonts w:hint="default" w:ascii="Times New Roman" w:hAnsi="Times New Roman" w:eastAsia="宋体" w:cs="Times New Roman"/>
                <w:color w:val="auto"/>
                <w:sz w:val="21"/>
                <w:szCs w:val="18"/>
                <w:lang w:val="en-US" w:eastAsia="zh-CN"/>
              </w:rPr>
            </w:pPr>
            <w:r>
              <w:rPr>
                <w:rFonts w:hint="eastAsia" w:cs="Times New Roman"/>
                <w:color w:val="auto"/>
                <w:sz w:val="21"/>
                <w:szCs w:val="18"/>
                <w:lang w:val="en-US" w:eastAsia="zh-CN"/>
              </w:rPr>
              <w:t>/</w:t>
            </w:r>
          </w:p>
        </w:tc>
        <w:tc>
          <w:tcPr>
            <w:tcW w:w="394" w:type="pct"/>
            <w:tcBorders>
              <w:tl2br w:val="nil"/>
              <w:tr2bl w:val="nil"/>
            </w:tcBorders>
            <w:vAlign w:val="center"/>
          </w:tcPr>
          <w:p w14:paraId="5989CA5F">
            <w:pPr>
              <w:pStyle w:val="52"/>
              <w:spacing w:before="0" w:after="0" w:line="240" w:lineRule="auto"/>
              <w:ind w:left="0" w:firstLine="0"/>
              <w:rPr>
                <w:rFonts w:hint="default" w:ascii="Times New Roman" w:hAnsi="Times New Roman" w:cs="Times New Roman"/>
                <w:color w:val="auto"/>
                <w:sz w:val="15"/>
                <w:szCs w:val="15"/>
              </w:rPr>
            </w:pPr>
            <w:r>
              <w:rPr>
                <w:rFonts w:hint="default" w:ascii="Times New Roman" w:hAnsi="Times New Roman" w:cs="Times New Roman"/>
                <w:color w:val="auto"/>
                <w:sz w:val="21"/>
                <w:szCs w:val="21"/>
              </w:rPr>
              <w:t>GB18597</w:t>
            </w:r>
          </w:p>
        </w:tc>
      </w:tr>
    </w:tbl>
    <w:p w14:paraId="77BEE4EA">
      <w:pPr>
        <w:pStyle w:val="3"/>
        <w:keepNext/>
        <w:keepLines/>
        <w:pageBreakBefore w:val="0"/>
        <w:widowControl/>
        <w:kinsoku/>
        <w:wordWrap/>
        <w:overflowPunct/>
        <w:topLinePunct w:val="0"/>
        <w:autoSpaceDE/>
        <w:autoSpaceDN/>
        <w:bidi w:val="0"/>
        <w:adjustRightInd/>
        <w:snapToGrid/>
        <w:spacing w:before="157" w:beforeLines="50" w:afterLines="0" w:line="360" w:lineRule="auto"/>
        <w:textAlignment w:val="auto"/>
        <w:rPr>
          <w:rFonts w:hint="default" w:ascii="Times New Roman" w:hAnsi="Times New Roman" w:eastAsia="宋体" w:cs="Times New Roman"/>
          <w:sz w:val="24"/>
          <w:szCs w:val="18"/>
          <w:highlight w:val="none"/>
          <w:lang w:val="en-US" w:eastAsia="zh-CN"/>
        </w:rPr>
      </w:pPr>
      <w:bookmarkStart w:id="1039" w:name="_Toc27045"/>
      <w:bookmarkStart w:id="1040" w:name="_Toc25679"/>
      <w:r>
        <w:rPr>
          <w:rFonts w:hint="default" w:ascii="Times New Roman" w:hAnsi="Times New Roman" w:cs="Times New Roman"/>
          <w:sz w:val="24"/>
          <w:szCs w:val="18"/>
          <w:highlight w:val="none"/>
          <w:lang w:val="en-US" w:eastAsia="zh-CN"/>
        </w:rPr>
        <w:t>8.4</w:t>
      </w:r>
      <w:r>
        <w:rPr>
          <w:rFonts w:hint="default" w:ascii="Times New Roman" w:hAnsi="Times New Roman" w:eastAsia="宋体" w:cs="Times New Roman"/>
          <w:sz w:val="24"/>
          <w:szCs w:val="18"/>
          <w:highlight w:val="none"/>
          <w:lang w:val="en-US" w:eastAsia="zh-CN"/>
        </w:rPr>
        <w:t>竣工环保验收</w:t>
      </w:r>
      <w:bookmarkEnd w:id="1038"/>
      <w:bookmarkEnd w:id="1039"/>
      <w:bookmarkEnd w:id="1040"/>
    </w:p>
    <w:p w14:paraId="6473E088">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8.4.1环保设施竣工验收</w:t>
      </w:r>
    </w:p>
    <w:p w14:paraId="305440A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（1）环境工程设计</w:t>
      </w:r>
    </w:p>
    <w:p w14:paraId="1653B25E">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按照环评文件及其批复要求，落实工程环境设计，重点做好废气防治、废水处置与噪声治理和危险固体废物的安全处置等项工作，确保三废达标排放；污染治理设置必须与主体工程实现“三同时”。</w:t>
      </w:r>
    </w:p>
    <w:p w14:paraId="76F4EA29">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（2）验收标准与范围</w:t>
      </w:r>
    </w:p>
    <w:p w14:paraId="227C4D4C">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①按照《国务院关于修改《建设项目环境保护管理条例》的决定》（国令第682号）有关规定执行；</w:t>
      </w:r>
    </w:p>
    <w:p w14:paraId="3D6DDBF8">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②与工程有关的各项环保设施，包括为污染防治和保护环境设施建成或配套建成的工程、设备、装置；</w:t>
      </w:r>
    </w:p>
    <w:p w14:paraId="42FEE21B">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③本报告书及其批复文件和有关设计文件规定应采取的其他各项环保措施。</w:t>
      </w:r>
    </w:p>
    <w:p w14:paraId="07D48954">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（3）竣工验收</w:t>
      </w:r>
    </w:p>
    <w:p w14:paraId="03F0FC92">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建设项目竣工后，建设单位应当按照生态环境主管部门规定的标准和程序，对配套建设的环境保护设施进行验收，编制验收报告。</w:t>
      </w:r>
    </w:p>
    <w:p w14:paraId="2C1A7F10">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color w:val="000000"/>
          <w:sz w:val="24"/>
          <w:szCs w:val="24"/>
          <w:highlight w:val="none"/>
        </w:rPr>
      </w:pPr>
      <w:r>
        <w:rPr>
          <w:rFonts w:hint="default" w:ascii="Times New Roman" w:hAnsi="Times New Roman" w:eastAsia="宋体" w:cs="Times New Roman"/>
          <w:color w:val="000000"/>
          <w:sz w:val="24"/>
          <w:szCs w:val="24"/>
          <w:highlight w:val="none"/>
        </w:rPr>
        <w:t>建设单位在环境保护设施验收过程中，应当如实查验、监测、记载建设项目环境保护设施的建设和调试情况，不得弄虚作假。</w:t>
      </w:r>
    </w:p>
    <w:p w14:paraId="7409D157">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color w:val="000000"/>
          <w:sz w:val="24"/>
          <w:szCs w:val="24"/>
          <w:highlight w:val="none"/>
        </w:rPr>
        <w:t>除国家规定需要保密的情形外，建设单位应当依法向社会公开验收报告。</w:t>
      </w:r>
    </w:p>
    <w:p w14:paraId="4FC1FA53">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8.4.2“三同时”验收内容</w:t>
      </w:r>
    </w:p>
    <w:p w14:paraId="6796383F">
      <w:pPr>
        <w:pageBreakBefore w:val="0"/>
        <w:widowControl/>
        <w:kinsoku/>
        <w:wordWrap/>
        <w:overflowPunct/>
        <w:topLinePunct w:val="0"/>
        <w:autoSpaceDE/>
        <w:autoSpaceDN/>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rPr>
        <w:t>项目</w:t>
      </w:r>
      <w:r>
        <w:rPr>
          <w:rFonts w:hint="default" w:ascii="Times New Roman" w:hAnsi="Times New Roman" w:eastAsia="宋体" w:cs="Times New Roman"/>
          <w:sz w:val="24"/>
          <w:szCs w:val="24"/>
          <w:highlight w:val="none"/>
        </w:rPr>
        <w:t>环保实施方案及“三同时”验收表见表</w:t>
      </w:r>
      <w:r>
        <w:rPr>
          <w:rFonts w:hint="default" w:ascii="Times New Roman" w:hAnsi="Times New Roman" w:cs="Times New Roman"/>
          <w:sz w:val="24"/>
          <w:szCs w:val="24"/>
          <w:highlight w:val="none"/>
          <w:lang w:val="en-US" w:eastAsia="zh-CN"/>
        </w:rPr>
        <w:t>8.4</w:t>
      </w:r>
      <w:r>
        <w:rPr>
          <w:rFonts w:hint="default"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rPr>
        <w:t>。</w:t>
      </w:r>
    </w:p>
    <w:p w14:paraId="44F83F86">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sz w:val="24"/>
          <w:szCs w:val="24"/>
          <w:highlight w:val="none"/>
        </w:rPr>
      </w:pPr>
      <w:r>
        <w:rPr>
          <w:rFonts w:hint="default" w:ascii="Times New Roman" w:hAnsi="Times New Roman" w:eastAsia="宋体" w:cs="Times New Roman"/>
          <w:b/>
          <w:bCs/>
          <w:sz w:val="24"/>
          <w:szCs w:val="24"/>
          <w:highlight w:val="none"/>
        </w:rPr>
        <w:t>表</w:t>
      </w:r>
      <w:r>
        <w:rPr>
          <w:rFonts w:hint="default" w:ascii="Times New Roman" w:hAnsi="Times New Roman" w:cs="Times New Roman"/>
          <w:b/>
          <w:bCs/>
          <w:sz w:val="24"/>
          <w:szCs w:val="24"/>
          <w:highlight w:val="none"/>
          <w:lang w:val="en-US" w:eastAsia="zh-CN"/>
        </w:rPr>
        <w:t>8.4</w:t>
      </w:r>
      <w:r>
        <w:rPr>
          <w:rFonts w:hint="default" w:ascii="Times New Roman" w:hAnsi="Times New Roman" w:eastAsia="宋体" w:cs="Times New Roman"/>
          <w:b/>
          <w:bCs/>
          <w:sz w:val="24"/>
          <w:szCs w:val="24"/>
          <w:highlight w:val="none"/>
          <w:lang w:val="en-US" w:eastAsia="zh-CN"/>
        </w:rPr>
        <w:t>-1</w:t>
      </w:r>
      <w:r>
        <w:rPr>
          <w:rFonts w:hint="default" w:ascii="Times New Roman" w:hAnsi="Times New Roman" w:eastAsia="宋体" w:cs="Times New Roman"/>
          <w:b/>
          <w:bCs/>
          <w:sz w:val="24"/>
          <w:szCs w:val="24"/>
          <w:highlight w:val="none"/>
        </w:rPr>
        <w:t xml:space="preserve"> 竣工环保</w:t>
      </w:r>
      <w:r>
        <w:rPr>
          <w:rFonts w:hint="eastAsia" w:cs="Times New Roman"/>
          <w:b/>
          <w:bCs/>
          <w:sz w:val="24"/>
          <w:szCs w:val="24"/>
          <w:highlight w:val="none"/>
          <w:lang w:eastAsia="zh-CN"/>
        </w:rPr>
        <w:t>“</w:t>
      </w:r>
      <w:r>
        <w:rPr>
          <w:rFonts w:hint="eastAsia" w:cs="Times New Roman"/>
          <w:b/>
          <w:bCs/>
          <w:sz w:val="24"/>
          <w:szCs w:val="24"/>
          <w:highlight w:val="none"/>
          <w:lang w:val="en-US" w:eastAsia="zh-CN"/>
        </w:rPr>
        <w:t>三同时</w:t>
      </w:r>
      <w:r>
        <w:rPr>
          <w:rFonts w:hint="eastAsia" w:cs="Times New Roman"/>
          <w:b/>
          <w:bCs/>
          <w:sz w:val="24"/>
          <w:szCs w:val="24"/>
          <w:highlight w:val="none"/>
          <w:lang w:eastAsia="zh-CN"/>
        </w:rPr>
        <w:t>”</w:t>
      </w:r>
      <w:r>
        <w:rPr>
          <w:rFonts w:hint="default" w:ascii="Times New Roman" w:hAnsi="Times New Roman" w:eastAsia="宋体" w:cs="Times New Roman"/>
          <w:b/>
          <w:bCs/>
          <w:sz w:val="24"/>
          <w:szCs w:val="24"/>
          <w:highlight w:val="none"/>
        </w:rPr>
        <w:t>验收内容一览表</w:t>
      </w:r>
    </w:p>
    <w:tbl>
      <w:tblPr>
        <w:tblStyle w:val="39"/>
        <w:tblW w:w="4997" w:type="pct"/>
        <w:jc w:val="center"/>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805"/>
        <w:gridCol w:w="1289"/>
        <w:gridCol w:w="3882"/>
        <w:gridCol w:w="2535"/>
      </w:tblGrid>
      <w:tr w14:paraId="763BF991">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73" w:type="pct"/>
            <w:noWrap w:val="0"/>
            <w:tcMar>
              <w:top w:w="0" w:type="dxa"/>
              <w:left w:w="108" w:type="dxa"/>
              <w:bottom w:w="0" w:type="dxa"/>
              <w:right w:w="108" w:type="dxa"/>
            </w:tcMar>
            <w:vAlign w:val="center"/>
          </w:tcPr>
          <w:p w14:paraId="5E009A90">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类别</w:t>
            </w:r>
          </w:p>
        </w:tc>
        <w:tc>
          <w:tcPr>
            <w:tcW w:w="757" w:type="pct"/>
            <w:noWrap w:val="0"/>
            <w:tcMar>
              <w:top w:w="0" w:type="dxa"/>
              <w:left w:w="108" w:type="dxa"/>
              <w:bottom w:w="0" w:type="dxa"/>
              <w:right w:w="108" w:type="dxa"/>
            </w:tcMar>
            <w:vAlign w:val="center"/>
          </w:tcPr>
          <w:p w14:paraId="5ECAED52">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项目</w:t>
            </w:r>
          </w:p>
        </w:tc>
        <w:tc>
          <w:tcPr>
            <w:tcW w:w="2280" w:type="pct"/>
            <w:noWrap w:val="0"/>
            <w:tcMar>
              <w:top w:w="0" w:type="dxa"/>
              <w:left w:w="108" w:type="dxa"/>
              <w:bottom w:w="0" w:type="dxa"/>
              <w:right w:w="108" w:type="dxa"/>
            </w:tcMar>
            <w:vAlign w:val="center"/>
          </w:tcPr>
          <w:p w14:paraId="7B8774F1">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环保设施/措施</w:t>
            </w:r>
          </w:p>
        </w:tc>
        <w:tc>
          <w:tcPr>
            <w:tcW w:w="1489" w:type="pct"/>
            <w:noWrap w:val="0"/>
            <w:tcMar>
              <w:top w:w="0" w:type="dxa"/>
              <w:left w:w="108" w:type="dxa"/>
              <w:bottom w:w="0" w:type="dxa"/>
              <w:right w:w="108" w:type="dxa"/>
            </w:tcMar>
            <w:vAlign w:val="center"/>
          </w:tcPr>
          <w:p w14:paraId="3C88B1B2">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bCs/>
                <w:color w:val="auto"/>
                <w:sz w:val="21"/>
                <w:highlight w:val="none"/>
                <w:lang w:val="en-US" w:eastAsia="zh-CN"/>
              </w:rPr>
            </w:pPr>
            <w:r>
              <w:rPr>
                <w:rFonts w:hint="default" w:ascii="Times New Roman" w:hAnsi="Times New Roman" w:eastAsia="宋体" w:cs="Times New Roman"/>
                <w:b/>
                <w:bCs/>
                <w:color w:val="auto"/>
                <w:sz w:val="21"/>
                <w:highlight w:val="none"/>
                <w:lang w:val="en-US" w:eastAsia="zh-CN"/>
              </w:rPr>
              <w:t>验收标准</w:t>
            </w:r>
          </w:p>
        </w:tc>
      </w:tr>
      <w:tr w14:paraId="3A24E821">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473" w:type="pct"/>
            <w:vMerge w:val="restart"/>
            <w:noWrap w:val="0"/>
            <w:tcMar>
              <w:top w:w="0" w:type="dxa"/>
              <w:left w:w="108" w:type="dxa"/>
              <w:bottom w:w="0" w:type="dxa"/>
              <w:right w:w="108" w:type="dxa"/>
            </w:tcMar>
            <w:vAlign w:val="center"/>
          </w:tcPr>
          <w:p w14:paraId="3AF6B34E">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rPr>
            </w:pPr>
            <w:r>
              <w:rPr>
                <w:rFonts w:hint="default" w:ascii="Times New Roman" w:hAnsi="Times New Roman" w:eastAsia="宋体" w:cs="Times New Roman"/>
                <w:b w:val="0"/>
                <w:bCs w:val="0"/>
                <w:color w:val="auto"/>
                <w:sz w:val="21"/>
                <w:highlight w:val="none"/>
                <w:lang w:val="en-US" w:eastAsia="zh-CN"/>
              </w:rPr>
              <w:t>废气</w:t>
            </w:r>
          </w:p>
        </w:tc>
        <w:tc>
          <w:tcPr>
            <w:tcW w:w="757" w:type="pct"/>
            <w:shd w:val="clear" w:color="auto" w:fill="auto"/>
            <w:noWrap w:val="0"/>
            <w:tcMar>
              <w:top w:w="0" w:type="dxa"/>
              <w:left w:w="108" w:type="dxa"/>
              <w:bottom w:w="0" w:type="dxa"/>
              <w:right w:w="108" w:type="dxa"/>
            </w:tcMar>
            <w:vAlign w:val="center"/>
          </w:tcPr>
          <w:p w14:paraId="57CB5CC5">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bidi="ar-SA"/>
              </w:rPr>
            </w:pPr>
            <w:r>
              <w:rPr>
                <w:rFonts w:hint="default" w:ascii="Times New Roman" w:hAnsi="Times New Roman" w:eastAsia="宋体" w:cs="Times New Roman"/>
                <w:b w:val="0"/>
                <w:bCs w:val="0"/>
                <w:color w:val="auto"/>
                <w:sz w:val="21"/>
                <w:highlight w:val="none"/>
                <w:lang w:val="en-US" w:eastAsia="zh-CN"/>
              </w:rPr>
              <w:t>窑尾废气</w:t>
            </w:r>
          </w:p>
        </w:tc>
        <w:tc>
          <w:tcPr>
            <w:tcW w:w="2280" w:type="pct"/>
            <w:shd w:val="clear" w:color="auto" w:fill="auto"/>
            <w:noWrap w:val="0"/>
            <w:tcMar>
              <w:top w:w="0" w:type="dxa"/>
              <w:left w:w="108" w:type="dxa"/>
              <w:bottom w:w="0" w:type="dxa"/>
              <w:right w:w="108" w:type="dxa"/>
            </w:tcMar>
            <w:vAlign w:val="center"/>
          </w:tcPr>
          <w:p w14:paraId="261263D9">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bidi="ar-SA"/>
              </w:rPr>
            </w:pPr>
            <w:r>
              <w:rPr>
                <w:rFonts w:hint="default" w:ascii="Times New Roman" w:hAnsi="Times New Roman" w:eastAsia="宋体" w:cs="Times New Roman"/>
                <w:b w:val="0"/>
                <w:bCs w:val="0"/>
                <w:color w:val="auto"/>
                <w:sz w:val="21"/>
                <w:highlight w:val="none"/>
                <w:lang w:val="en-US" w:eastAsia="zh-CN" w:bidi="ar-SA"/>
              </w:rPr>
              <w:t>依托水泥厂现有设施，采用“低氮燃烧+SNCR+增湿塔（急冷）+电除尘+布袋除尘+</w:t>
            </w:r>
            <w:r>
              <w:rPr>
                <w:rFonts w:hint="eastAsia" w:cs="Times New Roman"/>
                <w:b w:val="0"/>
                <w:bCs w:val="0"/>
                <w:color w:val="auto"/>
                <w:sz w:val="21"/>
                <w:highlight w:val="none"/>
                <w:lang w:val="en-US" w:eastAsia="zh-CN" w:bidi="ar-SA"/>
              </w:rPr>
              <w:t>100</w:t>
            </w:r>
            <w:r>
              <w:rPr>
                <w:rFonts w:hint="default" w:ascii="Times New Roman" w:hAnsi="Times New Roman" w:eastAsia="宋体" w:cs="Times New Roman"/>
                <w:b w:val="0"/>
                <w:bCs w:val="0"/>
                <w:color w:val="auto"/>
                <w:sz w:val="21"/>
                <w:highlight w:val="none"/>
                <w:lang w:val="en-US" w:eastAsia="zh-CN" w:bidi="ar-SA"/>
              </w:rPr>
              <w:t>m</w:t>
            </w:r>
            <w:r>
              <w:rPr>
                <w:rFonts w:hint="eastAsia" w:cs="Times New Roman"/>
                <w:b w:val="0"/>
                <w:bCs w:val="0"/>
                <w:color w:val="auto"/>
                <w:sz w:val="21"/>
                <w:highlight w:val="none"/>
                <w:lang w:val="en-US" w:eastAsia="zh-CN" w:bidi="ar-SA"/>
              </w:rPr>
              <w:t>排气筒</w:t>
            </w:r>
            <w:r>
              <w:rPr>
                <w:rFonts w:hint="default" w:ascii="Times New Roman" w:hAnsi="Times New Roman" w:eastAsia="宋体" w:cs="Times New Roman"/>
                <w:b w:val="0"/>
                <w:bCs w:val="0"/>
                <w:color w:val="auto"/>
                <w:sz w:val="21"/>
                <w:highlight w:val="none"/>
                <w:lang w:val="en-US" w:eastAsia="zh-CN" w:bidi="ar-SA"/>
              </w:rPr>
              <w:t>”，</w:t>
            </w:r>
            <w:r>
              <w:rPr>
                <w:rFonts w:hint="eastAsia" w:cs="Times New Roman"/>
                <w:b w:val="0"/>
                <w:bCs w:val="0"/>
                <w:color w:val="auto"/>
                <w:sz w:val="21"/>
                <w:highlight w:val="none"/>
                <w:lang w:val="en-US" w:eastAsia="zh-CN" w:bidi="ar-SA"/>
              </w:rPr>
              <w:t>安装有</w:t>
            </w:r>
            <w:r>
              <w:rPr>
                <w:rFonts w:hint="default" w:ascii="Times New Roman" w:hAnsi="Times New Roman" w:eastAsia="宋体" w:cs="Times New Roman"/>
                <w:b w:val="0"/>
                <w:bCs w:val="0"/>
                <w:color w:val="auto"/>
                <w:sz w:val="21"/>
                <w:highlight w:val="none"/>
                <w:lang w:val="en-US" w:eastAsia="zh-CN" w:bidi="ar-SA"/>
              </w:rPr>
              <w:t>在线监测装置</w:t>
            </w:r>
          </w:p>
        </w:tc>
        <w:tc>
          <w:tcPr>
            <w:tcW w:w="1489" w:type="pct"/>
            <w:vMerge w:val="restart"/>
            <w:noWrap w:val="0"/>
            <w:tcMar>
              <w:top w:w="0" w:type="dxa"/>
              <w:left w:w="108" w:type="dxa"/>
              <w:bottom w:w="0" w:type="dxa"/>
              <w:right w:w="108" w:type="dxa"/>
            </w:tcMar>
            <w:vAlign w:val="center"/>
          </w:tcPr>
          <w:p w14:paraId="0D63B577">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bidi="ar-SA"/>
              </w:rPr>
            </w:pPr>
            <w:r>
              <w:rPr>
                <w:rFonts w:hint="default" w:ascii="Times New Roman" w:hAnsi="Times New Roman" w:eastAsia="宋体" w:cs="Times New Roman"/>
                <w:b w:val="0"/>
                <w:bCs w:val="0"/>
                <w:color w:val="auto"/>
                <w:sz w:val="21"/>
                <w:highlight w:val="none"/>
                <w:lang w:val="en-US" w:eastAsia="zh-CN"/>
              </w:rPr>
              <w:t>窑尾烟气中颗粒物、SO</w:t>
            </w:r>
            <w:r>
              <w:rPr>
                <w:rFonts w:hint="default" w:ascii="Times New Roman" w:hAnsi="Times New Roman" w:eastAsia="宋体" w:cs="Times New Roman"/>
                <w:b w:val="0"/>
                <w:bCs w:val="0"/>
                <w:color w:val="auto"/>
                <w:sz w:val="21"/>
                <w:highlight w:val="none"/>
                <w:vertAlign w:val="subscript"/>
                <w:lang w:val="en-US" w:eastAsia="zh-CN"/>
              </w:rPr>
              <w:t>2</w:t>
            </w:r>
            <w:r>
              <w:rPr>
                <w:rFonts w:hint="default" w:ascii="Times New Roman" w:hAnsi="Times New Roman" w:eastAsia="宋体" w:cs="Times New Roman"/>
                <w:b w:val="0"/>
                <w:bCs w:val="0"/>
                <w:color w:val="auto"/>
                <w:sz w:val="21"/>
                <w:highlight w:val="none"/>
                <w:lang w:val="en-US" w:eastAsia="zh-CN"/>
              </w:rPr>
              <w:t>、NO</w:t>
            </w:r>
            <w:r>
              <w:rPr>
                <w:rFonts w:hint="default" w:ascii="Times New Roman" w:hAnsi="Times New Roman" w:eastAsia="宋体" w:cs="Times New Roman"/>
                <w:b w:val="0"/>
                <w:bCs w:val="0"/>
                <w:color w:val="auto"/>
                <w:sz w:val="21"/>
                <w:highlight w:val="none"/>
                <w:vertAlign w:val="subscript"/>
                <w:lang w:val="en-US" w:eastAsia="zh-CN"/>
              </w:rPr>
              <w:t>x</w:t>
            </w:r>
            <w:r>
              <w:rPr>
                <w:rFonts w:hint="eastAsia" w:ascii="Times New Roman" w:hAnsi="Times New Roman" w:eastAsia="宋体" w:cs="Times New Roman"/>
                <w:b w:val="0"/>
                <w:bCs w:val="0"/>
                <w:color w:val="auto"/>
                <w:sz w:val="21"/>
                <w:highlight w:val="none"/>
                <w:vertAlign w:val="baseline"/>
                <w:lang w:val="en-US" w:eastAsia="zh-CN"/>
              </w:rPr>
              <w:t>执行</w:t>
            </w:r>
            <w:r>
              <w:rPr>
                <w:rFonts w:hint="default" w:ascii="Times New Roman" w:hAnsi="Times New Roman" w:eastAsia="宋体" w:cs="Times New Roman"/>
                <w:b w:val="0"/>
                <w:bCs w:val="0"/>
                <w:color w:val="auto"/>
                <w:sz w:val="21"/>
                <w:highlight w:val="none"/>
                <w:lang w:val="en-US" w:eastAsia="zh-CN"/>
              </w:rPr>
              <w:t>《水泥工业大气污染物排放标准》（GB4915-2013）（含2025年修改单）中表1排放限值</w:t>
            </w:r>
          </w:p>
        </w:tc>
      </w:tr>
      <w:tr w14:paraId="22CE41DD">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473" w:type="pct"/>
            <w:vMerge w:val="continue"/>
            <w:noWrap w:val="0"/>
            <w:tcMar>
              <w:top w:w="0" w:type="dxa"/>
              <w:left w:w="108" w:type="dxa"/>
              <w:bottom w:w="0" w:type="dxa"/>
              <w:right w:w="108" w:type="dxa"/>
            </w:tcMar>
            <w:vAlign w:val="center"/>
          </w:tcPr>
          <w:p w14:paraId="766B6D3D">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rPr>
            </w:pPr>
          </w:p>
        </w:tc>
        <w:tc>
          <w:tcPr>
            <w:tcW w:w="757" w:type="pct"/>
            <w:shd w:val="clear" w:color="auto" w:fill="auto"/>
            <w:noWrap w:val="0"/>
            <w:tcMar>
              <w:top w:w="0" w:type="dxa"/>
              <w:left w:w="108" w:type="dxa"/>
              <w:bottom w:w="0" w:type="dxa"/>
              <w:right w:w="108" w:type="dxa"/>
            </w:tcMar>
            <w:vAlign w:val="center"/>
          </w:tcPr>
          <w:p w14:paraId="4FB025E9">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rPr>
            </w:pPr>
            <w:r>
              <w:rPr>
                <w:rFonts w:hint="eastAsia" w:cs="Times New Roman"/>
                <w:b w:val="0"/>
                <w:bCs w:val="0"/>
                <w:color w:val="auto"/>
                <w:sz w:val="21"/>
                <w:highlight w:val="none"/>
                <w:lang w:val="en-US" w:eastAsia="zh-CN"/>
              </w:rPr>
              <w:t>预处理系统废气</w:t>
            </w:r>
          </w:p>
        </w:tc>
        <w:tc>
          <w:tcPr>
            <w:tcW w:w="2280" w:type="pct"/>
            <w:tcBorders>
              <w:top w:val="single" w:color="auto" w:sz="4" w:space="0"/>
            </w:tcBorders>
            <w:shd w:val="clear" w:color="auto" w:fill="auto"/>
            <w:noWrap w:val="0"/>
            <w:tcMar>
              <w:top w:w="0" w:type="dxa"/>
              <w:left w:w="108" w:type="dxa"/>
              <w:bottom w:w="0" w:type="dxa"/>
              <w:right w:w="108" w:type="dxa"/>
            </w:tcMar>
            <w:vAlign w:val="center"/>
          </w:tcPr>
          <w:p w14:paraId="486AC684">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bidi="ar-SA"/>
              </w:rPr>
            </w:pPr>
            <w:r>
              <w:rPr>
                <w:rFonts w:hint="default" w:ascii="Times New Roman" w:hAnsi="Times New Roman" w:cs="Times New Roman"/>
                <w:color w:val="auto"/>
                <w:sz w:val="21"/>
                <w:szCs w:val="21"/>
                <w:highlight w:val="none"/>
                <w:lang w:val="en-US" w:eastAsia="zh-CN"/>
              </w:rPr>
              <w:t>进料系统全密闭，打散机上方设置1套袋式除尘器+15m排气筒</w:t>
            </w:r>
            <w:r>
              <w:rPr>
                <w:rFonts w:hint="eastAsia" w:ascii="Times New Roman" w:hAnsi="Times New Roman" w:cs="Times New Roman"/>
                <w:color w:val="auto"/>
                <w:sz w:val="21"/>
                <w:szCs w:val="21"/>
                <w:highlight w:val="none"/>
                <w:lang w:val="en-US" w:eastAsia="zh-CN"/>
              </w:rPr>
              <w:t>（DA002）</w:t>
            </w:r>
          </w:p>
        </w:tc>
        <w:tc>
          <w:tcPr>
            <w:tcW w:w="1489" w:type="pct"/>
            <w:vMerge w:val="restart"/>
            <w:tcBorders>
              <w:top w:val="single" w:color="auto" w:sz="4" w:space="0"/>
            </w:tcBorders>
            <w:shd w:val="clear" w:color="auto" w:fill="auto"/>
            <w:noWrap w:val="0"/>
            <w:tcMar>
              <w:top w:w="0" w:type="dxa"/>
              <w:left w:w="108" w:type="dxa"/>
              <w:bottom w:w="0" w:type="dxa"/>
              <w:right w:w="108" w:type="dxa"/>
            </w:tcMar>
            <w:vAlign w:val="center"/>
          </w:tcPr>
          <w:p w14:paraId="52D399D2">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000000" w:themeColor="text1"/>
                <w:sz w:val="21"/>
                <w:szCs w:val="21"/>
                <w:highlight w:val="no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bidi="ar-SA"/>
                <w14:textFill>
                  <w14:solidFill>
                    <w14:schemeClr w14:val="tx1"/>
                  </w14:solidFill>
                </w14:textFill>
              </w:rPr>
              <w:t>颗粒物执《水泥工业大气污染物排放标准》（GB4915-2013）（含2025年修改单）中表1限值要求</w:t>
            </w:r>
          </w:p>
        </w:tc>
      </w:tr>
      <w:tr w14:paraId="1FA3803E">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473" w:type="pct"/>
            <w:vMerge w:val="continue"/>
            <w:noWrap w:val="0"/>
            <w:tcMar>
              <w:top w:w="0" w:type="dxa"/>
              <w:left w:w="108" w:type="dxa"/>
              <w:bottom w:w="0" w:type="dxa"/>
              <w:right w:w="108" w:type="dxa"/>
            </w:tcMar>
            <w:vAlign w:val="center"/>
          </w:tcPr>
          <w:p w14:paraId="305B7143">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rPr>
            </w:pPr>
          </w:p>
        </w:tc>
        <w:tc>
          <w:tcPr>
            <w:tcW w:w="757" w:type="pct"/>
            <w:shd w:val="clear" w:color="auto" w:fill="auto"/>
            <w:noWrap w:val="0"/>
            <w:tcMar>
              <w:top w:w="0" w:type="dxa"/>
              <w:left w:w="108" w:type="dxa"/>
              <w:bottom w:w="0" w:type="dxa"/>
              <w:right w:w="108" w:type="dxa"/>
            </w:tcMar>
            <w:vAlign w:val="center"/>
          </w:tcPr>
          <w:p w14:paraId="5E73E6F4">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rPr>
            </w:pPr>
            <w:r>
              <w:rPr>
                <w:rFonts w:hint="eastAsia" w:cs="Times New Roman"/>
                <w:b w:val="0"/>
                <w:bCs w:val="0"/>
                <w:color w:val="auto"/>
                <w:sz w:val="21"/>
                <w:highlight w:val="none"/>
                <w:lang w:val="en-US" w:eastAsia="zh-CN"/>
              </w:rPr>
              <w:t>输送系统废气</w:t>
            </w:r>
          </w:p>
        </w:tc>
        <w:tc>
          <w:tcPr>
            <w:tcW w:w="2280" w:type="pct"/>
            <w:tcBorders>
              <w:top w:val="single" w:color="auto" w:sz="4" w:space="0"/>
            </w:tcBorders>
            <w:shd w:val="clear" w:color="auto" w:fill="auto"/>
            <w:noWrap w:val="0"/>
            <w:tcMar>
              <w:top w:w="0" w:type="dxa"/>
              <w:left w:w="108" w:type="dxa"/>
              <w:bottom w:w="0" w:type="dxa"/>
              <w:right w:w="108" w:type="dxa"/>
            </w:tcMar>
            <w:vAlign w:val="center"/>
          </w:tcPr>
          <w:p w14:paraId="2C51E332">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sz w:val="21"/>
                <w:highlight w:val="none"/>
                <w:lang w:val="en-US" w:eastAsia="zh-CN" w:bidi="ar-SA"/>
              </w:rPr>
            </w:pPr>
            <w:r>
              <w:rPr>
                <w:rFonts w:hint="eastAsia" w:cs="Times New Roman"/>
                <w:b w:val="0"/>
                <w:bCs w:val="0"/>
                <w:sz w:val="21"/>
                <w:highlight w:val="none"/>
                <w:lang w:val="en-US" w:eastAsia="zh-CN" w:bidi="ar-SA"/>
              </w:rPr>
              <w:t>液态废物通过架空管道输送至水泥窑内，输送过程全密闭；固态废物输送过程全密闭，皮带输送设备上方设置1套袋式除尘器+15m排气筒（DA003）</w:t>
            </w:r>
          </w:p>
        </w:tc>
        <w:tc>
          <w:tcPr>
            <w:tcW w:w="1489" w:type="pct"/>
            <w:vMerge w:val="continue"/>
            <w:shd w:val="clear" w:color="auto" w:fill="auto"/>
            <w:noWrap w:val="0"/>
            <w:tcMar>
              <w:top w:w="0" w:type="dxa"/>
              <w:left w:w="108" w:type="dxa"/>
              <w:bottom w:w="0" w:type="dxa"/>
              <w:right w:w="108" w:type="dxa"/>
            </w:tcMar>
            <w:vAlign w:val="center"/>
          </w:tcPr>
          <w:p w14:paraId="0645AC07">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b w:val="0"/>
                <w:bCs w:val="0"/>
                <w:sz w:val="21"/>
                <w:highlight w:val="none"/>
                <w:lang w:val="en-US" w:eastAsia="zh-CN" w:bidi="ar-SA"/>
              </w:rPr>
            </w:pPr>
          </w:p>
        </w:tc>
      </w:tr>
      <w:tr w14:paraId="5E2C3E7A">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04" w:hRule="atLeast"/>
          <w:jc w:val="center"/>
        </w:trPr>
        <w:tc>
          <w:tcPr>
            <w:tcW w:w="473" w:type="pct"/>
            <w:noWrap w:val="0"/>
            <w:tcMar>
              <w:top w:w="0" w:type="dxa"/>
              <w:left w:w="108" w:type="dxa"/>
              <w:bottom w:w="0" w:type="dxa"/>
              <w:right w:w="108" w:type="dxa"/>
            </w:tcMar>
            <w:vAlign w:val="center"/>
          </w:tcPr>
          <w:p w14:paraId="118AA3F1">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噪声</w:t>
            </w:r>
          </w:p>
        </w:tc>
        <w:tc>
          <w:tcPr>
            <w:tcW w:w="757" w:type="pct"/>
            <w:noWrap w:val="0"/>
            <w:tcMar>
              <w:top w:w="0" w:type="dxa"/>
              <w:left w:w="108" w:type="dxa"/>
              <w:bottom w:w="0" w:type="dxa"/>
              <w:right w:w="108" w:type="dxa"/>
            </w:tcMar>
            <w:vAlign w:val="center"/>
          </w:tcPr>
          <w:p w14:paraId="612EF768">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设备运行噪声</w:t>
            </w:r>
          </w:p>
        </w:tc>
        <w:tc>
          <w:tcPr>
            <w:tcW w:w="2280" w:type="pct"/>
            <w:noWrap w:val="0"/>
            <w:tcMar>
              <w:top w:w="0" w:type="dxa"/>
              <w:left w:w="108" w:type="dxa"/>
              <w:bottom w:w="0" w:type="dxa"/>
              <w:right w:w="108" w:type="dxa"/>
            </w:tcMar>
            <w:vAlign w:val="center"/>
          </w:tcPr>
          <w:p w14:paraId="69247045">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lang w:val="en-US" w:eastAsia="zh-CN"/>
              </w:rPr>
              <w:t>主要声源</w:t>
            </w:r>
            <w:r>
              <w:rPr>
                <w:rFonts w:hint="default" w:ascii="Times New Roman" w:hAnsi="Times New Roman" w:cs="Times New Roman"/>
                <w:color w:val="auto"/>
                <w:sz w:val="21"/>
                <w:highlight w:val="none"/>
                <w:lang w:val="en-US" w:eastAsia="zh-CN"/>
              </w:rPr>
              <w:t>采取</w:t>
            </w:r>
            <w:r>
              <w:rPr>
                <w:rFonts w:hint="default" w:ascii="Times New Roman" w:hAnsi="Times New Roman" w:eastAsia="宋体" w:cs="Times New Roman"/>
                <w:color w:val="auto"/>
                <w:sz w:val="21"/>
                <w:highlight w:val="none"/>
                <w:lang w:val="en-US" w:eastAsia="zh-CN"/>
              </w:rPr>
              <w:t>隔声、消声、吸声及减振等措施</w:t>
            </w:r>
          </w:p>
        </w:tc>
        <w:tc>
          <w:tcPr>
            <w:tcW w:w="1489" w:type="pct"/>
            <w:noWrap w:val="0"/>
            <w:tcMar>
              <w:top w:w="0" w:type="dxa"/>
              <w:left w:w="108" w:type="dxa"/>
              <w:bottom w:w="0" w:type="dxa"/>
              <w:right w:w="108" w:type="dxa"/>
            </w:tcMar>
            <w:vAlign w:val="center"/>
          </w:tcPr>
          <w:p w14:paraId="634882A3">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eastAsia="zh-CN"/>
              </w:rPr>
            </w:pPr>
            <w:r>
              <w:rPr>
                <w:rFonts w:hint="default" w:ascii="Times New Roman" w:hAnsi="Times New Roman" w:eastAsia="宋体" w:cs="Times New Roman"/>
                <w:color w:val="auto"/>
                <w:sz w:val="21"/>
                <w:highlight w:val="none"/>
                <w:lang w:eastAsia="zh-CN"/>
              </w:rPr>
              <w:t>厂界环境噪声达到《工业企业厂界环境噪声排放标准》（GB12348-2008）3类标准</w:t>
            </w:r>
          </w:p>
        </w:tc>
      </w:tr>
      <w:tr w14:paraId="778D4EC3">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2" w:hRule="atLeast"/>
          <w:jc w:val="center"/>
        </w:trPr>
        <w:tc>
          <w:tcPr>
            <w:tcW w:w="473" w:type="pct"/>
            <w:vMerge w:val="restart"/>
            <w:noWrap w:val="0"/>
            <w:tcMar>
              <w:top w:w="0" w:type="dxa"/>
              <w:left w:w="108" w:type="dxa"/>
              <w:bottom w:w="0" w:type="dxa"/>
              <w:right w:w="108" w:type="dxa"/>
            </w:tcMar>
            <w:vAlign w:val="center"/>
          </w:tcPr>
          <w:p w14:paraId="14877AD1">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eastAsia" w:ascii="Times New Roman" w:hAnsi="Times New Roman" w:eastAsia="宋体" w:cs="Times New Roman"/>
                <w:color w:val="auto"/>
                <w:sz w:val="21"/>
                <w:highlight w:val="none"/>
                <w:lang w:val="en-US" w:eastAsia="zh-CN"/>
              </w:rPr>
            </w:pPr>
            <w:r>
              <w:rPr>
                <w:rFonts w:hint="eastAsia" w:cs="Times New Roman"/>
                <w:color w:val="auto"/>
                <w:sz w:val="21"/>
                <w:highlight w:val="none"/>
                <w:lang w:val="en-US" w:eastAsia="zh-CN"/>
              </w:rPr>
              <w:t>固体废物</w:t>
            </w:r>
          </w:p>
        </w:tc>
        <w:tc>
          <w:tcPr>
            <w:tcW w:w="757" w:type="pct"/>
            <w:shd w:val="clear" w:color="auto" w:fill="auto"/>
            <w:noWrap w:val="0"/>
            <w:tcMar>
              <w:top w:w="0" w:type="dxa"/>
              <w:left w:w="108" w:type="dxa"/>
              <w:bottom w:w="0" w:type="dxa"/>
              <w:right w:w="108" w:type="dxa"/>
            </w:tcMar>
            <w:vAlign w:val="center"/>
          </w:tcPr>
          <w:p w14:paraId="684390EF">
            <w:pPr>
              <w:keepNext w:val="0"/>
              <w:keepLines w:val="0"/>
              <w:pageBreakBefore w:val="0"/>
              <w:widowControl/>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废包装袋</w:t>
            </w:r>
          </w:p>
        </w:tc>
        <w:tc>
          <w:tcPr>
            <w:tcW w:w="2280" w:type="pct"/>
            <w:noWrap w:val="0"/>
            <w:tcMar>
              <w:top w:w="0" w:type="dxa"/>
              <w:left w:w="108" w:type="dxa"/>
              <w:bottom w:w="0" w:type="dxa"/>
              <w:right w:w="108" w:type="dxa"/>
            </w:tcMar>
            <w:vAlign w:val="center"/>
          </w:tcPr>
          <w:p w14:paraId="3B713FD6">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rPr>
              <w:t>按照危险废物进行管理和处置，</w:t>
            </w:r>
            <w:r>
              <w:rPr>
                <w:rFonts w:hint="eastAsia" w:cs="Times New Roman"/>
                <w:color w:val="auto"/>
                <w:sz w:val="21"/>
                <w:highlight w:val="none"/>
                <w:lang w:val="en-US" w:eastAsia="zh-CN"/>
              </w:rPr>
              <w:t>满足</w:t>
            </w:r>
            <w:r>
              <w:rPr>
                <w:rFonts w:hint="default" w:ascii="Times New Roman" w:hAnsi="Times New Roman" w:eastAsia="宋体" w:cs="Times New Roman"/>
                <w:color w:val="auto"/>
                <w:sz w:val="21"/>
                <w:highlight w:val="none"/>
              </w:rPr>
              <w:t>固态入窑废物的要求</w:t>
            </w:r>
            <w:r>
              <w:rPr>
                <w:rFonts w:hint="eastAsia" w:cs="Times New Roman"/>
                <w:color w:val="auto"/>
                <w:sz w:val="21"/>
                <w:highlight w:val="none"/>
                <w:lang w:val="en-US" w:eastAsia="zh-CN"/>
              </w:rPr>
              <w:t>后</w:t>
            </w:r>
            <w:r>
              <w:rPr>
                <w:rFonts w:hint="default" w:ascii="Times New Roman" w:hAnsi="Times New Roman" w:eastAsia="宋体" w:cs="Times New Roman"/>
                <w:color w:val="auto"/>
                <w:sz w:val="21"/>
                <w:highlight w:val="none"/>
              </w:rPr>
              <w:t>投入水泥窑处置投入水泥窑焚烧</w:t>
            </w:r>
          </w:p>
        </w:tc>
        <w:tc>
          <w:tcPr>
            <w:tcW w:w="1489" w:type="pct"/>
            <w:vMerge w:val="restart"/>
            <w:noWrap w:val="0"/>
            <w:tcMar>
              <w:top w:w="0" w:type="dxa"/>
              <w:left w:w="108" w:type="dxa"/>
              <w:bottom w:w="0" w:type="dxa"/>
              <w:right w:w="108" w:type="dxa"/>
            </w:tcMar>
            <w:vAlign w:val="center"/>
          </w:tcPr>
          <w:p w14:paraId="5F6478D4">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rPr>
              <w:t>执行《危险废物贮存污染控制标准》（GB18597-2023）</w:t>
            </w:r>
            <w:r>
              <w:rPr>
                <w:rFonts w:hint="eastAsia" w:cs="Times New Roman"/>
                <w:color w:val="auto"/>
                <w:sz w:val="21"/>
                <w:highlight w:val="none"/>
                <w:lang w:val="en-US" w:eastAsia="zh-CN"/>
              </w:rPr>
              <w:t>相关要求</w:t>
            </w:r>
          </w:p>
        </w:tc>
      </w:tr>
      <w:tr w14:paraId="716ED377">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2" w:hRule="atLeast"/>
          <w:jc w:val="center"/>
        </w:trPr>
        <w:tc>
          <w:tcPr>
            <w:tcW w:w="473" w:type="pct"/>
            <w:vMerge w:val="continue"/>
            <w:noWrap w:val="0"/>
            <w:tcMar>
              <w:top w:w="0" w:type="dxa"/>
              <w:left w:w="108" w:type="dxa"/>
              <w:bottom w:w="0" w:type="dxa"/>
              <w:right w:w="108" w:type="dxa"/>
            </w:tcMar>
            <w:vAlign w:val="center"/>
          </w:tcPr>
          <w:p w14:paraId="7309A97E">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eastAsia" w:cs="Times New Roman"/>
                <w:color w:val="auto"/>
                <w:sz w:val="21"/>
                <w:highlight w:val="none"/>
                <w:lang w:val="en-US" w:eastAsia="zh-CN"/>
              </w:rPr>
            </w:pPr>
          </w:p>
        </w:tc>
        <w:tc>
          <w:tcPr>
            <w:tcW w:w="757" w:type="pct"/>
            <w:shd w:val="clear" w:color="auto" w:fill="auto"/>
            <w:noWrap w:val="0"/>
            <w:tcMar>
              <w:top w:w="0" w:type="dxa"/>
              <w:left w:w="108" w:type="dxa"/>
              <w:bottom w:w="0" w:type="dxa"/>
              <w:right w:w="108" w:type="dxa"/>
            </w:tcMar>
            <w:vAlign w:val="center"/>
          </w:tcPr>
          <w:p w14:paraId="70A8ACE5">
            <w:pPr>
              <w:keepNext w:val="0"/>
              <w:keepLines w:val="0"/>
              <w:pageBreakBefore w:val="0"/>
              <w:widowControl/>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除尘灰</w:t>
            </w:r>
          </w:p>
        </w:tc>
        <w:tc>
          <w:tcPr>
            <w:tcW w:w="2280" w:type="pct"/>
            <w:noWrap w:val="0"/>
            <w:tcMar>
              <w:top w:w="0" w:type="dxa"/>
              <w:left w:w="108" w:type="dxa"/>
              <w:bottom w:w="0" w:type="dxa"/>
              <w:right w:w="108" w:type="dxa"/>
            </w:tcMar>
            <w:vAlign w:val="center"/>
          </w:tcPr>
          <w:p w14:paraId="2DDE6E93">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eastAsia" w:cs="Times New Roman"/>
                <w:color w:val="auto"/>
                <w:sz w:val="21"/>
                <w:highlight w:val="none"/>
                <w:lang w:val="en-US" w:eastAsia="zh-CN"/>
              </w:rPr>
              <w:t>混入固态废物后一同进入水泥窑焚烧</w:t>
            </w:r>
          </w:p>
        </w:tc>
        <w:tc>
          <w:tcPr>
            <w:tcW w:w="1489" w:type="pct"/>
            <w:vMerge w:val="continue"/>
            <w:noWrap w:val="0"/>
            <w:tcMar>
              <w:top w:w="0" w:type="dxa"/>
              <w:left w:w="108" w:type="dxa"/>
              <w:bottom w:w="0" w:type="dxa"/>
              <w:right w:w="108" w:type="dxa"/>
            </w:tcMar>
            <w:vAlign w:val="center"/>
          </w:tcPr>
          <w:p w14:paraId="19D12E7E">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rPr>
            </w:pPr>
          </w:p>
        </w:tc>
      </w:tr>
      <w:tr w14:paraId="63F9BDD5">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0" w:hRule="atLeast"/>
          <w:jc w:val="center"/>
        </w:trPr>
        <w:tc>
          <w:tcPr>
            <w:tcW w:w="473" w:type="pct"/>
            <w:vMerge w:val="continue"/>
            <w:noWrap w:val="0"/>
            <w:tcMar>
              <w:top w:w="0" w:type="dxa"/>
              <w:left w:w="108" w:type="dxa"/>
              <w:bottom w:w="0" w:type="dxa"/>
              <w:right w:w="108" w:type="dxa"/>
            </w:tcMar>
            <w:vAlign w:val="center"/>
          </w:tcPr>
          <w:p w14:paraId="66F51DFC">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rPr>
            </w:pPr>
          </w:p>
        </w:tc>
        <w:tc>
          <w:tcPr>
            <w:tcW w:w="757" w:type="pct"/>
            <w:shd w:val="clear" w:color="auto" w:fill="auto"/>
            <w:noWrap w:val="0"/>
            <w:tcMar>
              <w:top w:w="0" w:type="dxa"/>
              <w:left w:w="108" w:type="dxa"/>
              <w:bottom w:w="0" w:type="dxa"/>
              <w:right w:w="108" w:type="dxa"/>
            </w:tcMar>
            <w:vAlign w:val="center"/>
          </w:tcPr>
          <w:p w14:paraId="61D4C474">
            <w:pPr>
              <w:keepNext w:val="0"/>
              <w:keepLines w:val="0"/>
              <w:pageBreakBefore w:val="0"/>
              <w:widowControl/>
              <w:kinsoku/>
              <w:wordWrap/>
              <w:overflowPunct/>
              <w:topLinePunct w:val="0"/>
              <w:autoSpaceDE/>
              <w:autoSpaceDN/>
              <w:bidi w:val="0"/>
              <w:adjustRightInd/>
              <w:snapToGrid/>
              <w:spacing w:before="0" w:after="0"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化验废物</w:t>
            </w:r>
          </w:p>
        </w:tc>
        <w:tc>
          <w:tcPr>
            <w:tcW w:w="2280" w:type="pct"/>
            <w:noWrap w:val="0"/>
            <w:tcMar>
              <w:top w:w="0" w:type="dxa"/>
              <w:left w:w="108" w:type="dxa"/>
              <w:bottom w:w="0" w:type="dxa"/>
              <w:right w:w="108" w:type="dxa"/>
            </w:tcMar>
            <w:vAlign w:val="center"/>
          </w:tcPr>
          <w:p w14:paraId="2BB6AA57">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eastAsia" w:ascii="Times New Roman" w:hAnsi="Times New Roman" w:eastAsia="宋体" w:cs="Times New Roman"/>
                <w:color w:val="auto"/>
                <w:sz w:val="21"/>
                <w:highlight w:val="none"/>
                <w:lang w:val="en-US" w:eastAsia="zh-CN"/>
              </w:rPr>
              <w:t>在危险废物贮存设施内暂存后委托有资质单位处置</w:t>
            </w:r>
          </w:p>
        </w:tc>
        <w:tc>
          <w:tcPr>
            <w:tcW w:w="1489" w:type="pct"/>
            <w:vMerge w:val="continue"/>
            <w:noWrap w:val="0"/>
            <w:tcMar>
              <w:top w:w="0" w:type="dxa"/>
              <w:left w:w="108" w:type="dxa"/>
              <w:bottom w:w="0" w:type="dxa"/>
              <w:right w:w="108" w:type="dxa"/>
            </w:tcMar>
            <w:vAlign w:val="center"/>
          </w:tcPr>
          <w:p w14:paraId="6A8DD271">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rPr>
            </w:pPr>
          </w:p>
        </w:tc>
      </w:tr>
      <w:tr w14:paraId="38E6A41B">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66" w:hRule="atLeast"/>
          <w:jc w:val="center"/>
        </w:trPr>
        <w:tc>
          <w:tcPr>
            <w:tcW w:w="473" w:type="pct"/>
            <w:noWrap w:val="0"/>
            <w:tcMar>
              <w:top w:w="0" w:type="dxa"/>
              <w:left w:w="108" w:type="dxa"/>
              <w:bottom w:w="0" w:type="dxa"/>
              <w:right w:w="108" w:type="dxa"/>
            </w:tcMar>
            <w:vAlign w:val="center"/>
          </w:tcPr>
          <w:p w14:paraId="3FE0C664">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地下水及土壤</w:t>
            </w:r>
          </w:p>
        </w:tc>
        <w:tc>
          <w:tcPr>
            <w:tcW w:w="4526" w:type="pct"/>
            <w:gridSpan w:val="3"/>
            <w:noWrap w:val="0"/>
            <w:tcMar>
              <w:top w:w="0" w:type="dxa"/>
              <w:left w:w="108" w:type="dxa"/>
              <w:bottom w:w="0" w:type="dxa"/>
              <w:right w:w="108" w:type="dxa"/>
            </w:tcMar>
            <w:vAlign w:val="center"/>
          </w:tcPr>
          <w:p w14:paraId="60A5FBF8">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eastAsia" w:cs="Times New Roman"/>
                <w:color w:val="auto"/>
                <w:sz w:val="21"/>
                <w:szCs w:val="21"/>
                <w:highlight w:val="none"/>
                <w:lang w:val="en-US" w:eastAsia="zh-CN"/>
              </w:rPr>
              <w:t>投料车间及事故池</w:t>
            </w:r>
            <w:r>
              <w:rPr>
                <w:rFonts w:hint="eastAsia" w:ascii="Times New Roman" w:hAnsi="Times New Roman" w:cs="Times New Roman"/>
                <w:color w:val="auto"/>
                <w:sz w:val="21"/>
                <w:szCs w:val="21"/>
                <w:highlight w:val="none"/>
                <w:lang w:val="en-US" w:eastAsia="zh-CN"/>
              </w:rPr>
              <w:t>作为</w:t>
            </w:r>
            <w:r>
              <w:rPr>
                <w:rFonts w:hint="default" w:ascii="Times New Roman" w:hAnsi="Times New Roman" w:cs="Times New Roman"/>
                <w:color w:val="auto"/>
                <w:sz w:val="21"/>
                <w:szCs w:val="21"/>
                <w:highlight w:val="none"/>
                <w:lang w:val="en-US" w:eastAsia="zh-CN"/>
              </w:rPr>
              <w:t>重点污染防治区，严格按照《环境影响评价技术导则 地下水环境》（HJ610-2016）的要求做好防渗措施，包括基础、墙裙、池底板、池壁等，其防渗性能不低于6.0m厚、渗透系数为1.0×10</w:t>
            </w:r>
            <w:r>
              <w:rPr>
                <w:rFonts w:hint="default" w:ascii="Times New Roman" w:hAnsi="Times New Roman" w:cs="Times New Roman"/>
                <w:color w:val="auto"/>
                <w:sz w:val="21"/>
                <w:szCs w:val="21"/>
                <w:highlight w:val="none"/>
                <w:vertAlign w:val="superscript"/>
                <w:lang w:val="en-US" w:eastAsia="zh-CN"/>
              </w:rPr>
              <w:t>-7</w:t>
            </w:r>
            <w:r>
              <w:rPr>
                <w:rFonts w:hint="default" w:ascii="Times New Roman" w:hAnsi="Times New Roman" w:cs="Times New Roman"/>
                <w:color w:val="auto"/>
                <w:sz w:val="21"/>
                <w:szCs w:val="21"/>
                <w:highlight w:val="none"/>
                <w:lang w:val="en-US" w:eastAsia="zh-CN"/>
              </w:rPr>
              <w:t>cm/s的黏土层的防渗性能</w:t>
            </w:r>
          </w:p>
        </w:tc>
      </w:tr>
      <w:tr w14:paraId="06ECD6E5">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86" w:hRule="atLeast"/>
          <w:jc w:val="center"/>
        </w:trPr>
        <w:tc>
          <w:tcPr>
            <w:tcW w:w="473" w:type="pct"/>
            <w:noWrap w:val="0"/>
            <w:tcMar>
              <w:top w:w="0" w:type="dxa"/>
              <w:left w:w="108" w:type="dxa"/>
              <w:bottom w:w="0" w:type="dxa"/>
              <w:right w:w="108" w:type="dxa"/>
            </w:tcMar>
            <w:vAlign w:val="center"/>
          </w:tcPr>
          <w:p w14:paraId="406F8978">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eastAsia="宋体" w:cs="Times New Roman"/>
                <w:color w:val="auto"/>
                <w:sz w:val="21"/>
                <w:highlight w:val="none"/>
              </w:rPr>
              <w:t>环境风险</w:t>
            </w:r>
            <w:r>
              <w:rPr>
                <w:rFonts w:hint="default" w:ascii="Times New Roman" w:hAnsi="Times New Roman" w:cs="Times New Roman"/>
                <w:color w:val="auto"/>
                <w:sz w:val="21"/>
                <w:highlight w:val="none"/>
                <w:lang w:val="en-US" w:eastAsia="zh-CN"/>
              </w:rPr>
              <w:t>防范</w:t>
            </w:r>
          </w:p>
        </w:tc>
        <w:tc>
          <w:tcPr>
            <w:tcW w:w="4526" w:type="pct"/>
            <w:gridSpan w:val="3"/>
            <w:noWrap w:val="0"/>
            <w:tcMar>
              <w:top w:w="0" w:type="dxa"/>
              <w:left w:w="108" w:type="dxa"/>
              <w:bottom w:w="0" w:type="dxa"/>
              <w:right w:w="108" w:type="dxa"/>
            </w:tcMar>
            <w:vAlign w:val="center"/>
          </w:tcPr>
          <w:p w14:paraId="5B0AA784">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cs="Times New Roman"/>
                <w:color w:val="auto"/>
                <w:sz w:val="21"/>
                <w:highlight w:val="none"/>
                <w:lang w:val="en-US" w:eastAsia="zh-CN"/>
              </w:rPr>
              <w:t>安装</w:t>
            </w:r>
            <w:r>
              <w:rPr>
                <w:rFonts w:hint="default" w:ascii="Times New Roman" w:hAnsi="Times New Roman" w:eastAsia="宋体" w:cs="Times New Roman"/>
                <w:color w:val="auto"/>
                <w:sz w:val="21"/>
                <w:highlight w:val="none"/>
              </w:rPr>
              <w:t>火灾报警系统、可燃气体报警系统、毒气报警系统</w:t>
            </w:r>
            <w:r>
              <w:rPr>
                <w:rFonts w:hint="default" w:ascii="Times New Roman" w:hAnsi="Times New Roman" w:cs="Times New Roman"/>
                <w:color w:val="auto"/>
                <w:sz w:val="21"/>
                <w:highlight w:val="none"/>
                <w:lang w:eastAsia="zh-CN"/>
              </w:rPr>
              <w:t>；</w:t>
            </w:r>
            <w:r>
              <w:rPr>
                <w:rFonts w:hint="default" w:ascii="Times New Roman" w:hAnsi="Times New Roman" w:eastAsia="宋体" w:cs="Times New Roman"/>
                <w:color w:val="auto"/>
                <w:sz w:val="21"/>
                <w:highlight w:val="none"/>
              </w:rPr>
              <w:t>厂区内设1座</w:t>
            </w:r>
            <w:r>
              <w:rPr>
                <w:rFonts w:hint="eastAsia" w:cs="Times New Roman"/>
                <w:color w:val="auto"/>
                <w:sz w:val="21"/>
                <w:highlight w:val="none"/>
                <w:lang w:val="en-US" w:eastAsia="zh-CN"/>
              </w:rPr>
              <w:t>2</w:t>
            </w:r>
            <w:r>
              <w:rPr>
                <w:rFonts w:hint="default" w:ascii="Times New Roman" w:hAnsi="Times New Roman" w:eastAsia="宋体" w:cs="Times New Roman"/>
                <w:color w:val="auto"/>
                <w:sz w:val="21"/>
                <w:highlight w:val="none"/>
              </w:rPr>
              <w:t>00m</w:t>
            </w:r>
            <w:r>
              <w:rPr>
                <w:rFonts w:hint="default" w:ascii="Times New Roman" w:hAnsi="Times New Roman" w:eastAsia="宋体" w:cs="Times New Roman"/>
                <w:color w:val="auto"/>
                <w:sz w:val="21"/>
                <w:highlight w:val="none"/>
                <w:vertAlign w:val="superscript"/>
              </w:rPr>
              <w:t>3</w:t>
            </w:r>
            <w:r>
              <w:rPr>
                <w:rFonts w:hint="default" w:ascii="Times New Roman" w:hAnsi="Times New Roman" w:eastAsia="宋体" w:cs="Times New Roman"/>
                <w:color w:val="auto"/>
                <w:sz w:val="21"/>
                <w:highlight w:val="none"/>
              </w:rPr>
              <w:t>应急事故池、视频监控系统</w:t>
            </w:r>
            <w:r>
              <w:rPr>
                <w:rFonts w:hint="default" w:ascii="Times New Roman" w:hAnsi="Times New Roman" w:cs="Times New Roman"/>
                <w:color w:val="auto"/>
                <w:sz w:val="21"/>
                <w:highlight w:val="none"/>
                <w:lang w:eastAsia="zh-CN"/>
              </w:rPr>
              <w:t>；</w:t>
            </w:r>
            <w:r>
              <w:rPr>
                <w:rFonts w:hint="default" w:ascii="Times New Roman" w:hAnsi="Times New Roman" w:eastAsia="宋体" w:cs="Times New Roman"/>
                <w:color w:val="auto"/>
                <w:sz w:val="21"/>
                <w:highlight w:val="none"/>
              </w:rPr>
              <w:t>配备相关应急装备和消防器材等</w:t>
            </w:r>
            <w:r>
              <w:rPr>
                <w:rFonts w:hint="default" w:ascii="Times New Roman" w:hAnsi="Times New Roman" w:cs="Times New Roman"/>
                <w:color w:val="auto"/>
                <w:sz w:val="21"/>
                <w:highlight w:val="none"/>
                <w:lang w:eastAsia="zh-CN"/>
              </w:rPr>
              <w:t>；</w:t>
            </w:r>
            <w:r>
              <w:rPr>
                <w:rFonts w:hint="default" w:ascii="Times New Roman" w:hAnsi="Times New Roman" w:eastAsia="宋体" w:cs="Times New Roman"/>
                <w:color w:val="auto"/>
                <w:sz w:val="21"/>
                <w:highlight w:val="none"/>
              </w:rPr>
              <w:t>编制突发环境事件应急预案并备案</w:t>
            </w:r>
          </w:p>
        </w:tc>
      </w:tr>
      <w:tr w14:paraId="4E72A183">
        <w:tblPrEx>
          <w:tblBorders>
            <w:top w:val="single" w:color="000000" w:sz="18" w:space="0"/>
            <w:left w:val="none" w:color="auto" w:sz="0" w:space="0"/>
            <w:bottom w:val="single" w:color="000000" w:sz="18"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73" w:type="pct"/>
            <w:noWrap w:val="0"/>
            <w:tcMar>
              <w:top w:w="0" w:type="dxa"/>
              <w:left w:w="108" w:type="dxa"/>
              <w:bottom w:w="0" w:type="dxa"/>
              <w:right w:w="108" w:type="dxa"/>
            </w:tcMar>
            <w:vAlign w:val="center"/>
          </w:tcPr>
          <w:p w14:paraId="26D066D1">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lang w:val="en-US" w:eastAsia="zh-CN"/>
              </w:rPr>
            </w:pPr>
            <w:r>
              <w:rPr>
                <w:rFonts w:hint="default" w:ascii="Times New Roman" w:hAnsi="Times New Roman" w:cs="Times New Roman"/>
                <w:color w:val="auto"/>
                <w:sz w:val="21"/>
                <w:highlight w:val="none"/>
                <w:lang w:val="en-US" w:eastAsia="zh-CN"/>
              </w:rPr>
              <w:t>环境管理及监测</w:t>
            </w:r>
          </w:p>
        </w:tc>
        <w:tc>
          <w:tcPr>
            <w:tcW w:w="4526" w:type="pct"/>
            <w:gridSpan w:val="3"/>
            <w:noWrap w:val="0"/>
            <w:tcMar>
              <w:top w:w="0" w:type="dxa"/>
              <w:left w:w="108" w:type="dxa"/>
              <w:bottom w:w="0" w:type="dxa"/>
              <w:right w:w="108" w:type="dxa"/>
            </w:tcMar>
            <w:vAlign w:val="center"/>
          </w:tcPr>
          <w:p w14:paraId="4B0B7417">
            <w:pPr>
              <w:keepNext w:val="0"/>
              <w:keepLines w:val="0"/>
              <w:pageBreakBefore w:val="0"/>
              <w:widowControl/>
              <w:kinsoku/>
              <w:wordWrap/>
              <w:overflowPunct/>
              <w:topLinePunct w:val="0"/>
              <w:autoSpaceDE/>
              <w:autoSpaceDN/>
              <w:bidi w:val="0"/>
              <w:adjustRightInd/>
              <w:snapToGrid w:val="0"/>
              <w:spacing w:before="0" w:after="0" w:line="240" w:lineRule="auto"/>
              <w:ind w:left="0" w:leftChars="0" w:right="0" w:rightChars="0" w:firstLine="0" w:firstLineChars="0"/>
              <w:jc w:val="center"/>
              <w:textAlignment w:val="auto"/>
              <w:rPr>
                <w:rFonts w:hint="default" w:ascii="Times New Roman" w:hAnsi="Times New Roman" w:eastAsia="宋体" w:cs="Times New Roman"/>
                <w:color w:val="auto"/>
                <w:sz w:val="21"/>
                <w:highlight w:val="none"/>
              </w:rPr>
            </w:pPr>
            <w:r>
              <w:rPr>
                <w:rFonts w:hint="default" w:ascii="Times New Roman" w:hAnsi="Times New Roman" w:eastAsia="宋体" w:cs="Times New Roman"/>
                <w:color w:val="auto"/>
                <w:sz w:val="21"/>
                <w:highlight w:val="none"/>
                <w:lang w:val="en-US" w:eastAsia="zh-CN"/>
              </w:rPr>
              <w:t>设置专人担负企业日常环境管理与监测工作，做好包括危险废物出入库台账在内的各项管理台账和环保档案，建立环境管理及监测机构，配备监测仪器、按监测计划开展监测，排污口规范化设置</w:t>
            </w:r>
          </w:p>
        </w:tc>
      </w:tr>
    </w:tbl>
    <w:p w14:paraId="08C3C8EE">
      <w:pPr>
        <w:widowControl/>
        <w:snapToGrid w:val="0"/>
        <w:spacing w:line="320" w:lineRule="exact"/>
        <w:jc w:val="left"/>
        <w:rPr>
          <w:rFonts w:hint="default" w:ascii="Times New Roman" w:hAnsi="Times New Roman" w:eastAsia="宋体" w:cs="Times New Roman"/>
          <w:highlight w:val="none"/>
        </w:rPr>
      </w:pPr>
    </w:p>
    <w:p w14:paraId="5FC28EDF">
      <w:pPr>
        <w:widowControl/>
        <w:snapToGrid w:val="0"/>
        <w:spacing w:line="320" w:lineRule="exact"/>
        <w:jc w:val="left"/>
        <w:rPr>
          <w:rFonts w:hint="default" w:ascii="Times New Roman" w:hAnsi="Times New Roman" w:eastAsia="宋体" w:cs="Times New Roman"/>
          <w:highlight w:val="none"/>
        </w:rPr>
        <w:sectPr>
          <w:pgSz w:w="11906" w:h="16838"/>
          <w:pgMar w:top="1440" w:right="1803" w:bottom="1440" w:left="1803" w:header="1021" w:footer="1021" w:gutter="0"/>
          <w:pgBorders>
            <w:top w:val="none" w:sz="0" w:space="0"/>
            <w:left w:val="none" w:sz="0" w:space="0"/>
            <w:bottom w:val="none" w:sz="0" w:space="0"/>
            <w:right w:val="none" w:sz="0" w:space="0"/>
          </w:pgBorders>
          <w:pgNumType w:fmt="decimal"/>
          <w:cols w:space="720" w:num="1"/>
          <w:docGrid w:linePitch="312" w:charSpace="0"/>
        </w:sectPr>
      </w:pPr>
    </w:p>
    <w:p w14:paraId="23B185BD">
      <w:pPr>
        <w:keepNext/>
        <w:keepLines/>
        <w:pageBreakBefore w:val="0"/>
        <w:widowControl/>
        <w:kinsoku/>
        <w:wordWrap/>
        <w:overflowPunct/>
        <w:topLinePunct w:val="0"/>
        <w:bidi w:val="0"/>
        <w:adjustRightInd/>
        <w:snapToGrid w:val="0"/>
        <w:spacing w:line="360" w:lineRule="auto"/>
        <w:jc w:val="left"/>
        <w:textAlignment w:val="auto"/>
        <w:outlineLvl w:val="0"/>
        <w:rPr>
          <w:rFonts w:hint="default" w:ascii="Times New Roman" w:hAnsi="Times New Roman" w:eastAsia="宋体" w:cs="Times New Roman"/>
          <w:b/>
          <w:bCs/>
          <w:sz w:val="24"/>
          <w:szCs w:val="16"/>
          <w:highlight w:val="none"/>
          <w:lang w:eastAsia="zh-CN"/>
        </w:rPr>
      </w:pPr>
      <w:bookmarkStart w:id="1041" w:name="_Toc9556"/>
      <w:bookmarkStart w:id="1042" w:name="_Toc25132"/>
      <w:bookmarkStart w:id="1043" w:name="_Toc15875"/>
      <w:r>
        <w:rPr>
          <w:rFonts w:hint="default" w:ascii="Times New Roman" w:hAnsi="Times New Roman" w:cs="Times New Roman"/>
          <w:b/>
          <w:bCs/>
          <w:sz w:val="24"/>
          <w:szCs w:val="16"/>
          <w:highlight w:val="none"/>
          <w:lang w:val="en-US" w:eastAsia="zh-CN"/>
        </w:rPr>
        <w:t>9</w:t>
      </w:r>
      <w:r>
        <w:rPr>
          <w:rFonts w:hint="default" w:ascii="Times New Roman" w:hAnsi="Times New Roman" w:eastAsia="宋体" w:cs="Times New Roman"/>
          <w:b/>
          <w:bCs/>
          <w:sz w:val="24"/>
          <w:szCs w:val="16"/>
          <w:highlight w:val="none"/>
          <w:lang w:val="en-US" w:eastAsia="zh-CN"/>
        </w:rPr>
        <w:t>结论与建议</w:t>
      </w:r>
      <w:bookmarkEnd w:id="1041"/>
      <w:bookmarkEnd w:id="1042"/>
      <w:bookmarkEnd w:id="1043"/>
    </w:p>
    <w:p w14:paraId="02488DDE">
      <w:pPr>
        <w:pStyle w:val="3"/>
        <w:pageBreakBefore w:val="0"/>
        <w:widowControl/>
        <w:kinsoku/>
        <w:wordWrap/>
        <w:overflowPunct/>
        <w:topLinePunct w:val="0"/>
        <w:bidi w:val="0"/>
        <w:adjustRightInd/>
        <w:spacing w:beforeLines="0" w:afterLines="0" w:line="360" w:lineRule="auto"/>
        <w:textAlignment w:val="auto"/>
        <w:rPr>
          <w:rFonts w:hint="default" w:ascii="Times New Roman" w:hAnsi="Times New Roman" w:eastAsia="宋体" w:cs="Times New Roman"/>
          <w:sz w:val="24"/>
          <w:szCs w:val="18"/>
          <w:highlight w:val="none"/>
          <w:lang w:eastAsia="zh-CN"/>
        </w:rPr>
      </w:pPr>
      <w:bookmarkStart w:id="1044" w:name="_Toc9868277"/>
      <w:bookmarkStart w:id="1045" w:name="_Toc27369"/>
      <w:bookmarkStart w:id="1046" w:name="_Toc10797"/>
      <w:bookmarkStart w:id="1047" w:name="_Toc27035"/>
      <w:r>
        <w:rPr>
          <w:rFonts w:hint="default" w:ascii="Times New Roman" w:hAnsi="Times New Roman" w:cs="Times New Roman"/>
          <w:sz w:val="24"/>
          <w:szCs w:val="18"/>
          <w:highlight w:val="none"/>
          <w:lang w:val="en-US" w:eastAsia="zh-CN"/>
        </w:rPr>
        <w:t>9</w:t>
      </w:r>
      <w:r>
        <w:rPr>
          <w:rFonts w:hint="default" w:ascii="Times New Roman" w:hAnsi="Times New Roman" w:eastAsia="宋体" w:cs="Times New Roman"/>
          <w:sz w:val="24"/>
          <w:szCs w:val="18"/>
          <w:highlight w:val="none"/>
        </w:rPr>
        <w:t>.1</w:t>
      </w:r>
      <w:bookmarkEnd w:id="1044"/>
      <w:r>
        <w:rPr>
          <w:rFonts w:hint="default" w:ascii="Times New Roman" w:hAnsi="Times New Roman" w:eastAsia="宋体" w:cs="Times New Roman"/>
          <w:sz w:val="24"/>
          <w:szCs w:val="18"/>
          <w:highlight w:val="none"/>
          <w:lang w:val="en-US" w:eastAsia="zh-CN"/>
        </w:rPr>
        <w:t>结论</w:t>
      </w:r>
      <w:bookmarkEnd w:id="1045"/>
      <w:bookmarkEnd w:id="1046"/>
      <w:bookmarkEnd w:id="1047"/>
    </w:p>
    <w:p w14:paraId="79F963DA">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9.1.1项目概况</w:t>
      </w:r>
    </w:p>
    <w:p w14:paraId="4382ECDF">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项目名称：新疆兴悦化工有限公司水泥窑协同处置250t</w:t>
      </w:r>
      <w:r>
        <w:rPr>
          <w:rFonts w:hint="eastAsia" w:cs="Times New Roman"/>
          <w:sz w:val="24"/>
          <w:szCs w:val="24"/>
          <w:highlight w:val="none"/>
          <w:lang w:val="en-US" w:eastAsia="zh-CN"/>
        </w:rPr>
        <w:t>/</w:t>
      </w:r>
      <w:r>
        <w:rPr>
          <w:rFonts w:hint="default" w:ascii="Times New Roman" w:hAnsi="Times New Roman" w:cs="Times New Roman"/>
          <w:sz w:val="24"/>
          <w:szCs w:val="24"/>
          <w:highlight w:val="none"/>
          <w:lang w:eastAsia="zh-CN"/>
        </w:rPr>
        <w:t>a精蒸馏残渣技改项目</w:t>
      </w:r>
    </w:p>
    <w:p w14:paraId="10E1B5D1">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建设单位：新疆兴悦化工有限公司</w:t>
      </w:r>
    </w:p>
    <w:p w14:paraId="03EA3128">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建设性质：技术改造</w:t>
      </w:r>
    </w:p>
    <w:p w14:paraId="42B77867">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建设地点：项目建设地点位于阿克苏经济技术开发区，新疆兴悦化工有限公司现有厂区内，中心地理坐标为：东经80°06'57.377"，北纬41°04'07.817"。</w:t>
      </w:r>
    </w:p>
    <w:p w14:paraId="1E295AC7">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建设周期及工程投资：</w:t>
      </w:r>
      <w:r>
        <w:rPr>
          <w:rFonts w:hint="default" w:ascii="Times New Roman" w:hAnsi="Times New Roman" w:eastAsia="宋体" w:cs="Times New Roman"/>
          <w:sz w:val="24"/>
          <w:szCs w:val="24"/>
          <w:highlight w:val="none"/>
          <w:lang w:val="en-US" w:eastAsia="zh-CN"/>
        </w:rPr>
        <w:t>建设期为</w:t>
      </w:r>
      <w:r>
        <w:rPr>
          <w:rFonts w:hint="eastAsia" w:cs="Times New Roman"/>
          <w:sz w:val="24"/>
          <w:szCs w:val="24"/>
          <w:highlight w:val="none"/>
          <w:lang w:val="en-US" w:eastAsia="zh-CN"/>
        </w:rPr>
        <w:t>8个月</w:t>
      </w:r>
      <w:r>
        <w:rPr>
          <w:rFonts w:hint="default" w:ascii="Times New Roman" w:hAnsi="Times New Roman" w:eastAsia="宋体" w:cs="Times New Roman"/>
          <w:sz w:val="24"/>
          <w:szCs w:val="24"/>
          <w:highlight w:val="none"/>
          <w:lang w:val="en-US" w:eastAsia="zh-CN"/>
        </w:rPr>
        <w:t>，项目总投资</w:t>
      </w:r>
      <w:r>
        <w:rPr>
          <w:rFonts w:hint="eastAsia" w:cs="Times New Roman"/>
          <w:sz w:val="24"/>
          <w:szCs w:val="24"/>
          <w:highlight w:val="none"/>
          <w:lang w:val="en-US" w:eastAsia="zh-CN"/>
        </w:rPr>
        <w:t>500</w:t>
      </w:r>
      <w:r>
        <w:rPr>
          <w:rFonts w:hint="default" w:ascii="Times New Roman" w:hAnsi="Times New Roman" w:eastAsia="宋体" w:cs="Times New Roman"/>
          <w:sz w:val="24"/>
          <w:szCs w:val="24"/>
          <w:highlight w:val="none"/>
          <w:lang w:val="en-US" w:eastAsia="zh-CN"/>
        </w:rPr>
        <w:t>万元，其中环保投资</w:t>
      </w:r>
      <w:r>
        <w:rPr>
          <w:rFonts w:hint="eastAsia" w:cs="Times New Roman"/>
          <w:sz w:val="24"/>
          <w:szCs w:val="24"/>
          <w:highlight w:val="none"/>
          <w:lang w:val="en-US" w:eastAsia="zh-CN"/>
        </w:rPr>
        <w:t>99</w:t>
      </w:r>
      <w:r>
        <w:rPr>
          <w:rFonts w:hint="default" w:ascii="Times New Roman" w:hAnsi="Times New Roman" w:eastAsia="宋体" w:cs="Times New Roman"/>
          <w:sz w:val="24"/>
          <w:szCs w:val="24"/>
          <w:highlight w:val="none"/>
          <w:lang w:val="en-US" w:eastAsia="zh-CN"/>
        </w:rPr>
        <w:t>万元，占总投资</w:t>
      </w:r>
      <w:r>
        <w:rPr>
          <w:rFonts w:hint="eastAsia" w:cs="Times New Roman"/>
          <w:sz w:val="24"/>
          <w:szCs w:val="24"/>
          <w:highlight w:val="none"/>
          <w:lang w:val="en-US" w:eastAsia="zh-CN"/>
        </w:rPr>
        <w:t>19.8</w:t>
      </w:r>
      <w:r>
        <w:rPr>
          <w:rFonts w:hint="default" w:ascii="Times New Roman" w:hAnsi="Times New Roman" w:eastAsia="宋体" w:cs="Times New Roman"/>
          <w:sz w:val="24"/>
          <w:szCs w:val="24"/>
          <w:highlight w:val="none"/>
          <w:lang w:val="en-US" w:eastAsia="zh-CN"/>
        </w:rPr>
        <w:t>%</w:t>
      </w:r>
      <w:r>
        <w:rPr>
          <w:rFonts w:hint="default" w:ascii="Times New Roman" w:hAnsi="Times New Roman" w:cs="Times New Roman"/>
          <w:sz w:val="24"/>
          <w:szCs w:val="24"/>
          <w:highlight w:val="none"/>
          <w:lang w:eastAsia="zh-CN"/>
        </w:rPr>
        <w:t>。</w:t>
      </w:r>
    </w:p>
    <w:p w14:paraId="26D1246B">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cs="Times New Roman"/>
          <w:sz w:val="24"/>
          <w:szCs w:val="24"/>
          <w:highlight w:val="none"/>
          <w:lang w:eastAsia="zh-CN"/>
        </w:rPr>
      </w:pPr>
      <w:r>
        <w:rPr>
          <w:rFonts w:hint="default" w:ascii="Times New Roman" w:hAnsi="Times New Roman" w:cs="Times New Roman"/>
          <w:sz w:val="24"/>
          <w:szCs w:val="24"/>
          <w:highlight w:val="none"/>
          <w:lang w:eastAsia="zh-CN"/>
        </w:rPr>
        <w:t>工作制度及劳动定员：年工作</w:t>
      </w:r>
      <w:r>
        <w:rPr>
          <w:rFonts w:hint="eastAsia" w:cs="Times New Roman"/>
          <w:sz w:val="24"/>
          <w:szCs w:val="24"/>
          <w:highlight w:val="none"/>
          <w:lang w:val="en-US" w:eastAsia="zh-CN"/>
        </w:rPr>
        <w:t>150</w:t>
      </w:r>
      <w:r>
        <w:rPr>
          <w:rFonts w:hint="default" w:ascii="Times New Roman" w:hAnsi="Times New Roman" w:cs="Times New Roman"/>
          <w:sz w:val="24"/>
          <w:szCs w:val="24"/>
          <w:highlight w:val="none"/>
          <w:lang w:eastAsia="zh-CN"/>
        </w:rPr>
        <w:t>天，危险废物处置线岗位人员与水泥生产线同为四班三运转，年运行</w:t>
      </w:r>
      <w:r>
        <w:rPr>
          <w:rFonts w:hint="eastAsia" w:cs="Times New Roman"/>
          <w:sz w:val="24"/>
          <w:szCs w:val="24"/>
          <w:highlight w:val="none"/>
          <w:lang w:val="en-US" w:eastAsia="zh-CN"/>
        </w:rPr>
        <w:t>3600</w:t>
      </w:r>
      <w:r>
        <w:rPr>
          <w:rFonts w:hint="default" w:ascii="Times New Roman" w:hAnsi="Times New Roman" w:cs="Times New Roman"/>
          <w:sz w:val="24"/>
          <w:szCs w:val="24"/>
          <w:highlight w:val="none"/>
          <w:lang w:eastAsia="zh-CN"/>
        </w:rPr>
        <w:t>小时，本项目不新增劳动定员。</w:t>
      </w:r>
    </w:p>
    <w:p w14:paraId="6E44605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bookmarkStart w:id="1048" w:name="_Toc9868278"/>
      <w:r>
        <w:rPr>
          <w:rFonts w:hint="default" w:ascii="Times New Roman" w:hAnsi="Times New Roman" w:eastAsia="宋体" w:cs="Times New Roman"/>
          <w:sz w:val="24"/>
          <w:szCs w:val="24"/>
          <w:highlight w:val="none"/>
        </w:rPr>
        <w:t>建设内容</w:t>
      </w:r>
      <w:r>
        <w:rPr>
          <w:rFonts w:hint="default" w:ascii="Times New Roman" w:hAnsi="Times New Roman" w:cs="Times New Roman"/>
          <w:sz w:val="24"/>
          <w:szCs w:val="24"/>
          <w:highlight w:val="none"/>
          <w:lang w:val="en-US" w:eastAsia="zh-CN"/>
        </w:rPr>
        <w:t>及规模</w:t>
      </w:r>
      <w:r>
        <w:rPr>
          <w:rFonts w:hint="default" w:ascii="Times New Roman" w:hAnsi="Times New Roman" w:eastAsia="宋体" w:cs="Times New Roman"/>
          <w:sz w:val="24"/>
          <w:szCs w:val="24"/>
          <w:highlight w:val="none"/>
        </w:rPr>
        <w:t>：本项目依托新疆兴悦化工有限公司现有3200t/d新型干法水泥生产线协同处置新疆兴发化工有限公司产生的HW11精（蒸）馏残渣（900-013-11），设计处理能力为</w:t>
      </w:r>
      <w:r>
        <w:rPr>
          <w:rFonts w:hint="eastAsia" w:cs="Times New Roman"/>
          <w:sz w:val="24"/>
          <w:szCs w:val="24"/>
          <w:highlight w:val="none"/>
          <w:lang w:val="en-US" w:eastAsia="zh-CN"/>
        </w:rPr>
        <w:t>250</w:t>
      </w:r>
      <w:r>
        <w:rPr>
          <w:rFonts w:hint="default" w:ascii="Times New Roman" w:hAnsi="Times New Roman" w:eastAsia="宋体" w:cs="Times New Roman"/>
          <w:sz w:val="24"/>
          <w:szCs w:val="24"/>
          <w:highlight w:val="none"/>
        </w:rPr>
        <w:t>t/a，其中液态危险废物50吨/年，固态危险废物</w:t>
      </w:r>
      <w:r>
        <w:rPr>
          <w:rFonts w:hint="eastAsia" w:cs="Times New Roman"/>
          <w:sz w:val="24"/>
          <w:szCs w:val="24"/>
          <w:highlight w:val="none"/>
          <w:lang w:val="en-US" w:eastAsia="zh-CN"/>
        </w:rPr>
        <w:t>20</w:t>
      </w:r>
      <w:r>
        <w:rPr>
          <w:rFonts w:hint="default" w:ascii="Times New Roman" w:hAnsi="Times New Roman" w:eastAsia="宋体" w:cs="Times New Roman"/>
          <w:sz w:val="24"/>
          <w:szCs w:val="24"/>
          <w:highlight w:val="none"/>
        </w:rPr>
        <w:t>0吨/年。</w:t>
      </w:r>
      <w:r>
        <w:rPr>
          <w:rFonts w:hint="default" w:ascii="Times New Roman" w:hAnsi="Times New Roman" w:eastAsia="宋体" w:cs="Times New Roman"/>
          <w:sz w:val="24"/>
          <w:szCs w:val="24"/>
          <w:highlight w:val="none"/>
          <w:lang w:val="en-US" w:eastAsia="zh-CN"/>
        </w:rPr>
        <w:t>主要建设内容为分析化验系统、输送系统、投料系统、其他辅助工程及环保工程等。</w:t>
      </w:r>
    </w:p>
    <w:p w14:paraId="11AE090A">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9.1.2环境质量现状评价结论</w:t>
      </w:r>
      <w:bookmarkEnd w:id="1048"/>
    </w:p>
    <w:p w14:paraId="090D67D7">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1</w:t>
      </w:r>
      <w:r>
        <w:rPr>
          <w:rFonts w:hint="default" w:ascii="Times New Roman" w:hAnsi="Times New Roman" w:eastAsia="宋体" w:cs="Times New Roman"/>
          <w:sz w:val="24"/>
          <w:szCs w:val="24"/>
          <w:highlight w:val="none"/>
        </w:rPr>
        <w:t>）环境空气质量现状</w:t>
      </w:r>
    </w:p>
    <w:p w14:paraId="762F1ED3">
      <w:pPr>
        <w:pageBreakBefore w:val="0"/>
        <w:widowControl/>
        <w:kinsoku/>
        <w:wordWrap/>
        <w:overflowPunct/>
        <w:topLinePunct w:val="0"/>
        <w:bidi w:val="0"/>
        <w:adjustRightInd/>
        <w:snapToGrid w:val="0"/>
        <w:spacing w:line="360" w:lineRule="auto"/>
        <w:ind w:firstLine="482"/>
        <w:jc w:val="left"/>
        <w:textAlignment w:val="auto"/>
        <w:rPr>
          <w:rFonts w:hint="default" w:ascii="Times New Roman" w:hAnsi="Times New Roman" w:eastAsia="宋体" w:cs="Times New Roman"/>
          <w:sz w:val="24"/>
          <w:szCs w:val="24"/>
          <w:highlight w:val="none"/>
          <w:lang w:eastAsia="zh-CN"/>
        </w:rPr>
      </w:pPr>
      <w:r>
        <w:rPr>
          <w:rFonts w:hint="default" w:ascii="Times New Roman" w:hAnsi="Times New Roman" w:cs="Times New Roman"/>
          <w:sz w:val="24"/>
          <w:szCs w:val="24"/>
          <w:highlight w:val="none"/>
          <w:lang w:val="en-US" w:eastAsia="zh-CN"/>
        </w:rPr>
        <w:t>根据环境空气质量现状调查结果，区域大气污染物中除PM</w:t>
      </w:r>
      <w:r>
        <w:rPr>
          <w:rFonts w:hint="default" w:ascii="Times New Roman" w:hAnsi="Times New Roman" w:cs="Times New Roman"/>
          <w:sz w:val="24"/>
          <w:szCs w:val="24"/>
          <w:highlight w:val="none"/>
          <w:vertAlign w:val="subscript"/>
          <w:lang w:val="en-US" w:eastAsia="zh-CN"/>
        </w:rPr>
        <w:t>2.5</w:t>
      </w:r>
      <w:r>
        <w:rPr>
          <w:rFonts w:hint="default" w:ascii="Times New Roman" w:hAnsi="Times New Roman" w:cs="Times New Roman"/>
          <w:sz w:val="24"/>
          <w:szCs w:val="24"/>
          <w:highlight w:val="none"/>
          <w:lang w:val="en-US" w:eastAsia="zh-CN"/>
        </w:rPr>
        <w:t>与PM</w:t>
      </w:r>
      <w:r>
        <w:rPr>
          <w:rFonts w:hint="default" w:ascii="Times New Roman" w:hAnsi="Times New Roman" w:cs="Times New Roman"/>
          <w:sz w:val="24"/>
          <w:szCs w:val="24"/>
          <w:highlight w:val="none"/>
          <w:vertAlign w:val="subscript"/>
          <w:lang w:val="en-US" w:eastAsia="zh-CN"/>
        </w:rPr>
        <w:t>10</w:t>
      </w:r>
      <w:r>
        <w:rPr>
          <w:rFonts w:hint="default" w:ascii="Times New Roman" w:hAnsi="Times New Roman" w:cs="Times New Roman"/>
          <w:sz w:val="24"/>
          <w:szCs w:val="24"/>
          <w:highlight w:val="none"/>
          <w:lang w:val="en-US" w:eastAsia="zh-CN"/>
        </w:rPr>
        <w:t>外，SO</w:t>
      </w:r>
      <w:r>
        <w:rPr>
          <w:rFonts w:hint="default" w:ascii="Times New Roman" w:hAnsi="Times New Roman" w:cs="Times New Roman"/>
          <w:sz w:val="24"/>
          <w:szCs w:val="24"/>
          <w:highlight w:val="none"/>
          <w:vertAlign w:val="subscript"/>
          <w:lang w:val="en-US" w:eastAsia="zh-CN"/>
        </w:rPr>
        <w:t>2</w:t>
      </w:r>
      <w:r>
        <w:rPr>
          <w:rFonts w:hint="default" w:ascii="Times New Roman" w:hAnsi="Times New Roman" w:cs="Times New Roman"/>
          <w:sz w:val="24"/>
          <w:szCs w:val="24"/>
          <w:highlight w:val="none"/>
          <w:lang w:val="en-US" w:eastAsia="zh-CN"/>
        </w:rPr>
        <w:t>、NO</w:t>
      </w:r>
      <w:r>
        <w:rPr>
          <w:rFonts w:hint="default" w:ascii="Times New Roman" w:hAnsi="Times New Roman" w:cs="Times New Roman"/>
          <w:sz w:val="24"/>
          <w:szCs w:val="24"/>
          <w:highlight w:val="none"/>
          <w:vertAlign w:val="subscript"/>
          <w:lang w:val="en-US" w:eastAsia="zh-CN"/>
        </w:rPr>
        <w:t>2</w:t>
      </w:r>
      <w:r>
        <w:rPr>
          <w:rFonts w:hint="default" w:ascii="Times New Roman" w:hAnsi="Times New Roman" w:cs="Times New Roman"/>
          <w:sz w:val="24"/>
          <w:szCs w:val="24"/>
          <w:highlight w:val="none"/>
          <w:lang w:val="en-US" w:eastAsia="zh-CN"/>
        </w:rPr>
        <w:t>年平均质量浓度、CO及O</w:t>
      </w:r>
      <w:r>
        <w:rPr>
          <w:rFonts w:hint="default" w:ascii="Times New Roman" w:hAnsi="Times New Roman" w:cs="Times New Roman"/>
          <w:sz w:val="24"/>
          <w:szCs w:val="24"/>
          <w:highlight w:val="none"/>
          <w:vertAlign w:val="subscript"/>
          <w:lang w:val="en-US" w:eastAsia="zh-CN"/>
        </w:rPr>
        <w:t>3</w:t>
      </w:r>
      <w:r>
        <w:rPr>
          <w:rFonts w:hint="default" w:ascii="Times New Roman" w:hAnsi="Times New Roman" w:cs="Times New Roman"/>
          <w:sz w:val="24"/>
          <w:szCs w:val="24"/>
          <w:highlight w:val="none"/>
          <w:lang w:val="en-US" w:eastAsia="zh-CN"/>
        </w:rPr>
        <w:t>特定百分数浓度均满足《环境空气质量标准》（GB3095-2026）中过渡阶段二级标准</w:t>
      </w:r>
      <w:r>
        <w:rPr>
          <w:rFonts w:hint="default" w:ascii="Times New Roman" w:hAnsi="Times New Roman" w:eastAsia="宋体" w:cs="Times New Roman"/>
          <w:sz w:val="24"/>
          <w:highlight w:val="none"/>
          <w:lang w:eastAsia="zh-CN"/>
        </w:rPr>
        <w:t>，</w:t>
      </w:r>
      <w:r>
        <w:rPr>
          <w:rFonts w:hint="default" w:ascii="Times New Roman" w:hAnsi="Times New Roman" w:eastAsia="宋体" w:cs="Times New Roman"/>
          <w:sz w:val="24"/>
          <w:highlight w:val="none"/>
          <w:lang w:val="en-US" w:eastAsia="zh-CN"/>
        </w:rPr>
        <w:t>项目所在区域属于大气不达标区</w:t>
      </w:r>
      <w:r>
        <w:rPr>
          <w:rFonts w:hint="default" w:ascii="Times New Roman" w:hAnsi="Times New Roman" w:eastAsia="宋体" w:cs="Times New Roman"/>
          <w:sz w:val="24"/>
          <w:highlight w:val="none"/>
        </w:rPr>
        <w:t>。监测结果表明</w:t>
      </w:r>
      <w:r>
        <w:rPr>
          <w:rFonts w:hint="default" w:ascii="Times New Roman" w:hAnsi="Times New Roman" w:cs="Times New Roman"/>
          <w:sz w:val="24"/>
          <w:highlight w:val="none"/>
          <w:lang w:eastAsia="zh-CN"/>
        </w:rPr>
        <w:t>，</w:t>
      </w:r>
      <w:r>
        <w:rPr>
          <w:rFonts w:hint="default" w:ascii="Times New Roman" w:hAnsi="Times New Roman" w:eastAsia="宋体" w:cs="Times New Roman"/>
          <w:sz w:val="24"/>
          <w:highlight w:val="none"/>
        </w:rPr>
        <w:t>项目区下风向TSP</w:t>
      </w:r>
      <w:r>
        <w:rPr>
          <w:rFonts w:hint="default" w:ascii="Times New Roman" w:hAnsi="Times New Roman" w:cs="Times New Roman"/>
          <w:sz w:val="24"/>
          <w:highlight w:val="none"/>
          <w:lang w:val="en-US" w:eastAsia="zh-CN"/>
        </w:rPr>
        <w:t>环境质量现状浓度</w:t>
      </w:r>
      <w:r>
        <w:rPr>
          <w:rFonts w:hint="default" w:ascii="Times New Roman" w:hAnsi="Times New Roman" w:eastAsia="宋体" w:cs="Times New Roman"/>
          <w:sz w:val="24"/>
          <w:highlight w:val="none"/>
        </w:rPr>
        <w:t>满足《环境空气质量标准》（GB3095-2026）中过渡阶段二级标准</w:t>
      </w:r>
      <w:r>
        <w:rPr>
          <w:rFonts w:hint="default" w:ascii="Times New Roman" w:hAnsi="Times New Roman" w:cs="Times New Roman"/>
          <w:sz w:val="24"/>
          <w:highlight w:val="none"/>
          <w:lang w:eastAsia="zh-CN"/>
        </w:rPr>
        <w:t>。</w:t>
      </w:r>
    </w:p>
    <w:p w14:paraId="67B297F8">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2</w:t>
      </w:r>
      <w:r>
        <w:rPr>
          <w:rFonts w:hint="default" w:ascii="Times New Roman" w:hAnsi="Times New Roman" w:eastAsia="宋体" w:cs="Times New Roman"/>
          <w:sz w:val="24"/>
          <w:szCs w:val="24"/>
          <w:highlight w:val="none"/>
        </w:rPr>
        <w:t>）声环境质量现状</w:t>
      </w:r>
    </w:p>
    <w:p w14:paraId="6B1CCDC2">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监测结果表明，项目区声环境质量现状满足</w:t>
      </w:r>
      <w:r>
        <w:rPr>
          <w:rFonts w:hint="default" w:ascii="Times New Roman" w:hAnsi="Times New Roman" w:eastAsia="宋体" w:cs="Times New Roman"/>
          <w:sz w:val="24"/>
          <w:szCs w:val="24"/>
          <w:highlight w:val="none"/>
        </w:rPr>
        <w:t>《声环境质量标准》（GB3096-2008）中</w:t>
      </w:r>
      <w:r>
        <w:rPr>
          <w:rFonts w:hint="default" w:ascii="Times New Roman" w:hAnsi="Times New Roman" w:cs="Times New Roman"/>
          <w:sz w:val="24"/>
          <w:szCs w:val="24"/>
          <w:highlight w:val="none"/>
          <w:lang w:val="en-US" w:eastAsia="zh-CN"/>
        </w:rPr>
        <w:t>3</w:t>
      </w:r>
      <w:r>
        <w:rPr>
          <w:rFonts w:hint="default" w:ascii="Times New Roman" w:hAnsi="Times New Roman" w:eastAsia="宋体" w:cs="Times New Roman"/>
          <w:sz w:val="24"/>
          <w:szCs w:val="24"/>
          <w:highlight w:val="none"/>
        </w:rPr>
        <w:t>类</w:t>
      </w:r>
      <w:r>
        <w:rPr>
          <w:rFonts w:hint="default" w:ascii="Times New Roman" w:hAnsi="Times New Roman" w:cs="Times New Roman"/>
          <w:sz w:val="24"/>
          <w:szCs w:val="24"/>
          <w:highlight w:val="none"/>
          <w:lang w:val="en-US" w:eastAsia="zh-CN"/>
        </w:rPr>
        <w:t>区标准要求</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项目区声环境现状良好</w:t>
      </w:r>
      <w:r>
        <w:rPr>
          <w:rFonts w:hint="default" w:ascii="Times New Roman" w:hAnsi="Times New Roman" w:eastAsia="宋体" w:cs="Times New Roman"/>
          <w:sz w:val="24"/>
          <w:szCs w:val="24"/>
          <w:highlight w:val="none"/>
        </w:rPr>
        <w:t>。</w:t>
      </w:r>
    </w:p>
    <w:p w14:paraId="365247F4">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地下水环境质量现状</w:t>
      </w:r>
    </w:p>
    <w:p w14:paraId="2A09CAE9">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监测结果表明，</w:t>
      </w:r>
      <w:r>
        <w:rPr>
          <w:rFonts w:hint="default" w:ascii="Times New Roman" w:hAnsi="Times New Roman" w:cs="Times New Roman"/>
          <w:sz w:val="24"/>
          <w:szCs w:val="24"/>
          <w:highlight w:val="none"/>
          <w:lang w:val="en-US" w:eastAsia="zh-CN"/>
        </w:rPr>
        <w:t>部分监测点中氯化物、总硬度、溶解性总固体超过《地下水质量标准》（GB/T14848-2017）Ⅲ类标准，超标主要和所在区域的地质环境有关，其余各监测点监测因子均满足《地下水质量标准》（GB/T14848-2017）Ⅲ类标准，项目区地下水水质良好</w:t>
      </w:r>
      <w:r>
        <w:rPr>
          <w:rFonts w:hint="default" w:ascii="Times New Roman" w:hAnsi="Times New Roman" w:eastAsia="宋体" w:cs="Times New Roman"/>
          <w:sz w:val="24"/>
          <w:szCs w:val="24"/>
          <w:highlight w:val="none"/>
        </w:rPr>
        <w:t>。</w:t>
      </w:r>
    </w:p>
    <w:p w14:paraId="64363C59">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土壤环境质量现状</w:t>
      </w:r>
    </w:p>
    <w:p w14:paraId="4FB7FD9E">
      <w:pPr>
        <w:pageBreakBefore w:val="0"/>
        <w:widowControl/>
        <w:kinsoku/>
        <w:wordWrap/>
        <w:overflowPunct/>
        <w:topLinePunct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监测结果表明，</w:t>
      </w:r>
      <w:r>
        <w:rPr>
          <w:rFonts w:hint="default" w:ascii="Times New Roman" w:hAnsi="Times New Roman" w:cs="Times New Roman"/>
          <w:sz w:val="24"/>
          <w:szCs w:val="24"/>
          <w:highlight w:val="none"/>
          <w:lang w:val="en-US" w:eastAsia="zh-CN"/>
        </w:rPr>
        <w:t>项目土壤监测点</w:t>
      </w:r>
      <w:r>
        <w:rPr>
          <w:rFonts w:hint="default" w:ascii="Times New Roman" w:hAnsi="Times New Roman" w:eastAsia="宋体" w:cs="Times New Roman"/>
          <w:sz w:val="24"/>
          <w:szCs w:val="24"/>
          <w:highlight w:val="none"/>
        </w:rPr>
        <w:t>各监测因子均满足《土壤环境质量标准建设用 地土壤污染风险管控标准》（GB36600-2018）第二类用地筛选值限值要求。</w:t>
      </w:r>
    </w:p>
    <w:p w14:paraId="5D51D229">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bookmarkStart w:id="1049" w:name="_Toc9868279"/>
      <w:r>
        <w:rPr>
          <w:rFonts w:hint="default" w:ascii="Times New Roman" w:hAnsi="Times New Roman" w:cs="Times New Roman"/>
          <w:b/>
          <w:bCs w:val="0"/>
          <w:kern w:val="2"/>
          <w:sz w:val="24"/>
          <w:szCs w:val="24"/>
          <w:highlight w:val="none"/>
          <w:lang w:val="en-US" w:eastAsia="zh-CN"/>
        </w:rPr>
        <w:t>9.1.3</w:t>
      </w:r>
      <w:bookmarkEnd w:id="1049"/>
      <w:r>
        <w:rPr>
          <w:rFonts w:hint="default" w:ascii="Times New Roman" w:hAnsi="Times New Roman" w:cs="Times New Roman"/>
          <w:b/>
          <w:bCs w:val="0"/>
          <w:kern w:val="2"/>
          <w:sz w:val="24"/>
          <w:szCs w:val="24"/>
          <w:highlight w:val="none"/>
          <w:lang w:val="en-US" w:eastAsia="zh-CN"/>
        </w:rPr>
        <w:t>污染物排放情况</w:t>
      </w:r>
    </w:p>
    <w:p w14:paraId="74123785">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大气污染物排放</w:t>
      </w:r>
    </w:p>
    <w:p w14:paraId="69D4B621">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①</w:t>
      </w:r>
      <w:r>
        <w:rPr>
          <w:rFonts w:hint="default" w:ascii="Times New Roman" w:hAnsi="Times New Roman" w:eastAsia="宋体" w:cs="Times New Roman"/>
          <w:sz w:val="24"/>
          <w:szCs w:val="24"/>
          <w:highlight w:val="none"/>
        </w:rPr>
        <w:t>窑尾废气</w:t>
      </w:r>
    </w:p>
    <w:p w14:paraId="73CD517B">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窑尾采用低氮燃烧+SNCR+增湿塔（急冷）+电除尘+布袋除尘处理措施，协同处置危废前后排放常规的污染物颗粒物、SO</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、NO</w:t>
      </w:r>
      <w:r>
        <w:rPr>
          <w:rFonts w:hint="default" w:ascii="Times New Roman" w:hAnsi="Times New Roman" w:eastAsia="宋体" w:cs="Times New Roman"/>
          <w:sz w:val="24"/>
          <w:szCs w:val="24"/>
          <w:highlight w:val="none"/>
          <w:vertAlign w:val="subscript"/>
        </w:rPr>
        <w:t>x</w:t>
      </w:r>
      <w:r>
        <w:rPr>
          <w:rFonts w:hint="default" w:ascii="Times New Roman" w:hAnsi="Times New Roman" w:eastAsia="宋体" w:cs="Times New Roman"/>
          <w:sz w:val="24"/>
          <w:szCs w:val="24"/>
          <w:highlight w:val="none"/>
        </w:rPr>
        <w:t>、氨浓度变化不大，属于正常波动范围，烟尘、SO</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、NO</w:t>
      </w:r>
      <w:r>
        <w:rPr>
          <w:rFonts w:hint="default" w:ascii="Times New Roman" w:hAnsi="Times New Roman" w:eastAsia="宋体" w:cs="Times New Roman"/>
          <w:sz w:val="24"/>
          <w:szCs w:val="24"/>
          <w:highlight w:val="none"/>
          <w:vertAlign w:val="subscript"/>
        </w:rPr>
        <w:t>x</w:t>
      </w:r>
      <w:r>
        <w:rPr>
          <w:rFonts w:hint="default" w:ascii="Times New Roman" w:hAnsi="Times New Roman" w:eastAsia="宋体" w:cs="Times New Roman"/>
          <w:sz w:val="24"/>
          <w:szCs w:val="24"/>
          <w:highlight w:val="none"/>
        </w:rPr>
        <w:t>排放浓度基本与水泥窑的废物协同处置过程无关</w:t>
      </w:r>
      <w:r>
        <w:rPr>
          <w:rFonts w:hint="eastAsia" w:cs="Times New Roman"/>
          <w:sz w:val="24"/>
          <w:szCs w:val="24"/>
          <w:highlight w:val="none"/>
          <w:lang w:eastAsia="zh-CN"/>
        </w:rPr>
        <w:t>，本项目实施后，现有工程窑尾烟囱中颗粒物、SO</w:t>
      </w:r>
      <w:r>
        <w:rPr>
          <w:rFonts w:hint="eastAsia" w:cs="Times New Roman"/>
          <w:sz w:val="24"/>
          <w:szCs w:val="24"/>
          <w:highlight w:val="none"/>
          <w:vertAlign w:val="subscript"/>
          <w:lang w:eastAsia="zh-CN"/>
        </w:rPr>
        <w:t>2</w:t>
      </w:r>
      <w:r>
        <w:rPr>
          <w:rFonts w:hint="eastAsia" w:cs="Times New Roman"/>
          <w:sz w:val="24"/>
          <w:szCs w:val="24"/>
          <w:highlight w:val="none"/>
          <w:lang w:eastAsia="zh-CN"/>
        </w:rPr>
        <w:t>、NO</w:t>
      </w:r>
      <w:r>
        <w:rPr>
          <w:rFonts w:hint="eastAsia" w:cs="Times New Roman"/>
          <w:sz w:val="24"/>
          <w:szCs w:val="24"/>
          <w:highlight w:val="none"/>
          <w:vertAlign w:val="subscript"/>
          <w:lang w:eastAsia="zh-CN"/>
        </w:rPr>
        <w:t>x</w:t>
      </w:r>
      <w:r>
        <w:rPr>
          <w:rFonts w:hint="eastAsia" w:cs="Times New Roman"/>
          <w:sz w:val="24"/>
          <w:szCs w:val="24"/>
          <w:highlight w:val="none"/>
          <w:lang w:eastAsia="zh-CN"/>
        </w:rPr>
        <w:t>、NH</w:t>
      </w:r>
      <w:r>
        <w:rPr>
          <w:rFonts w:hint="eastAsia" w:cs="Times New Roman"/>
          <w:sz w:val="24"/>
          <w:szCs w:val="24"/>
          <w:highlight w:val="none"/>
          <w:vertAlign w:val="subscript"/>
          <w:lang w:eastAsia="zh-CN"/>
        </w:rPr>
        <w:t>3</w:t>
      </w:r>
      <w:r>
        <w:rPr>
          <w:rFonts w:hint="eastAsia" w:cs="Times New Roman"/>
          <w:sz w:val="24"/>
          <w:szCs w:val="24"/>
          <w:highlight w:val="none"/>
          <w:lang w:eastAsia="zh-CN"/>
        </w:rPr>
        <w:t>等四项污染物排放量（包括排放方式、排放强度）不发生变化。</w:t>
      </w:r>
    </w:p>
    <w:p w14:paraId="506A3358">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cs="Times New Roman"/>
          <w:sz w:val="24"/>
          <w:szCs w:val="24"/>
          <w:highlight w:val="none"/>
          <w:lang w:val="en-US" w:eastAsia="zh-CN"/>
        </w:rPr>
        <w:t>②</w:t>
      </w:r>
      <w:r>
        <w:rPr>
          <w:rFonts w:hint="eastAsia" w:cs="Times New Roman"/>
          <w:sz w:val="24"/>
          <w:szCs w:val="24"/>
          <w:highlight w:val="none"/>
          <w:lang w:val="en-US" w:eastAsia="zh-CN"/>
        </w:rPr>
        <w:t>预处理系统及输送系统废气</w:t>
      </w:r>
    </w:p>
    <w:p w14:paraId="2D820ADC">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拟建项目投料</w:t>
      </w:r>
      <w:r>
        <w:rPr>
          <w:rFonts w:hint="eastAsia" w:cs="Times New Roman"/>
          <w:color w:val="auto"/>
          <w:lang w:val="en-US" w:eastAsia="zh-CN"/>
        </w:rPr>
        <w:t>系统设置有</w:t>
      </w:r>
      <w:r>
        <w:rPr>
          <w:rFonts w:hint="default" w:ascii="Times New Roman" w:hAnsi="Times New Roman" w:cs="Times New Roman"/>
          <w:color w:val="auto"/>
          <w:lang w:val="en-US" w:eastAsia="zh-CN"/>
        </w:rPr>
        <w:t>一套预处理装置，预处理装置为全密闭装置，物料破碎、打散过程产生的粉尘经布袋除尘器处理后由15m排气筒</w:t>
      </w:r>
      <w:r>
        <w:rPr>
          <w:rFonts w:hint="eastAsia" w:cs="Times New Roman"/>
          <w:color w:val="auto"/>
          <w:lang w:val="en-US" w:eastAsia="zh-CN"/>
        </w:rPr>
        <w:t>（DA002）</w:t>
      </w:r>
      <w:r>
        <w:rPr>
          <w:rFonts w:hint="default" w:ascii="Times New Roman" w:hAnsi="Times New Roman" w:cs="Times New Roman"/>
          <w:color w:val="auto"/>
          <w:lang w:val="en-US" w:eastAsia="zh-CN"/>
        </w:rPr>
        <w:t>排放，打散破碎后的物料再经大倾角皮带机送至缓冲料斗内，输送过程产生的粉尘经布袋除尘器处理后由15m排气筒</w:t>
      </w:r>
      <w:r>
        <w:rPr>
          <w:rFonts w:hint="eastAsia" w:cs="Times New Roman"/>
          <w:color w:val="auto"/>
          <w:lang w:val="en-US" w:eastAsia="zh-CN"/>
        </w:rPr>
        <w:t>（DA003）</w:t>
      </w:r>
      <w:r>
        <w:rPr>
          <w:rFonts w:hint="default" w:ascii="Times New Roman" w:hAnsi="Times New Roman" w:cs="Times New Roman"/>
          <w:color w:val="auto"/>
          <w:lang w:val="en-US" w:eastAsia="zh-CN"/>
        </w:rPr>
        <w:t>排放，颗粒物产生量为0.15kg/h，车间颗粒物无组织排放量为0.1623t/a。</w:t>
      </w:r>
    </w:p>
    <w:p w14:paraId="52C2E19A">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水污染物排放</w:t>
      </w:r>
    </w:p>
    <w:p w14:paraId="5FB47079">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eastAsia" w:cs="Times New Roman"/>
          <w:sz w:val="24"/>
          <w:szCs w:val="24"/>
          <w:highlight w:val="none"/>
          <w:lang w:val="en-US" w:eastAsia="zh-CN"/>
        </w:rPr>
        <w:t>本项目生产过程不新增生产用水，故无生产废水排放，项目依托现水泥厂生活设施，运营期不新增劳动定员，无新增生活废水，因此本项目无废水排放。</w:t>
      </w:r>
    </w:p>
    <w:p w14:paraId="79BD456B">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噪声排放</w:t>
      </w:r>
    </w:p>
    <w:p w14:paraId="7C2B30D4">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本项目实施后，新增噪声源主要包括</w:t>
      </w:r>
      <w:r>
        <w:rPr>
          <w:rFonts w:hint="eastAsia" w:cs="Times New Roman"/>
          <w:sz w:val="24"/>
          <w:szCs w:val="24"/>
          <w:highlight w:val="none"/>
          <w:lang w:val="en-US" w:eastAsia="zh-CN"/>
        </w:rPr>
        <w:t>固态危险废物投料</w:t>
      </w:r>
      <w:r>
        <w:rPr>
          <w:rFonts w:hint="default" w:ascii="Times New Roman" w:hAnsi="Times New Roman" w:eastAsia="宋体" w:cs="Times New Roman"/>
          <w:sz w:val="24"/>
          <w:szCs w:val="24"/>
          <w:highlight w:val="none"/>
        </w:rPr>
        <w:t>系统的</w:t>
      </w:r>
      <w:r>
        <w:rPr>
          <w:rFonts w:hint="eastAsia" w:cs="Times New Roman"/>
          <w:sz w:val="24"/>
          <w:szCs w:val="24"/>
          <w:highlight w:val="none"/>
          <w:lang w:val="en-US" w:eastAsia="zh-CN"/>
        </w:rPr>
        <w:t>板喂</w:t>
      </w:r>
      <w:r>
        <w:rPr>
          <w:rFonts w:hint="default" w:ascii="Times New Roman" w:hAnsi="Times New Roman" w:eastAsia="宋体" w:cs="Times New Roman"/>
          <w:sz w:val="24"/>
          <w:szCs w:val="24"/>
          <w:highlight w:val="none"/>
        </w:rPr>
        <w:t>机、</w:t>
      </w:r>
      <w:r>
        <w:rPr>
          <w:rFonts w:hint="eastAsia" w:cs="Times New Roman"/>
          <w:sz w:val="24"/>
          <w:szCs w:val="24"/>
          <w:highlight w:val="none"/>
          <w:lang w:val="en-US" w:eastAsia="zh-CN"/>
        </w:rPr>
        <w:t>打散机</w:t>
      </w:r>
      <w:r>
        <w:rPr>
          <w:rFonts w:hint="default" w:ascii="Times New Roman" w:hAnsi="Times New Roman" w:eastAsia="宋体" w:cs="Times New Roman"/>
          <w:sz w:val="24"/>
          <w:szCs w:val="24"/>
          <w:highlight w:val="none"/>
        </w:rPr>
        <w:t>和输送装置等工作时产生噪声。各类声源的噪声级一般在</w:t>
      </w:r>
      <w:r>
        <w:rPr>
          <w:rFonts w:hint="eastAsia" w:cs="Times New Roman"/>
          <w:sz w:val="24"/>
          <w:szCs w:val="24"/>
          <w:highlight w:val="none"/>
          <w:lang w:val="en-US" w:eastAsia="zh-CN"/>
        </w:rPr>
        <w:t>80</w:t>
      </w:r>
      <w:r>
        <w:rPr>
          <w:rFonts w:hint="default" w:ascii="Times New Roman" w:hAnsi="Times New Roman" w:eastAsia="宋体" w:cs="Times New Roman"/>
          <w:sz w:val="24"/>
          <w:szCs w:val="24"/>
          <w:highlight w:val="none"/>
        </w:rPr>
        <w:t>~90dB（A）之间，厂界噪声满足《工业企业厂界环境噪声排放标准》（GB12348-2008）中3类区环境噪声排放限值。</w:t>
      </w:r>
    </w:p>
    <w:p w14:paraId="67A593C0">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固体废物排放</w:t>
      </w:r>
    </w:p>
    <w:p w14:paraId="6D5F62BB">
      <w:pPr>
        <w:pageBreakBefore w:val="0"/>
        <w:widowControl/>
        <w:kinsoku/>
        <w:wordWrap/>
        <w:overflowPunct/>
        <w:topLinePunct w:val="0"/>
        <w:autoSpaceDE w:val="0"/>
        <w:autoSpaceDN w:val="0"/>
        <w:bidi w:val="0"/>
        <w:adjustRightInd/>
        <w:snapToGrid w:val="0"/>
        <w:spacing w:line="360" w:lineRule="auto"/>
        <w:ind w:firstLine="480" w:firstLineChars="200"/>
        <w:jc w:val="left"/>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本项目预计产生废弃包装物2.5t/a，按照固态入窑废物的要求处理后投入水泥窑处置；预处理及输送过程产生的除尘灰与固态废物成分一致，产生量为53.8777t/a，混入固态废物中投入水泥窑焚烧处理；化验室废物0.05t/a，暂存在企业现有</w:t>
      </w:r>
      <w:r>
        <w:rPr>
          <w:rFonts w:hint="eastAsia" w:cs="Times New Roman"/>
          <w:sz w:val="24"/>
          <w:szCs w:val="24"/>
          <w:highlight w:val="none"/>
          <w:lang w:val="en-US" w:eastAsia="zh-CN"/>
        </w:rPr>
        <w:t>危险废物贮存库</w:t>
      </w:r>
      <w:r>
        <w:rPr>
          <w:rFonts w:hint="default" w:ascii="Times New Roman" w:hAnsi="Times New Roman" w:eastAsia="宋体" w:cs="Times New Roman"/>
          <w:sz w:val="24"/>
          <w:szCs w:val="24"/>
          <w:highlight w:val="none"/>
        </w:rPr>
        <w:t>内，</w:t>
      </w:r>
      <w:r>
        <w:rPr>
          <w:rFonts w:hint="eastAsia" w:cs="Times New Roman"/>
          <w:sz w:val="24"/>
          <w:szCs w:val="24"/>
          <w:highlight w:val="none"/>
          <w:lang w:val="en-US" w:eastAsia="zh-CN"/>
        </w:rPr>
        <w:t>委托</w:t>
      </w:r>
      <w:r>
        <w:rPr>
          <w:rFonts w:hint="default" w:ascii="Times New Roman" w:hAnsi="Times New Roman" w:eastAsia="宋体" w:cs="Times New Roman"/>
          <w:sz w:val="24"/>
          <w:szCs w:val="24"/>
          <w:highlight w:val="none"/>
        </w:rPr>
        <w:t>有资质单位处置。</w:t>
      </w:r>
    </w:p>
    <w:p w14:paraId="0BAA8558">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r>
        <w:rPr>
          <w:rFonts w:hint="default" w:ascii="Times New Roman" w:hAnsi="Times New Roman" w:cs="Times New Roman"/>
          <w:b/>
          <w:bCs w:val="0"/>
          <w:kern w:val="2"/>
          <w:sz w:val="24"/>
          <w:szCs w:val="24"/>
          <w:highlight w:val="none"/>
          <w:lang w:val="en-US" w:eastAsia="zh-CN"/>
        </w:rPr>
        <w:t>9.1.4环境影响分析结论</w:t>
      </w:r>
    </w:p>
    <w:p w14:paraId="306211C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（1）大气</w:t>
      </w:r>
      <w:r>
        <w:rPr>
          <w:rFonts w:hint="default" w:ascii="Times New Roman" w:hAnsi="Times New Roman" w:cs="Times New Roman"/>
          <w:sz w:val="24"/>
          <w:szCs w:val="24"/>
          <w:highlight w:val="none"/>
          <w:lang w:val="en-US" w:eastAsia="zh-CN"/>
        </w:rPr>
        <w:t>环境影响</w:t>
      </w:r>
    </w:p>
    <w:p w14:paraId="27C784A5">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环境影响预测与评价结果表明，在叠加现状浓度的环境影响后，本项目主要污染物未超过环境质量浓度限值，符合环境质量标准要求，本项目的建设不会对周围环境空气造成明显影响。</w:t>
      </w:r>
    </w:p>
    <w:p w14:paraId="620722B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（2）</w:t>
      </w:r>
      <w:r>
        <w:rPr>
          <w:rFonts w:hint="default" w:ascii="Times New Roman" w:hAnsi="Times New Roman" w:cs="Times New Roman"/>
          <w:sz w:val="24"/>
          <w:szCs w:val="24"/>
          <w:highlight w:val="none"/>
          <w:lang w:val="en-US" w:eastAsia="zh-CN"/>
        </w:rPr>
        <w:t>水环境影响</w:t>
      </w:r>
    </w:p>
    <w:p w14:paraId="0BA58388">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在现有厂区回转窑尾空地进行建设，工程边界距离厂界最近距离为76m（距离厂区东厂界76m、南厂界468m、西厂界274m、北厂界255m），厂界东侧紧邻新疆兴发化工有限公司，且位于化工产业集中区，评价范围内没有地下水敏感目标，因此，评价认为，非正常工况泄漏污染地下水时，除厂界内小范围以外地区亚硝酸盐氮浓度部分超标（亚硝酸盐氮标准浓度限制≤0.1mg/L），周边地下水水质均能满足《地下水质量标准》（GB/T14848-2017）中的Ⅲ类标准要求。</w:t>
      </w:r>
    </w:p>
    <w:p w14:paraId="31CAACDD">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由污染途径及应对措施分析可知，工程对可能造成地下水影响的各个途径均进行了有效预防，在确保各项防渗措施得以落实，并加强维护和场区环境管理的前提下，可有效控制场内的废水污染物下渗现象，避免污染地下水，因此工程对区域地下水环境影响较小。</w:t>
      </w:r>
    </w:p>
    <w:p w14:paraId="0C1F3FC2">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（3）声</w:t>
      </w:r>
      <w:r>
        <w:rPr>
          <w:rFonts w:hint="default" w:ascii="Times New Roman" w:hAnsi="Times New Roman" w:cs="Times New Roman"/>
          <w:sz w:val="24"/>
          <w:szCs w:val="24"/>
          <w:highlight w:val="none"/>
          <w:lang w:val="en-US" w:eastAsia="zh-CN"/>
        </w:rPr>
        <w:t>环境影响</w:t>
      </w:r>
    </w:p>
    <w:p w14:paraId="308D17B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本项目各厂界噪声贡献值全部达标，叠加现水泥厂噪声贡献值后的厂界噪声预测值也达标，对周围声环境影响很小。</w:t>
      </w:r>
    </w:p>
    <w:p w14:paraId="357D680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（4）</w:t>
      </w:r>
      <w:r>
        <w:rPr>
          <w:rFonts w:hint="default" w:ascii="Times New Roman" w:hAnsi="Times New Roman" w:cs="Times New Roman"/>
          <w:sz w:val="24"/>
          <w:szCs w:val="24"/>
          <w:highlight w:val="none"/>
          <w:lang w:val="en-US" w:eastAsia="zh-CN"/>
        </w:rPr>
        <w:t>固体废物环境影响</w:t>
      </w:r>
    </w:p>
    <w:p w14:paraId="59C83988">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本项目产生的废物包装物按照固态入窑废物的要求处理后投入水泥窑处置</w:t>
      </w:r>
      <w:r>
        <w:rPr>
          <w:rFonts w:hint="eastAsia" w:cs="Times New Roman"/>
          <w:sz w:val="24"/>
          <w:szCs w:val="24"/>
          <w:highlight w:val="none"/>
          <w:lang w:eastAsia="zh-CN"/>
        </w:rPr>
        <w:t>；预处理及输送过程产生的除尘灰与固态废物成分一致，混入固态废物中投入水泥窑焚烧处理；</w:t>
      </w:r>
      <w:r>
        <w:rPr>
          <w:rFonts w:hint="default" w:ascii="Times New Roman" w:hAnsi="Times New Roman" w:eastAsia="宋体" w:cs="Times New Roman"/>
          <w:sz w:val="24"/>
          <w:szCs w:val="24"/>
          <w:highlight w:val="none"/>
        </w:rPr>
        <w:t>化验室废物暂存在企业现有</w:t>
      </w:r>
      <w:r>
        <w:rPr>
          <w:rFonts w:hint="eastAsia" w:cs="Times New Roman"/>
          <w:sz w:val="24"/>
          <w:szCs w:val="24"/>
          <w:highlight w:val="none"/>
          <w:lang w:val="en-US" w:eastAsia="zh-CN"/>
        </w:rPr>
        <w:t>危险废物贮存设施</w:t>
      </w:r>
      <w:r>
        <w:rPr>
          <w:rFonts w:hint="default" w:ascii="Times New Roman" w:hAnsi="Times New Roman" w:eastAsia="宋体" w:cs="Times New Roman"/>
          <w:sz w:val="24"/>
          <w:szCs w:val="24"/>
          <w:highlight w:val="none"/>
        </w:rPr>
        <w:t>内，</w:t>
      </w:r>
      <w:r>
        <w:rPr>
          <w:rFonts w:hint="eastAsia" w:cs="Times New Roman"/>
          <w:sz w:val="24"/>
          <w:szCs w:val="24"/>
          <w:highlight w:val="none"/>
          <w:lang w:val="en-US" w:eastAsia="zh-CN"/>
        </w:rPr>
        <w:t>委托</w:t>
      </w:r>
      <w:r>
        <w:rPr>
          <w:rFonts w:hint="default" w:ascii="Times New Roman" w:hAnsi="Times New Roman" w:eastAsia="宋体" w:cs="Times New Roman"/>
          <w:sz w:val="24"/>
          <w:szCs w:val="24"/>
          <w:highlight w:val="none"/>
        </w:rPr>
        <w:t>有资质单位处置。本项目产生固体废物得到有效处理处置，不会对周边环境造成影响。</w:t>
      </w:r>
    </w:p>
    <w:p w14:paraId="24D6A2A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lang w:val="en-US" w:eastAsia="zh-CN"/>
        </w:rPr>
      </w:pPr>
      <w:r>
        <w:rPr>
          <w:rFonts w:hint="default" w:ascii="Times New Roman" w:hAnsi="Times New Roman" w:eastAsia="宋体" w:cs="Times New Roman"/>
          <w:sz w:val="24"/>
          <w:szCs w:val="24"/>
          <w:highlight w:val="none"/>
        </w:rPr>
        <w:t>（5）土壤</w:t>
      </w:r>
      <w:r>
        <w:rPr>
          <w:rFonts w:hint="default" w:ascii="Times New Roman" w:hAnsi="Times New Roman" w:cs="Times New Roman"/>
          <w:sz w:val="24"/>
          <w:szCs w:val="24"/>
          <w:highlight w:val="none"/>
          <w:lang w:val="en-US" w:eastAsia="zh-CN"/>
        </w:rPr>
        <w:t>环境影响</w:t>
      </w:r>
    </w:p>
    <w:p w14:paraId="5EACCEA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针对各类污染物均采取了相应的污染治理措施，可确保污染物的达标排放；按照相关防渗要求，对全厂进行了有效的分区防渗，可从源头上控制项目对区域土壤环境的污染，确保项目对区域土壤的影响水平处于可接受水平。因此，只要企业严格落实本环评提出的各项污染防治措施，项目对区域土壤环境影响是可以接受的。</w:t>
      </w:r>
    </w:p>
    <w:p w14:paraId="13BD3118">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bookmarkStart w:id="1050" w:name="_Toc9868280"/>
      <w:r>
        <w:rPr>
          <w:rFonts w:hint="default" w:ascii="Times New Roman" w:hAnsi="Times New Roman" w:cs="Times New Roman"/>
          <w:b/>
          <w:bCs w:val="0"/>
          <w:kern w:val="2"/>
          <w:sz w:val="24"/>
          <w:szCs w:val="24"/>
          <w:highlight w:val="none"/>
          <w:lang w:val="en-US" w:eastAsia="zh-CN"/>
        </w:rPr>
        <w:t>9.1.5环境保护措施结论</w:t>
      </w:r>
      <w:bookmarkEnd w:id="1050"/>
    </w:p>
    <w:p w14:paraId="6510E4D7">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1</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环境空气保护措施</w:t>
      </w:r>
    </w:p>
    <w:p w14:paraId="2DBDC796">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①</w:t>
      </w:r>
      <w:r>
        <w:rPr>
          <w:rFonts w:hint="default" w:ascii="Times New Roman" w:hAnsi="Times New Roman" w:eastAsia="宋体" w:cs="Times New Roman"/>
          <w:sz w:val="24"/>
          <w:szCs w:val="24"/>
          <w:highlight w:val="none"/>
        </w:rPr>
        <w:t>水泥窑窑尾废气</w:t>
      </w:r>
    </w:p>
    <w:p w14:paraId="2F69D815">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根据《水泥窑协同处置固体废物污染控制标准编制说明》，窑尾烟气中颗粒物、SO</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和NO</w:t>
      </w:r>
      <w:r>
        <w:rPr>
          <w:rFonts w:hint="default" w:ascii="Times New Roman" w:hAnsi="Times New Roman" w:eastAsia="宋体" w:cs="Times New Roman"/>
          <w:sz w:val="24"/>
          <w:szCs w:val="24"/>
          <w:highlight w:val="none"/>
          <w:vertAlign w:val="subscript"/>
        </w:rPr>
        <w:t>x</w:t>
      </w:r>
      <w:r>
        <w:rPr>
          <w:rFonts w:hint="default" w:ascii="Times New Roman" w:hAnsi="Times New Roman" w:eastAsia="宋体" w:cs="Times New Roman"/>
          <w:sz w:val="24"/>
          <w:szCs w:val="24"/>
          <w:highlight w:val="none"/>
        </w:rPr>
        <w:t>的排放浓度基本与水泥窑的废物协同处置过程无关。本项目实施后，窑尾颗粒物、SO</w:t>
      </w:r>
      <w:r>
        <w:rPr>
          <w:rFonts w:hint="default" w:ascii="Times New Roman" w:hAnsi="Times New Roman" w:eastAsia="宋体" w:cs="Times New Roman"/>
          <w:sz w:val="24"/>
          <w:szCs w:val="24"/>
          <w:highlight w:val="none"/>
          <w:vertAlign w:val="subscript"/>
        </w:rPr>
        <w:t>2</w:t>
      </w:r>
      <w:r>
        <w:rPr>
          <w:rFonts w:hint="default" w:ascii="Times New Roman" w:hAnsi="Times New Roman" w:eastAsia="宋体" w:cs="Times New Roman"/>
          <w:sz w:val="24"/>
          <w:szCs w:val="24"/>
          <w:highlight w:val="none"/>
        </w:rPr>
        <w:t>和NO</w:t>
      </w:r>
      <w:r>
        <w:rPr>
          <w:rFonts w:hint="default" w:ascii="Times New Roman" w:hAnsi="Times New Roman" w:eastAsia="宋体" w:cs="Times New Roman"/>
          <w:sz w:val="24"/>
          <w:szCs w:val="24"/>
          <w:highlight w:val="none"/>
          <w:vertAlign w:val="subscript"/>
        </w:rPr>
        <w:t>x</w:t>
      </w:r>
      <w:r>
        <w:rPr>
          <w:rFonts w:hint="default" w:ascii="Times New Roman" w:hAnsi="Times New Roman" w:eastAsia="宋体" w:cs="Times New Roman"/>
          <w:sz w:val="24"/>
          <w:szCs w:val="24"/>
          <w:highlight w:val="none"/>
        </w:rPr>
        <w:t>排放量基本不变。企业水泥窑烧成系统采用低氮燃烧+SNCR+增湿塔（急冷）+电除尘+布袋除尘</w:t>
      </w:r>
      <w:r>
        <w:rPr>
          <w:rFonts w:hint="eastAsia" w:cs="Times New Roman"/>
          <w:sz w:val="24"/>
          <w:szCs w:val="24"/>
          <w:highlight w:val="none"/>
          <w:lang w:val="en-US" w:eastAsia="zh-CN"/>
        </w:rPr>
        <w:t>措施处理</w:t>
      </w:r>
      <w:r>
        <w:rPr>
          <w:rFonts w:hint="default" w:ascii="Times New Roman" w:hAnsi="Times New Roman" w:eastAsia="宋体" w:cs="Times New Roman"/>
          <w:sz w:val="24"/>
          <w:szCs w:val="24"/>
          <w:highlight w:val="none"/>
        </w:rPr>
        <w:t>后，经100m排气筒高空排放。</w:t>
      </w:r>
    </w:p>
    <w:p w14:paraId="5FEEBEA1">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②预处理系统及输送系统废气</w:t>
      </w:r>
    </w:p>
    <w:p w14:paraId="3FC0B00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拟建项目</w:t>
      </w:r>
      <w:r>
        <w:rPr>
          <w:rFonts w:hint="eastAsia" w:cs="Times New Roman"/>
          <w:sz w:val="24"/>
          <w:szCs w:val="24"/>
          <w:highlight w:val="none"/>
          <w:lang w:val="en-US" w:eastAsia="zh-CN"/>
        </w:rPr>
        <w:t>固态危险废物</w:t>
      </w:r>
      <w:r>
        <w:rPr>
          <w:rFonts w:hint="default" w:ascii="Times New Roman" w:hAnsi="Times New Roman" w:eastAsia="宋体" w:cs="Times New Roman"/>
          <w:sz w:val="24"/>
          <w:szCs w:val="24"/>
          <w:highlight w:val="none"/>
        </w:rPr>
        <w:t>投料系统设置有一套预处理装置，预处理装置为全密闭装置，</w:t>
      </w:r>
      <w:r>
        <w:rPr>
          <w:rFonts w:hint="eastAsia" w:cs="Times New Roman"/>
          <w:sz w:val="24"/>
          <w:szCs w:val="24"/>
          <w:highlight w:val="none"/>
          <w:lang w:val="en-US" w:eastAsia="zh-CN"/>
        </w:rPr>
        <w:t>固态废物</w:t>
      </w:r>
      <w:r>
        <w:rPr>
          <w:rFonts w:hint="default" w:ascii="Times New Roman" w:hAnsi="Times New Roman" w:eastAsia="宋体" w:cs="Times New Roman"/>
          <w:sz w:val="24"/>
          <w:szCs w:val="24"/>
          <w:highlight w:val="none"/>
        </w:rPr>
        <w:t>破碎、打散过程产生的粉尘经布袋除尘器处理后由15m排气筒（DA002）排放，打散破碎后的物料再经大倾角皮带机送至缓冲料斗内，输送过程产生的粉尘经布袋除尘器处理后由15m排气筒（DA003）排放</w:t>
      </w:r>
      <w:r>
        <w:rPr>
          <w:rFonts w:hint="eastAsia" w:cs="Times New Roman"/>
          <w:sz w:val="24"/>
          <w:szCs w:val="24"/>
          <w:highlight w:val="none"/>
          <w:lang w:eastAsia="zh-CN"/>
        </w:rPr>
        <w:t>；液态废物通过架空管道输送至水泥窑内，输送过程全密闭</w:t>
      </w:r>
      <w:r>
        <w:rPr>
          <w:rFonts w:hint="default" w:ascii="Times New Roman" w:hAnsi="Times New Roman" w:eastAsia="宋体" w:cs="Times New Roman"/>
          <w:sz w:val="24"/>
          <w:szCs w:val="24"/>
          <w:highlight w:val="none"/>
        </w:rPr>
        <w:t>。</w:t>
      </w:r>
    </w:p>
    <w:p w14:paraId="562E9892">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2</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水环境保护措施</w:t>
      </w:r>
    </w:p>
    <w:p w14:paraId="15684D7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本项目生产过程不新增生产用水，故无生产废水排放，项目依托现水泥厂生活设施，运营期不新增劳动定员，无新增生活废水，因此本项目无废水排放。</w:t>
      </w:r>
    </w:p>
    <w:p w14:paraId="15D058BF">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为防止项目废液下渗对地下水造成污染，企业拟采取严格的分区防渗措施。投料车间、事故池等场地均为重点污染防治区，严格按照《环境影响评价技术导则 地下水环境》（HJ610-2016）的要求采取防渗措施。</w:t>
      </w:r>
    </w:p>
    <w:p w14:paraId="1C14FA43">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本评价要求，企业应根据《环境影响评价技术导则 地下水环境》（HJ610-2016）、《地下水环境监测技术规范》（HJ164-2020）、《工业企业土壤和地下水自行监测技术指南（试行）》（HJ1209-2021）相关要求，企业地下水流向上游边界处布设1个对照监测点，在厂区内存在地下水污染隐患的投料车间下游方向布设1个污染监控点，地下水下游厂界外布设1个污染扩散监测点。共设不少于3个地下水监测点，监测频率不少于每年一次，对项目周围的地下水水质进行长期监测，以便及时准确地反馈地下水水质状况，为防止对地下水的污染采取相应的措施提供重要依据。</w:t>
      </w:r>
    </w:p>
    <w:p w14:paraId="5EB6DA3D">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3</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声环境保护措施</w:t>
      </w:r>
    </w:p>
    <w:p w14:paraId="4DEC6B7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本项目噪声防治主要从三方面着手：一是从噪声源上控制降低噪声，二是从传播途径上控制降低噪声，三是采取管理措施控制降低噪声。</w:t>
      </w:r>
    </w:p>
    <w:p w14:paraId="3AEFE0D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①</w:t>
      </w:r>
      <w:r>
        <w:rPr>
          <w:rFonts w:hint="default" w:ascii="Times New Roman" w:hAnsi="Times New Roman" w:eastAsia="宋体" w:cs="Times New Roman"/>
          <w:sz w:val="24"/>
          <w:szCs w:val="24"/>
          <w:highlight w:val="none"/>
        </w:rPr>
        <w:t>噪声源控制措施主要包括：选用低噪声设备、低噪声工艺；采取声学控制措施，对泵、风机等声源采用消声、隔声、减振等措施，对破碎机等采取隔声、减振等措施；将声源设置于密闭车间内。</w:t>
      </w:r>
    </w:p>
    <w:p w14:paraId="43329BB0">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②</w:t>
      </w:r>
      <w:r>
        <w:rPr>
          <w:rFonts w:hint="default" w:ascii="Times New Roman" w:hAnsi="Times New Roman" w:eastAsia="宋体" w:cs="Times New Roman"/>
          <w:sz w:val="24"/>
          <w:szCs w:val="24"/>
          <w:highlight w:val="none"/>
        </w:rPr>
        <w:t>噪声传播途径控制措施主要包括：利用围墙、绿化带等降低噪声。</w:t>
      </w:r>
    </w:p>
    <w:p w14:paraId="5DCBCEB1">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③</w:t>
      </w:r>
      <w:r>
        <w:rPr>
          <w:rFonts w:hint="default" w:ascii="Times New Roman" w:hAnsi="Times New Roman" w:eastAsia="宋体" w:cs="Times New Roman"/>
          <w:sz w:val="24"/>
          <w:szCs w:val="24"/>
          <w:highlight w:val="none"/>
        </w:rPr>
        <w:t>管理措施主要包括：制定噪声监测方案，定期对厂界噪声进行监测。定期保养设备，保持设备处于良好的运转状态，避免因设备运转不正常而引起噪声的增高。</w:t>
      </w:r>
    </w:p>
    <w:p w14:paraId="6A6E9DF6">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只要建设单位认真落实上述各项噪声防治与控制措施，本项目产生的噪声可得到有效控制，可使厂界噪声满足《工业企业厂界环境噪声排放标准》（12348-2008）3类声环境功能区标准要求。</w:t>
      </w:r>
    </w:p>
    <w:p w14:paraId="68933279">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4</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固体废物处置措施</w:t>
      </w:r>
    </w:p>
    <w:p w14:paraId="7A7AB309">
      <w:pPr>
        <w:pageBreakBefore w:val="0"/>
        <w:widowControl/>
        <w:kinsoku/>
        <w:wordWrap/>
        <w:overflowPunct/>
        <w:topLinePunct w:val="0"/>
        <w:bidi w:val="0"/>
        <w:adjustRightInd/>
        <w:snapToGrid w:val="0"/>
        <w:spacing w:line="360" w:lineRule="auto"/>
        <w:ind w:firstLine="480"/>
        <w:jc w:val="left"/>
        <w:textAlignment w:val="auto"/>
        <w:rPr>
          <w:rFonts w:hint="eastAsia"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本项目固体废物主要为废物包装物</w:t>
      </w:r>
      <w:r>
        <w:rPr>
          <w:rFonts w:hint="eastAsia" w:cs="Times New Roman"/>
          <w:sz w:val="24"/>
          <w:szCs w:val="24"/>
          <w:highlight w:val="none"/>
          <w:lang w:val="en-US" w:eastAsia="zh-CN"/>
        </w:rPr>
        <w:t>及</w:t>
      </w:r>
      <w:r>
        <w:rPr>
          <w:rFonts w:hint="default" w:ascii="Times New Roman" w:hAnsi="Times New Roman" w:eastAsia="宋体" w:cs="Times New Roman"/>
          <w:sz w:val="24"/>
          <w:szCs w:val="24"/>
          <w:highlight w:val="none"/>
        </w:rPr>
        <w:t>化验废物，其中废物包装物按照固态入窑废物的要求处理后投入水泥窑处置，符合《水泥窑协同处置危险废物环境保护技术规范》（HJ662-2013）规定</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化验废物暂存在企业现有危险废物</w:t>
      </w:r>
      <w:r>
        <w:rPr>
          <w:rFonts w:hint="eastAsia" w:cs="Times New Roman"/>
          <w:sz w:val="24"/>
          <w:szCs w:val="24"/>
          <w:highlight w:val="none"/>
          <w:lang w:val="en-US" w:eastAsia="zh-CN"/>
        </w:rPr>
        <w:t>储存设施</w:t>
      </w:r>
      <w:r>
        <w:rPr>
          <w:rFonts w:hint="default" w:ascii="Times New Roman" w:hAnsi="Times New Roman" w:eastAsia="宋体" w:cs="Times New Roman"/>
          <w:sz w:val="24"/>
          <w:szCs w:val="24"/>
          <w:highlight w:val="none"/>
        </w:rPr>
        <w:t>内，</w:t>
      </w:r>
      <w:r>
        <w:rPr>
          <w:rFonts w:hint="eastAsia" w:cs="Times New Roman"/>
          <w:sz w:val="24"/>
          <w:szCs w:val="24"/>
          <w:highlight w:val="none"/>
          <w:lang w:val="en-US" w:eastAsia="zh-CN"/>
        </w:rPr>
        <w:t>委托</w:t>
      </w:r>
      <w:r>
        <w:rPr>
          <w:rFonts w:hint="default" w:ascii="Times New Roman" w:hAnsi="Times New Roman" w:eastAsia="宋体" w:cs="Times New Roman"/>
          <w:sz w:val="24"/>
          <w:szCs w:val="24"/>
          <w:highlight w:val="none"/>
        </w:rPr>
        <w:t>有资质单位处置。</w:t>
      </w:r>
    </w:p>
    <w:p w14:paraId="4A570D1A">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eastAsia="zh-CN"/>
        </w:rPr>
        <w:t>（</w:t>
      </w:r>
      <w:r>
        <w:rPr>
          <w:rFonts w:hint="default" w:ascii="Times New Roman" w:hAnsi="Times New Roman" w:cs="Times New Roman"/>
          <w:sz w:val="24"/>
          <w:szCs w:val="24"/>
          <w:highlight w:val="none"/>
          <w:lang w:val="en-US" w:eastAsia="zh-CN"/>
        </w:rPr>
        <w:t>5</w:t>
      </w:r>
      <w:r>
        <w:rPr>
          <w:rFonts w:hint="default" w:ascii="Times New Roman" w:hAnsi="Times New Roman" w:cs="Times New Roman"/>
          <w:sz w:val="24"/>
          <w:szCs w:val="24"/>
          <w:highlight w:val="none"/>
          <w:lang w:eastAsia="zh-CN"/>
        </w:rPr>
        <w:t>）</w:t>
      </w:r>
      <w:r>
        <w:rPr>
          <w:rFonts w:hint="default" w:ascii="Times New Roman" w:hAnsi="Times New Roman" w:eastAsia="宋体" w:cs="Times New Roman"/>
          <w:sz w:val="24"/>
          <w:szCs w:val="24"/>
          <w:highlight w:val="none"/>
        </w:rPr>
        <w:t>土壤环境保护措施</w:t>
      </w:r>
    </w:p>
    <w:p w14:paraId="5078601C">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从原料和产品储存、装卸、运输、生产过程、污染处理装置等全过程控制各种有毒有害原辅材料、中间材料、产品泄漏（含跑、冒、滴、漏），同时对有害物质可能泄漏到地面的区域采取防渗措施，阻止其进入土壤中，即从源头到末端全方位采取控制措施，防止项目的建设对土壤造成污染。</w:t>
      </w:r>
    </w:p>
    <w:p w14:paraId="6AE55F6B">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从生产过程入手，在工艺、管道、设备、给排水等方面尽可能地采取泄漏控制措施，从源头最大限度降低污染物质泄漏的可能性和泄漏量，使项目区污染物对土壤的影响降至最低，一旦出现泄漏等即可由各种配套措施进行收集、处置，同时经过硬化处理的地面有效阻止污染物的下渗。企业在管理方面严加管理，同时按监测计划定期开展土壤监测，可有效防治</w:t>
      </w:r>
      <w:r>
        <w:rPr>
          <w:rFonts w:hint="eastAsia" w:cs="Times New Roman"/>
          <w:sz w:val="24"/>
          <w:szCs w:val="24"/>
          <w:highlight w:val="none"/>
          <w:lang w:val="en-US" w:eastAsia="zh-CN"/>
        </w:rPr>
        <w:t>项目运行</w:t>
      </w:r>
      <w:r>
        <w:rPr>
          <w:rFonts w:hint="default" w:ascii="Times New Roman" w:hAnsi="Times New Roman" w:eastAsia="宋体" w:cs="Times New Roman"/>
          <w:sz w:val="24"/>
          <w:szCs w:val="24"/>
          <w:highlight w:val="none"/>
        </w:rPr>
        <w:t>过程中因物料泄漏造成对区域土壤环境的污染。</w:t>
      </w:r>
    </w:p>
    <w:p w14:paraId="72CC1312">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bookmarkStart w:id="1051" w:name="_Toc9868281"/>
      <w:r>
        <w:rPr>
          <w:rFonts w:hint="default" w:ascii="Times New Roman" w:hAnsi="Times New Roman" w:cs="Times New Roman"/>
          <w:b/>
          <w:bCs w:val="0"/>
          <w:kern w:val="2"/>
          <w:sz w:val="24"/>
          <w:szCs w:val="24"/>
          <w:highlight w:val="none"/>
          <w:lang w:val="en-US" w:eastAsia="zh-CN"/>
        </w:rPr>
        <w:t>9.1.6环境风险分析结论</w:t>
      </w:r>
      <w:bookmarkEnd w:id="1051"/>
    </w:p>
    <w:p w14:paraId="5CB813A4">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本项目所在位置不属于环境敏感区。项目主要风险物质为处置的危险废物中的HW11精（蒸）馏残渣。项目主要事故类型为危险废物转运过程的泄漏事故，只要企业在完善物料运输过程环境风险管理，加强安全检查，加强职工安全教育和培训之后，在做好各项风险防范措施、应急预案和应急处置措施的情况下，项目环境风险事故对周围环境的影响较小</w:t>
      </w:r>
      <w:r>
        <w:rPr>
          <w:rFonts w:hint="eastAsia" w:cs="Times New Roman"/>
          <w:sz w:val="24"/>
          <w:szCs w:val="24"/>
          <w:highlight w:val="none"/>
          <w:lang w:eastAsia="zh-CN"/>
        </w:rPr>
        <w:t>，</w:t>
      </w:r>
      <w:r>
        <w:rPr>
          <w:rFonts w:hint="default" w:ascii="Times New Roman" w:hAnsi="Times New Roman" w:eastAsia="宋体" w:cs="Times New Roman"/>
          <w:sz w:val="24"/>
          <w:szCs w:val="24"/>
          <w:highlight w:val="none"/>
        </w:rPr>
        <w:t>项目环境风险属可接受水平。</w:t>
      </w:r>
    </w:p>
    <w:p w14:paraId="4E659960">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bookmarkStart w:id="1052" w:name="_Toc9868282"/>
      <w:r>
        <w:rPr>
          <w:rFonts w:hint="default" w:ascii="Times New Roman" w:hAnsi="Times New Roman" w:cs="Times New Roman"/>
          <w:b/>
          <w:bCs w:val="0"/>
          <w:kern w:val="2"/>
          <w:sz w:val="24"/>
          <w:szCs w:val="24"/>
          <w:highlight w:val="none"/>
          <w:lang w:val="en-US" w:eastAsia="zh-CN"/>
        </w:rPr>
        <w:t>9.</w:t>
      </w:r>
      <w:bookmarkEnd w:id="1052"/>
      <w:bookmarkStart w:id="1053" w:name="_Toc9868283"/>
      <w:r>
        <w:rPr>
          <w:rFonts w:hint="default" w:ascii="Times New Roman" w:hAnsi="Times New Roman" w:cs="Times New Roman"/>
          <w:b/>
          <w:bCs w:val="0"/>
          <w:kern w:val="2"/>
          <w:sz w:val="24"/>
          <w:szCs w:val="24"/>
          <w:highlight w:val="none"/>
          <w:lang w:val="en-US" w:eastAsia="zh-CN"/>
        </w:rPr>
        <w:t>1.7环境管理与监测计划结论</w:t>
      </w:r>
      <w:bookmarkEnd w:id="1053"/>
    </w:p>
    <w:p w14:paraId="63BD2091">
      <w:pPr>
        <w:pageBreakBefore w:val="0"/>
        <w:widowControl/>
        <w:kinsoku/>
        <w:wordWrap/>
        <w:overflowPunct/>
        <w:topLinePunct w:val="0"/>
        <w:bidi w:val="0"/>
        <w:adjustRightInd/>
        <w:snapToGrid w:val="0"/>
        <w:spacing w:line="360" w:lineRule="auto"/>
        <w:ind w:firstLine="567"/>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sz w:val="24"/>
          <w:szCs w:val="24"/>
          <w:highlight w:val="none"/>
        </w:rPr>
        <w:t>本次评价根据工程的特点，提出了相关的环境管理要求和监测计划，要求建设单位务必按照环评要求落实各项措施。</w:t>
      </w:r>
    </w:p>
    <w:p w14:paraId="3E3E3E08">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bookmarkStart w:id="1054" w:name="_Toc9868284"/>
      <w:r>
        <w:rPr>
          <w:rFonts w:hint="default" w:ascii="Times New Roman" w:hAnsi="Times New Roman" w:cs="Times New Roman"/>
          <w:b/>
          <w:bCs w:val="0"/>
          <w:kern w:val="2"/>
          <w:sz w:val="24"/>
          <w:szCs w:val="24"/>
          <w:highlight w:val="none"/>
          <w:lang w:val="en-US" w:eastAsia="zh-CN"/>
        </w:rPr>
        <w:t>9.1.8公众参与调查结论</w:t>
      </w:r>
      <w:bookmarkEnd w:id="1054"/>
    </w:p>
    <w:p w14:paraId="37C6437E">
      <w:pPr>
        <w:pageBreakBefore w:val="0"/>
        <w:widowControl/>
        <w:kinsoku/>
        <w:wordWrap/>
        <w:overflowPunct/>
        <w:topLinePunct w:val="0"/>
        <w:bidi w:val="0"/>
        <w:adjustRightInd/>
        <w:snapToGrid w:val="0"/>
        <w:spacing w:line="360" w:lineRule="auto"/>
        <w:ind w:firstLine="48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按照《环境影响评价公众参与办法》和《新疆维吾尔自治区建设项目环境影响评价公众参与管理规定》的要求，本次环境评价公众参与调查工作进行了</w:t>
      </w:r>
      <w:r>
        <w:rPr>
          <w:rFonts w:hint="default" w:ascii="Times New Roman" w:hAnsi="Times New Roman" w:cs="Times New Roman"/>
          <w:sz w:val="24"/>
          <w:szCs w:val="24"/>
          <w:highlight w:val="none"/>
          <w:lang w:val="en-US" w:eastAsia="zh-CN"/>
        </w:rPr>
        <w:t>两</w:t>
      </w:r>
      <w:r>
        <w:rPr>
          <w:rFonts w:hint="default" w:ascii="Times New Roman" w:hAnsi="Times New Roman" w:eastAsia="宋体" w:cs="Times New Roman"/>
          <w:sz w:val="24"/>
          <w:szCs w:val="24"/>
          <w:highlight w:val="none"/>
        </w:rPr>
        <w:t>次项目公示。项目环评报告编制期间，建设单位通过网络</w:t>
      </w:r>
      <w:r>
        <w:rPr>
          <w:rFonts w:hint="default" w:ascii="Times New Roman" w:hAnsi="Times New Roman" w:eastAsia="宋体" w:cs="Times New Roman"/>
          <w:sz w:val="24"/>
          <w:szCs w:val="24"/>
          <w:highlight w:val="none"/>
          <w:lang w:val="en-US" w:eastAsia="zh-CN"/>
        </w:rPr>
        <w:t>平台</w:t>
      </w:r>
      <w:r>
        <w:rPr>
          <w:rFonts w:hint="default" w:ascii="Times New Roman" w:hAnsi="Times New Roman" w:eastAsia="宋体" w:cs="Times New Roman"/>
          <w:sz w:val="24"/>
          <w:szCs w:val="24"/>
          <w:highlight w:val="none"/>
        </w:rPr>
        <w:t>公示、报纸公示</w:t>
      </w:r>
      <w:r>
        <w:rPr>
          <w:rFonts w:hint="default" w:ascii="Times New Roman" w:hAnsi="Times New Roman" w:cs="Times New Roman"/>
          <w:sz w:val="24"/>
          <w:szCs w:val="24"/>
          <w:highlight w:val="none"/>
          <w:lang w:val="en-US" w:eastAsia="zh-CN"/>
        </w:rPr>
        <w:t>等</w:t>
      </w:r>
      <w:r>
        <w:rPr>
          <w:rFonts w:hint="default" w:ascii="Times New Roman" w:hAnsi="Times New Roman" w:eastAsia="宋体" w:cs="Times New Roman"/>
          <w:sz w:val="24"/>
          <w:szCs w:val="24"/>
          <w:highlight w:val="none"/>
        </w:rPr>
        <w:t>方式进行，公示期间网络</w:t>
      </w:r>
      <w:r>
        <w:rPr>
          <w:rFonts w:hint="default" w:ascii="Times New Roman" w:hAnsi="Times New Roman" w:eastAsia="宋体" w:cs="Times New Roman"/>
          <w:sz w:val="24"/>
          <w:szCs w:val="24"/>
          <w:highlight w:val="none"/>
          <w:lang w:val="en-US" w:eastAsia="zh-CN"/>
        </w:rPr>
        <w:t>平台</w:t>
      </w:r>
      <w:r>
        <w:rPr>
          <w:rFonts w:hint="default" w:ascii="Times New Roman" w:hAnsi="Times New Roman" w:eastAsia="宋体" w:cs="Times New Roman"/>
          <w:sz w:val="24"/>
          <w:szCs w:val="24"/>
          <w:highlight w:val="none"/>
        </w:rPr>
        <w:t>公示、报纸公示均无反馈意见。</w:t>
      </w:r>
    </w:p>
    <w:p w14:paraId="133BE7E0">
      <w:pPr>
        <w:pStyle w:val="4"/>
        <w:keepNext/>
        <w:keepLines/>
        <w:pageBreakBefore w:val="0"/>
        <w:widowControl/>
        <w:kinsoku/>
        <w:wordWrap/>
        <w:overflowPunct/>
        <w:topLinePunct w:val="0"/>
        <w:autoSpaceDE/>
        <w:autoSpaceDN/>
        <w:bidi w:val="0"/>
        <w:adjustRightInd/>
        <w:snapToGrid/>
        <w:spacing w:before="0" w:beforeLines="0" w:after="0" w:line="360" w:lineRule="auto"/>
        <w:textAlignment w:val="auto"/>
        <w:rPr>
          <w:rFonts w:hint="default" w:ascii="Times New Roman" w:hAnsi="Times New Roman" w:cs="Times New Roman"/>
          <w:b/>
          <w:bCs w:val="0"/>
          <w:kern w:val="2"/>
          <w:sz w:val="24"/>
          <w:szCs w:val="24"/>
          <w:highlight w:val="none"/>
          <w:lang w:val="en-US" w:eastAsia="zh-CN"/>
        </w:rPr>
      </w:pPr>
      <w:bookmarkStart w:id="1055" w:name="_Toc9868285"/>
      <w:r>
        <w:rPr>
          <w:rFonts w:hint="default" w:ascii="Times New Roman" w:hAnsi="Times New Roman" w:cs="Times New Roman"/>
          <w:b/>
          <w:bCs w:val="0"/>
          <w:kern w:val="2"/>
          <w:sz w:val="24"/>
          <w:szCs w:val="24"/>
          <w:highlight w:val="none"/>
          <w:lang w:val="en-US" w:eastAsia="zh-CN"/>
        </w:rPr>
        <w:t>9.1.9总体结论</w:t>
      </w:r>
      <w:bookmarkEnd w:id="1055"/>
    </w:p>
    <w:p w14:paraId="5DC6975B">
      <w:pPr>
        <w:pageBreakBefore w:val="0"/>
        <w:kinsoku/>
        <w:wordWrap/>
        <w:overflowPunct/>
        <w:topLinePunct w:val="0"/>
        <w:autoSpaceDE w:val="0"/>
        <w:autoSpaceDN w:val="0"/>
        <w:bidi w:val="0"/>
        <w:adjustRightInd/>
        <w:spacing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cs="Times New Roman"/>
          <w:sz w:val="24"/>
          <w:szCs w:val="24"/>
          <w:highlight w:val="none"/>
          <w:lang w:val="en-US" w:eastAsia="zh-CN"/>
        </w:rPr>
        <w:t>拟建</w:t>
      </w:r>
      <w:r>
        <w:rPr>
          <w:rFonts w:hint="default" w:ascii="Times New Roman" w:hAnsi="Times New Roman" w:eastAsia="宋体" w:cs="Times New Roman"/>
          <w:sz w:val="24"/>
          <w:szCs w:val="24"/>
          <w:highlight w:val="none"/>
        </w:rPr>
        <w:t>项目符合国家、自治区以及地方当前产业政策及产业发展规划，符合自治区重点行业准入条件；项目施工期、运营期产生的环境影响在采取相应防治处置措施后对周围环境影响不大，环境影响可以接受；本</w:t>
      </w:r>
      <w:r>
        <w:rPr>
          <w:rFonts w:hint="default" w:ascii="Times New Roman" w:hAnsi="Times New Roman" w:cs="Times New Roman"/>
          <w:sz w:val="24"/>
          <w:szCs w:val="24"/>
          <w:highlight w:val="none"/>
          <w:lang w:val="en-US" w:eastAsia="zh-CN"/>
        </w:rPr>
        <w:t>项目</w:t>
      </w:r>
      <w:r>
        <w:rPr>
          <w:rFonts w:hint="default" w:ascii="Times New Roman" w:hAnsi="Times New Roman" w:eastAsia="宋体" w:cs="Times New Roman"/>
          <w:sz w:val="24"/>
          <w:szCs w:val="24"/>
          <w:highlight w:val="none"/>
        </w:rPr>
        <w:t>不涉及重大危险源，在采取本评价提出的风险防范措施后，可以有效降低本</w:t>
      </w:r>
      <w:r>
        <w:rPr>
          <w:rFonts w:hint="default" w:ascii="Times New Roman" w:hAnsi="Times New Roman" w:cs="Times New Roman"/>
          <w:sz w:val="24"/>
          <w:szCs w:val="24"/>
          <w:highlight w:val="none"/>
          <w:lang w:val="en-US" w:eastAsia="zh-CN"/>
        </w:rPr>
        <w:t>项目</w:t>
      </w:r>
      <w:r>
        <w:rPr>
          <w:rFonts w:hint="default" w:ascii="Times New Roman" w:hAnsi="Times New Roman" w:eastAsia="宋体" w:cs="Times New Roman"/>
          <w:sz w:val="24"/>
          <w:szCs w:val="24"/>
          <w:highlight w:val="none"/>
        </w:rPr>
        <w:t>的环境风险，将其控制在可接受的范围；项目施工期、运营期采取的环境保护措施经济技术能满足长期稳定、达标和生态保护要求；本区域环境问题不突出，本项目在采取各项环保措施后，不向外环境排放需要总量控制的污染物，“三废”可实现达标排放，不会导致区域环境质量恶化，所以本项目环境影响可行。</w:t>
      </w:r>
    </w:p>
    <w:p w14:paraId="6382D93C">
      <w:pPr>
        <w:pStyle w:val="3"/>
        <w:keepNext/>
        <w:keepLines/>
        <w:pageBreakBefore w:val="0"/>
        <w:widowControl/>
        <w:kinsoku/>
        <w:wordWrap/>
        <w:overflowPunct/>
        <w:topLinePunct w:val="0"/>
        <w:autoSpaceDE/>
        <w:autoSpaceDN/>
        <w:bidi w:val="0"/>
        <w:adjustRightInd/>
        <w:snapToGrid/>
        <w:spacing w:beforeLines="0" w:afterLines="0" w:line="360" w:lineRule="auto"/>
        <w:textAlignment w:val="auto"/>
        <w:rPr>
          <w:rFonts w:hint="default" w:ascii="Times New Roman" w:hAnsi="Times New Roman" w:eastAsia="宋体" w:cs="Times New Roman"/>
          <w:sz w:val="24"/>
          <w:szCs w:val="18"/>
          <w:highlight w:val="none"/>
          <w:lang w:val="en-US" w:eastAsia="zh-CN"/>
        </w:rPr>
      </w:pPr>
      <w:bookmarkStart w:id="1056" w:name="_Toc27545"/>
      <w:bookmarkStart w:id="1057" w:name="_Toc27576"/>
      <w:bookmarkStart w:id="1058" w:name="_Toc11403"/>
      <w:r>
        <w:rPr>
          <w:rFonts w:hint="default" w:ascii="Times New Roman" w:hAnsi="Times New Roman" w:cs="Times New Roman"/>
          <w:sz w:val="24"/>
          <w:szCs w:val="18"/>
          <w:highlight w:val="none"/>
          <w:lang w:val="en-US" w:eastAsia="zh-CN"/>
        </w:rPr>
        <w:t>9</w:t>
      </w:r>
      <w:r>
        <w:rPr>
          <w:rFonts w:hint="default" w:ascii="Times New Roman" w:hAnsi="Times New Roman" w:eastAsia="宋体" w:cs="Times New Roman"/>
          <w:sz w:val="24"/>
          <w:szCs w:val="18"/>
          <w:highlight w:val="none"/>
        </w:rPr>
        <w:t>.</w:t>
      </w:r>
      <w:r>
        <w:rPr>
          <w:rFonts w:hint="default" w:ascii="Times New Roman" w:hAnsi="Times New Roman" w:eastAsia="宋体" w:cs="Times New Roman"/>
          <w:sz w:val="24"/>
          <w:szCs w:val="18"/>
          <w:highlight w:val="none"/>
          <w:lang w:val="en-US" w:eastAsia="zh-CN"/>
        </w:rPr>
        <w:t>2建议与要求</w:t>
      </w:r>
      <w:bookmarkEnd w:id="1056"/>
      <w:bookmarkEnd w:id="1057"/>
      <w:bookmarkEnd w:id="1058"/>
    </w:p>
    <w:p w14:paraId="5ADFFD3A">
      <w:pPr>
        <w:autoSpaceDE w:val="0"/>
        <w:autoSpaceDN w:val="0"/>
        <w:spacing w:line="360" w:lineRule="auto"/>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（1）要求建设单位，加强环保设备运行管理及维护，</w:t>
      </w:r>
      <w:r>
        <w:rPr>
          <w:rFonts w:hint="default" w:ascii="Times New Roman" w:hAnsi="Times New Roman" w:eastAsia="宋体" w:cs="Times New Roman"/>
          <w:sz w:val="24"/>
          <w:szCs w:val="24"/>
          <w:highlight w:val="none"/>
          <w:lang w:val="en-US" w:eastAsia="zh-CN"/>
        </w:rPr>
        <w:t>防止因设备故障导致环境污染</w:t>
      </w:r>
      <w:r>
        <w:rPr>
          <w:rFonts w:hint="default" w:ascii="Times New Roman" w:hAnsi="Times New Roman" w:eastAsia="宋体" w:cs="Times New Roman"/>
          <w:sz w:val="24"/>
          <w:szCs w:val="24"/>
          <w:highlight w:val="none"/>
          <w:lang w:eastAsia="zh-CN"/>
        </w:rPr>
        <w:t>；</w:t>
      </w:r>
    </w:p>
    <w:p w14:paraId="226FA812">
      <w:pPr>
        <w:autoSpaceDE w:val="0"/>
        <w:autoSpaceDN w:val="0"/>
        <w:spacing w:line="360" w:lineRule="auto"/>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（2）加强操作工人的技术水平，熟练掌握先进技术</w:t>
      </w:r>
      <w:r>
        <w:rPr>
          <w:rFonts w:hint="default" w:ascii="Times New Roman" w:hAnsi="Times New Roman" w:eastAsia="宋体" w:cs="Times New Roman"/>
          <w:sz w:val="24"/>
          <w:szCs w:val="24"/>
          <w:highlight w:val="none"/>
          <w:lang w:eastAsia="zh-CN"/>
        </w:rPr>
        <w:t>，</w:t>
      </w:r>
      <w:r>
        <w:rPr>
          <w:rFonts w:hint="default" w:ascii="Times New Roman" w:hAnsi="Times New Roman" w:eastAsia="宋体" w:cs="Times New Roman"/>
          <w:sz w:val="24"/>
          <w:szCs w:val="24"/>
          <w:highlight w:val="none"/>
          <w:lang w:val="en-US" w:eastAsia="zh-CN"/>
        </w:rPr>
        <w:t>同时</w:t>
      </w:r>
      <w:r>
        <w:rPr>
          <w:rFonts w:hint="default" w:ascii="Times New Roman" w:hAnsi="Times New Roman" w:eastAsia="宋体" w:cs="Times New Roman"/>
          <w:sz w:val="24"/>
          <w:szCs w:val="24"/>
          <w:highlight w:val="none"/>
        </w:rPr>
        <w:t>定期进行环境保护教育，提高全</w:t>
      </w:r>
      <w:r>
        <w:rPr>
          <w:rFonts w:hint="default" w:ascii="Times New Roman" w:hAnsi="Times New Roman" w:cs="Times New Roman"/>
          <w:sz w:val="24"/>
          <w:szCs w:val="24"/>
          <w:highlight w:val="none"/>
          <w:lang w:val="en-US" w:eastAsia="zh-CN"/>
        </w:rPr>
        <w:t>企业</w:t>
      </w:r>
      <w:r>
        <w:rPr>
          <w:rFonts w:hint="default" w:ascii="Times New Roman" w:hAnsi="Times New Roman" w:eastAsia="宋体" w:cs="Times New Roman"/>
          <w:sz w:val="24"/>
          <w:szCs w:val="24"/>
          <w:highlight w:val="none"/>
        </w:rPr>
        <w:t>职工的环保意识，制定严格的、可行的环境保护指标作为考核依据</w:t>
      </w:r>
      <w:r>
        <w:rPr>
          <w:rFonts w:hint="default" w:ascii="Times New Roman" w:hAnsi="Times New Roman" w:eastAsia="宋体" w:cs="Times New Roman"/>
          <w:sz w:val="24"/>
          <w:szCs w:val="24"/>
          <w:highlight w:val="none"/>
          <w:lang w:eastAsia="zh-CN"/>
        </w:rPr>
        <w:t>；</w:t>
      </w:r>
    </w:p>
    <w:p w14:paraId="40BC8375">
      <w:pPr>
        <w:autoSpaceDE w:val="0"/>
        <w:autoSpaceDN w:val="0"/>
        <w:spacing w:line="360" w:lineRule="auto"/>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3</w:t>
      </w:r>
      <w:r>
        <w:rPr>
          <w:rFonts w:hint="default" w:ascii="Times New Roman" w:hAnsi="Times New Roman" w:eastAsia="宋体" w:cs="Times New Roman"/>
          <w:sz w:val="24"/>
          <w:szCs w:val="24"/>
          <w:highlight w:val="none"/>
        </w:rPr>
        <w:t>）采取有效的噪声防治设施，确保厂界噪声达标</w:t>
      </w:r>
      <w:r>
        <w:rPr>
          <w:rFonts w:hint="default" w:ascii="Times New Roman" w:hAnsi="Times New Roman" w:eastAsia="宋体" w:cs="Times New Roman"/>
          <w:sz w:val="24"/>
          <w:szCs w:val="24"/>
          <w:highlight w:val="none"/>
          <w:lang w:eastAsia="zh-CN"/>
        </w:rPr>
        <w:t>；</w:t>
      </w:r>
    </w:p>
    <w:p w14:paraId="1822D112">
      <w:pPr>
        <w:autoSpaceDE w:val="0"/>
        <w:autoSpaceDN w:val="0"/>
        <w:spacing w:line="360" w:lineRule="auto"/>
        <w:ind w:firstLine="480" w:firstLineChars="200"/>
        <w:rPr>
          <w:rFonts w:hint="default" w:ascii="Times New Roman" w:hAnsi="Times New Roman" w:eastAsia="宋体" w:cs="Times New Roman"/>
          <w:sz w:val="24"/>
          <w:szCs w:val="24"/>
          <w:highlight w:val="none"/>
          <w:lang w:eastAsia="zh-CN"/>
        </w:rPr>
      </w:pP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4</w:t>
      </w:r>
      <w:r>
        <w:rPr>
          <w:rFonts w:hint="default" w:ascii="Times New Roman" w:hAnsi="Times New Roman" w:eastAsia="宋体" w:cs="Times New Roman"/>
          <w:sz w:val="24"/>
          <w:szCs w:val="24"/>
          <w:highlight w:val="none"/>
        </w:rPr>
        <w:t>）严格按照本报告中论述的治理措施进行实施，工程竣工后经验收合格后方可正式生产</w:t>
      </w:r>
      <w:r>
        <w:rPr>
          <w:rFonts w:hint="default" w:ascii="Times New Roman" w:hAnsi="Times New Roman" w:eastAsia="宋体" w:cs="Times New Roman"/>
          <w:sz w:val="24"/>
          <w:szCs w:val="24"/>
          <w:highlight w:val="none"/>
          <w:lang w:eastAsia="zh-CN"/>
        </w:rPr>
        <w:t>；</w:t>
      </w:r>
    </w:p>
    <w:p w14:paraId="5BCAC662">
      <w:pPr>
        <w:autoSpaceDE w:val="0"/>
        <w:autoSpaceDN w:val="0"/>
        <w:spacing w:line="360" w:lineRule="auto"/>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5</w:t>
      </w:r>
      <w:r>
        <w:rPr>
          <w:rFonts w:hint="default" w:ascii="Times New Roman" w:hAnsi="Times New Roman" w:eastAsia="宋体" w:cs="Times New Roman"/>
          <w:sz w:val="24"/>
          <w:szCs w:val="24"/>
          <w:highlight w:val="none"/>
        </w:rPr>
        <w:t>）</w:t>
      </w:r>
      <w:r>
        <w:rPr>
          <w:rFonts w:hint="default" w:ascii="Times New Roman" w:hAnsi="Times New Roman" w:cs="Times New Roman"/>
          <w:sz w:val="24"/>
          <w:szCs w:val="24"/>
          <w:highlight w:val="none"/>
          <w:lang w:val="en-US" w:eastAsia="zh-CN"/>
        </w:rPr>
        <w:t>企业</w:t>
      </w:r>
      <w:r>
        <w:rPr>
          <w:rFonts w:hint="default" w:ascii="Times New Roman" w:hAnsi="Times New Roman" w:eastAsia="宋体" w:cs="Times New Roman"/>
          <w:sz w:val="24"/>
          <w:szCs w:val="24"/>
          <w:highlight w:val="none"/>
        </w:rPr>
        <w:t>应设置专职人员负责</w:t>
      </w:r>
      <w:r>
        <w:rPr>
          <w:rFonts w:hint="default" w:ascii="Times New Roman" w:hAnsi="Times New Roman" w:cs="Times New Roman"/>
          <w:sz w:val="24"/>
          <w:szCs w:val="24"/>
          <w:highlight w:val="none"/>
          <w:lang w:val="en-US" w:eastAsia="zh-CN"/>
        </w:rPr>
        <w:t>企业</w:t>
      </w:r>
      <w:r>
        <w:rPr>
          <w:rFonts w:hint="default" w:ascii="Times New Roman" w:hAnsi="Times New Roman" w:eastAsia="宋体" w:cs="Times New Roman"/>
          <w:sz w:val="24"/>
          <w:szCs w:val="24"/>
          <w:highlight w:val="none"/>
        </w:rPr>
        <w:t>环保工作，保证各项环保措施得到落实</w:t>
      </w:r>
      <w:r>
        <w:rPr>
          <w:rFonts w:hint="default" w:ascii="Times New Roman" w:hAnsi="Times New Roman" w:cs="Times New Roman"/>
          <w:sz w:val="24"/>
          <w:szCs w:val="24"/>
          <w:highlight w:val="none"/>
          <w:lang w:eastAsia="zh-CN"/>
        </w:rPr>
        <w:t>。</w:t>
      </w:r>
    </w:p>
    <w:sectPr>
      <w:pgSz w:w="11906" w:h="16838"/>
      <w:pgMar w:top="1440" w:right="1803" w:bottom="1440" w:left="1803" w:header="1021" w:footer="102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13CA4">
    <w:pPr>
      <w:widowControl/>
      <w:pBdr>
        <w:top w:val="single" w:color="000000" w:sz="4" w:space="0"/>
      </w:pBdr>
      <w:tabs>
        <w:tab w:val="center" w:pos="4153"/>
        <w:tab w:val="right" w:pos="8306"/>
      </w:tabs>
      <w:snapToGrid w:val="0"/>
      <w:spacing w:line="240" w:lineRule="exact"/>
      <w:jc w:val="left"/>
      <w:rPr>
        <w:sz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B652D8">
                          <w:pPr>
                            <w:widowControl/>
                            <w:pBdr>
                              <w:top w:val="single" w:color="000000" w:sz="4" w:space="0"/>
                            </w:pBdr>
                            <w:tabs>
                              <w:tab w:val="center" w:pos="4153"/>
                              <w:tab w:val="right" w:pos="8306"/>
                            </w:tabs>
                            <w:snapToGrid w:val="0"/>
                            <w:spacing w:line="240" w:lineRule="exact"/>
                            <w:jc w:val="left"/>
                          </w:pPr>
                          <w:r>
                            <w:rPr>
                              <w:sz w:val="18"/>
                            </w:rPr>
                            <w:fldChar w:fldCharType="begin"/>
                          </w:r>
                          <w:r>
                            <w:rPr>
                              <w:sz w:val="18"/>
                            </w:rPr>
                            <w:instrText xml:space="preserve">PAGE</w:instrText>
                          </w:r>
                          <w:r>
                            <w:rPr>
                              <w:sz w:val="18"/>
                            </w:rPr>
                            <w:fldChar w:fldCharType="separate"/>
                          </w:r>
                          <w:r>
                            <w:rPr>
                              <w:sz w:val="18"/>
                            </w:rPr>
                            <w:t>57</w:t>
                          </w:r>
                          <w:r>
                            <w:rPr>
                              <w:sz w:val="18"/>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KR/JvOIBAADCAwAADgAA&#10;AAAAAAABACAAAAAeAQAAZHJzL2Uyb0RvYy54bWxQSwUGAAAAAAYABgBZAQAAcgUAAAAA&#10;">
              <v:fill on="f" focussize="0,0"/>
              <v:stroke on="f"/>
              <v:imagedata o:title=""/>
              <o:lock v:ext="edit" aspectratio="f"/>
              <v:textbox inset="0mm,0mm,0mm,0mm" style="mso-fit-shape-to-text:t;">
                <w:txbxContent>
                  <w:p w14:paraId="7BB652D8">
                    <w:pPr>
                      <w:widowControl/>
                      <w:pBdr>
                        <w:top w:val="single" w:color="000000" w:sz="4" w:space="0"/>
                      </w:pBdr>
                      <w:tabs>
                        <w:tab w:val="center" w:pos="4153"/>
                        <w:tab w:val="right" w:pos="8306"/>
                      </w:tabs>
                      <w:snapToGrid w:val="0"/>
                      <w:spacing w:line="240" w:lineRule="exact"/>
                      <w:jc w:val="left"/>
                    </w:pPr>
                    <w:r>
                      <w:rPr>
                        <w:sz w:val="18"/>
                      </w:rPr>
                      <w:fldChar w:fldCharType="begin"/>
                    </w:r>
                    <w:r>
                      <w:rPr>
                        <w:sz w:val="18"/>
                      </w:rPr>
                      <w:instrText xml:space="preserve">PAGE</w:instrText>
                    </w:r>
                    <w:r>
                      <w:rPr>
                        <w:sz w:val="18"/>
                      </w:rPr>
                      <w:fldChar w:fldCharType="separate"/>
                    </w:r>
                    <w:r>
                      <w:rPr>
                        <w:sz w:val="18"/>
                      </w:rPr>
                      <w:t>57</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57AE1B">
    <w:pPr>
      <w:widowControl/>
      <w:pBdr>
        <w:top w:val="single" w:color="000000" w:sz="4" w:space="0"/>
      </w:pBdr>
      <w:tabs>
        <w:tab w:val="center" w:pos="4153"/>
        <w:tab w:val="right" w:pos="8306"/>
      </w:tabs>
      <w:snapToGrid w:val="0"/>
      <w:spacing w:line="240" w:lineRule="exact"/>
      <w:jc w:val="left"/>
      <w:rPr>
        <w:sz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EF025F">
                          <w:pPr>
                            <w:pStyle w:val="2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15EF025F">
                    <w:pPr>
                      <w:pStyle w:val="2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03701">
    <w:pPr>
      <w:widowControl/>
      <w:pBdr>
        <w:bottom w:val="single" w:color="000000" w:sz="4" w:space="1"/>
      </w:pBdr>
      <w:tabs>
        <w:tab w:val="center" w:pos="4153"/>
        <w:tab w:val="center" w:pos="4513"/>
        <w:tab w:val="right" w:pos="8306"/>
        <w:tab w:val="left" w:pos="8931"/>
      </w:tabs>
      <w:snapToGrid w:val="0"/>
      <w:jc w:val="center"/>
      <w:rPr>
        <w:sz w:val="18"/>
      </w:rPr>
    </w:pPr>
    <w:r>
      <w:rPr>
        <w:rFonts w:hint="eastAsia"/>
        <w:sz w:val="18"/>
      </w:rPr>
      <w:t>新疆兴悦化工有限公司水泥窑协同处置250t/a精蒸馏残渣技改项目</w:t>
    </w:r>
    <w:r>
      <w:rPr>
        <w:sz w:val="18"/>
      </w:rPr>
      <w:t>环境影响报告书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D7CC2">
    <w:pPr>
      <w:pStyle w:val="208"/>
      <w:rPr>
        <w:rFonts w:hint="eastAsia" w:ascii="宋体" w:hAnsi="宋体" w:eastAsia="宋体" w:cs="宋体"/>
      </w:rPr>
    </w:pPr>
    <w:r>
      <w:rPr>
        <w:rFonts w:hint="eastAsia" w:ascii="宋体" w:hAnsi="宋体" w:eastAsia="宋体" w:cs="宋体"/>
        <w:sz w:val="18"/>
      </w:rPr>
      <w:t>新疆兴悦化工有限公司</w:t>
    </w:r>
    <w:r>
      <w:rPr>
        <w:rFonts w:hint="eastAsia" w:ascii="宋体" w:hAnsi="宋体" w:eastAsia="宋体" w:cs="宋体"/>
        <w:sz w:val="18"/>
        <w:lang w:val="en-US" w:eastAsia="zh-CN"/>
      </w:rPr>
      <w:t>水泥窑协同处置项目</w:t>
    </w:r>
    <w:r>
      <w:rPr>
        <w:rFonts w:hint="eastAsia" w:ascii="宋体" w:hAnsi="宋体" w:eastAsia="宋体" w:cs="宋体"/>
        <w:sz w:val="18"/>
      </w:rPr>
      <w:t>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E4BFD">
    <w:pPr>
      <w:pStyle w:val="208"/>
      <w:rPr>
        <w:rFonts w:hint="eastAsia" w:ascii="宋体" w:hAnsi="宋体" w:eastAsia="宋体" w:cs="宋体"/>
      </w:rPr>
    </w:pPr>
    <w:r>
      <w:rPr>
        <w:rFonts w:hint="default" w:ascii="Times New Roman" w:hAnsi="Times New Roman" w:eastAsia="宋体" w:cs="Times New Roman"/>
        <w:sz w:val="18"/>
      </w:rPr>
      <w:t>新疆兴悦化工有限公司水泥窑协同处置250t/a精蒸馏残渣技改项目环境影响报告书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64AF80"/>
    <w:multiLevelType w:val="singleLevel"/>
    <w:tmpl w:val="5864AF80"/>
    <w:lvl w:ilvl="0" w:tentative="0">
      <w:start w:val="1"/>
      <w:numFmt w:val="bullet"/>
      <w:pStyle w:val="19"/>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0"/>
  <w:hyphenationZone w:val="360"/>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NTdkZmZiZTgzYmMyODRhZWZlMDBmN2M0YzUwZDkifQ=="/>
  </w:docVars>
  <w:rsids>
    <w:rsidRoot w:val="00172A27"/>
    <w:rsid w:val="00002126"/>
    <w:rsid w:val="000058E8"/>
    <w:rsid w:val="0001032D"/>
    <w:rsid w:val="000147E8"/>
    <w:rsid w:val="000277A3"/>
    <w:rsid w:val="00031448"/>
    <w:rsid w:val="00034C49"/>
    <w:rsid w:val="00044415"/>
    <w:rsid w:val="0007222B"/>
    <w:rsid w:val="00074614"/>
    <w:rsid w:val="000750F4"/>
    <w:rsid w:val="000841FF"/>
    <w:rsid w:val="00087371"/>
    <w:rsid w:val="000A4FF6"/>
    <w:rsid w:val="000A68E2"/>
    <w:rsid w:val="000B1895"/>
    <w:rsid w:val="000B2AD9"/>
    <w:rsid w:val="000B4F77"/>
    <w:rsid w:val="000B579B"/>
    <w:rsid w:val="000C1F8A"/>
    <w:rsid w:val="000C286A"/>
    <w:rsid w:val="000D27FE"/>
    <w:rsid w:val="000D5A83"/>
    <w:rsid w:val="000D6281"/>
    <w:rsid w:val="000E414B"/>
    <w:rsid w:val="000E5C3A"/>
    <w:rsid w:val="000E6A6F"/>
    <w:rsid w:val="000F6D47"/>
    <w:rsid w:val="0010088E"/>
    <w:rsid w:val="00100A1D"/>
    <w:rsid w:val="001030F9"/>
    <w:rsid w:val="0010427C"/>
    <w:rsid w:val="001112E4"/>
    <w:rsid w:val="001116BE"/>
    <w:rsid w:val="00112A3B"/>
    <w:rsid w:val="00115495"/>
    <w:rsid w:val="00122953"/>
    <w:rsid w:val="00124662"/>
    <w:rsid w:val="001271E6"/>
    <w:rsid w:val="001301B8"/>
    <w:rsid w:val="00136D77"/>
    <w:rsid w:val="00141E25"/>
    <w:rsid w:val="0014289F"/>
    <w:rsid w:val="001473B1"/>
    <w:rsid w:val="00156032"/>
    <w:rsid w:val="001624CF"/>
    <w:rsid w:val="001643F3"/>
    <w:rsid w:val="00181129"/>
    <w:rsid w:val="00182C03"/>
    <w:rsid w:val="00194B3E"/>
    <w:rsid w:val="001962ED"/>
    <w:rsid w:val="001A14A8"/>
    <w:rsid w:val="001A241B"/>
    <w:rsid w:val="001A2F14"/>
    <w:rsid w:val="001A4114"/>
    <w:rsid w:val="001A4A65"/>
    <w:rsid w:val="001A5DB8"/>
    <w:rsid w:val="001A705C"/>
    <w:rsid w:val="001B0D20"/>
    <w:rsid w:val="001B546F"/>
    <w:rsid w:val="001B6578"/>
    <w:rsid w:val="001B758C"/>
    <w:rsid w:val="001C00DE"/>
    <w:rsid w:val="001C37BD"/>
    <w:rsid w:val="001C4C31"/>
    <w:rsid w:val="001C59B2"/>
    <w:rsid w:val="001E7F1A"/>
    <w:rsid w:val="001F4DEC"/>
    <w:rsid w:val="001F5117"/>
    <w:rsid w:val="00204D97"/>
    <w:rsid w:val="002117BD"/>
    <w:rsid w:val="00227566"/>
    <w:rsid w:val="00241BEF"/>
    <w:rsid w:val="00242DB9"/>
    <w:rsid w:val="00250641"/>
    <w:rsid w:val="002530E9"/>
    <w:rsid w:val="00261B0A"/>
    <w:rsid w:val="0026232F"/>
    <w:rsid w:val="002654EE"/>
    <w:rsid w:val="00266AE8"/>
    <w:rsid w:val="00271DA2"/>
    <w:rsid w:val="002722E4"/>
    <w:rsid w:val="002747B9"/>
    <w:rsid w:val="002802C6"/>
    <w:rsid w:val="00295078"/>
    <w:rsid w:val="00295CC3"/>
    <w:rsid w:val="002A0708"/>
    <w:rsid w:val="002A638F"/>
    <w:rsid w:val="002A65F6"/>
    <w:rsid w:val="002B48B6"/>
    <w:rsid w:val="002D2344"/>
    <w:rsid w:val="002D6994"/>
    <w:rsid w:val="002F36FB"/>
    <w:rsid w:val="002F3A4E"/>
    <w:rsid w:val="002F3C60"/>
    <w:rsid w:val="00303102"/>
    <w:rsid w:val="00312EF2"/>
    <w:rsid w:val="00323C5A"/>
    <w:rsid w:val="003277DD"/>
    <w:rsid w:val="00330BB0"/>
    <w:rsid w:val="00331625"/>
    <w:rsid w:val="00331CF5"/>
    <w:rsid w:val="00333F89"/>
    <w:rsid w:val="003343B6"/>
    <w:rsid w:val="00335FC7"/>
    <w:rsid w:val="0033666A"/>
    <w:rsid w:val="00346B48"/>
    <w:rsid w:val="00354F7B"/>
    <w:rsid w:val="0035623C"/>
    <w:rsid w:val="00363EF0"/>
    <w:rsid w:val="003640D9"/>
    <w:rsid w:val="003771F4"/>
    <w:rsid w:val="003777D5"/>
    <w:rsid w:val="00381596"/>
    <w:rsid w:val="0038270B"/>
    <w:rsid w:val="00397E4B"/>
    <w:rsid w:val="003A3C09"/>
    <w:rsid w:val="003A654A"/>
    <w:rsid w:val="003A7D68"/>
    <w:rsid w:val="003B0F5C"/>
    <w:rsid w:val="003B2369"/>
    <w:rsid w:val="003B2AE0"/>
    <w:rsid w:val="003B38C6"/>
    <w:rsid w:val="003C08ED"/>
    <w:rsid w:val="003C7940"/>
    <w:rsid w:val="003D15AE"/>
    <w:rsid w:val="003D48FA"/>
    <w:rsid w:val="003D655C"/>
    <w:rsid w:val="003E15A2"/>
    <w:rsid w:val="003E4650"/>
    <w:rsid w:val="003F140A"/>
    <w:rsid w:val="003F463D"/>
    <w:rsid w:val="00403D14"/>
    <w:rsid w:val="00404CCD"/>
    <w:rsid w:val="004054F4"/>
    <w:rsid w:val="0041165D"/>
    <w:rsid w:val="00416CDE"/>
    <w:rsid w:val="00420CCF"/>
    <w:rsid w:val="00421A23"/>
    <w:rsid w:val="00423564"/>
    <w:rsid w:val="00431F1E"/>
    <w:rsid w:val="00433529"/>
    <w:rsid w:val="00436D60"/>
    <w:rsid w:val="004373E1"/>
    <w:rsid w:val="00441748"/>
    <w:rsid w:val="00443594"/>
    <w:rsid w:val="00444D4A"/>
    <w:rsid w:val="004620FA"/>
    <w:rsid w:val="00463673"/>
    <w:rsid w:val="00467213"/>
    <w:rsid w:val="00470035"/>
    <w:rsid w:val="0047127D"/>
    <w:rsid w:val="00472959"/>
    <w:rsid w:val="00476418"/>
    <w:rsid w:val="00482AD7"/>
    <w:rsid w:val="0048341E"/>
    <w:rsid w:val="00487819"/>
    <w:rsid w:val="00495A9F"/>
    <w:rsid w:val="004A0B5C"/>
    <w:rsid w:val="004A5F6A"/>
    <w:rsid w:val="004B3EE8"/>
    <w:rsid w:val="004C4EBD"/>
    <w:rsid w:val="004C553F"/>
    <w:rsid w:val="004C7EA4"/>
    <w:rsid w:val="004E6907"/>
    <w:rsid w:val="004F3282"/>
    <w:rsid w:val="004F5A61"/>
    <w:rsid w:val="00500550"/>
    <w:rsid w:val="005030ED"/>
    <w:rsid w:val="00522326"/>
    <w:rsid w:val="00524013"/>
    <w:rsid w:val="00526CC1"/>
    <w:rsid w:val="00537E46"/>
    <w:rsid w:val="005443CC"/>
    <w:rsid w:val="00550679"/>
    <w:rsid w:val="00550A1B"/>
    <w:rsid w:val="00553995"/>
    <w:rsid w:val="00554855"/>
    <w:rsid w:val="005564ED"/>
    <w:rsid w:val="00556802"/>
    <w:rsid w:val="00570C62"/>
    <w:rsid w:val="005749B6"/>
    <w:rsid w:val="0057719D"/>
    <w:rsid w:val="005868EE"/>
    <w:rsid w:val="005929A1"/>
    <w:rsid w:val="00593DA4"/>
    <w:rsid w:val="005945E7"/>
    <w:rsid w:val="0059617D"/>
    <w:rsid w:val="00597A38"/>
    <w:rsid w:val="005A3C28"/>
    <w:rsid w:val="005C0806"/>
    <w:rsid w:val="005C3375"/>
    <w:rsid w:val="005D59E2"/>
    <w:rsid w:val="005D6EF7"/>
    <w:rsid w:val="005E333F"/>
    <w:rsid w:val="005F1DA9"/>
    <w:rsid w:val="006002BE"/>
    <w:rsid w:val="00605A15"/>
    <w:rsid w:val="006121DB"/>
    <w:rsid w:val="00613136"/>
    <w:rsid w:val="00613B80"/>
    <w:rsid w:val="00614B51"/>
    <w:rsid w:val="00616D14"/>
    <w:rsid w:val="00625229"/>
    <w:rsid w:val="006314D4"/>
    <w:rsid w:val="00632055"/>
    <w:rsid w:val="006357B6"/>
    <w:rsid w:val="00645093"/>
    <w:rsid w:val="006715A8"/>
    <w:rsid w:val="00681F16"/>
    <w:rsid w:val="00682DFB"/>
    <w:rsid w:val="00682EB6"/>
    <w:rsid w:val="0068497E"/>
    <w:rsid w:val="00685462"/>
    <w:rsid w:val="00687C4B"/>
    <w:rsid w:val="00691546"/>
    <w:rsid w:val="00693378"/>
    <w:rsid w:val="00695CBB"/>
    <w:rsid w:val="006B31C7"/>
    <w:rsid w:val="006B321B"/>
    <w:rsid w:val="006B4B39"/>
    <w:rsid w:val="006B50D6"/>
    <w:rsid w:val="006C0464"/>
    <w:rsid w:val="006C0773"/>
    <w:rsid w:val="006C177D"/>
    <w:rsid w:val="006C75FA"/>
    <w:rsid w:val="006E4DF5"/>
    <w:rsid w:val="006F6841"/>
    <w:rsid w:val="00701DF9"/>
    <w:rsid w:val="00702251"/>
    <w:rsid w:val="00702573"/>
    <w:rsid w:val="00702588"/>
    <w:rsid w:val="007103AE"/>
    <w:rsid w:val="00716173"/>
    <w:rsid w:val="007252D3"/>
    <w:rsid w:val="00727F0C"/>
    <w:rsid w:val="007331BD"/>
    <w:rsid w:val="0073414C"/>
    <w:rsid w:val="00736DDB"/>
    <w:rsid w:val="0074105C"/>
    <w:rsid w:val="0075041E"/>
    <w:rsid w:val="0075486D"/>
    <w:rsid w:val="00784FAB"/>
    <w:rsid w:val="007861DC"/>
    <w:rsid w:val="00786C3D"/>
    <w:rsid w:val="00787C06"/>
    <w:rsid w:val="007C27DE"/>
    <w:rsid w:val="007C2DC8"/>
    <w:rsid w:val="007C57BF"/>
    <w:rsid w:val="007E095E"/>
    <w:rsid w:val="007E2244"/>
    <w:rsid w:val="007E504A"/>
    <w:rsid w:val="007F365F"/>
    <w:rsid w:val="007F551E"/>
    <w:rsid w:val="00800E50"/>
    <w:rsid w:val="00801A30"/>
    <w:rsid w:val="00811291"/>
    <w:rsid w:val="0081242E"/>
    <w:rsid w:val="00813761"/>
    <w:rsid w:val="00813A78"/>
    <w:rsid w:val="008171EC"/>
    <w:rsid w:val="00824D8B"/>
    <w:rsid w:val="008273DA"/>
    <w:rsid w:val="00827CBC"/>
    <w:rsid w:val="00835ED2"/>
    <w:rsid w:val="0085632F"/>
    <w:rsid w:val="0086025F"/>
    <w:rsid w:val="00866B65"/>
    <w:rsid w:val="00875214"/>
    <w:rsid w:val="008842C5"/>
    <w:rsid w:val="008937B1"/>
    <w:rsid w:val="008A15E8"/>
    <w:rsid w:val="008A4E11"/>
    <w:rsid w:val="008B0500"/>
    <w:rsid w:val="008B1AC0"/>
    <w:rsid w:val="008B4F7F"/>
    <w:rsid w:val="008C02B0"/>
    <w:rsid w:val="008C08DF"/>
    <w:rsid w:val="008C0E69"/>
    <w:rsid w:val="008C49AC"/>
    <w:rsid w:val="008C7AF9"/>
    <w:rsid w:val="008C7F31"/>
    <w:rsid w:val="008D1F96"/>
    <w:rsid w:val="008D6A0B"/>
    <w:rsid w:val="008E130F"/>
    <w:rsid w:val="008E59BE"/>
    <w:rsid w:val="008E703D"/>
    <w:rsid w:val="008F06A2"/>
    <w:rsid w:val="008F3145"/>
    <w:rsid w:val="008F5E4A"/>
    <w:rsid w:val="008F7E8D"/>
    <w:rsid w:val="00907987"/>
    <w:rsid w:val="00915123"/>
    <w:rsid w:val="00920453"/>
    <w:rsid w:val="00920CCE"/>
    <w:rsid w:val="00921B49"/>
    <w:rsid w:val="00924EB9"/>
    <w:rsid w:val="00926488"/>
    <w:rsid w:val="00926AEB"/>
    <w:rsid w:val="00927CFF"/>
    <w:rsid w:val="009331D7"/>
    <w:rsid w:val="009370E6"/>
    <w:rsid w:val="00941A9A"/>
    <w:rsid w:val="00943A77"/>
    <w:rsid w:val="0094664D"/>
    <w:rsid w:val="00954C26"/>
    <w:rsid w:val="0096375A"/>
    <w:rsid w:val="009672AA"/>
    <w:rsid w:val="00974341"/>
    <w:rsid w:val="00980C72"/>
    <w:rsid w:val="00982B15"/>
    <w:rsid w:val="00984629"/>
    <w:rsid w:val="00987672"/>
    <w:rsid w:val="00996B5D"/>
    <w:rsid w:val="00996DE2"/>
    <w:rsid w:val="009B042E"/>
    <w:rsid w:val="009B0998"/>
    <w:rsid w:val="009B1139"/>
    <w:rsid w:val="009B5278"/>
    <w:rsid w:val="009B52FA"/>
    <w:rsid w:val="009C12CD"/>
    <w:rsid w:val="009C548D"/>
    <w:rsid w:val="009D2722"/>
    <w:rsid w:val="009D5F93"/>
    <w:rsid w:val="009E507D"/>
    <w:rsid w:val="009F2678"/>
    <w:rsid w:val="009F395E"/>
    <w:rsid w:val="009F4460"/>
    <w:rsid w:val="009F6E59"/>
    <w:rsid w:val="00A00F90"/>
    <w:rsid w:val="00A02E67"/>
    <w:rsid w:val="00A05AB8"/>
    <w:rsid w:val="00A10EF5"/>
    <w:rsid w:val="00A12195"/>
    <w:rsid w:val="00A14923"/>
    <w:rsid w:val="00A15BBB"/>
    <w:rsid w:val="00A16A83"/>
    <w:rsid w:val="00A16CA3"/>
    <w:rsid w:val="00A229C1"/>
    <w:rsid w:val="00A26AA9"/>
    <w:rsid w:val="00A2745C"/>
    <w:rsid w:val="00A27711"/>
    <w:rsid w:val="00A32F4D"/>
    <w:rsid w:val="00A4153D"/>
    <w:rsid w:val="00A4250D"/>
    <w:rsid w:val="00A5256C"/>
    <w:rsid w:val="00A536C6"/>
    <w:rsid w:val="00A54223"/>
    <w:rsid w:val="00A60B75"/>
    <w:rsid w:val="00A6618A"/>
    <w:rsid w:val="00A67427"/>
    <w:rsid w:val="00A706F0"/>
    <w:rsid w:val="00A7087A"/>
    <w:rsid w:val="00A764AA"/>
    <w:rsid w:val="00A86145"/>
    <w:rsid w:val="00A96161"/>
    <w:rsid w:val="00AB6E63"/>
    <w:rsid w:val="00AB7144"/>
    <w:rsid w:val="00AB7476"/>
    <w:rsid w:val="00AD1E6C"/>
    <w:rsid w:val="00AE22EA"/>
    <w:rsid w:val="00AF2CDD"/>
    <w:rsid w:val="00AF412B"/>
    <w:rsid w:val="00AF429D"/>
    <w:rsid w:val="00AF4E56"/>
    <w:rsid w:val="00B02593"/>
    <w:rsid w:val="00B032C7"/>
    <w:rsid w:val="00B12B07"/>
    <w:rsid w:val="00B157EC"/>
    <w:rsid w:val="00B21937"/>
    <w:rsid w:val="00B268FD"/>
    <w:rsid w:val="00B33D2B"/>
    <w:rsid w:val="00B341AE"/>
    <w:rsid w:val="00B500AF"/>
    <w:rsid w:val="00B50777"/>
    <w:rsid w:val="00B57875"/>
    <w:rsid w:val="00B6114F"/>
    <w:rsid w:val="00B63532"/>
    <w:rsid w:val="00B67A9D"/>
    <w:rsid w:val="00B7015F"/>
    <w:rsid w:val="00B72030"/>
    <w:rsid w:val="00B739D0"/>
    <w:rsid w:val="00B74C5B"/>
    <w:rsid w:val="00B77A78"/>
    <w:rsid w:val="00B77CF0"/>
    <w:rsid w:val="00B8556D"/>
    <w:rsid w:val="00B87BEE"/>
    <w:rsid w:val="00B87D70"/>
    <w:rsid w:val="00B87E4D"/>
    <w:rsid w:val="00BA2190"/>
    <w:rsid w:val="00BB2174"/>
    <w:rsid w:val="00BB6573"/>
    <w:rsid w:val="00BC4233"/>
    <w:rsid w:val="00BC63FF"/>
    <w:rsid w:val="00BD3178"/>
    <w:rsid w:val="00BD411B"/>
    <w:rsid w:val="00BD52F0"/>
    <w:rsid w:val="00BE1C39"/>
    <w:rsid w:val="00BE285E"/>
    <w:rsid w:val="00BE371C"/>
    <w:rsid w:val="00BF14AD"/>
    <w:rsid w:val="00BF4133"/>
    <w:rsid w:val="00C04607"/>
    <w:rsid w:val="00C063FB"/>
    <w:rsid w:val="00C10783"/>
    <w:rsid w:val="00C11C0B"/>
    <w:rsid w:val="00C12D23"/>
    <w:rsid w:val="00C206F1"/>
    <w:rsid w:val="00C239D1"/>
    <w:rsid w:val="00C36A1A"/>
    <w:rsid w:val="00C41CB6"/>
    <w:rsid w:val="00C455B1"/>
    <w:rsid w:val="00C520C1"/>
    <w:rsid w:val="00C52B2F"/>
    <w:rsid w:val="00C56EF2"/>
    <w:rsid w:val="00C57654"/>
    <w:rsid w:val="00C65647"/>
    <w:rsid w:val="00C65D3F"/>
    <w:rsid w:val="00C75C51"/>
    <w:rsid w:val="00C77A3F"/>
    <w:rsid w:val="00C81649"/>
    <w:rsid w:val="00C84ECC"/>
    <w:rsid w:val="00CA2721"/>
    <w:rsid w:val="00CA286B"/>
    <w:rsid w:val="00CA3426"/>
    <w:rsid w:val="00CB11CB"/>
    <w:rsid w:val="00CC049D"/>
    <w:rsid w:val="00CC5012"/>
    <w:rsid w:val="00CC660D"/>
    <w:rsid w:val="00CC69FE"/>
    <w:rsid w:val="00CC6F31"/>
    <w:rsid w:val="00CD0117"/>
    <w:rsid w:val="00CD3CB5"/>
    <w:rsid w:val="00CE0686"/>
    <w:rsid w:val="00CE43E6"/>
    <w:rsid w:val="00CF462E"/>
    <w:rsid w:val="00D002BC"/>
    <w:rsid w:val="00D018B5"/>
    <w:rsid w:val="00D041E5"/>
    <w:rsid w:val="00D06799"/>
    <w:rsid w:val="00D076A1"/>
    <w:rsid w:val="00D111B5"/>
    <w:rsid w:val="00D13CED"/>
    <w:rsid w:val="00D140D7"/>
    <w:rsid w:val="00D159A1"/>
    <w:rsid w:val="00D214CC"/>
    <w:rsid w:val="00D234C3"/>
    <w:rsid w:val="00D23BDA"/>
    <w:rsid w:val="00D26B15"/>
    <w:rsid w:val="00D414EF"/>
    <w:rsid w:val="00D421DD"/>
    <w:rsid w:val="00D45F9F"/>
    <w:rsid w:val="00D46734"/>
    <w:rsid w:val="00D46793"/>
    <w:rsid w:val="00D515CC"/>
    <w:rsid w:val="00D5303E"/>
    <w:rsid w:val="00D6013F"/>
    <w:rsid w:val="00D6076C"/>
    <w:rsid w:val="00D61C22"/>
    <w:rsid w:val="00D67A13"/>
    <w:rsid w:val="00D73DD9"/>
    <w:rsid w:val="00D743CA"/>
    <w:rsid w:val="00D77064"/>
    <w:rsid w:val="00D81FFB"/>
    <w:rsid w:val="00D924DA"/>
    <w:rsid w:val="00D947C8"/>
    <w:rsid w:val="00D96A8F"/>
    <w:rsid w:val="00DA4042"/>
    <w:rsid w:val="00DB06FA"/>
    <w:rsid w:val="00DB472D"/>
    <w:rsid w:val="00DD121E"/>
    <w:rsid w:val="00DD6AE6"/>
    <w:rsid w:val="00DD6DE4"/>
    <w:rsid w:val="00DD7E06"/>
    <w:rsid w:val="00DE2FA1"/>
    <w:rsid w:val="00DE68A1"/>
    <w:rsid w:val="00DF0DEC"/>
    <w:rsid w:val="00E0313A"/>
    <w:rsid w:val="00E058D1"/>
    <w:rsid w:val="00E05D37"/>
    <w:rsid w:val="00E063CC"/>
    <w:rsid w:val="00E06D88"/>
    <w:rsid w:val="00E07F8C"/>
    <w:rsid w:val="00E108BC"/>
    <w:rsid w:val="00E11198"/>
    <w:rsid w:val="00E14358"/>
    <w:rsid w:val="00E1766B"/>
    <w:rsid w:val="00E17855"/>
    <w:rsid w:val="00E21AA8"/>
    <w:rsid w:val="00E24670"/>
    <w:rsid w:val="00E26AFE"/>
    <w:rsid w:val="00E36FA7"/>
    <w:rsid w:val="00E37C91"/>
    <w:rsid w:val="00E37E87"/>
    <w:rsid w:val="00E40A00"/>
    <w:rsid w:val="00E45733"/>
    <w:rsid w:val="00E51D9B"/>
    <w:rsid w:val="00E568B2"/>
    <w:rsid w:val="00E57ED6"/>
    <w:rsid w:val="00E6289D"/>
    <w:rsid w:val="00E64CE3"/>
    <w:rsid w:val="00E76F78"/>
    <w:rsid w:val="00E7796D"/>
    <w:rsid w:val="00E90744"/>
    <w:rsid w:val="00E933D9"/>
    <w:rsid w:val="00E950C9"/>
    <w:rsid w:val="00EA0884"/>
    <w:rsid w:val="00EA0B52"/>
    <w:rsid w:val="00EA44D2"/>
    <w:rsid w:val="00EB5F44"/>
    <w:rsid w:val="00EC0A79"/>
    <w:rsid w:val="00EE1280"/>
    <w:rsid w:val="00EE4A6A"/>
    <w:rsid w:val="00EE69BD"/>
    <w:rsid w:val="00EE75CE"/>
    <w:rsid w:val="00EF7809"/>
    <w:rsid w:val="00F01852"/>
    <w:rsid w:val="00F01992"/>
    <w:rsid w:val="00F150AD"/>
    <w:rsid w:val="00F150FF"/>
    <w:rsid w:val="00F208E8"/>
    <w:rsid w:val="00F21239"/>
    <w:rsid w:val="00F30DF5"/>
    <w:rsid w:val="00F37763"/>
    <w:rsid w:val="00F50086"/>
    <w:rsid w:val="00F568C9"/>
    <w:rsid w:val="00F61F45"/>
    <w:rsid w:val="00F63F0F"/>
    <w:rsid w:val="00F640D5"/>
    <w:rsid w:val="00F64760"/>
    <w:rsid w:val="00F64E6E"/>
    <w:rsid w:val="00F66B4D"/>
    <w:rsid w:val="00F67BE7"/>
    <w:rsid w:val="00F756E7"/>
    <w:rsid w:val="00F75A7C"/>
    <w:rsid w:val="00F77795"/>
    <w:rsid w:val="00F81687"/>
    <w:rsid w:val="00F904B4"/>
    <w:rsid w:val="00F91348"/>
    <w:rsid w:val="00F954DB"/>
    <w:rsid w:val="00F96CBF"/>
    <w:rsid w:val="00FA64CE"/>
    <w:rsid w:val="00FB5A2F"/>
    <w:rsid w:val="00FB7B48"/>
    <w:rsid w:val="00FC4F48"/>
    <w:rsid w:val="00FD1130"/>
    <w:rsid w:val="00FE131F"/>
    <w:rsid w:val="00FE2E02"/>
    <w:rsid w:val="00FE5BDC"/>
    <w:rsid w:val="00FF181D"/>
    <w:rsid w:val="00FF3D2B"/>
    <w:rsid w:val="00FF6D3D"/>
    <w:rsid w:val="01125FFE"/>
    <w:rsid w:val="012413DE"/>
    <w:rsid w:val="013B2838"/>
    <w:rsid w:val="017121B1"/>
    <w:rsid w:val="01907DF3"/>
    <w:rsid w:val="023B5939"/>
    <w:rsid w:val="02AD5163"/>
    <w:rsid w:val="02D313FC"/>
    <w:rsid w:val="03115BCA"/>
    <w:rsid w:val="032C1AE4"/>
    <w:rsid w:val="03527DF2"/>
    <w:rsid w:val="03763E1E"/>
    <w:rsid w:val="03794822"/>
    <w:rsid w:val="03890F42"/>
    <w:rsid w:val="03BB55BB"/>
    <w:rsid w:val="03D53391"/>
    <w:rsid w:val="03EF7383"/>
    <w:rsid w:val="04244971"/>
    <w:rsid w:val="043D2862"/>
    <w:rsid w:val="044E2E69"/>
    <w:rsid w:val="04671D9A"/>
    <w:rsid w:val="048E759E"/>
    <w:rsid w:val="04E93B8C"/>
    <w:rsid w:val="04FF037E"/>
    <w:rsid w:val="054D435D"/>
    <w:rsid w:val="062D2621"/>
    <w:rsid w:val="063B7194"/>
    <w:rsid w:val="0646773A"/>
    <w:rsid w:val="067F3525"/>
    <w:rsid w:val="06A758F2"/>
    <w:rsid w:val="06BE4ADE"/>
    <w:rsid w:val="06BF6057"/>
    <w:rsid w:val="06C578C0"/>
    <w:rsid w:val="06DF0CF8"/>
    <w:rsid w:val="06FA2D0B"/>
    <w:rsid w:val="071E3D59"/>
    <w:rsid w:val="074B12E7"/>
    <w:rsid w:val="078876F5"/>
    <w:rsid w:val="07A036A3"/>
    <w:rsid w:val="07C622C9"/>
    <w:rsid w:val="082F30B8"/>
    <w:rsid w:val="090B3297"/>
    <w:rsid w:val="09530A45"/>
    <w:rsid w:val="095809FE"/>
    <w:rsid w:val="097A5FE4"/>
    <w:rsid w:val="09C802D1"/>
    <w:rsid w:val="09F42C52"/>
    <w:rsid w:val="0A4A0614"/>
    <w:rsid w:val="0A693D18"/>
    <w:rsid w:val="0A6F318A"/>
    <w:rsid w:val="0A834A03"/>
    <w:rsid w:val="0A8431D3"/>
    <w:rsid w:val="0AC54F34"/>
    <w:rsid w:val="0B3D17D2"/>
    <w:rsid w:val="0B710C2B"/>
    <w:rsid w:val="0BD10250"/>
    <w:rsid w:val="0C4F7235"/>
    <w:rsid w:val="0C845500"/>
    <w:rsid w:val="0CF63F7B"/>
    <w:rsid w:val="0D234D86"/>
    <w:rsid w:val="0D752042"/>
    <w:rsid w:val="0ECE3CB4"/>
    <w:rsid w:val="0ED16B61"/>
    <w:rsid w:val="0EE67302"/>
    <w:rsid w:val="0FBC7598"/>
    <w:rsid w:val="0FD07480"/>
    <w:rsid w:val="1039242C"/>
    <w:rsid w:val="105F1547"/>
    <w:rsid w:val="109F0B26"/>
    <w:rsid w:val="10BE2E9B"/>
    <w:rsid w:val="11316088"/>
    <w:rsid w:val="114F640B"/>
    <w:rsid w:val="11520F56"/>
    <w:rsid w:val="116C6F09"/>
    <w:rsid w:val="124E0E69"/>
    <w:rsid w:val="12706417"/>
    <w:rsid w:val="127803B4"/>
    <w:rsid w:val="128F14AF"/>
    <w:rsid w:val="12D44BF8"/>
    <w:rsid w:val="13370F1F"/>
    <w:rsid w:val="133A29AF"/>
    <w:rsid w:val="13650EEB"/>
    <w:rsid w:val="13B340AC"/>
    <w:rsid w:val="13EC6953"/>
    <w:rsid w:val="1432216E"/>
    <w:rsid w:val="14446EDD"/>
    <w:rsid w:val="146915C6"/>
    <w:rsid w:val="14726477"/>
    <w:rsid w:val="14805E3A"/>
    <w:rsid w:val="14887A97"/>
    <w:rsid w:val="156B5786"/>
    <w:rsid w:val="156D50C2"/>
    <w:rsid w:val="15841740"/>
    <w:rsid w:val="15CE307A"/>
    <w:rsid w:val="15F94B06"/>
    <w:rsid w:val="16096F91"/>
    <w:rsid w:val="167727D8"/>
    <w:rsid w:val="16C136E5"/>
    <w:rsid w:val="16F478B0"/>
    <w:rsid w:val="177756D9"/>
    <w:rsid w:val="17B8183D"/>
    <w:rsid w:val="186E2DFF"/>
    <w:rsid w:val="19285DD1"/>
    <w:rsid w:val="192B26FD"/>
    <w:rsid w:val="19AE5A2B"/>
    <w:rsid w:val="19EF6ED8"/>
    <w:rsid w:val="1A391C52"/>
    <w:rsid w:val="1AAA5DA3"/>
    <w:rsid w:val="1B7075A2"/>
    <w:rsid w:val="1B7E3F4A"/>
    <w:rsid w:val="1BB53E68"/>
    <w:rsid w:val="1BB83C86"/>
    <w:rsid w:val="1BC469C7"/>
    <w:rsid w:val="1BF75D90"/>
    <w:rsid w:val="1C1B41D6"/>
    <w:rsid w:val="1C1D316C"/>
    <w:rsid w:val="1C351833"/>
    <w:rsid w:val="1C4547BA"/>
    <w:rsid w:val="1C625E51"/>
    <w:rsid w:val="1C6B737E"/>
    <w:rsid w:val="1C830E5B"/>
    <w:rsid w:val="1C8E6699"/>
    <w:rsid w:val="1CC5175F"/>
    <w:rsid w:val="1D4674BF"/>
    <w:rsid w:val="1D7E0335"/>
    <w:rsid w:val="1D9534EC"/>
    <w:rsid w:val="1DA3490E"/>
    <w:rsid w:val="1DBF6069"/>
    <w:rsid w:val="1E0A75E1"/>
    <w:rsid w:val="1E2E2FB8"/>
    <w:rsid w:val="1E901F96"/>
    <w:rsid w:val="1EA83918"/>
    <w:rsid w:val="1ECF057F"/>
    <w:rsid w:val="1FCD6792"/>
    <w:rsid w:val="1FD858C5"/>
    <w:rsid w:val="201A05BE"/>
    <w:rsid w:val="209922F2"/>
    <w:rsid w:val="20B1704B"/>
    <w:rsid w:val="20BB4EC2"/>
    <w:rsid w:val="210278D9"/>
    <w:rsid w:val="21AF030E"/>
    <w:rsid w:val="22014B7D"/>
    <w:rsid w:val="22206785"/>
    <w:rsid w:val="22250295"/>
    <w:rsid w:val="224C6559"/>
    <w:rsid w:val="22BA2F56"/>
    <w:rsid w:val="23352E6E"/>
    <w:rsid w:val="233F2D78"/>
    <w:rsid w:val="234A0B0A"/>
    <w:rsid w:val="236E791D"/>
    <w:rsid w:val="23FF2605"/>
    <w:rsid w:val="247E49C4"/>
    <w:rsid w:val="24832822"/>
    <w:rsid w:val="249D7540"/>
    <w:rsid w:val="24BE226F"/>
    <w:rsid w:val="24C30629"/>
    <w:rsid w:val="2516311E"/>
    <w:rsid w:val="25384E7E"/>
    <w:rsid w:val="258E19B2"/>
    <w:rsid w:val="25C27026"/>
    <w:rsid w:val="25CB0646"/>
    <w:rsid w:val="265B1FA5"/>
    <w:rsid w:val="269F2DA7"/>
    <w:rsid w:val="26FD2CE3"/>
    <w:rsid w:val="272968B5"/>
    <w:rsid w:val="27E51625"/>
    <w:rsid w:val="27F47083"/>
    <w:rsid w:val="280E597C"/>
    <w:rsid w:val="282267AD"/>
    <w:rsid w:val="28863D3B"/>
    <w:rsid w:val="28A7412B"/>
    <w:rsid w:val="28C11ABE"/>
    <w:rsid w:val="28D554C8"/>
    <w:rsid w:val="29207129"/>
    <w:rsid w:val="294B04FB"/>
    <w:rsid w:val="296A1365"/>
    <w:rsid w:val="29714AF7"/>
    <w:rsid w:val="29C90CE0"/>
    <w:rsid w:val="2A253C4A"/>
    <w:rsid w:val="2A6A07CF"/>
    <w:rsid w:val="2A7600CD"/>
    <w:rsid w:val="2AAF38EB"/>
    <w:rsid w:val="2AB26289"/>
    <w:rsid w:val="2AC43C60"/>
    <w:rsid w:val="2ADC649F"/>
    <w:rsid w:val="2B127D4D"/>
    <w:rsid w:val="2B2D4A4E"/>
    <w:rsid w:val="2B486D36"/>
    <w:rsid w:val="2B7B0E55"/>
    <w:rsid w:val="2C2B1345"/>
    <w:rsid w:val="2C53631E"/>
    <w:rsid w:val="2CF251AC"/>
    <w:rsid w:val="2D0A5950"/>
    <w:rsid w:val="2D4F4A71"/>
    <w:rsid w:val="2D845F6F"/>
    <w:rsid w:val="2DD6695D"/>
    <w:rsid w:val="2DED7C49"/>
    <w:rsid w:val="2E1771F1"/>
    <w:rsid w:val="2E995193"/>
    <w:rsid w:val="2EB86D24"/>
    <w:rsid w:val="2EDF19C0"/>
    <w:rsid w:val="2F3A2BBC"/>
    <w:rsid w:val="3050711B"/>
    <w:rsid w:val="30650CC3"/>
    <w:rsid w:val="31B95617"/>
    <w:rsid w:val="32626CEF"/>
    <w:rsid w:val="32B77247"/>
    <w:rsid w:val="32E0600F"/>
    <w:rsid w:val="335C35B2"/>
    <w:rsid w:val="339C3413"/>
    <w:rsid w:val="340B7E02"/>
    <w:rsid w:val="34215634"/>
    <w:rsid w:val="342E1243"/>
    <w:rsid w:val="34F10392"/>
    <w:rsid w:val="35150213"/>
    <w:rsid w:val="35215623"/>
    <w:rsid w:val="352C5D76"/>
    <w:rsid w:val="359669B6"/>
    <w:rsid w:val="35C270A4"/>
    <w:rsid w:val="35D50B44"/>
    <w:rsid w:val="364808F5"/>
    <w:rsid w:val="36AD2CB2"/>
    <w:rsid w:val="36EC6AFA"/>
    <w:rsid w:val="372B2171"/>
    <w:rsid w:val="37354DFD"/>
    <w:rsid w:val="37A12548"/>
    <w:rsid w:val="37C605EE"/>
    <w:rsid w:val="37CD3155"/>
    <w:rsid w:val="37E82D61"/>
    <w:rsid w:val="380277C4"/>
    <w:rsid w:val="388B0256"/>
    <w:rsid w:val="38A4740C"/>
    <w:rsid w:val="38CA7E02"/>
    <w:rsid w:val="391D2DA1"/>
    <w:rsid w:val="39785A2E"/>
    <w:rsid w:val="39822381"/>
    <w:rsid w:val="39FD47D4"/>
    <w:rsid w:val="3A841CE2"/>
    <w:rsid w:val="3A8521B0"/>
    <w:rsid w:val="3B367DC0"/>
    <w:rsid w:val="3B963DD8"/>
    <w:rsid w:val="3B9A7044"/>
    <w:rsid w:val="3BEB05AC"/>
    <w:rsid w:val="3C6B1EA0"/>
    <w:rsid w:val="3C6B3952"/>
    <w:rsid w:val="3CA21CA0"/>
    <w:rsid w:val="3CAC27C6"/>
    <w:rsid w:val="3CC82828"/>
    <w:rsid w:val="3CD820DC"/>
    <w:rsid w:val="3D994E63"/>
    <w:rsid w:val="3DD624D4"/>
    <w:rsid w:val="3E086E50"/>
    <w:rsid w:val="3E5B09D1"/>
    <w:rsid w:val="3E610E56"/>
    <w:rsid w:val="3F77051A"/>
    <w:rsid w:val="3F9F3842"/>
    <w:rsid w:val="3FAD19D8"/>
    <w:rsid w:val="3FC75019"/>
    <w:rsid w:val="3FE75CE0"/>
    <w:rsid w:val="3FFB7BCF"/>
    <w:rsid w:val="3FFE1733"/>
    <w:rsid w:val="40084D4E"/>
    <w:rsid w:val="40594FFE"/>
    <w:rsid w:val="405F26EC"/>
    <w:rsid w:val="406A1B4F"/>
    <w:rsid w:val="40FF6705"/>
    <w:rsid w:val="41C05375"/>
    <w:rsid w:val="423066B0"/>
    <w:rsid w:val="427E0EF9"/>
    <w:rsid w:val="428E04E7"/>
    <w:rsid w:val="42C05C4F"/>
    <w:rsid w:val="43485E2A"/>
    <w:rsid w:val="437E6337"/>
    <w:rsid w:val="44136B55"/>
    <w:rsid w:val="442365C8"/>
    <w:rsid w:val="44304DA0"/>
    <w:rsid w:val="44340533"/>
    <w:rsid w:val="4435461B"/>
    <w:rsid w:val="444964A2"/>
    <w:rsid w:val="44570033"/>
    <w:rsid w:val="448B0378"/>
    <w:rsid w:val="44CE5290"/>
    <w:rsid w:val="450C6E60"/>
    <w:rsid w:val="464835E3"/>
    <w:rsid w:val="466720C6"/>
    <w:rsid w:val="47A551BF"/>
    <w:rsid w:val="47E53EAD"/>
    <w:rsid w:val="48224450"/>
    <w:rsid w:val="483C7246"/>
    <w:rsid w:val="4872366E"/>
    <w:rsid w:val="489942A7"/>
    <w:rsid w:val="48D2684E"/>
    <w:rsid w:val="4910110E"/>
    <w:rsid w:val="4A174B45"/>
    <w:rsid w:val="4A1A22B0"/>
    <w:rsid w:val="4B1C73D6"/>
    <w:rsid w:val="4B9C080B"/>
    <w:rsid w:val="4B9D4375"/>
    <w:rsid w:val="4C37538E"/>
    <w:rsid w:val="4C552850"/>
    <w:rsid w:val="4C9250EA"/>
    <w:rsid w:val="4C9A555D"/>
    <w:rsid w:val="4CF25E5E"/>
    <w:rsid w:val="4D2D3F51"/>
    <w:rsid w:val="4D3070BD"/>
    <w:rsid w:val="4D6245D3"/>
    <w:rsid w:val="4D911601"/>
    <w:rsid w:val="4DA65E93"/>
    <w:rsid w:val="4DB373DA"/>
    <w:rsid w:val="4DBB7859"/>
    <w:rsid w:val="4E240CAA"/>
    <w:rsid w:val="4E62367E"/>
    <w:rsid w:val="4E986137"/>
    <w:rsid w:val="4EE14B55"/>
    <w:rsid w:val="4F3A1249"/>
    <w:rsid w:val="4FAA118A"/>
    <w:rsid w:val="4FAD0C10"/>
    <w:rsid w:val="4FC52647"/>
    <w:rsid w:val="50450156"/>
    <w:rsid w:val="50A0114F"/>
    <w:rsid w:val="51356054"/>
    <w:rsid w:val="51712D54"/>
    <w:rsid w:val="51785864"/>
    <w:rsid w:val="518B10B5"/>
    <w:rsid w:val="51E27494"/>
    <w:rsid w:val="51E43E0F"/>
    <w:rsid w:val="522E717A"/>
    <w:rsid w:val="52696071"/>
    <w:rsid w:val="52903990"/>
    <w:rsid w:val="52AB4326"/>
    <w:rsid w:val="52E050AC"/>
    <w:rsid w:val="533A2E0F"/>
    <w:rsid w:val="536F0D8E"/>
    <w:rsid w:val="53967280"/>
    <w:rsid w:val="54161869"/>
    <w:rsid w:val="543E285F"/>
    <w:rsid w:val="5449029B"/>
    <w:rsid w:val="547E6196"/>
    <w:rsid w:val="54803CAD"/>
    <w:rsid w:val="54BF3E74"/>
    <w:rsid w:val="550E1F63"/>
    <w:rsid w:val="55330108"/>
    <w:rsid w:val="5538199E"/>
    <w:rsid w:val="557408CC"/>
    <w:rsid w:val="562176E0"/>
    <w:rsid w:val="562C39D0"/>
    <w:rsid w:val="5645004D"/>
    <w:rsid w:val="564E13DD"/>
    <w:rsid w:val="56AF6ADB"/>
    <w:rsid w:val="56D249BA"/>
    <w:rsid w:val="57641BDA"/>
    <w:rsid w:val="578700AE"/>
    <w:rsid w:val="57914308"/>
    <w:rsid w:val="57D621AB"/>
    <w:rsid w:val="58035766"/>
    <w:rsid w:val="580F7E57"/>
    <w:rsid w:val="58C56F2C"/>
    <w:rsid w:val="58CD2D45"/>
    <w:rsid w:val="58D54897"/>
    <w:rsid w:val="59B548B4"/>
    <w:rsid w:val="59BC7D98"/>
    <w:rsid w:val="5A74770E"/>
    <w:rsid w:val="5B16497C"/>
    <w:rsid w:val="5B35701C"/>
    <w:rsid w:val="5B401C3E"/>
    <w:rsid w:val="5B4D68C3"/>
    <w:rsid w:val="5B6B5E32"/>
    <w:rsid w:val="5B7756EE"/>
    <w:rsid w:val="5BE806B6"/>
    <w:rsid w:val="5BF617EE"/>
    <w:rsid w:val="5C5C305E"/>
    <w:rsid w:val="5CCA6124"/>
    <w:rsid w:val="5CD4103E"/>
    <w:rsid w:val="5CE5626A"/>
    <w:rsid w:val="5CE628DD"/>
    <w:rsid w:val="5D002071"/>
    <w:rsid w:val="5D900CE9"/>
    <w:rsid w:val="5E5017B5"/>
    <w:rsid w:val="5E6B2340"/>
    <w:rsid w:val="5E7950D9"/>
    <w:rsid w:val="5E9161A2"/>
    <w:rsid w:val="5F574AC4"/>
    <w:rsid w:val="5F5F38F7"/>
    <w:rsid w:val="5FCF04B9"/>
    <w:rsid w:val="5FD009A4"/>
    <w:rsid w:val="604D2E6F"/>
    <w:rsid w:val="60A725D1"/>
    <w:rsid w:val="60DC658A"/>
    <w:rsid w:val="612F6FDE"/>
    <w:rsid w:val="622A0791"/>
    <w:rsid w:val="62812921"/>
    <w:rsid w:val="62B51FD5"/>
    <w:rsid w:val="62C84E24"/>
    <w:rsid w:val="62D52721"/>
    <w:rsid w:val="6317619B"/>
    <w:rsid w:val="6421498B"/>
    <w:rsid w:val="644D246F"/>
    <w:rsid w:val="64705857"/>
    <w:rsid w:val="64712C9A"/>
    <w:rsid w:val="647B62E6"/>
    <w:rsid w:val="64DB4A86"/>
    <w:rsid w:val="65113AC4"/>
    <w:rsid w:val="65A77CAA"/>
    <w:rsid w:val="66411284"/>
    <w:rsid w:val="66863F54"/>
    <w:rsid w:val="66C0727C"/>
    <w:rsid w:val="66F36679"/>
    <w:rsid w:val="678A1042"/>
    <w:rsid w:val="67C348AC"/>
    <w:rsid w:val="67FF0F45"/>
    <w:rsid w:val="68617509"/>
    <w:rsid w:val="68A94603"/>
    <w:rsid w:val="68AB3AA2"/>
    <w:rsid w:val="6902505D"/>
    <w:rsid w:val="699B11CD"/>
    <w:rsid w:val="69B21C3C"/>
    <w:rsid w:val="69F6210D"/>
    <w:rsid w:val="6A7943DE"/>
    <w:rsid w:val="6A7968F8"/>
    <w:rsid w:val="6B075134"/>
    <w:rsid w:val="6B0E606E"/>
    <w:rsid w:val="6B617AE6"/>
    <w:rsid w:val="6C217994"/>
    <w:rsid w:val="6C2F173D"/>
    <w:rsid w:val="6CDF6714"/>
    <w:rsid w:val="6D28026D"/>
    <w:rsid w:val="6D354585"/>
    <w:rsid w:val="6D6712AF"/>
    <w:rsid w:val="6D94285F"/>
    <w:rsid w:val="6DAC7BF0"/>
    <w:rsid w:val="6EAF43CB"/>
    <w:rsid w:val="6F765CC8"/>
    <w:rsid w:val="6FBB1ECF"/>
    <w:rsid w:val="7067613E"/>
    <w:rsid w:val="71270218"/>
    <w:rsid w:val="712D54E7"/>
    <w:rsid w:val="71353C29"/>
    <w:rsid w:val="714621D8"/>
    <w:rsid w:val="715A71EC"/>
    <w:rsid w:val="71A50FB8"/>
    <w:rsid w:val="71B2382C"/>
    <w:rsid w:val="71D84CE0"/>
    <w:rsid w:val="71DB633C"/>
    <w:rsid w:val="71DE1E94"/>
    <w:rsid w:val="7276208F"/>
    <w:rsid w:val="72BC424A"/>
    <w:rsid w:val="72C441C7"/>
    <w:rsid w:val="72E67263"/>
    <w:rsid w:val="72E942EE"/>
    <w:rsid w:val="72F125B9"/>
    <w:rsid w:val="72F21458"/>
    <w:rsid w:val="730069F3"/>
    <w:rsid w:val="73456E92"/>
    <w:rsid w:val="74843378"/>
    <w:rsid w:val="751A3EF6"/>
    <w:rsid w:val="757E3AFE"/>
    <w:rsid w:val="75D8032E"/>
    <w:rsid w:val="762B278B"/>
    <w:rsid w:val="76646B7E"/>
    <w:rsid w:val="76A0243F"/>
    <w:rsid w:val="76C42DFE"/>
    <w:rsid w:val="772E25B3"/>
    <w:rsid w:val="778F24F1"/>
    <w:rsid w:val="77D64962"/>
    <w:rsid w:val="787B4617"/>
    <w:rsid w:val="788051D2"/>
    <w:rsid w:val="78C20FB9"/>
    <w:rsid w:val="78E7208E"/>
    <w:rsid w:val="79432153"/>
    <w:rsid w:val="79AB0B2A"/>
    <w:rsid w:val="79FF3175"/>
    <w:rsid w:val="7A2A65CE"/>
    <w:rsid w:val="7A2E4617"/>
    <w:rsid w:val="7A4B4911"/>
    <w:rsid w:val="7A801A3E"/>
    <w:rsid w:val="7AD77EB8"/>
    <w:rsid w:val="7B037D7C"/>
    <w:rsid w:val="7B3459AC"/>
    <w:rsid w:val="7BE424D4"/>
    <w:rsid w:val="7C4614F3"/>
    <w:rsid w:val="7C52743D"/>
    <w:rsid w:val="7C957E39"/>
    <w:rsid w:val="7CDF6926"/>
    <w:rsid w:val="7D9A5CDD"/>
    <w:rsid w:val="7DA304F0"/>
    <w:rsid w:val="7DAD0983"/>
    <w:rsid w:val="7DEB3AB8"/>
    <w:rsid w:val="7E0213BB"/>
    <w:rsid w:val="7E346D07"/>
    <w:rsid w:val="7E576860"/>
    <w:rsid w:val="7E704E75"/>
    <w:rsid w:val="7EAE4458"/>
    <w:rsid w:val="7F77038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qFormat="1"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99"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qFormat="1" w:unhideWhenUsed="0" w:uiPriority="0" w:semiHidden="0"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54"/>
    <w:qFormat/>
    <w:uiPriority w:val="0"/>
    <w:pPr>
      <w:keepNext/>
      <w:keepLines/>
      <w:spacing w:beforeLines="100" w:afterLines="50" w:line="415" w:lineRule="auto"/>
      <w:jc w:val="left"/>
      <w:outlineLvl w:val="1"/>
    </w:pPr>
    <w:rPr>
      <w:rFonts w:cs="Times New Roman"/>
      <w:b/>
    </w:rPr>
  </w:style>
  <w:style w:type="paragraph" w:styleId="4">
    <w:name w:val="heading 3"/>
    <w:basedOn w:val="1"/>
    <w:next w:val="1"/>
    <w:link w:val="55"/>
    <w:qFormat/>
    <w:uiPriority w:val="0"/>
    <w:pPr>
      <w:keepNext/>
      <w:keepLines/>
      <w:spacing w:beforeLines="50" w:line="415" w:lineRule="auto"/>
      <w:jc w:val="left"/>
      <w:outlineLvl w:val="2"/>
    </w:pPr>
    <w:rPr>
      <w:rFonts w:cs="Times New Roman"/>
    </w:rPr>
  </w:style>
  <w:style w:type="paragraph" w:styleId="5">
    <w:name w:val="heading 4"/>
    <w:basedOn w:val="1"/>
    <w:next w:val="6"/>
    <w:qFormat/>
    <w:uiPriority w:val="0"/>
    <w:pPr>
      <w:keepNext/>
      <w:keepLines/>
      <w:spacing w:before="280" w:after="290" w:line="376" w:lineRule="auto"/>
      <w:outlineLvl w:val="3"/>
    </w:pPr>
    <w:rPr>
      <w:rFonts w:ascii="Cambria" w:hAnsi="Cambria"/>
      <w:b/>
      <w:bCs/>
      <w:sz w:val="28"/>
      <w:szCs w:val="28"/>
    </w:rPr>
  </w:style>
  <w:style w:type="paragraph" w:styleId="7">
    <w:name w:val="heading 6"/>
    <w:basedOn w:val="1"/>
    <w:next w:val="1"/>
    <w:semiHidden/>
    <w:unhideWhenUsed/>
    <w:qFormat/>
    <w:uiPriority w:val="9"/>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44">
    <w:name w:val="Default Paragraph Font"/>
    <w:qFormat/>
    <w:uiPriority w:val="0"/>
    <w:rPr>
      <w:sz w:val="20"/>
    </w:rPr>
  </w:style>
  <w:style w:type="table" w:default="1" w:styleId="39">
    <w:name w:val="Normal Table"/>
    <w:qFormat/>
    <w:uiPriority w:val="0"/>
    <w:pPr>
      <w:widowControl/>
      <w:autoSpaceDE/>
      <w:autoSpaceDN/>
      <w:spacing w:before="0" w:after="0" w:line="240" w:lineRule="auto"/>
      <w:ind w:left="0" w:firstLine="0"/>
    </w:pPr>
    <w:rPr>
      <w:sz w:val="20"/>
    </w:rPr>
    <w:tblPr>
      <w:tblCellMar>
        <w:left w:w="108" w:type="dxa"/>
        <w:right w:w="108" w:type="dxa"/>
      </w:tblCellMar>
    </w:tblPr>
  </w:style>
  <w:style w:type="paragraph" w:customStyle="1" w:styleId="6">
    <w:name w:val="A-z正文"/>
    <w:basedOn w:val="1"/>
    <w:qFormat/>
    <w:uiPriority w:val="0"/>
    <w:pPr>
      <w:adjustRightInd w:val="0"/>
      <w:snapToGrid w:val="0"/>
      <w:spacing w:line="360" w:lineRule="auto"/>
      <w:ind w:firstLine="480" w:firstLineChars="200"/>
    </w:pPr>
    <w:rPr>
      <w:rFonts w:ascii="Times New Roman" w:hAnsi="Times New Roman"/>
      <w:color w:val="000000" w:themeColor="text1"/>
      <w:sz w:val="24"/>
      <w:szCs w:val="20"/>
      <w:lang w:val="zh-CN"/>
      <w14:textFill>
        <w14:solidFill>
          <w14:schemeClr w14:val="tx1"/>
        </w14:solidFill>
      </w14:textFill>
    </w:rPr>
  </w:style>
  <w:style w:type="paragraph" w:styleId="8">
    <w:name w:val="toc 7"/>
    <w:basedOn w:val="1"/>
    <w:next w:val="1"/>
    <w:unhideWhenUsed/>
    <w:qFormat/>
    <w:uiPriority w:val="39"/>
    <w:pPr>
      <w:ind w:left="1200"/>
      <w:jc w:val="left"/>
    </w:pPr>
    <w:rPr>
      <w:rFonts w:ascii="Calibri" w:hAnsi="Calibri"/>
      <w:sz w:val="18"/>
      <w:szCs w:val="18"/>
    </w:rPr>
  </w:style>
  <w:style w:type="paragraph" w:styleId="9">
    <w:name w:val="Normal Indent"/>
    <w:basedOn w:val="1"/>
    <w:next w:val="10"/>
    <w:qFormat/>
    <w:uiPriority w:val="0"/>
    <w:pPr>
      <w:adjustRightInd w:val="0"/>
      <w:spacing w:line="312" w:lineRule="auto"/>
      <w:ind w:firstLine="539"/>
      <w:textAlignment w:val="baseline"/>
    </w:pPr>
    <w:rPr>
      <w:rFonts w:eastAsia="仿宋_GB2312"/>
      <w:sz w:val="28"/>
      <w:szCs w:val="20"/>
    </w:rPr>
  </w:style>
  <w:style w:type="paragraph" w:customStyle="1" w:styleId="10">
    <w:name w:val="样式 正文文本 + 首行缩进:  2 字符"/>
    <w:basedOn w:val="11"/>
    <w:qFormat/>
    <w:uiPriority w:val="0"/>
    <w:pPr>
      <w:adjustRightInd w:val="0"/>
      <w:snapToGrid w:val="0"/>
      <w:spacing w:before="120" w:after="0" w:line="300" w:lineRule="auto"/>
      <w:ind w:firstLine="200" w:firstLineChars="200"/>
      <w:textAlignment w:val="baseline"/>
    </w:pPr>
    <w:rPr>
      <w:rFonts w:ascii="Calibri" w:hAnsi="Calibri" w:cs="宋体"/>
      <w:color w:val="FF0000"/>
      <w:sz w:val="24"/>
      <w:szCs w:val="22"/>
    </w:rPr>
  </w:style>
  <w:style w:type="paragraph" w:styleId="11">
    <w:name w:val="Body Text"/>
    <w:basedOn w:val="1"/>
    <w:next w:val="1"/>
    <w:qFormat/>
    <w:uiPriority w:val="0"/>
    <w:pPr>
      <w:widowControl w:val="0"/>
      <w:jc w:val="both"/>
    </w:pPr>
    <w:rPr>
      <w:rFonts w:ascii="宋体" w:hAnsi="Calibri" w:eastAsia="宋体" w:cs="Calibri"/>
      <w:kern w:val="2"/>
      <w:sz w:val="30"/>
      <w:szCs w:val="25"/>
      <w:lang w:val="en-US" w:eastAsia="zh-CN" w:bidi="ar-SA"/>
    </w:rPr>
  </w:style>
  <w:style w:type="paragraph" w:styleId="12">
    <w:name w:val="Document Map"/>
    <w:basedOn w:val="1"/>
    <w:link w:val="56"/>
    <w:unhideWhenUsed/>
    <w:qFormat/>
    <w:uiPriority w:val="99"/>
    <w:rPr>
      <w:rFonts w:eastAsia="宋体" w:cs="Times New Roman"/>
      <w:sz w:val="18"/>
      <w:szCs w:val="18"/>
    </w:rPr>
  </w:style>
  <w:style w:type="paragraph" w:styleId="13">
    <w:name w:val="annotation text"/>
    <w:basedOn w:val="1"/>
    <w:unhideWhenUsed/>
    <w:qFormat/>
    <w:uiPriority w:val="99"/>
    <w:pPr>
      <w:jc w:val="left"/>
    </w:pPr>
  </w:style>
  <w:style w:type="paragraph" w:styleId="14">
    <w:name w:val="Body Text Indent"/>
    <w:basedOn w:val="1"/>
    <w:next w:val="15"/>
    <w:qFormat/>
    <w:uiPriority w:val="0"/>
    <w:pPr>
      <w:spacing w:line="440" w:lineRule="exact"/>
      <w:ind w:firstLine="510"/>
    </w:pPr>
    <w:rPr>
      <w:spacing w:val="12"/>
      <w:kern w:val="0"/>
      <w:sz w:val="24"/>
    </w:rPr>
  </w:style>
  <w:style w:type="paragraph" w:customStyle="1" w:styleId="15">
    <w:name w:val="样式 正文文本缩进 + 行距: 1.5 倍行距"/>
    <w:basedOn w:val="14"/>
    <w:qFormat/>
    <w:uiPriority w:val="0"/>
    <w:pPr>
      <w:spacing w:line="360" w:lineRule="auto"/>
      <w:ind w:firstLine="560"/>
    </w:pPr>
    <w:rPr>
      <w:rFonts w:cs="宋体"/>
      <w:sz w:val="28"/>
    </w:rPr>
  </w:style>
  <w:style w:type="paragraph" w:styleId="16">
    <w:name w:val="toc 5"/>
    <w:basedOn w:val="1"/>
    <w:next w:val="1"/>
    <w:unhideWhenUsed/>
    <w:qFormat/>
    <w:uiPriority w:val="39"/>
    <w:pPr>
      <w:ind w:left="800"/>
      <w:jc w:val="left"/>
    </w:pPr>
    <w:rPr>
      <w:rFonts w:ascii="Calibri" w:hAnsi="Calibri"/>
      <w:sz w:val="18"/>
      <w:szCs w:val="18"/>
    </w:rPr>
  </w:style>
  <w:style w:type="paragraph" w:styleId="17">
    <w:name w:val="toc 3"/>
    <w:basedOn w:val="1"/>
    <w:next w:val="1"/>
    <w:unhideWhenUsed/>
    <w:qFormat/>
    <w:uiPriority w:val="39"/>
    <w:pPr>
      <w:ind w:left="400"/>
      <w:jc w:val="left"/>
    </w:pPr>
    <w:rPr>
      <w:rFonts w:ascii="Calibri" w:hAnsi="Calibri"/>
      <w:i/>
      <w:iCs/>
    </w:rPr>
  </w:style>
  <w:style w:type="paragraph" w:styleId="18">
    <w:name w:val="Plain Text"/>
    <w:basedOn w:val="1"/>
    <w:qFormat/>
    <w:uiPriority w:val="0"/>
    <w:rPr>
      <w:rFonts w:hAnsi="Courier New"/>
      <w:szCs w:val="25"/>
    </w:rPr>
  </w:style>
  <w:style w:type="paragraph" w:styleId="19">
    <w:name w:val="List Bullet 5"/>
    <w:basedOn w:val="1"/>
    <w:semiHidden/>
    <w:unhideWhenUsed/>
    <w:qFormat/>
    <w:uiPriority w:val="99"/>
    <w:pPr>
      <w:numPr>
        <w:ilvl w:val="0"/>
        <w:numId w:val="1"/>
      </w:numPr>
    </w:pPr>
  </w:style>
  <w:style w:type="paragraph" w:styleId="20">
    <w:name w:val="toc 8"/>
    <w:basedOn w:val="1"/>
    <w:next w:val="1"/>
    <w:unhideWhenUsed/>
    <w:qFormat/>
    <w:uiPriority w:val="39"/>
    <w:pPr>
      <w:ind w:left="1400"/>
      <w:jc w:val="left"/>
    </w:pPr>
    <w:rPr>
      <w:rFonts w:ascii="Calibri" w:hAnsi="Calibri"/>
      <w:sz w:val="18"/>
      <w:szCs w:val="18"/>
    </w:rPr>
  </w:style>
  <w:style w:type="paragraph" w:styleId="21">
    <w:name w:val="Body Text Indent 2"/>
    <w:basedOn w:val="1"/>
    <w:qFormat/>
    <w:uiPriority w:val="99"/>
    <w:pPr>
      <w:spacing w:after="120" w:line="480" w:lineRule="auto"/>
      <w:ind w:left="420" w:leftChars="200"/>
    </w:pPr>
  </w:style>
  <w:style w:type="paragraph" w:styleId="22">
    <w:name w:val="Balloon Text"/>
    <w:basedOn w:val="1"/>
    <w:link w:val="57"/>
    <w:unhideWhenUsed/>
    <w:qFormat/>
    <w:uiPriority w:val="99"/>
    <w:rPr>
      <w:rFonts w:cs="Times New Roman"/>
      <w:sz w:val="18"/>
      <w:szCs w:val="18"/>
    </w:rPr>
  </w:style>
  <w:style w:type="paragraph" w:styleId="23">
    <w:name w:val="footer"/>
    <w:basedOn w:val="1"/>
    <w:link w:val="58"/>
    <w:unhideWhenUsed/>
    <w:qFormat/>
    <w:uiPriority w:val="99"/>
    <w:pPr>
      <w:tabs>
        <w:tab w:val="center" w:pos="4153"/>
        <w:tab w:val="right" w:pos="8306"/>
      </w:tabs>
      <w:snapToGrid w:val="0"/>
      <w:jc w:val="left"/>
    </w:pPr>
    <w:rPr>
      <w:rFonts w:cs="Times New Roman"/>
      <w:sz w:val="18"/>
      <w:szCs w:val="18"/>
    </w:rPr>
  </w:style>
  <w:style w:type="paragraph" w:styleId="24">
    <w:name w:val="header"/>
    <w:basedOn w:val="1"/>
    <w:link w:val="59"/>
    <w:unhideWhenUsed/>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25">
    <w:name w:val="toc 1"/>
    <w:basedOn w:val="1"/>
    <w:next w:val="1"/>
    <w:qFormat/>
    <w:uiPriority w:val="39"/>
    <w:pPr>
      <w:spacing w:before="120" w:after="120"/>
      <w:jc w:val="left"/>
    </w:pPr>
    <w:rPr>
      <w:rFonts w:ascii="Calibri" w:hAnsi="Calibri"/>
      <w:b/>
      <w:bCs/>
      <w:caps/>
    </w:rPr>
  </w:style>
  <w:style w:type="paragraph" w:styleId="26">
    <w:name w:val="toc 4"/>
    <w:basedOn w:val="1"/>
    <w:next w:val="1"/>
    <w:unhideWhenUsed/>
    <w:qFormat/>
    <w:uiPriority w:val="39"/>
    <w:pPr>
      <w:ind w:left="600"/>
      <w:jc w:val="left"/>
    </w:pPr>
    <w:rPr>
      <w:rFonts w:ascii="Calibri" w:hAnsi="Calibri"/>
      <w:sz w:val="18"/>
      <w:szCs w:val="18"/>
    </w:rPr>
  </w:style>
  <w:style w:type="paragraph" w:styleId="27">
    <w:name w:val="index heading"/>
    <w:basedOn w:val="1"/>
    <w:next w:val="28"/>
    <w:qFormat/>
    <w:uiPriority w:val="0"/>
    <w:rPr>
      <w:rFonts w:hint="eastAsia" w:ascii="Cambria" w:hAnsi="Cambria"/>
      <w:b/>
    </w:rPr>
  </w:style>
  <w:style w:type="paragraph" w:styleId="28">
    <w:name w:val="index 1"/>
    <w:basedOn w:val="1"/>
    <w:next w:val="1"/>
    <w:qFormat/>
    <w:uiPriority w:val="0"/>
    <w:pPr>
      <w:ind w:firstLine="0"/>
    </w:pPr>
  </w:style>
  <w:style w:type="paragraph" w:styleId="29">
    <w:name w:val="List"/>
    <w:basedOn w:val="1"/>
    <w:next w:val="1"/>
    <w:qFormat/>
    <w:uiPriority w:val="0"/>
    <w:pPr>
      <w:tabs>
        <w:tab w:val="left" w:pos="1155"/>
      </w:tabs>
      <w:spacing w:line="360" w:lineRule="exact"/>
      <w:jc w:val="center"/>
    </w:pPr>
    <w:rPr>
      <w:rFonts w:ascii="仿宋_GB2312" w:eastAsia="仿宋_GB2312"/>
      <w:sz w:val="24"/>
    </w:rPr>
  </w:style>
  <w:style w:type="paragraph" w:styleId="30">
    <w:name w:val="toc 6"/>
    <w:basedOn w:val="1"/>
    <w:next w:val="1"/>
    <w:unhideWhenUsed/>
    <w:qFormat/>
    <w:uiPriority w:val="39"/>
    <w:pPr>
      <w:ind w:left="1000"/>
      <w:jc w:val="left"/>
    </w:pPr>
    <w:rPr>
      <w:rFonts w:ascii="Calibri" w:hAnsi="Calibri"/>
      <w:sz w:val="18"/>
      <w:szCs w:val="18"/>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39"/>
    <w:pPr>
      <w:ind w:left="200"/>
      <w:jc w:val="left"/>
    </w:pPr>
    <w:rPr>
      <w:rFonts w:ascii="Calibri" w:hAnsi="Calibri"/>
      <w:smallCaps/>
    </w:rPr>
  </w:style>
  <w:style w:type="paragraph" w:styleId="33">
    <w:name w:val="toc 9"/>
    <w:basedOn w:val="1"/>
    <w:next w:val="1"/>
    <w:unhideWhenUsed/>
    <w:qFormat/>
    <w:uiPriority w:val="39"/>
    <w:pPr>
      <w:ind w:left="1600"/>
      <w:jc w:val="left"/>
    </w:pPr>
    <w:rPr>
      <w:rFonts w:ascii="Calibri" w:hAnsi="Calibri"/>
      <w:sz w:val="18"/>
      <w:szCs w:val="18"/>
    </w:rPr>
  </w:style>
  <w:style w:type="paragraph" w:styleId="34">
    <w:name w:val="Body Text 2"/>
    <w:basedOn w:val="1"/>
    <w:qFormat/>
    <w:uiPriority w:val="0"/>
    <w:pPr>
      <w:spacing w:after="120" w:line="480" w:lineRule="auto"/>
    </w:pPr>
  </w:style>
  <w:style w:type="paragraph" w:styleId="35">
    <w:name w:val="Normal (Web)"/>
    <w:basedOn w:val="1"/>
    <w:qFormat/>
    <w:uiPriority w:val="0"/>
    <w:pPr>
      <w:widowControl/>
      <w:spacing w:before="100" w:beforeLines="0" w:beforeAutospacing="1" w:after="100" w:afterLines="0" w:afterAutospacing="1"/>
      <w:jc w:val="left"/>
    </w:pPr>
    <w:rPr>
      <w:rFonts w:ascii="宋体" w:hAnsi="宋体" w:eastAsia="宋体" w:cs="Times New Roman"/>
      <w:color w:val="000000"/>
      <w:kern w:val="0"/>
      <w:sz w:val="24"/>
      <w:lang w:val="en-US"/>
    </w:rPr>
  </w:style>
  <w:style w:type="paragraph" w:styleId="36">
    <w:name w:val="annotation subject"/>
    <w:basedOn w:val="13"/>
    <w:next w:val="13"/>
    <w:semiHidden/>
    <w:qFormat/>
    <w:uiPriority w:val="0"/>
    <w:rPr>
      <w:b/>
      <w:bCs/>
    </w:rPr>
  </w:style>
  <w:style w:type="paragraph" w:styleId="37">
    <w:name w:val="Body Text First Indent"/>
    <w:basedOn w:val="11"/>
    <w:qFormat/>
    <w:uiPriority w:val="0"/>
    <w:pPr>
      <w:adjustRightInd w:val="0"/>
      <w:snapToGrid w:val="0"/>
      <w:spacing w:line="360" w:lineRule="auto"/>
      <w:ind w:firstLine="200" w:firstLineChars="200"/>
    </w:pPr>
    <w:rPr>
      <w:rFonts w:eastAsia="宋体"/>
      <w:kern w:val="2"/>
      <w:sz w:val="24"/>
      <w:lang w:val="en-US" w:eastAsia="zh-CN" w:bidi="ar-SA"/>
    </w:rPr>
  </w:style>
  <w:style w:type="paragraph" w:styleId="38">
    <w:name w:val="Body Text First Indent 2"/>
    <w:basedOn w:val="14"/>
    <w:next w:val="1"/>
    <w:qFormat/>
    <w:uiPriority w:val="0"/>
    <w:pPr>
      <w:keepNext w:val="0"/>
      <w:keepLines w:val="0"/>
      <w:widowControl w:val="0"/>
      <w:suppressLineNumbers w:val="0"/>
      <w:spacing w:before="0" w:beforeAutospacing="0" w:after="120" w:afterAutospacing="0" w:line="360" w:lineRule="auto"/>
      <w:ind w:left="420" w:leftChars="200" w:right="0" w:firstLine="420" w:firstLineChars="200"/>
      <w:jc w:val="both"/>
    </w:pPr>
    <w:rPr>
      <w:rFonts w:hint="default" w:ascii="Calibri" w:hAnsi="Calibri" w:eastAsia="宋体" w:cs="Times New Roman"/>
      <w:kern w:val="2"/>
      <w:sz w:val="24"/>
      <w:szCs w:val="24"/>
      <w:lang w:val="en-US" w:eastAsia="zh-CN" w:bidi="ar"/>
    </w:rPr>
  </w:style>
  <w:style w:type="table" w:styleId="40">
    <w:name w:val="Table Grid"/>
    <w:qFormat/>
    <w:uiPriority w:val="0"/>
    <w:pPr>
      <w:widowControl w:val="0"/>
      <w:jc w:val="both"/>
    </w:pPr>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1">
    <w:name w:val="Table Theme"/>
    <w:qFormat/>
    <w:uiPriority w:val="0"/>
    <w:pPr>
      <w:widowControl w:val="0"/>
      <w:jc w:val="both"/>
    </w:pPr>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2">
    <w:name w:val="Table Grid 5"/>
    <w:qFormat/>
    <w:uiPriority w:val="0"/>
    <w:pPr>
      <w:widowControl w:val="0"/>
      <w:jc w:val="both"/>
    </w:pPr>
    <w:rPr>
      <w:lang w:val="en-US" w:eastAsia="zh-CN" w:bidi="ar-SA"/>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43">
    <w:name w:val="Table Grid 6"/>
    <w:qFormat/>
    <w:uiPriority w:val="0"/>
    <w:pPr>
      <w:widowControl w:val="0"/>
      <w:jc w:val="both"/>
    </w:pPr>
    <w:rPr>
      <w:lang w:val="en-US" w:eastAsia="zh-CN" w:bidi="ar-SA"/>
    </w:rPr>
    <w:tblPr>
      <w:tblBorders>
        <w:top w:val="single" w:color="000000" w:sz="12" w:space="0"/>
        <w:left w:val="single" w:color="000000" w:sz="12" w:space="0"/>
        <w:bottom w:val="single" w:color="000000" w:sz="12" w:space="0"/>
        <w:right w:val="single" w:color="000000" w:sz="12" w:space="0"/>
        <w:insideH w:val="none" w:color="auto" w:sz="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character" w:styleId="45">
    <w:name w:val="Strong"/>
    <w:qFormat/>
    <w:uiPriority w:val="0"/>
    <w:rPr>
      <w:b/>
      <w:sz w:val="20"/>
    </w:rPr>
  </w:style>
  <w:style w:type="character" w:styleId="46">
    <w:name w:val="page number"/>
    <w:basedOn w:val="44"/>
    <w:qFormat/>
    <w:uiPriority w:val="0"/>
    <w:rPr>
      <w:sz w:val="20"/>
    </w:rPr>
  </w:style>
  <w:style w:type="character" w:styleId="47">
    <w:name w:val="FollowedHyperlink"/>
    <w:qFormat/>
    <w:uiPriority w:val="0"/>
    <w:rPr>
      <w:color w:val="800080"/>
      <w:sz w:val="20"/>
      <w:u w:val="single"/>
    </w:rPr>
  </w:style>
  <w:style w:type="character" w:styleId="48">
    <w:name w:val="Emphasis"/>
    <w:qFormat/>
    <w:uiPriority w:val="0"/>
    <w:rPr>
      <w:i/>
      <w:sz w:val="21"/>
    </w:rPr>
  </w:style>
  <w:style w:type="character" w:styleId="49">
    <w:name w:val="Hyperlink"/>
    <w:qFormat/>
    <w:uiPriority w:val="99"/>
    <w:rPr>
      <w:color w:val="0000FF"/>
      <w:sz w:val="20"/>
      <w:u w:val="single"/>
    </w:rPr>
  </w:style>
  <w:style w:type="character" w:styleId="50">
    <w:name w:val="annotation reference"/>
    <w:qFormat/>
    <w:uiPriority w:val="0"/>
    <w:rPr>
      <w:sz w:val="20"/>
    </w:rPr>
  </w:style>
  <w:style w:type="paragraph" w:customStyle="1" w:styleId="51">
    <w:name w:val="Default"/>
    <w:basedOn w:val="52"/>
    <w:qFormat/>
    <w:uiPriority w:val="0"/>
    <w:pPr>
      <w:widowControl w:val="0"/>
      <w:autoSpaceDE w:val="0"/>
      <w:autoSpaceDN w:val="0"/>
      <w:adjustRightInd w:val="0"/>
    </w:pPr>
    <w:rPr>
      <w:rFonts w:hAnsi="Times New Roman"/>
      <w:color w:val="000000"/>
      <w:sz w:val="24"/>
      <w:szCs w:val="24"/>
      <w:lang w:val="en-US" w:eastAsia="zh-CN" w:bidi="ar-SA"/>
    </w:rPr>
  </w:style>
  <w:style w:type="paragraph" w:customStyle="1" w:styleId="52">
    <w:name w:val="A-表格文字"/>
    <w:basedOn w:val="1"/>
    <w:next w:val="1"/>
    <w:autoRedefine/>
    <w:qFormat/>
    <w:uiPriority w:val="0"/>
    <w:pPr>
      <w:autoSpaceDE w:val="0"/>
      <w:autoSpaceDN w:val="0"/>
      <w:adjustRightInd w:val="0"/>
      <w:jc w:val="center"/>
      <w:textAlignment w:val="center"/>
    </w:pPr>
    <w:rPr>
      <w:rFonts w:ascii="Times New Roman" w:hAnsi="Times New Roman"/>
      <w:kern w:val="0"/>
      <w:szCs w:val="21"/>
    </w:rPr>
  </w:style>
  <w:style w:type="paragraph" w:customStyle="1" w:styleId="53">
    <w:name w:val="默认段落"/>
    <w:basedOn w:val="1"/>
    <w:autoRedefine/>
    <w:qFormat/>
    <w:uiPriority w:val="0"/>
  </w:style>
  <w:style w:type="character" w:customStyle="1" w:styleId="54">
    <w:name w:val="标题 2 字符1"/>
    <w:link w:val="3"/>
    <w:qFormat/>
    <w:uiPriority w:val="0"/>
    <w:rPr>
      <w:b/>
      <w:sz w:val="20"/>
    </w:rPr>
  </w:style>
  <w:style w:type="character" w:customStyle="1" w:styleId="55">
    <w:name w:val="标题 3 字符1"/>
    <w:link w:val="4"/>
    <w:qFormat/>
    <w:uiPriority w:val="0"/>
    <w:rPr>
      <w:b/>
      <w:sz w:val="20"/>
    </w:rPr>
  </w:style>
  <w:style w:type="character" w:customStyle="1" w:styleId="56">
    <w:name w:val="文档结构图 字符"/>
    <w:link w:val="12"/>
    <w:semiHidden/>
    <w:qFormat/>
    <w:uiPriority w:val="99"/>
    <w:rPr>
      <w:rFonts w:eastAsia="宋体"/>
      <w:sz w:val="18"/>
      <w:szCs w:val="18"/>
    </w:rPr>
  </w:style>
  <w:style w:type="character" w:customStyle="1" w:styleId="57">
    <w:name w:val="批注框文本 字符"/>
    <w:link w:val="22"/>
    <w:semiHidden/>
    <w:qFormat/>
    <w:uiPriority w:val="99"/>
    <w:rPr>
      <w:sz w:val="18"/>
      <w:szCs w:val="18"/>
    </w:rPr>
  </w:style>
  <w:style w:type="character" w:customStyle="1" w:styleId="58">
    <w:name w:val="页脚 字符1"/>
    <w:link w:val="23"/>
    <w:qFormat/>
    <w:uiPriority w:val="99"/>
    <w:rPr>
      <w:sz w:val="18"/>
      <w:szCs w:val="18"/>
    </w:rPr>
  </w:style>
  <w:style w:type="character" w:customStyle="1" w:styleId="59">
    <w:name w:val="页眉 字符1"/>
    <w:link w:val="24"/>
    <w:qFormat/>
    <w:uiPriority w:val="99"/>
    <w:rPr>
      <w:sz w:val="18"/>
      <w:szCs w:val="18"/>
    </w:rPr>
  </w:style>
  <w:style w:type="paragraph" w:customStyle="1" w:styleId="60">
    <w:name w:val="样式 标题 3 + 首行缩进:  2 字符"/>
    <w:basedOn w:val="4"/>
    <w:qFormat/>
    <w:uiPriority w:val="0"/>
    <w:pPr>
      <w:spacing w:before="0" w:beforeLines="0" w:after="0" w:afterLines="0" w:line="480" w:lineRule="exact"/>
      <w:jc w:val="left"/>
    </w:pPr>
    <w:rPr>
      <w:rFonts w:eastAsia="宋体"/>
      <w:sz w:val="28"/>
      <w:szCs w:val="28"/>
      <w:lang w:bidi="ar-DZ"/>
    </w:rPr>
  </w:style>
  <w:style w:type="character" w:customStyle="1" w:styleId="61">
    <w:name w:val="16"/>
    <w:qFormat/>
    <w:uiPriority w:val="0"/>
    <w:rPr>
      <w:color w:val="000000"/>
      <w:sz w:val="20"/>
      <w:vertAlign w:val="superscript"/>
    </w:rPr>
  </w:style>
  <w:style w:type="character" w:customStyle="1" w:styleId="62">
    <w:name w:val="表格标题 Char"/>
    <w:qFormat/>
    <w:uiPriority w:val="0"/>
    <w:rPr>
      <w:b/>
      <w:sz w:val="20"/>
    </w:rPr>
  </w:style>
  <w:style w:type="character" w:customStyle="1" w:styleId="63">
    <w:name w:val="纯文本 字符"/>
    <w:qFormat/>
    <w:uiPriority w:val="0"/>
    <w:rPr>
      <w:sz w:val="20"/>
    </w:rPr>
  </w:style>
  <w:style w:type="character" w:customStyle="1" w:styleId="64">
    <w:name w:val="Char Char13"/>
    <w:qFormat/>
    <w:uiPriority w:val="0"/>
    <w:rPr>
      <w:b/>
      <w:sz w:val="20"/>
    </w:rPr>
  </w:style>
  <w:style w:type="character" w:customStyle="1" w:styleId="65">
    <w:name w:val="1正文段落 Char"/>
    <w:qFormat/>
    <w:uiPriority w:val="0"/>
    <w:rPr>
      <w:sz w:val="20"/>
    </w:rPr>
  </w:style>
  <w:style w:type="character" w:customStyle="1" w:styleId="66">
    <w:name w:val="书籍标题"/>
    <w:qFormat/>
    <w:uiPriority w:val="0"/>
    <w:rPr>
      <w:b/>
      <w:i/>
      <w:sz w:val="21"/>
    </w:rPr>
  </w:style>
  <w:style w:type="character" w:customStyle="1" w:styleId="67">
    <w:name w:val="Char Char8"/>
    <w:qFormat/>
    <w:uiPriority w:val="0"/>
    <w:rPr>
      <w:sz w:val="20"/>
    </w:rPr>
  </w:style>
  <w:style w:type="character" w:customStyle="1" w:styleId="68">
    <w:name w:val="批注主题 字符"/>
    <w:qFormat/>
    <w:uiPriority w:val="0"/>
    <w:rPr>
      <w:b/>
      <w:sz w:val="20"/>
    </w:rPr>
  </w:style>
  <w:style w:type="character" w:customStyle="1" w:styleId="69">
    <w:name w:val="表头标题 Char"/>
    <w:qFormat/>
    <w:uiPriority w:val="0"/>
    <w:rPr>
      <w:color w:val="FF0000"/>
      <w:sz w:val="20"/>
    </w:rPr>
  </w:style>
  <w:style w:type="character" w:customStyle="1" w:styleId="70">
    <w:name w:val="正文文本缩进 字符1"/>
    <w:qFormat/>
    <w:uiPriority w:val="0"/>
    <w:rPr>
      <w:sz w:val="20"/>
    </w:rPr>
  </w:style>
  <w:style w:type="character" w:customStyle="1" w:styleId="71">
    <w:name w:val="标题 2 字符"/>
    <w:qFormat/>
    <w:uiPriority w:val="0"/>
    <w:rPr>
      <w:b/>
      <w:sz w:val="20"/>
    </w:rPr>
  </w:style>
  <w:style w:type="character" w:customStyle="1" w:styleId="72">
    <w:name w:val="正文文本 + 11.5 pt"/>
    <w:qFormat/>
    <w:uiPriority w:val="0"/>
    <w:rPr>
      <w:b/>
      <w:sz w:val="20"/>
      <w:u w:val="none"/>
    </w:rPr>
  </w:style>
  <w:style w:type="character" w:customStyle="1" w:styleId="73">
    <w:name w:val="正文首行缩进 字符"/>
    <w:qFormat/>
    <w:uiPriority w:val="0"/>
    <w:rPr>
      <w:sz w:val="20"/>
    </w:rPr>
  </w:style>
  <w:style w:type="character" w:customStyle="1" w:styleId="74">
    <w:name w:val="明显强调"/>
    <w:qFormat/>
    <w:uiPriority w:val="0"/>
    <w:rPr>
      <w:i/>
      <w:color w:val="auto"/>
      <w:sz w:val="21"/>
    </w:rPr>
  </w:style>
  <w:style w:type="character" w:customStyle="1" w:styleId="75">
    <w:name w:val="标题 3 字符"/>
    <w:qFormat/>
    <w:uiPriority w:val="0"/>
    <w:rPr>
      <w:b/>
      <w:sz w:val="20"/>
    </w:rPr>
  </w:style>
  <w:style w:type="character" w:customStyle="1" w:styleId="76">
    <w:name w:val="Char Char16"/>
    <w:qFormat/>
    <w:uiPriority w:val="0"/>
    <w:rPr>
      <w:b/>
      <w:sz w:val="20"/>
    </w:rPr>
  </w:style>
  <w:style w:type="character" w:customStyle="1" w:styleId="77">
    <w:name w:val="正文(首行缩进) Char"/>
    <w:qFormat/>
    <w:uiPriority w:val="0"/>
    <w:rPr>
      <w:color w:val="000000"/>
      <w:sz w:val="20"/>
    </w:rPr>
  </w:style>
  <w:style w:type="character" w:customStyle="1" w:styleId="78">
    <w:name w:val="正文123 Char"/>
    <w:qFormat/>
    <w:uiPriority w:val="0"/>
    <w:rPr>
      <w:sz w:val="20"/>
    </w:rPr>
  </w:style>
  <w:style w:type="character" w:customStyle="1" w:styleId="79">
    <w:name w:val="表头 Char2"/>
    <w:qFormat/>
    <w:uiPriority w:val="0"/>
    <w:rPr>
      <w:b/>
      <w:sz w:val="20"/>
    </w:rPr>
  </w:style>
  <w:style w:type="character" w:customStyle="1" w:styleId="80">
    <w:name w:val="表格 Char"/>
    <w:qFormat/>
    <w:uiPriority w:val="0"/>
    <w:rPr>
      <w:sz w:val="20"/>
    </w:rPr>
  </w:style>
  <w:style w:type="character" w:customStyle="1" w:styleId="81">
    <w:name w:val="正文文本 Char"/>
    <w:qFormat/>
    <w:uiPriority w:val="0"/>
    <w:rPr>
      <w:sz w:val="20"/>
    </w:rPr>
  </w:style>
  <w:style w:type="character" w:customStyle="1" w:styleId="82">
    <w:name w:val="正文文本_"/>
    <w:qFormat/>
    <w:uiPriority w:val="0"/>
    <w:rPr>
      <w:sz w:val="20"/>
      <w:u w:val="none"/>
    </w:rPr>
  </w:style>
  <w:style w:type="character" w:customStyle="1" w:styleId="83">
    <w:name w:val="页眉 字符"/>
    <w:qFormat/>
    <w:uiPriority w:val="0"/>
    <w:rPr>
      <w:sz w:val="20"/>
    </w:rPr>
  </w:style>
  <w:style w:type="character" w:customStyle="1" w:styleId="84">
    <w:name w:val="highlight1"/>
    <w:qFormat/>
    <w:uiPriority w:val="0"/>
    <w:rPr>
      <w:sz w:val="20"/>
    </w:rPr>
  </w:style>
  <w:style w:type="character" w:customStyle="1" w:styleId="85">
    <w:name w:val="表、图名 Char"/>
    <w:qFormat/>
    <w:uiPriority w:val="0"/>
    <w:rPr>
      <w:b/>
      <w:sz w:val="20"/>
    </w:rPr>
  </w:style>
  <w:style w:type="character" w:customStyle="1" w:styleId="86">
    <w:name w:val="t_tag"/>
    <w:qFormat/>
    <w:uiPriority w:val="0"/>
    <w:rPr>
      <w:sz w:val="20"/>
    </w:rPr>
  </w:style>
  <w:style w:type="character" w:customStyle="1" w:styleId="87">
    <w:name w:val="标题 2 字符2"/>
    <w:qFormat/>
    <w:uiPriority w:val="0"/>
    <w:rPr>
      <w:b/>
      <w:sz w:val="20"/>
    </w:rPr>
  </w:style>
  <w:style w:type="character" w:customStyle="1" w:styleId="88">
    <w:name w:val="正 Char"/>
    <w:qFormat/>
    <w:uiPriority w:val="0"/>
    <w:rPr>
      <w:sz w:val="20"/>
    </w:rPr>
  </w:style>
  <w:style w:type="character" w:customStyle="1" w:styleId="89">
    <w:name w:val="17"/>
    <w:qFormat/>
    <w:uiPriority w:val="0"/>
    <w:rPr>
      <w:color w:val="000000"/>
      <w:sz w:val="20"/>
    </w:rPr>
  </w:style>
  <w:style w:type="character" w:customStyle="1" w:styleId="90">
    <w:name w:val="书籍标题1"/>
    <w:qFormat/>
    <w:uiPriority w:val="0"/>
    <w:rPr>
      <w:b/>
      <w:sz w:val="20"/>
    </w:rPr>
  </w:style>
  <w:style w:type="character" w:customStyle="1" w:styleId="91">
    <w:name w:val="Char Char12"/>
    <w:qFormat/>
    <w:uiPriority w:val="0"/>
    <w:rPr>
      <w:b/>
      <w:sz w:val="20"/>
    </w:rPr>
  </w:style>
  <w:style w:type="character" w:customStyle="1" w:styleId="92">
    <w:name w:val="content1"/>
    <w:qFormat/>
    <w:uiPriority w:val="0"/>
    <w:rPr>
      <w:sz w:val="20"/>
    </w:rPr>
  </w:style>
  <w:style w:type="character" w:customStyle="1" w:styleId="93">
    <w:name w:val="段 Char"/>
    <w:qFormat/>
    <w:uiPriority w:val="0"/>
    <w:rPr>
      <w:sz w:val="20"/>
    </w:rPr>
  </w:style>
  <w:style w:type="character" w:customStyle="1" w:styleId="94">
    <w:name w:val="正文文本缩进 字符"/>
    <w:qFormat/>
    <w:uiPriority w:val="0"/>
    <w:rPr>
      <w:sz w:val="20"/>
    </w:rPr>
  </w:style>
  <w:style w:type="character" w:customStyle="1" w:styleId="95">
    <w:name w:val="正文文本缩进 3 字符"/>
    <w:qFormat/>
    <w:uiPriority w:val="0"/>
    <w:rPr>
      <w:sz w:val="20"/>
    </w:rPr>
  </w:style>
  <w:style w:type="character" w:customStyle="1" w:styleId="96">
    <w:name w:val="font71"/>
    <w:qFormat/>
    <w:uiPriority w:val="0"/>
    <w:rPr>
      <w:sz w:val="20"/>
      <w:u w:val="none"/>
    </w:rPr>
  </w:style>
  <w:style w:type="character" w:customStyle="1" w:styleId="97">
    <w:name w:val="标题 3 Char Char1"/>
    <w:qFormat/>
    <w:uiPriority w:val="0"/>
    <w:rPr>
      <w:b/>
      <w:sz w:val="20"/>
    </w:rPr>
  </w:style>
  <w:style w:type="character" w:customStyle="1" w:styleId="98">
    <w:name w:val="标题 #4_"/>
    <w:qFormat/>
    <w:uiPriority w:val="0"/>
    <w:rPr>
      <w:sz w:val="20"/>
    </w:rPr>
  </w:style>
  <w:style w:type="character" w:customStyle="1" w:styleId="99">
    <w:name w:val="正文文本 + 粗体5"/>
    <w:qFormat/>
    <w:uiPriority w:val="0"/>
    <w:rPr>
      <w:b/>
      <w:sz w:val="20"/>
    </w:rPr>
  </w:style>
  <w:style w:type="character" w:customStyle="1" w:styleId="100">
    <w:name w:val="style171"/>
    <w:qFormat/>
    <w:uiPriority w:val="0"/>
    <w:rPr>
      <w:sz w:val="20"/>
    </w:rPr>
  </w:style>
  <w:style w:type="character" w:customStyle="1" w:styleId="101">
    <w:name w:val="headline-content"/>
    <w:qFormat/>
    <w:uiPriority w:val="0"/>
    <w:rPr>
      <w:sz w:val="20"/>
    </w:rPr>
  </w:style>
  <w:style w:type="character" w:customStyle="1" w:styleId="102">
    <w:name w:val="段落1 Char1"/>
    <w:qFormat/>
    <w:uiPriority w:val="0"/>
    <w:rPr>
      <w:color w:val="000000"/>
      <w:sz w:val="20"/>
    </w:rPr>
  </w:style>
  <w:style w:type="character" w:customStyle="1" w:styleId="103">
    <w:name w:val="样式 样式 报告正文 + 宋体 五号 黑色 + 五号 Char"/>
    <w:qFormat/>
    <w:uiPriority w:val="0"/>
    <w:rPr>
      <w:b/>
      <w:color w:val="000000"/>
      <w:sz w:val="20"/>
    </w:rPr>
  </w:style>
  <w:style w:type="character" w:customStyle="1" w:styleId="104">
    <w:name w:val="font81"/>
    <w:qFormat/>
    <w:uiPriority w:val="0"/>
    <w:rPr>
      <w:sz w:val="20"/>
      <w:u w:val="none"/>
    </w:rPr>
  </w:style>
  <w:style w:type="character" w:customStyle="1" w:styleId="105">
    <w:name w:val="正文文本 3 字符"/>
    <w:qFormat/>
    <w:uiPriority w:val="0"/>
    <w:rPr>
      <w:color w:val="000000"/>
      <w:sz w:val="20"/>
    </w:rPr>
  </w:style>
  <w:style w:type="character" w:customStyle="1" w:styleId="106">
    <w:name w:val="正文文本缩进 Char1"/>
    <w:semiHidden/>
    <w:qFormat/>
    <w:uiPriority w:val="0"/>
    <w:rPr>
      <w:sz w:val="20"/>
    </w:rPr>
  </w:style>
  <w:style w:type="character" w:customStyle="1" w:styleId="107">
    <w:name w:val="L4 Char Char Char Char1"/>
    <w:qFormat/>
    <w:uiPriority w:val="0"/>
    <w:rPr>
      <w:b/>
      <w:sz w:val="20"/>
    </w:rPr>
  </w:style>
  <w:style w:type="character" w:customStyle="1" w:styleId="108">
    <w:name w:val="样式 样式 样式 首行缩进:  2 字符 + 居中 + 行距: 固定值 17 磅 Char"/>
    <w:qFormat/>
    <w:uiPriority w:val="0"/>
    <w:rPr>
      <w:color w:val="000000"/>
      <w:sz w:val="20"/>
    </w:rPr>
  </w:style>
  <w:style w:type="character" w:customStyle="1" w:styleId="109">
    <w:name w:val="标题 4 字符"/>
    <w:qFormat/>
    <w:uiPriority w:val="0"/>
    <w:rPr>
      <w:b/>
      <w:sz w:val="20"/>
    </w:rPr>
  </w:style>
  <w:style w:type="character" w:customStyle="1" w:styleId="110">
    <w:name w:val="页脚 字符"/>
    <w:qFormat/>
    <w:uiPriority w:val="0"/>
    <w:rPr>
      <w:sz w:val="20"/>
    </w:rPr>
  </w:style>
  <w:style w:type="character" w:customStyle="1" w:styleId="111">
    <w:name w:val="批注文字 字符"/>
    <w:qFormat/>
    <w:uiPriority w:val="0"/>
    <w:rPr>
      <w:sz w:val="20"/>
    </w:rPr>
  </w:style>
  <w:style w:type="character" w:customStyle="1" w:styleId="112">
    <w:name w:val="正文2 Char Char1"/>
    <w:qFormat/>
    <w:uiPriority w:val="0"/>
    <w:rPr>
      <w:sz w:val="20"/>
    </w:rPr>
  </w:style>
  <w:style w:type="character" w:customStyle="1" w:styleId="113">
    <w:name w:val="缩进 Char"/>
    <w:link w:val="114"/>
    <w:qFormat/>
    <w:uiPriority w:val="0"/>
    <w:rPr>
      <w:sz w:val="20"/>
    </w:rPr>
  </w:style>
  <w:style w:type="paragraph" w:customStyle="1" w:styleId="114">
    <w:name w:val="缩进"/>
    <w:basedOn w:val="1"/>
    <w:link w:val="113"/>
    <w:qFormat/>
    <w:uiPriority w:val="0"/>
    <w:pPr>
      <w:spacing w:line="360" w:lineRule="auto"/>
      <w:ind w:firstLine="200" w:firstLineChars="200"/>
    </w:pPr>
    <w:rPr>
      <w:rFonts w:ascii="Times New Roman" w:hAnsi="Times New Roman" w:eastAsia="Times New Roman"/>
    </w:rPr>
  </w:style>
  <w:style w:type="character" w:customStyle="1" w:styleId="115">
    <w:name w:val="fontstyle11"/>
    <w:qFormat/>
    <w:uiPriority w:val="0"/>
    <w:rPr>
      <w:color w:val="000000"/>
      <w:sz w:val="20"/>
    </w:rPr>
  </w:style>
  <w:style w:type="character" w:customStyle="1" w:styleId="116">
    <w:name w:val="style231"/>
    <w:qFormat/>
    <w:uiPriority w:val="0"/>
    <w:rPr>
      <w:b/>
      <w:color w:val="FF6500"/>
      <w:sz w:val="20"/>
    </w:rPr>
  </w:style>
  <w:style w:type="character" w:customStyle="1" w:styleId="117">
    <w:name w:val="样式1 Char"/>
    <w:qFormat/>
    <w:uiPriority w:val="0"/>
    <w:rPr>
      <w:sz w:val="20"/>
    </w:rPr>
  </w:style>
  <w:style w:type="character" w:customStyle="1" w:styleId="118">
    <w:name w:val="标题 字符"/>
    <w:qFormat/>
    <w:uiPriority w:val="0"/>
    <w:rPr>
      <w:b/>
      <w:sz w:val="20"/>
    </w:rPr>
  </w:style>
  <w:style w:type="character" w:customStyle="1" w:styleId="119">
    <w:name w:val="标题 2 Char"/>
    <w:qFormat/>
    <w:uiPriority w:val="0"/>
    <w:rPr>
      <w:b/>
      <w:sz w:val="20"/>
    </w:rPr>
  </w:style>
  <w:style w:type="character" w:customStyle="1" w:styleId="120">
    <w:name w:val="style181"/>
    <w:qFormat/>
    <w:uiPriority w:val="0"/>
    <w:rPr>
      <w:color w:val="666666"/>
      <w:sz w:val="20"/>
    </w:rPr>
  </w:style>
  <w:style w:type="character" w:customStyle="1" w:styleId="121">
    <w:name w:val="正文文本缩进 2 字符"/>
    <w:qFormat/>
    <w:uiPriority w:val="0"/>
    <w:rPr>
      <w:sz w:val="20"/>
    </w:rPr>
  </w:style>
  <w:style w:type="character" w:customStyle="1" w:styleId="122">
    <w:name w:val="标题4 Char"/>
    <w:qFormat/>
    <w:uiPriority w:val="0"/>
    <w:rPr>
      <w:sz w:val="20"/>
    </w:rPr>
  </w:style>
  <w:style w:type="character" w:customStyle="1" w:styleId="123">
    <w:name w:val="18"/>
    <w:qFormat/>
    <w:uiPriority w:val="0"/>
    <w:rPr>
      <w:color w:val="000000"/>
      <w:sz w:val="20"/>
    </w:rPr>
  </w:style>
  <w:style w:type="character" w:customStyle="1" w:styleId="124">
    <w:name w:val="页脚 Char3"/>
    <w:qFormat/>
    <w:uiPriority w:val="0"/>
    <w:rPr>
      <w:sz w:val="20"/>
    </w:rPr>
  </w:style>
  <w:style w:type="character" w:customStyle="1" w:styleId="125">
    <w:name w:val="fontstyle21"/>
    <w:qFormat/>
    <w:uiPriority w:val="0"/>
    <w:rPr>
      <w:color w:val="000000"/>
      <w:sz w:val="20"/>
    </w:rPr>
  </w:style>
  <w:style w:type="character" w:customStyle="1" w:styleId="126">
    <w:name w:val="表体 Char"/>
    <w:qFormat/>
    <w:uiPriority w:val="0"/>
    <w:rPr>
      <w:color w:val="000000"/>
      <w:sz w:val="20"/>
    </w:rPr>
  </w:style>
  <w:style w:type="character" w:customStyle="1" w:styleId="127">
    <w:name w:val="3 Char1"/>
    <w:qFormat/>
    <w:uiPriority w:val="0"/>
    <w:rPr>
      <w:b/>
      <w:sz w:val="20"/>
    </w:rPr>
  </w:style>
  <w:style w:type="character" w:customStyle="1" w:styleId="128">
    <w:name w:val="正文（首行缩进两字） Char Char Char"/>
    <w:qFormat/>
    <w:uiPriority w:val="0"/>
    <w:rPr>
      <w:color w:val="000000"/>
      <w:sz w:val="20"/>
    </w:rPr>
  </w:style>
  <w:style w:type="character" w:customStyle="1" w:styleId="129">
    <w:name w:val="Char Char9"/>
    <w:qFormat/>
    <w:uiPriority w:val="0"/>
    <w:rPr>
      <w:sz w:val="20"/>
    </w:rPr>
  </w:style>
  <w:style w:type="character" w:customStyle="1" w:styleId="130">
    <w:name w:val="Char Char1"/>
    <w:semiHidden/>
    <w:qFormat/>
    <w:uiPriority w:val="0"/>
    <w:rPr>
      <w:b/>
      <w:sz w:val="20"/>
    </w:rPr>
  </w:style>
  <w:style w:type="character" w:customStyle="1" w:styleId="131">
    <w:name w:val="报告正文 Char Char"/>
    <w:qFormat/>
    <w:uiPriority w:val="0"/>
    <w:rPr>
      <w:sz w:val="20"/>
    </w:rPr>
  </w:style>
  <w:style w:type="character" w:customStyle="1" w:styleId="132">
    <w:name w:val="font31"/>
    <w:qFormat/>
    <w:uiPriority w:val="0"/>
    <w:rPr>
      <w:b/>
      <w:color w:val="000000"/>
      <w:sz w:val="20"/>
      <w:u w:val="none"/>
    </w:rPr>
  </w:style>
  <w:style w:type="character" w:customStyle="1" w:styleId="133">
    <w:name w:val="Char Char3"/>
    <w:qFormat/>
    <w:uiPriority w:val="0"/>
    <w:rPr>
      <w:sz w:val="20"/>
    </w:rPr>
  </w:style>
  <w:style w:type="character" w:customStyle="1" w:styleId="134">
    <w:name w:val="标题 1 字符"/>
    <w:qFormat/>
    <w:uiPriority w:val="0"/>
    <w:rPr>
      <w:b/>
      <w:sz w:val="20"/>
    </w:rPr>
  </w:style>
  <w:style w:type="character" w:customStyle="1" w:styleId="135">
    <w:name w:val="_正文格式 Char"/>
    <w:qFormat/>
    <w:uiPriority w:val="0"/>
    <w:rPr>
      <w:sz w:val="20"/>
    </w:rPr>
  </w:style>
  <w:style w:type="character" w:customStyle="1" w:styleId="136">
    <w:name w:val="样式 首行缩进:  2 字符 Char Char"/>
    <w:qFormat/>
    <w:uiPriority w:val="0"/>
    <w:rPr>
      <w:sz w:val="20"/>
    </w:rPr>
  </w:style>
  <w:style w:type="character" w:customStyle="1" w:styleId="137">
    <w:name w:val="zhiwen"/>
    <w:qFormat/>
    <w:uiPriority w:val="0"/>
    <w:rPr>
      <w:sz w:val="20"/>
    </w:rPr>
  </w:style>
  <w:style w:type="character" w:customStyle="1" w:styleId="138">
    <w:name w:val="Char Char6"/>
    <w:qFormat/>
    <w:uiPriority w:val="0"/>
    <w:rPr>
      <w:sz w:val="20"/>
    </w:rPr>
  </w:style>
  <w:style w:type="character" w:customStyle="1" w:styleId="139">
    <w:name w:val="headline-content2"/>
    <w:qFormat/>
    <w:uiPriority w:val="0"/>
    <w:rPr>
      <w:sz w:val="20"/>
    </w:rPr>
  </w:style>
  <w:style w:type="character" w:customStyle="1" w:styleId="140">
    <w:name w:val="正文小四缩 Char"/>
    <w:qFormat/>
    <w:uiPriority w:val="0"/>
    <w:rPr>
      <w:sz w:val="20"/>
    </w:rPr>
  </w:style>
  <w:style w:type="character" w:customStyle="1" w:styleId="141">
    <w:name w:val="正文(首行缩进) Char1"/>
    <w:qFormat/>
    <w:uiPriority w:val="0"/>
    <w:rPr>
      <w:color w:val="000000"/>
      <w:sz w:val="20"/>
    </w:rPr>
  </w:style>
  <w:style w:type="character" w:customStyle="1" w:styleId="142">
    <w:name w:val="表 Char"/>
    <w:qFormat/>
    <w:uiPriority w:val="0"/>
    <w:rPr>
      <w:sz w:val="20"/>
    </w:rPr>
  </w:style>
  <w:style w:type="character" w:customStyle="1" w:styleId="143">
    <w:name w:val="正文文本缩进 Char"/>
    <w:qFormat/>
    <w:uiPriority w:val="0"/>
    <w:rPr>
      <w:sz w:val="20"/>
    </w:rPr>
  </w:style>
  <w:style w:type="character" w:customStyle="1" w:styleId="144">
    <w:name w:val="不明显强调"/>
    <w:qFormat/>
    <w:uiPriority w:val="0"/>
    <w:rPr>
      <w:i/>
      <w:color w:val="auto"/>
      <w:sz w:val="21"/>
    </w:rPr>
  </w:style>
  <w:style w:type="character" w:customStyle="1" w:styleId="145">
    <w:name w:val="标题 2 Char1"/>
    <w:semiHidden/>
    <w:qFormat/>
    <w:uiPriority w:val="9"/>
    <w:rPr>
      <w:rFonts w:ascii="Cambria" w:hAnsi="Cambria" w:eastAsia="宋体" w:cs="Times New Roman"/>
      <w:b/>
      <w:bCs/>
      <w:sz w:val="32"/>
      <w:szCs w:val="32"/>
    </w:rPr>
  </w:style>
  <w:style w:type="character" w:customStyle="1" w:styleId="146">
    <w:name w:val="报告正文小四 Char"/>
    <w:qFormat/>
    <w:uiPriority w:val="0"/>
    <w:rPr>
      <w:sz w:val="20"/>
    </w:rPr>
  </w:style>
  <w:style w:type="character" w:customStyle="1" w:styleId="147">
    <w:name w:val="textbig1"/>
    <w:qFormat/>
    <w:uiPriority w:val="0"/>
    <w:rPr>
      <w:sz w:val="20"/>
    </w:rPr>
  </w:style>
  <w:style w:type="character" w:customStyle="1" w:styleId="148">
    <w:name w:val="样式3 Char"/>
    <w:qFormat/>
    <w:uiPriority w:val="0"/>
    <w:rPr>
      <w:sz w:val="20"/>
    </w:rPr>
  </w:style>
  <w:style w:type="character" w:customStyle="1" w:styleId="149">
    <w:name w:val="text_edit"/>
    <w:qFormat/>
    <w:uiPriority w:val="0"/>
    <w:rPr>
      <w:sz w:val="20"/>
    </w:rPr>
  </w:style>
  <w:style w:type="character" w:customStyle="1" w:styleId="150">
    <w:name w:val="不明显参考"/>
    <w:qFormat/>
    <w:uiPriority w:val="0"/>
    <w:rPr>
      <w:color w:val="auto"/>
      <w:sz w:val="21"/>
    </w:rPr>
  </w:style>
  <w:style w:type="character" w:customStyle="1" w:styleId="151">
    <w:name w:val="s4 Char Char"/>
    <w:qFormat/>
    <w:uiPriority w:val="0"/>
    <w:rPr>
      <w:sz w:val="20"/>
    </w:rPr>
  </w:style>
  <w:style w:type="character" w:customStyle="1" w:styleId="152">
    <w:name w:val="正文缩进 Char"/>
    <w:qFormat/>
    <w:uiPriority w:val="0"/>
    <w:rPr>
      <w:sz w:val="20"/>
    </w:rPr>
  </w:style>
  <w:style w:type="character" w:customStyle="1" w:styleId="153">
    <w:name w:val="标题 3 Char"/>
    <w:qFormat/>
    <w:uiPriority w:val="0"/>
    <w:rPr>
      <w:b/>
      <w:sz w:val="20"/>
    </w:rPr>
  </w:style>
  <w:style w:type="character" w:customStyle="1" w:styleId="154">
    <w:name w:val="正文文本 字符"/>
    <w:qFormat/>
    <w:uiPriority w:val="0"/>
    <w:rPr>
      <w:sz w:val="20"/>
    </w:rPr>
  </w:style>
  <w:style w:type="character" w:customStyle="1" w:styleId="155">
    <w:name w:val="正文文本 + 粗体"/>
    <w:qFormat/>
    <w:uiPriority w:val="0"/>
    <w:rPr>
      <w:b/>
      <w:sz w:val="20"/>
    </w:rPr>
  </w:style>
  <w:style w:type="character" w:customStyle="1" w:styleId="156">
    <w:name w:val="正文（首行缩进两字） Char Char Char1"/>
    <w:qFormat/>
    <w:uiPriority w:val="0"/>
    <w:rPr>
      <w:sz w:val="20"/>
    </w:rPr>
  </w:style>
  <w:style w:type="character" w:customStyle="1" w:styleId="157">
    <w:name w:val="正文文本 2 字符"/>
    <w:qFormat/>
    <w:uiPriority w:val="0"/>
    <w:rPr>
      <w:sz w:val="20"/>
    </w:rPr>
  </w:style>
  <w:style w:type="character" w:customStyle="1" w:styleId="158">
    <w:name w:val="正文文本 + Batang"/>
    <w:qFormat/>
    <w:uiPriority w:val="0"/>
    <w:rPr>
      <w:sz w:val="20"/>
      <w:u w:val="none"/>
    </w:rPr>
  </w:style>
  <w:style w:type="character" w:customStyle="1" w:styleId="159">
    <w:name w:val="Char Char15"/>
    <w:qFormat/>
    <w:uiPriority w:val="0"/>
    <w:rPr>
      <w:b/>
      <w:sz w:val="20"/>
    </w:rPr>
  </w:style>
  <w:style w:type="character" w:customStyle="1" w:styleId="160">
    <w:name w:val="正文缩进 字符"/>
    <w:qFormat/>
    <w:uiPriority w:val="0"/>
    <w:rPr>
      <w:sz w:val="20"/>
    </w:rPr>
  </w:style>
  <w:style w:type="character" w:customStyle="1" w:styleId="161">
    <w:name w:val="标题 3 字符2"/>
    <w:qFormat/>
    <w:uiPriority w:val="0"/>
    <w:rPr>
      <w:b/>
      <w:sz w:val="20"/>
    </w:rPr>
  </w:style>
  <w:style w:type="character" w:customStyle="1" w:styleId="162">
    <w:name w:val="标题 1 Char1"/>
    <w:qFormat/>
    <w:uiPriority w:val="0"/>
    <w:rPr>
      <w:b/>
      <w:sz w:val="20"/>
    </w:rPr>
  </w:style>
  <w:style w:type="character" w:customStyle="1" w:styleId="163">
    <w:name w:val="text2"/>
    <w:qFormat/>
    <w:uiPriority w:val="0"/>
    <w:rPr>
      <w:sz w:val="20"/>
    </w:rPr>
  </w:style>
  <w:style w:type="character" w:customStyle="1" w:styleId="164">
    <w:name w:val="HTML 预设格式 字符"/>
    <w:qFormat/>
    <w:uiPriority w:val="0"/>
    <w:rPr>
      <w:sz w:val="20"/>
    </w:rPr>
  </w:style>
  <w:style w:type="character" w:customStyle="1" w:styleId="165">
    <w:name w:val="报告正文 Char"/>
    <w:qFormat/>
    <w:uiPriority w:val="0"/>
    <w:rPr>
      <w:sz w:val="20"/>
    </w:rPr>
  </w:style>
  <w:style w:type="character" w:customStyle="1" w:styleId="166">
    <w:name w:val="正文样式暗暗 Char Char"/>
    <w:qFormat/>
    <w:uiPriority w:val="0"/>
    <w:rPr>
      <w:sz w:val="20"/>
    </w:rPr>
  </w:style>
  <w:style w:type="character" w:customStyle="1" w:styleId="167">
    <w:name w:val="s1"/>
    <w:qFormat/>
    <w:uiPriority w:val="0"/>
    <w:rPr>
      <w:sz w:val="20"/>
    </w:rPr>
  </w:style>
  <w:style w:type="character" w:customStyle="1" w:styleId="168">
    <w:name w:val="明显参考"/>
    <w:qFormat/>
    <w:uiPriority w:val="0"/>
    <w:rPr>
      <w:b/>
      <w:color w:val="auto"/>
      <w:sz w:val="21"/>
    </w:rPr>
  </w:style>
  <w:style w:type="character" w:customStyle="1" w:styleId="169">
    <w:name w:val="样式8 Char"/>
    <w:qFormat/>
    <w:uiPriority w:val="0"/>
    <w:rPr>
      <w:color w:val="000000"/>
      <w:sz w:val="20"/>
    </w:rPr>
  </w:style>
  <w:style w:type="character" w:customStyle="1" w:styleId="170">
    <w:name w:val="标题 3 Char1 Char Char1"/>
    <w:qFormat/>
    <w:uiPriority w:val="0"/>
    <w:rPr>
      <w:b/>
      <w:sz w:val="20"/>
    </w:rPr>
  </w:style>
  <w:style w:type="character" w:customStyle="1" w:styleId="171">
    <w:name w:val="样式 标题 2 + 宋体 小三 Char"/>
    <w:qFormat/>
    <w:uiPriority w:val="0"/>
    <w:rPr>
      <w:b/>
      <w:sz w:val="20"/>
    </w:rPr>
  </w:style>
  <w:style w:type="character" w:customStyle="1" w:styleId="172">
    <w:name w:val="表头 Char"/>
    <w:qFormat/>
    <w:uiPriority w:val="0"/>
    <w:rPr>
      <w:b/>
      <w:color w:val="000000"/>
      <w:sz w:val="20"/>
    </w:rPr>
  </w:style>
  <w:style w:type="character" w:customStyle="1" w:styleId="173">
    <w:name w:val="fontstyle01"/>
    <w:qFormat/>
    <w:uiPriority w:val="0"/>
    <w:rPr>
      <w:b/>
      <w:color w:val="000000"/>
      <w:sz w:val="20"/>
    </w:rPr>
  </w:style>
  <w:style w:type="character" w:customStyle="1" w:styleId="174">
    <w:name w:val="标题 3 Char1"/>
    <w:semiHidden/>
    <w:qFormat/>
    <w:uiPriority w:val="9"/>
    <w:rPr>
      <w:b/>
      <w:bCs/>
      <w:sz w:val="32"/>
      <w:szCs w:val="32"/>
    </w:rPr>
  </w:style>
  <w:style w:type="character" w:customStyle="1" w:styleId="175">
    <w:name w:val="表格文字 Char"/>
    <w:qFormat/>
    <w:uiPriority w:val="0"/>
    <w:rPr>
      <w:sz w:val="20"/>
    </w:rPr>
  </w:style>
  <w:style w:type="character" w:customStyle="1" w:styleId="176">
    <w:name w:val="正文首行缩进 2 字符"/>
    <w:qFormat/>
    <w:uiPriority w:val="0"/>
    <w:rPr>
      <w:sz w:val="20"/>
    </w:rPr>
  </w:style>
  <w:style w:type="character" w:customStyle="1" w:styleId="177">
    <w:name w:val="Normal Indent Char"/>
    <w:qFormat/>
    <w:uiPriority w:val="0"/>
    <w:rPr>
      <w:sz w:val="20"/>
    </w:rPr>
  </w:style>
  <w:style w:type="character" w:customStyle="1" w:styleId="178">
    <w:name w:val="表格1 Char"/>
    <w:qFormat/>
    <w:uiPriority w:val="0"/>
    <w:rPr>
      <w:sz w:val="20"/>
    </w:rPr>
  </w:style>
  <w:style w:type="character" w:customStyle="1" w:styleId="179">
    <w:name w:val="样式5 Char"/>
    <w:qFormat/>
    <w:uiPriority w:val="0"/>
    <w:rPr>
      <w:sz w:val="20"/>
    </w:rPr>
  </w:style>
  <w:style w:type="character" w:customStyle="1" w:styleId="180">
    <w:name w:val="样式 标题 3ReHead 3 WSAh3H3level_3PIM 3Level 3 HeadHeading 3...1 Char"/>
    <w:qFormat/>
    <w:uiPriority w:val="0"/>
    <w:rPr>
      <w:b/>
      <w:sz w:val="20"/>
    </w:rPr>
  </w:style>
  <w:style w:type="paragraph" w:customStyle="1" w:styleId="181">
    <w:name w:val="Char"/>
    <w:basedOn w:val="1"/>
    <w:qFormat/>
    <w:uiPriority w:val="0"/>
    <w:rPr>
      <w:rFonts w:ascii="Times New Roman" w:hAnsi="Times New Roman"/>
      <w:kern w:val="2"/>
      <w:sz w:val="21"/>
      <w:szCs w:val="24"/>
    </w:rPr>
  </w:style>
  <w:style w:type="paragraph" w:customStyle="1" w:styleId="182">
    <w:name w:val="标题2"/>
    <w:unhideWhenUsed/>
    <w:qFormat/>
    <w:uiPriority w:val="2"/>
    <w:pPr>
      <w:outlineLvl w:val="2"/>
    </w:pPr>
    <w:rPr>
      <w:rFonts w:ascii="Calibri" w:hAnsi="Calibri" w:eastAsia="宋体" w:cs="Times New Roman"/>
      <w:kern w:val="2"/>
      <w:sz w:val="21"/>
      <w:szCs w:val="22"/>
      <w:lang w:val="en-US" w:eastAsia="zh-CN" w:bidi="ar-SA"/>
    </w:rPr>
  </w:style>
  <w:style w:type="paragraph" w:styleId="183">
    <w:name w:val="No Spacing"/>
    <w:qFormat/>
    <w:uiPriority w:val="1"/>
    <w:rPr>
      <w:rFonts w:ascii="Calibri" w:hAnsi="Calibri" w:eastAsia="宋体" w:cs="Times New Roman"/>
      <w:sz w:val="22"/>
      <w:szCs w:val="22"/>
      <w:lang w:val="en-US" w:eastAsia="zh-CN" w:bidi="ar-SA"/>
    </w:rPr>
  </w:style>
  <w:style w:type="paragraph" w:customStyle="1" w:styleId="184">
    <w:name w:val="msonormalcxspmiddle"/>
    <w:basedOn w:val="1"/>
    <w:qFormat/>
    <w:uiPriority w:val="0"/>
    <w:pPr>
      <w:widowControl/>
      <w:spacing w:before="100" w:beforeAutospacing="1" w:after="100" w:afterAutospacing="1"/>
      <w:jc w:val="left"/>
    </w:pPr>
    <w:rPr>
      <w:rFonts w:ascii="宋体" w:hAnsi="宋体" w:cs="宋体"/>
      <w:sz w:val="24"/>
      <w:szCs w:val="24"/>
    </w:rPr>
  </w:style>
  <w:style w:type="paragraph" w:customStyle="1" w:styleId="185">
    <w:name w:val="正文缩进2"/>
    <w:basedOn w:val="1"/>
    <w:next w:val="1"/>
    <w:qFormat/>
    <w:uiPriority w:val="0"/>
    <w:pPr>
      <w:spacing w:line="240" w:lineRule="auto"/>
      <w:ind w:firstLine="420"/>
    </w:pPr>
    <w:rPr>
      <w:kern w:val="1"/>
      <w:sz w:val="28"/>
      <w:szCs w:val="20"/>
    </w:rPr>
  </w:style>
  <w:style w:type="paragraph" w:customStyle="1" w:styleId="186">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187">
    <w:name w:val="正文文本1"/>
    <w:basedOn w:val="1"/>
    <w:qFormat/>
    <w:uiPriority w:val="0"/>
    <w:pPr>
      <w:shd w:val="clear" w:color="auto" w:fill="FFFFFF"/>
      <w:spacing w:before="600" w:line="542" w:lineRule="exact"/>
      <w:jc w:val="distribute"/>
    </w:pPr>
    <w:rPr>
      <w:rFonts w:ascii="宋体" w:hAnsi="宋体" w:eastAsia="宋体"/>
      <w:spacing w:val="20"/>
      <w:kern w:val="0"/>
      <w:sz w:val="25"/>
      <w:szCs w:val="25"/>
    </w:rPr>
  </w:style>
  <w:style w:type="paragraph" w:customStyle="1" w:styleId="188">
    <w:name w:val="正文文本2"/>
    <w:basedOn w:val="1"/>
    <w:qFormat/>
    <w:uiPriority w:val="0"/>
    <w:pPr>
      <w:shd w:val="clear" w:color="auto" w:fill="FFFFFF"/>
      <w:spacing w:before="600" w:line="542" w:lineRule="exact"/>
      <w:jc w:val="distribute"/>
    </w:pPr>
    <w:rPr>
      <w:rFonts w:ascii="宋体" w:hAnsi="宋体" w:eastAsia="宋体" w:cs="宋体"/>
      <w:spacing w:val="20"/>
      <w:sz w:val="25"/>
      <w:szCs w:val="25"/>
    </w:rPr>
  </w:style>
  <w:style w:type="table" w:customStyle="1" w:styleId="189">
    <w:name w:val="ALS"/>
    <w:qFormat/>
    <w:uiPriority w:val="0"/>
    <w:pPr>
      <w:jc w:val="center"/>
    </w:pPr>
    <w:rPr>
      <w:lang w:val="en-US" w:eastAsia="zh-CN" w:bidi="ar-SA"/>
    </w:rPr>
    <w:tblPr>
      <w:tblBorders>
        <w:top w:val="single" w:color="auto" w:sz="18" w:space="0"/>
        <w:left w:val="none" w:color="auto" w:sz="2" w:space="0"/>
        <w:bottom w:val="single" w:color="auto" w:sz="18" w:space="0"/>
        <w:right w:val="none" w:color="auto" w:sz="2" w:space="0"/>
        <w:insideH w:val="single" w:color="auto" w:sz="4" w:space="0"/>
        <w:insideV w:val="single" w:color="auto" w:sz="4" w:space="0"/>
      </w:tblBorders>
    </w:tblPr>
  </w:style>
  <w:style w:type="paragraph" w:customStyle="1" w:styleId="190">
    <w:name w:val="表格内"/>
    <w:basedOn w:val="1"/>
    <w:qFormat/>
    <w:uiPriority w:val="0"/>
    <w:pPr>
      <w:widowControl/>
      <w:adjustRightInd w:val="0"/>
      <w:snapToGrid w:val="0"/>
      <w:spacing w:after="200" w:line="360" w:lineRule="exact"/>
      <w:jc w:val="center"/>
    </w:pPr>
    <w:rPr>
      <w:rFonts w:eastAsia="微软雅黑"/>
      <w:snapToGrid w:val="0"/>
      <w:kern w:val="0"/>
      <w:sz w:val="22"/>
      <w:szCs w:val="21"/>
    </w:rPr>
  </w:style>
  <w:style w:type="paragraph" w:customStyle="1" w:styleId="191">
    <w:name w:val="【正文】"/>
    <w:qFormat/>
    <w:uiPriority w:val="0"/>
    <w:pPr>
      <w:widowControl w:val="0"/>
      <w:spacing w:line="440" w:lineRule="exact"/>
      <w:ind w:firstLine="544" w:firstLineChars="200"/>
      <w:jc w:val="both"/>
    </w:pPr>
    <w:rPr>
      <w:rFonts w:ascii="Times New Roman" w:hAnsi="Times New Roman" w:eastAsia="宋体" w:cs="宋体"/>
      <w:sz w:val="24"/>
      <w:lang w:val="en-US" w:eastAsia="zh-CN" w:bidi="ar-SA"/>
    </w:rPr>
  </w:style>
  <w:style w:type="paragraph" w:customStyle="1" w:styleId="192">
    <w:name w:val="表格文字"/>
    <w:basedOn w:val="37"/>
    <w:next w:val="1"/>
    <w:qFormat/>
    <w:uiPriority w:val="0"/>
    <w:pPr>
      <w:spacing w:line="240" w:lineRule="auto"/>
      <w:ind w:firstLine="0" w:firstLineChars="0"/>
      <w:jc w:val="center"/>
    </w:pPr>
    <w:rPr>
      <w:kern w:val="2"/>
      <w:sz w:val="21"/>
      <w:lang w:val="en-US" w:eastAsia="zh-CN" w:bidi="ar-SA"/>
    </w:rPr>
  </w:style>
  <w:style w:type="character" w:customStyle="1" w:styleId="193">
    <w:name w:val="font21"/>
    <w:qFormat/>
    <w:uiPriority w:val="0"/>
    <w:rPr>
      <w:rFonts w:hint="eastAsia" w:ascii="宋体" w:hAnsi="宋体" w:eastAsia="宋体" w:cs="宋体"/>
      <w:color w:val="000000"/>
      <w:sz w:val="21"/>
      <w:szCs w:val="21"/>
      <w:u w:val="none"/>
    </w:rPr>
  </w:style>
  <w:style w:type="character" w:customStyle="1" w:styleId="194">
    <w:name w:val="font41"/>
    <w:qFormat/>
    <w:uiPriority w:val="0"/>
    <w:rPr>
      <w:rFonts w:hint="eastAsia" w:ascii="宋体" w:hAnsi="宋体" w:eastAsia="宋体" w:cs="宋体"/>
      <w:color w:val="000000"/>
      <w:sz w:val="21"/>
      <w:szCs w:val="21"/>
      <w:u w:val="none"/>
    </w:rPr>
  </w:style>
  <w:style w:type="paragraph" w:customStyle="1" w:styleId="195">
    <w:name w:val="p0"/>
    <w:basedOn w:val="1"/>
    <w:qFormat/>
    <w:uiPriority w:val="0"/>
    <w:pPr>
      <w:widowControl/>
    </w:pPr>
    <w:rPr>
      <w:kern w:val="0"/>
      <w:szCs w:val="21"/>
    </w:rPr>
  </w:style>
  <w:style w:type="paragraph" w:customStyle="1" w:styleId="196">
    <w:name w:val="表格正文"/>
    <w:basedOn w:val="1"/>
    <w:next w:val="1"/>
    <w:qFormat/>
    <w:uiPriority w:val="0"/>
    <w:pPr>
      <w:jc w:val="center"/>
    </w:pPr>
    <w:rPr>
      <w:kern w:val="0"/>
      <w:szCs w:val="21"/>
      <w:lang w:val="vi-VN"/>
    </w:rPr>
  </w:style>
  <w:style w:type="paragraph" w:customStyle="1" w:styleId="197">
    <w:name w:val="Table Paragraph"/>
    <w:basedOn w:val="1"/>
    <w:autoRedefine/>
    <w:qFormat/>
    <w:uiPriority w:val="1"/>
    <w:rPr>
      <w:rFonts w:ascii="Times New Roman" w:hAnsi="Times New Roman" w:eastAsia="Times New Roman" w:cs="Times New Roman"/>
      <w:lang w:val="zh-CN" w:eastAsia="zh-CN" w:bidi="zh-CN"/>
    </w:rPr>
  </w:style>
  <w:style w:type="paragraph" w:customStyle="1" w:styleId="198">
    <w:name w:val="Body Text 22"/>
    <w:autoRedefine/>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lang w:val="en-US" w:eastAsia="zh-CN" w:bidi="ar-SA"/>
    </w:rPr>
  </w:style>
  <w:style w:type="paragraph" w:customStyle="1" w:styleId="199">
    <w:name w:val="表内文字"/>
    <w:basedOn w:val="1"/>
    <w:autoRedefine/>
    <w:qFormat/>
    <w:uiPriority w:val="0"/>
    <w:pPr>
      <w:adjustRightInd w:val="0"/>
      <w:jc w:val="center"/>
    </w:pPr>
    <w:rPr>
      <w:rFonts w:ascii="宋体" w:cs="宋体"/>
      <w:szCs w:val="24"/>
    </w:rPr>
  </w:style>
  <w:style w:type="paragraph" w:customStyle="1" w:styleId="200">
    <w:name w:val="图表名称1"/>
    <w:basedOn w:val="201"/>
    <w:qFormat/>
    <w:uiPriority w:val="0"/>
    <w:pPr>
      <w:adjustRightInd w:val="0"/>
      <w:snapToGrid w:val="0"/>
      <w:spacing w:line="520" w:lineRule="exact"/>
      <w:jc w:val="center"/>
    </w:pPr>
    <w:rPr>
      <w:rFonts w:ascii="宋体" w:hAnsi="宋体"/>
      <w:bCs/>
      <w:kern w:val="21"/>
      <w:sz w:val="24"/>
      <w:szCs w:val="20"/>
    </w:rPr>
  </w:style>
  <w:style w:type="paragraph" w:customStyle="1" w:styleId="201">
    <w:name w:val="图标名称"/>
    <w:basedOn w:val="202"/>
    <w:qFormat/>
    <w:uiPriority w:val="0"/>
    <w:pPr>
      <w:adjustRightInd w:val="0"/>
      <w:spacing w:line="520" w:lineRule="exact"/>
      <w:ind w:firstLine="200" w:firstLineChars="200"/>
    </w:pPr>
    <w:rPr>
      <w:rFonts w:ascii="宋体" w:hAnsi="宋体"/>
      <w:b/>
      <w:sz w:val="24"/>
    </w:rPr>
  </w:style>
  <w:style w:type="paragraph" w:customStyle="1" w:styleId="202">
    <w:name w:val="正文1"/>
    <w:basedOn w:val="1"/>
    <w:next w:val="1"/>
    <w:qFormat/>
    <w:uiPriority w:val="0"/>
    <w:pPr>
      <w:adjustRightInd w:val="0"/>
      <w:snapToGrid w:val="0"/>
      <w:spacing w:line="500" w:lineRule="atLeast"/>
      <w:ind w:firstLine="567"/>
    </w:pPr>
    <w:rPr>
      <w:sz w:val="28"/>
    </w:rPr>
  </w:style>
  <w:style w:type="paragraph" w:customStyle="1" w:styleId="203">
    <w:name w:val="A-表格名"/>
    <w:basedOn w:val="1"/>
    <w:qFormat/>
    <w:uiPriority w:val="0"/>
    <w:pPr>
      <w:adjustRightInd w:val="0"/>
      <w:snapToGrid w:val="0"/>
      <w:spacing w:before="120" w:beforeLines="50"/>
      <w:jc w:val="center"/>
    </w:pPr>
    <w:rPr>
      <w:rFonts w:ascii="Times New Roman" w:hAnsi="Times New Roman"/>
      <w:color w:val="000000" w:themeColor="text1"/>
      <w:sz w:val="24"/>
      <w:szCs w:val="20"/>
      <w14:textFill>
        <w14:solidFill>
          <w14:schemeClr w14:val="tx1"/>
        </w14:solidFill>
      </w14:textFill>
    </w:rPr>
  </w:style>
  <w:style w:type="table" w:customStyle="1" w:styleId="204">
    <w:name w:val="黑框表格"/>
    <w:basedOn w:val="39"/>
    <w:qFormat/>
    <w:uiPriority w:val="99"/>
    <w:pPr>
      <w:jc w:val="center"/>
    </w:pPr>
    <w:rPr>
      <w:sz w:val="21"/>
    </w:rPr>
    <w:tblP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
    <w:tcPr>
      <w:vAlign w:val="center"/>
    </w:tcPr>
  </w:style>
  <w:style w:type="paragraph" w:customStyle="1" w:styleId="205">
    <w:name w:val="A-题注-图"/>
    <w:basedOn w:val="203"/>
    <w:autoRedefine/>
    <w:qFormat/>
    <w:uiPriority w:val="0"/>
    <w:pPr>
      <w:spacing w:after="120" w:afterLines="50"/>
    </w:pPr>
    <w:rPr>
      <w:rFonts w:eastAsia="黑体"/>
    </w:rPr>
  </w:style>
  <w:style w:type="paragraph" w:customStyle="1" w:styleId="206">
    <w:name w:val="表体"/>
    <w:basedOn w:val="1"/>
    <w:qFormat/>
    <w:uiPriority w:val="0"/>
    <w:pPr>
      <w:overflowPunct w:val="0"/>
      <w:adjustRightInd w:val="0"/>
      <w:spacing w:line="300" w:lineRule="atLeast"/>
      <w:jc w:val="center"/>
      <w:textAlignment w:val="baseline"/>
    </w:pPr>
    <w:rPr>
      <w:rFonts w:ascii="Times New Roman" w:hAnsi="Times New Roman"/>
      <w:color w:val="000000"/>
      <w:kern w:val="24"/>
      <w:sz w:val="18"/>
      <w:szCs w:val="20"/>
    </w:rPr>
  </w:style>
  <w:style w:type="paragraph" w:customStyle="1" w:styleId="207">
    <w:name w:val="正文格式"/>
    <w:basedOn w:val="37"/>
    <w:qFormat/>
    <w:uiPriority w:val="0"/>
    <w:pPr>
      <w:widowControl/>
      <w:spacing w:after="0"/>
      <w:ind w:firstLine="200" w:firstLineChars="200"/>
      <w:jc w:val="left"/>
    </w:pPr>
    <w:rPr>
      <w:rFonts w:ascii="宋体"/>
    </w:rPr>
  </w:style>
  <w:style w:type="paragraph" w:customStyle="1" w:styleId="208">
    <w:name w:val="A-页眉"/>
    <w:basedOn w:val="1"/>
    <w:autoRedefine/>
    <w:qFormat/>
    <w:uiPriority w:val="0"/>
    <w:pPr>
      <w:pBdr>
        <w:bottom w:val="single" w:color="auto" w:sz="6" w:space="1"/>
      </w:pBdr>
      <w:tabs>
        <w:tab w:val="center" w:pos="4153"/>
        <w:tab w:val="right" w:pos="8306"/>
      </w:tabs>
      <w:snapToGrid w:val="0"/>
      <w:jc w:val="center"/>
    </w:pPr>
    <w:rPr>
      <w:rFonts w:ascii="Times New Roman" w:hAnsi="Times New Roman" w:eastAsia="楷体_GB2312"/>
      <w:sz w:val="18"/>
      <w:szCs w:val="18"/>
      <w:lang w:val="zh-CN"/>
    </w:rPr>
  </w:style>
  <w:style w:type="paragraph" w:customStyle="1" w:styleId="209">
    <w:name w:val="正文（首行缩进） Char"/>
    <w:basedOn w:val="1"/>
    <w:autoRedefine/>
    <w:qFormat/>
    <w:uiPriority w:val="0"/>
    <w:pPr>
      <w:widowControl/>
      <w:overflowPunct w:val="0"/>
      <w:topLinePunct/>
      <w:autoSpaceDE w:val="0"/>
      <w:autoSpaceDN w:val="0"/>
      <w:adjustRightInd w:val="0"/>
      <w:snapToGrid w:val="0"/>
      <w:spacing w:line="360" w:lineRule="auto"/>
      <w:ind w:firstLine="480" w:firstLineChars="200"/>
      <w:textAlignment w:val="baseline"/>
    </w:pPr>
    <w:rPr>
      <w:kern w:val="0"/>
      <w:sz w:val="24"/>
      <w:szCs w:val="24"/>
    </w:rPr>
  </w:style>
  <w:style w:type="paragraph" w:styleId="210">
    <w:name w:val="List Paragraph"/>
    <w:basedOn w:val="1"/>
    <w:qFormat/>
    <w:uiPriority w:val="99"/>
    <w:pPr>
      <w:ind w:firstLine="420" w:firstLineChars="200"/>
    </w:pPr>
    <w:rPr>
      <w:rFonts w:ascii="Calibri" w:hAnsi="Calibri" w:cs="Arial"/>
      <w:szCs w:val="22"/>
    </w:rPr>
  </w:style>
  <w:style w:type="paragraph" w:customStyle="1" w:styleId="211">
    <w:name w:val="表头"/>
    <w:basedOn w:val="1"/>
    <w:qFormat/>
    <w:uiPriority w:val="0"/>
    <w:pPr>
      <w:spacing w:line="360" w:lineRule="auto"/>
      <w:jc w:val="center"/>
    </w:pPr>
    <w:rPr>
      <w:b/>
    </w:rPr>
  </w:style>
  <w:style w:type="paragraph" w:customStyle="1" w:styleId="212">
    <w:name w:val="Normal"/>
    <w:qFormat/>
    <w:uiPriority w:val="0"/>
    <w:pPr>
      <w:widowControl w:val="0"/>
      <w:adjustRightInd w:val="0"/>
      <w:spacing w:line="315" w:lineRule="atLeast"/>
      <w:textAlignment w:val="baseline"/>
    </w:pPr>
    <w:rPr>
      <w:rFonts w:ascii="宋体" w:hAnsi="Times New Roman" w:eastAsia="宋体" w:cs="Times New Roman"/>
      <w:sz w:val="24"/>
      <w:lang w:val="en-US" w:eastAsia="zh-CN" w:bidi="ar-SA"/>
    </w:rPr>
  </w:style>
  <w:style w:type="character" w:customStyle="1" w:styleId="213">
    <w:name w:val="font61"/>
    <w:basedOn w:val="44"/>
    <w:qFormat/>
    <w:uiPriority w:val="0"/>
    <w:rPr>
      <w:rFonts w:hint="eastAsia" w:ascii="宋体" w:hAnsi="宋体" w:eastAsia="宋体" w:cs="宋体"/>
      <w:color w:val="000000"/>
      <w:sz w:val="18"/>
      <w:szCs w:val="18"/>
      <w:u w:val="none"/>
      <w:vertAlign w:val="superscript"/>
    </w:rPr>
  </w:style>
  <w:style w:type="paragraph" w:customStyle="1" w:styleId="214">
    <w:name w:val="w表格文字"/>
    <w:basedOn w:val="1"/>
    <w:qFormat/>
    <w:uiPriority w:val="0"/>
    <w:pPr>
      <w:widowControl w:val="0"/>
      <w:adjustRightInd w:val="0"/>
      <w:snapToGrid w:val="0"/>
      <w:jc w:val="both"/>
    </w:pPr>
    <w:rPr>
      <w:color w:val="000000"/>
      <w:sz w:val="18"/>
      <w:szCs w:val="18"/>
      <w:lang w:val="zh-CN" w:bidi="en-US"/>
    </w:rPr>
  </w:style>
  <w:style w:type="paragraph" w:customStyle="1" w:styleId="215">
    <w:name w:val="表格"/>
    <w:basedOn w:val="29"/>
    <w:qFormat/>
    <w:uiPriority w:val="0"/>
    <w:pPr>
      <w:tabs>
        <w:tab w:val="left" w:pos="960"/>
      </w:tabs>
      <w:jc w:val="center"/>
    </w:pPr>
    <w:rPr>
      <w:kern w:val="0"/>
    </w:rPr>
  </w:style>
  <w:style w:type="paragraph" w:customStyle="1" w:styleId="216">
    <w:name w:val="LY表格文字"/>
    <w:basedOn w:val="217"/>
    <w:qFormat/>
    <w:uiPriority w:val="0"/>
    <w:pPr>
      <w:widowControl/>
      <w:spacing w:before="100" w:beforeAutospacing="1" w:after="100" w:afterAutospacing="1" w:line="320" w:lineRule="exact"/>
      <w:ind w:firstLine="0" w:firstLineChars="0"/>
      <w:jc w:val="center"/>
    </w:pPr>
    <w:rPr>
      <w:rFonts w:cs="Arial Unicode MS"/>
      <w:sz w:val="21"/>
      <w:szCs w:val="24"/>
    </w:rPr>
  </w:style>
  <w:style w:type="paragraph" w:customStyle="1" w:styleId="217">
    <w:name w:val="lh-正文-报告书"/>
    <w:qFormat/>
    <w:uiPriority w:val="0"/>
    <w:pPr>
      <w:widowControl w:val="0"/>
      <w:spacing w:line="480" w:lineRule="exact"/>
      <w:ind w:firstLine="200" w:firstLineChars="200"/>
      <w:jc w:val="both"/>
    </w:pPr>
    <w:rPr>
      <w:rFonts w:ascii="Times New Roman" w:hAnsi="Times New Roman" w:eastAsia="仿宋" w:cs="Times New Roman"/>
      <w:snapToGrid w:val="0"/>
      <w:sz w:val="28"/>
      <w:szCs w:val="21"/>
      <w:lang w:val="en-GB" w:eastAsia="zh-CN" w:bidi="ar-SA"/>
    </w:rPr>
  </w:style>
  <w:style w:type="paragraph" w:customStyle="1" w:styleId="218">
    <w:name w:val="表中文字"/>
    <w:next w:val="1"/>
    <w:qFormat/>
    <w:uiPriority w:val="0"/>
    <w:pPr>
      <w:jc w:val="center"/>
    </w:pPr>
    <w:rPr>
      <w:rFonts w:ascii="Times New Roman" w:hAnsi="Times New Roman" w:eastAsia="宋体" w:cs="Times New Roman"/>
      <w:color w:val="000000"/>
      <w:kern w:val="2"/>
      <w:sz w:val="21"/>
      <w:szCs w:val="24"/>
      <w:lang w:val="en-US" w:eastAsia="zh-CN" w:bidi="ar-SA"/>
    </w:rPr>
  </w:style>
  <w:style w:type="paragraph" w:customStyle="1" w:styleId="219">
    <w:name w:val="表格字体"/>
    <w:basedOn w:val="1"/>
    <w:qFormat/>
    <w:uiPriority w:val="0"/>
    <w:pPr>
      <w:adjustRightInd w:val="0"/>
      <w:spacing w:line="320" w:lineRule="exact"/>
      <w:ind w:firstLine="0" w:firstLineChars="0"/>
      <w:jc w:val="center"/>
    </w:pPr>
    <w:rPr>
      <w:color w:val="000000"/>
      <w:sz w:val="21"/>
    </w:rPr>
  </w:style>
  <w:style w:type="paragraph" w:customStyle="1" w:styleId="220">
    <w:name w:val="正文新"/>
    <w:basedOn w:val="9"/>
    <w:qFormat/>
    <w:uiPriority w:val="0"/>
    <w:pPr>
      <w:spacing w:line="360" w:lineRule="auto"/>
      <w:ind w:firstLine="880"/>
    </w:pPr>
    <w:rPr>
      <w:rFonts w:ascii="Times New Roman" w:hAnsi="Times New Roman"/>
      <w:sz w:val="28"/>
      <w:szCs w:val="28"/>
      <w:lang w:val="zh-CN"/>
    </w:rPr>
  </w:style>
  <w:style w:type="paragraph" w:customStyle="1" w:styleId="221">
    <w:name w:val="样式 小四 行距: 1.5 倍行距"/>
    <w:basedOn w:val="1"/>
    <w:qFormat/>
    <w:uiPriority w:val="0"/>
    <w:pPr>
      <w:adjustRightInd w:val="0"/>
      <w:snapToGrid w:val="0"/>
      <w:spacing w:line="360" w:lineRule="auto"/>
      <w:ind w:firstLine="200" w:firstLineChars="200"/>
    </w:pPr>
    <w:rPr>
      <w:rFonts w:cs="宋体"/>
      <w:sz w:val="24"/>
      <w:szCs w:val="20"/>
    </w:rPr>
  </w:style>
  <w:style w:type="paragraph" w:customStyle="1" w:styleId="222">
    <w:name w:val="正文-ls"/>
    <w:basedOn w:val="1"/>
    <w:qFormat/>
    <w:uiPriority w:val="99"/>
    <w:pPr>
      <w:spacing w:line="360" w:lineRule="auto"/>
      <w:ind w:firstLine="200" w:firstLineChars="200"/>
    </w:pPr>
    <w:rPr>
      <w:rFonts w:hAnsi="宋体"/>
      <w:sz w:val="24"/>
    </w:rPr>
  </w:style>
</w:styles>
</file>

<file path=word/_rels/document.xml.rels><?xml version="1.0" encoding="UTF-8" standalone="yes"?>
<Relationships xmlns="http://schemas.openxmlformats.org/package/2006/relationships"><Relationship Id="rId91" Type="http://schemas.openxmlformats.org/officeDocument/2006/relationships/fontTable" Target="fontTable.xml"/><Relationship Id="rId90" Type="http://schemas.openxmlformats.org/officeDocument/2006/relationships/numbering" Target="numbering.xml"/><Relationship Id="rId9" Type="http://schemas.openxmlformats.org/officeDocument/2006/relationships/oleObject" Target="embeddings/oleObject1.bin"/><Relationship Id="rId89" Type="http://schemas.openxmlformats.org/officeDocument/2006/relationships/customXml" Target="../customXml/item1.xml"/><Relationship Id="rId88" Type="http://schemas.openxmlformats.org/officeDocument/2006/relationships/image" Target="media/image59.png"/><Relationship Id="rId87" Type="http://schemas.openxmlformats.org/officeDocument/2006/relationships/image" Target="media/image58.jpeg"/><Relationship Id="rId86" Type="http://schemas.openxmlformats.org/officeDocument/2006/relationships/image" Target="media/image57.png"/><Relationship Id="rId85" Type="http://schemas.openxmlformats.org/officeDocument/2006/relationships/image" Target="media/image56.png"/><Relationship Id="rId84" Type="http://schemas.openxmlformats.org/officeDocument/2006/relationships/image" Target="media/image55.png"/><Relationship Id="rId83" Type="http://schemas.openxmlformats.org/officeDocument/2006/relationships/image" Target="media/image54.png"/><Relationship Id="rId82" Type="http://schemas.openxmlformats.org/officeDocument/2006/relationships/image" Target="media/image53.jpeg"/><Relationship Id="rId81" Type="http://schemas.openxmlformats.org/officeDocument/2006/relationships/image" Target="media/image52.png"/><Relationship Id="rId80" Type="http://schemas.openxmlformats.org/officeDocument/2006/relationships/image" Target="media/image51.png"/><Relationship Id="rId8" Type="http://schemas.openxmlformats.org/officeDocument/2006/relationships/theme" Target="theme/theme1.xml"/><Relationship Id="rId79" Type="http://schemas.openxmlformats.org/officeDocument/2006/relationships/image" Target="media/image50.png"/><Relationship Id="rId78" Type="http://schemas.openxmlformats.org/officeDocument/2006/relationships/image" Target="media/image49.emf"/><Relationship Id="rId77" Type="http://schemas.openxmlformats.org/officeDocument/2006/relationships/oleObject" Target="embeddings/oleObject21.bin"/><Relationship Id="rId76" Type="http://schemas.openxmlformats.org/officeDocument/2006/relationships/image" Target="media/image48.wmf"/><Relationship Id="rId75" Type="http://schemas.openxmlformats.org/officeDocument/2006/relationships/oleObject" Target="embeddings/oleObject20.bin"/><Relationship Id="rId74" Type="http://schemas.openxmlformats.org/officeDocument/2006/relationships/image" Target="media/image47.wmf"/><Relationship Id="rId73" Type="http://schemas.openxmlformats.org/officeDocument/2006/relationships/oleObject" Target="embeddings/oleObject19.bin"/><Relationship Id="rId72" Type="http://schemas.openxmlformats.org/officeDocument/2006/relationships/image" Target="media/image46.wmf"/><Relationship Id="rId71" Type="http://schemas.openxmlformats.org/officeDocument/2006/relationships/oleObject" Target="embeddings/oleObject18.bin"/><Relationship Id="rId70" Type="http://schemas.openxmlformats.org/officeDocument/2006/relationships/image" Target="media/image45.wmf"/><Relationship Id="rId7" Type="http://schemas.openxmlformats.org/officeDocument/2006/relationships/header" Target="header3.xml"/><Relationship Id="rId69" Type="http://schemas.openxmlformats.org/officeDocument/2006/relationships/oleObject" Target="embeddings/oleObject17.bin"/><Relationship Id="rId68" Type="http://schemas.openxmlformats.org/officeDocument/2006/relationships/image" Target="media/image44.wmf"/><Relationship Id="rId67" Type="http://schemas.openxmlformats.org/officeDocument/2006/relationships/oleObject" Target="embeddings/oleObject16.bin"/><Relationship Id="rId66" Type="http://schemas.openxmlformats.org/officeDocument/2006/relationships/image" Target="media/image43.wmf"/><Relationship Id="rId65" Type="http://schemas.openxmlformats.org/officeDocument/2006/relationships/oleObject" Target="embeddings/oleObject15.bin"/><Relationship Id="rId64" Type="http://schemas.openxmlformats.org/officeDocument/2006/relationships/image" Target="media/image42.wmf"/><Relationship Id="rId63" Type="http://schemas.openxmlformats.org/officeDocument/2006/relationships/oleObject" Target="embeddings/oleObject14.bin"/><Relationship Id="rId62" Type="http://schemas.openxmlformats.org/officeDocument/2006/relationships/image" Target="media/image41.wmf"/><Relationship Id="rId61" Type="http://schemas.openxmlformats.org/officeDocument/2006/relationships/oleObject" Target="embeddings/oleObject13.bin"/><Relationship Id="rId60" Type="http://schemas.openxmlformats.org/officeDocument/2006/relationships/image" Target="media/image40.png"/><Relationship Id="rId6" Type="http://schemas.openxmlformats.org/officeDocument/2006/relationships/header" Target="header2.xml"/><Relationship Id="rId59" Type="http://schemas.openxmlformats.org/officeDocument/2006/relationships/image" Target="media/image39.png"/><Relationship Id="rId58" Type="http://schemas.openxmlformats.org/officeDocument/2006/relationships/image" Target="media/image38.png"/><Relationship Id="rId57" Type="http://schemas.openxmlformats.org/officeDocument/2006/relationships/image" Target="media/image37.png"/><Relationship Id="rId56" Type="http://schemas.openxmlformats.org/officeDocument/2006/relationships/image" Target="media/image36.png"/><Relationship Id="rId55" Type="http://schemas.openxmlformats.org/officeDocument/2006/relationships/image" Target="media/image35.jpeg"/><Relationship Id="rId54" Type="http://schemas.openxmlformats.org/officeDocument/2006/relationships/image" Target="media/image34.wmf"/><Relationship Id="rId53" Type="http://schemas.openxmlformats.org/officeDocument/2006/relationships/oleObject" Target="embeddings/oleObject12.bin"/><Relationship Id="rId52" Type="http://schemas.openxmlformats.org/officeDocument/2006/relationships/image" Target="media/image33.wmf"/><Relationship Id="rId51" Type="http://schemas.openxmlformats.org/officeDocument/2006/relationships/oleObject" Target="embeddings/oleObject11.bin"/><Relationship Id="rId50" Type="http://schemas.openxmlformats.org/officeDocument/2006/relationships/image" Target="media/image32.png"/><Relationship Id="rId5" Type="http://schemas.openxmlformats.org/officeDocument/2006/relationships/footer" Target="footer2.xml"/><Relationship Id="rId49" Type="http://schemas.openxmlformats.org/officeDocument/2006/relationships/image" Target="media/image31.png"/><Relationship Id="rId48" Type="http://schemas.openxmlformats.org/officeDocument/2006/relationships/image" Target="media/image30.emf"/><Relationship Id="rId47" Type="http://schemas.openxmlformats.org/officeDocument/2006/relationships/image" Target="media/image29.wmf"/><Relationship Id="rId46" Type="http://schemas.openxmlformats.org/officeDocument/2006/relationships/oleObject" Target="embeddings/oleObject10.bin"/><Relationship Id="rId45" Type="http://schemas.openxmlformats.org/officeDocument/2006/relationships/image" Target="media/image28.wmf"/><Relationship Id="rId44" Type="http://schemas.openxmlformats.org/officeDocument/2006/relationships/oleObject" Target="embeddings/oleObject9.bin"/><Relationship Id="rId43" Type="http://schemas.openxmlformats.org/officeDocument/2006/relationships/image" Target="media/image27.jpeg"/><Relationship Id="rId42" Type="http://schemas.openxmlformats.org/officeDocument/2006/relationships/image" Target="media/image26.png"/><Relationship Id="rId41" Type="http://schemas.openxmlformats.org/officeDocument/2006/relationships/image" Target="media/image25.png"/><Relationship Id="rId40" Type="http://schemas.openxmlformats.org/officeDocument/2006/relationships/image" Target="media/image24.png"/><Relationship Id="rId4" Type="http://schemas.openxmlformats.org/officeDocument/2006/relationships/footer" Target="footer1.xml"/><Relationship Id="rId39" Type="http://schemas.openxmlformats.org/officeDocument/2006/relationships/image" Target="media/image23.png"/><Relationship Id="rId38" Type="http://schemas.openxmlformats.org/officeDocument/2006/relationships/image" Target="media/image22.png"/><Relationship Id="rId37" Type="http://schemas.openxmlformats.org/officeDocument/2006/relationships/image" Target="media/image21.wmf"/><Relationship Id="rId36" Type="http://schemas.openxmlformats.org/officeDocument/2006/relationships/oleObject" Target="embeddings/oleObject8.bin"/><Relationship Id="rId35" Type="http://schemas.openxmlformats.org/officeDocument/2006/relationships/image" Target="media/image20.wmf"/><Relationship Id="rId34" Type="http://schemas.openxmlformats.org/officeDocument/2006/relationships/oleObject" Target="embeddings/oleObject7.bin"/><Relationship Id="rId33" Type="http://schemas.openxmlformats.org/officeDocument/2006/relationships/image" Target="media/image19.wmf"/><Relationship Id="rId32" Type="http://schemas.openxmlformats.org/officeDocument/2006/relationships/oleObject" Target="embeddings/oleObject6.bin"/><Relationship Id="rId31" Type="http://schemas.openxmlformats.org/officeDocument/2006/relationships/image" Target="media/image18.emf"/><Relationship Id="rId30" Type="http://schemas.openxmlformats.org/officeDocument/2006/relationships/oleObject" Target="embeddings/oleObject5.bin"/><Relationship Id="rId3" Type="http://schemas.openxmlformats.org/officeDocument/2006/relationships/header" Target="header1.xml"/><Relationship Id="rId29" Type="http://schemas.openxmlformats.org/officeDocument/2006/relationships/image" Target="media/image17.png"/><Relationship Id="rId28" Type="http://schemas.openxmlformats.org/officeDocument/2006/relationships/image" Target="media/image16.png"/><Relationship Id="rId27" Type="http://schemas.openxmlformats.org/officeDocument/2006/relationships/image" Target="media/image15.pn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emf"/><Relationship Id="rId23" Type="http://schemas.openxmlformats.org/officeDocument/2006/relationships/oleObject" Target="embeddings/oleObject4.bin"/><Relationship Id="rId22" Type="http://schemas.openxmlformats.org/officeDocument/2006/relationships/image" Target="media/image11.jpeg"/><Relationship Id="rId21" Type="http://schemas.openxmlformats.org/officeDocument/2006/relationships/image" Target="media/image10.jpeg"/><Relationship Id="rId20" Type="http://schemas.openxmlformats.org/officeDocument/2006/relationships/image" Target="media/image9.jpeg"/><Relationship Id="rId2" Type="http://schemas.openxmlformats.org/officeDocument/2006/relationships/settings" Target="settings.xml"/><Relationship Id="rId19" Type="http://schemas.openxmlformats.org/officeDocument/2006/relationships/image" Target="media/image8.emf"/><Relationship Id="rId18" Type="http://schemas.openxmlformats.org/officeDocument/2006/relationships/oleObject" Target="embeddings/oleObject3.bin"/><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png"/><Relationship Id="rId12" Type="http://schemas.openxmlformats.org/officeDocument/2006/relationships/image" Target="media/image2.wmf"/><Relationship Id="rId11" Type="http://schemas.openxmlformats.org/officeDocument/2006/relationships/oleObject" Target="embeddings/oleObject2.bin"/><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8" textRotate="1"/>
    <customShpInfo spid="_x0000_s1029"/>
  </customShpExts>
  <extobjs>
    <extobj name="ECB019B1-382A-4266-B25C-5B523AA43C14-1">
      <extobjdata type="ECB019B1-382A-4266-B25C-5B523AA43C14" data="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253</Pages>
  <Words>174775</Words>
  <Characters>201850</Characters>
  <Lines>533</Lines>
  <Paragraphs>150</Paragraphs>
  <TotalTime>259</TotalTime>
  <ScaleCrop>false</ScaleCrop>
  <LinksUpToDate>false</LinksUpToDate>
  <CharactersWithSpaces>202765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2019-03-21T15:50:00Z</dcterms:created>
  <dc:creator>Administrator</dc:creator>
  <cp:lastModifiedBy>Gentle</cp:lastModifiedBy>
  <cp:lastPrinted>2019-07-31T07:48:00Z</cp:lastPrinted>
  <dcterms:modified xsi:type="dcterms:W3CDTF">2026-08-07T08:00:57Z</dcterms:modified>
  <cp:revision>537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04037669F5194E99BC250BFF0254A46B_13</vt:lpwstr>
  </property>
  <property fmtid="{D5CDD505-2E9C-101B-9397-08002B2CF9AE}" pid="4" name="KSOTemplateDocerSaveRecord">
    <vt:lpwstr>eyJoZGlkIjoiNzQ5NTdkZmZiZTgzYmMyODRhZWZlMDBmN2M0YzUwZDkiLCJ1c2VySWQiOiIyNzU2NjE2NTQifQ==</vt:lpwstr>
  </property>
</Properties>
</file>